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ind w:left="720" w:hanging="422"/>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31, 2019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right="140" w:hanging="462"/>
        <w:spacing w:after="0" w:line="248"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15"/>
        </w:trPr>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For the transition period from</w:t>
            </w:r>
          </w:p>
        </w:tc>
        <w:tc>
          <w:tcPr>
            <w:tcW w:w="4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tcPr>
          <w:p>
            <w:pPr>
              <w:jc w:val="center"/>
              <w:ind w:left="699"/>
              <w:spacing w:after="0"/>
              <w:rPr>
                <w:sz w:val="20"/>
                <w:szCs w:val="20"/>
                <w:color w:val="auto"/>
              </w:rPr>
            </w:pPr>
            <w:r>
              <w:rPr>
                <w:rFonts w:ascii="Arial" w:cs="Arial" w:eastAsia="Arial" w:hAnsi="Arial"/>
                <w:sz w:val="18"/>
                <w:szCs w:val="18"/>
                <w:b w:val="1"/>
                <w:bCs w:val="1"/>
                <w:color w:val="auto"/>
                <w:w w:val="91"/>
              </w:rPr>
              <w:t>Commission File Number: 0-14338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right"/>
              <w:ind w:right="254"/>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409"/>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center"/>
              <w:ind w:left="679"/>
              <w:spacing w:after="0"/>
              <w:rPr>
                <w:sz w:val="20"/>
                <w:szCs w:val="20"/>
                <w:color w:val="auto"/>
              </w:rPr>
            </w:pPr>
            <w:r>
              <w:rPr>
                <w:rFonts w:ascii="Arial" w:cs="Arial" w:eastAsia="Arial" w:hAnsi="Arial"/>
                <w:sz w:val="32"/>
                <w:szCs w:val="32"/>
                <w:b w:val="1"/>
                <w:bCs w:val="1"/>
                <w:color w:val="auto"/>
              </w:rPr>
              <w:t>AUTODESK, INC.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6"/>
        </w:trPr>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320" w:type="dxa"/>
            <w:vAlign w:val="bottom"/>
            <w:gridSpan w:val="6"/>
          </w:tcPr>
          <w:p>
            <w:pPr>
              <w:jc w:val="center"/>
              <w:ind w:right="18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404"/>
        </w:trPr>
        <w:tc>
          <w:tcPr>
            <w:tcW w:w="1800" w:type="dxa"/>
            <w:vAlign w:val="bottom"/>
          </w:tcPr>
          <w:p>
            <w:pPr>
              <w:spacing w:after="0"/>
              <w:rPr>
                <w:sz w:val="24"/>
                <w:szCs w:val="24"/>
                <w:color w:val="auto"/>
              </w:rPr>
            </w:pPr>
          </w:p>
        </w:tc>
        <w:tc>
          <w:tcPr>
            <w:tcW w:w="5020" w:type="dxa"/>
            <w:vAlign w:val="bottom"/>
            <w:gridSpan w:val="3"/>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2160" w:type="dxa"/>
            <w:vAlign w:val="bottom"/>
            <w:gridSpan w:val="3"/>
          </w:tcPr>
          <w:p>
            <w:pPr>
              <w:jc w:val="right"/>
              <w:ind w:right="244"/>
              <w:spacing w:after="0"/>
              <w:rPr>
                <w:sz w:val="20"/>
                <w:szCs w:val="20"/>
                <w:color w:val="auto"/>
              </w:rPr>
            </w:pPr>
            <w:r>
              <w:rPr>
                <w:rFonts w:ascii="Arial" w:cs="Arial" w:eastAsia="Arial" w:hAnsi="Arial"/>
                <w:sz w:val="18"/>
                <w:szCs w:val="18"/>
                <w:b w:val="1"/>
                <w:bCs w:val="1"/>
                <w:color w:val="auto"/>
              </w:rPr>
              <w:t>94-2819853</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0"/>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4"/>
              </w:rPr>
              <w:t>(State or other jurisdiction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3"/>
              </w:rPr>
              <w:t>of incorporation or organization)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111 McInnis Parkway,</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San Rafael, California</w:t>
            </w:r>
          </w:p>
        </w:tc>
        <w:tc>
          <w:tcPr>
            <w:tcW w:w="2160" w:type="dxa"/>
            <w:vAlign w:val="bottom"/>
            <w:gridSpan w:val="3"/>
          </w:tcPr>
          <w:p>
            <w:pPr>
              <w:jc w:val="right"/>
              <w:ind w:right="444"/>
              <w:spacing w:after="0"/>
              <w:rPr>
                <w:sz w:val="20"/>
                <w:szCs w:val="20"/>
                <w:color w:val="auto"/>
              </w:rPr>
            </w:pPr>
            <w:r>
              <w:rPr>
                <w:rFonts w:ascii="Arial" w:cs="Arial" w:eastAsia="Arial" w:hAnsi="Arial"/>
                <w:sz w:val="18"/>
                <w:szCs w:val="18"/>
                <w:b w:val="1"/>
                <w:bCs w:val="1"/>
                <w:color w:val="auto"/>
              </w:rPr>
              <w:t>94903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1"/>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0" w:type="dxa"/>
            <w:vAlign w:val="bottom"/>
            <w:gridSpan w:val="7"/>
          </w:tcPr>
          <w:p>
            <w:pPr>
              <w:jc w:val="center"/>
              <w:ind w:right="1380"/>
              <w:spacing w:after="0"/>
              <w:rPr>
                <w:sz w:val="20"/>
                <w:szCs w:val="20"/>
                <w:color w:val="auto"/>
              </w:rPr>
            </w:pPr>
            <w:r>
              <w:rPr>
                <w:rFonts w:ascii="Arial" w:cs="Arial" w:eastAsia="Arial" w:hAnsi="Arial"/>
                <w:sz w:val="18"/>
                <w:szCs w:val="18"/>
                <w:b w:val="1"/>
                <w:bCs w:val="1"/>
                <w:color w:val="auto"/>
                <w:w w:val="89"/>
              </w:rPr>
              <w:t>Registrant’s telephone number, including area code: (415) 507-5000</w:t>
            </w: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8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w w:val="88"/>
              </w:rPr>
              <w:t>_____________________________________________________________</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38"/>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20" w:type="dxa"/>
            <w:vAlign w:val="bottom"/>
            <w:gridSpan w:val="6"/>
          </w:tcPr>
          <w:p>
            <w:pPr>
              <w:jc w:val="center"/>
              <w:ind w:right="18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3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6"/>
              </w:rPr>
              <w:t>Name of each exchange</w:t>
            </w:r>
          </w:p>
        </w:tc>
      </w:tr>
      <w:tr>
        <w:trPr>
          <w:trHeight w:val="196"/>
        </w:trPr>
        <w:tc>
          <w:tcPr>
            <w:tcW w:w="1800" w:type="dxa"/>
            <w:vAlign w:val="bottom"/>
          </w:tcPr>
          <w:p>
            <w:pPr>
              <w:spacing w:after="0"/>
              <w:rPr>
                <w:sz w:val="17"/>
                <w:szCs w:val="17"/>
                <w:color w:val="auto"/>
              </w:rPr>
            </w:pPr>
          </w:p>
        </w:tc>
        <w:tc>
          <w:tcPr>
            <w:tcW w:w="5020" w:type="dxa"/>
            <w:vAlign w:val="bottom"/>
            <w:gridSpan w:val="3"/>
          </w:tcPr>
          <w:p>
            <w:pPr>
              <w:jc w:val="center"/>
              <w:ind w:right="3579"/>
              <w:spacing w:after="0" w:line="196" w:lineRule="exact"/>
              <w:rPr>
                <w:sz w:val="20"/>
                <w:szCs w:val="20"/>
                <w:color w:val="auto"/>
              </w:rPr>
            </w:pPr>
            <w:r>
              <w:rPr>
                <w:rFonts w:ascii="Arial" w:cs="Arial" w:eastAsia="Arial" w:hAnsi="Arial"/>
                <w:sz w:val="18"/>
                <w:szCs w:val="18"/>
                <w:b w:val="1"/>
                <w:bCs w:val="1"/>
                <w:color w:val="auto"/>
                <w:w w:val="86"/>
              </w:rPr>
              <w:t>Title of each class</w:t>
            </w: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on which registered</w:t>
            </w:r>
          </w:p>
        </w:tc>
        <w:tc>
          <w:tcPr>
            <w:tcW w:w="340" w:type="dxa"/>
            <w:vAlign w:val="bottom"/>
          </w:tcPr>
          <w:p>
            <w:pPr>
              <w:spacing w:after="0"/>
              <w:rPr>
                <w:sz w:val="17"/>
                <w:szCs w:val="17"/>
                <w:color w:val="auto"/>
              </w:rPr>
            </w:pPr>
          </w:p>
        </w:tc>
      </w:tr>
      <w:tr>
        <w:trPr>
          <w:trHeight w:val="20"/>
        </w:trPr>
        <w:tc>
          <w:tcPr>
            <w:tcW w:w="180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2"/>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Common Stock, $0.01 Par Value</w:t>
            </w:r>
          </w:p>
        </w:tc>
        <w:tc>
          <w:tcPr>
            <w:tcW w:w="2640" w:type="dxa"/>
            <w:vAlign w:val="bottom"/>
            <w:gridSpan w:val="5"/>
          </w:tcPr>
          <w:p>
            <w:pPr>
              <w:jc w:val="center"/>
              <w:ind w:left="114"/>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640" w:type="dxa"/>
            <w:vAlign w:val="bottom"/>
            <w:gridSpan w:val="5"/>
          </w:tcPr>
          <w:p>
            <w:pPr>
              <w:jc w:val="center"/>
              <w:ind w:left="94"/>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56"/>
        </w:trPr>
        <w:tc>
          <w:tcPr>
            <w:tcW w:w="1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0" w:type="dxa"/>
            <w:vAlign w:val="bottom"/>
            <w:gridSpan w:val="7"/>
          </w:tcPr>
          <w:p>
            <w:pPr>
              <w:jc w:val="center"/>
              <w:ind w:right="136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center"/>
              <w:ind w:left="652"/>
              <w:spacing w:after="0" w:line="109" w:lineRule="exact"/>
              <w:rPr>
                <w:sz w:val="20"/>
                <w:szCs w:val="20"/>
                <w:color w:val="auto"/>
              </w:rPr>
            </w:pPr>
            <w:r>
              <w:rPr>
                <w:rFonts w:ascii="Arial" w:cs="Arial" w:eastAsia="Arial" w:hAnsi="Arial"/>
                <w:sz w:val="11"/>
                <w:szCs w:val="11"/>
                <w:b w:val="1"/>
                <w:bCs w:val="1"/>
                <w:color w:val="auto"/>
                <w:w w:val="87"/>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77"/>
        </w:trPr>
        <w:tc>
          <w:tcPr>
            <w:tcW w:w="682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2640" w:type="dxa"/>
            <w:vAlign w:val="bottom"/>
            <w:gridSpan w:val="5"/>
          </w:tcPr>
          <w:p>
            <w:pPr>
              <w:ind w:left="60"/>
              <w:spacing w:after="0" w:line="161" w:lineRule="exact"/>
              <w:rPr>
                <w:sz w:val="20"/>
                <w:szCs w:val="20"/>
                <w:color w:val="auto"/>
              </w:rPr>
            </w:pPr>
            <w:r>
              <w:rPr>
                <w:rFonts w:ascii="Arial" w:cs="Arial" w:eastAsia="Arial" w:hAnsi="Arial"/>
                <w:sz w:val="14"/>
                <w:szCs w:val="14"/>
                <w:color w:val="auto"/>
              </w:rPr>
              <w:t xml:space="preserve">Yes x  No </w:t>
            </w:r>
            <w:r>
              <w:rPr>
                <w:rFonts w:ascii="MS PGothic" w:cs="MS PGothic" w:eastAsia="MS PGothic" w:hAnsi="MS PGothic"/>
                <w:sz w:val="14"/>
                <w:szCs w:val="14"/>
                <w:color w:val="auto"/>
              </w:rPr>
              <w:t>☐</w:t>
            </w:r>
          </w:p>
        </w:tc>
      </w:tr>
    </w:tbl>
    <w:p>
      <w:pPr>
        <w:ind w:left="340"/>
        <w:spacing w:after="0" w:line="162"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whether the registrant (1) has filed all reports required to be filed by Section 13 or 15(d) of the Exchange Act during the preceding 12 months (or for such shorter period</w:t>
      </w:r>
    </w:p>
    <w:p>
      <w:pPr>
        <w:spacing w:after="0" w:line="161" w:lineRule="exact"/>
        <w:tabs>
          <w:tab w:leader="none" w:pos="7320" w:val="left"/>
          <w:tab w:leader="none" w:pos="7800" w:val="left"/>
          <w:tab w:leader="none" w:pos="8120" w:val="left"/>
        </w:tabs>
        <w:rPr>
          <w:sz w:val="20"/>
          <w:szCs w:val="20"/>
          <w:color w:val="auto"/>
        </w:rPr>
      </w:pPr>
      <w:r>
        <w:rPr>
          <w:rFonts w:ascii="Arial" w:cs="Arial" w:eastAsia="Arial" w:hAnsi="Arial"/>
          <w:sz w:val="13"/>
          <w:szCs w:val="13"/>
          <w:color w:val="auto"/>
        </w:rPr>
        <w:t>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Yes x</w:t>
        <w:tab/>
        <w:t>No</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ind w:right="44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17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p>
      <w:pPr>
        <w:ind w:left="640"/>
        <w:spacing w:after="0"/>
        <w:tabs>
          <w:tab w:leader="none" w:pos="2240" w:val="left"/>
          <w:tab w:leader="none" w:pos="4100" w:val="left"/>
          <w:tab w:leader="none" w:pos="6180" w:val="left"/>
          <w:tab w:leader="none" w:pos="8720" w:val="left"/>
        </w:tabs>
        <w:rPr>
          <w:sz w:val="20"/>
          <w:szCs w:val="20"/>
          <w:color w:val="auto"/>
        </w:rPr>
      </w:pPr>
      <w:r>
        <w:rPr>
          <w:rFonts w:ascii="Arial" w:cs="Arial" w:eastAsia="Arial" w:hAnsi="Arial"/>
          <w:sz w:val="14"/>
          <w:szCs w:val="14"/>
          <w:color w:val="auto"/>
        </w:rPr>
        <w:t>Large accelerated filer x</w:t>
        <w:tab/>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21" w:lineRule="exact"/>
        <w:rPr>
          <w:sz w:val="24"/>
          <w:szCs w:val="24"/>
          <w:color w:val="auto"/>
        </w:rPr>
      </w:pPr>
    </w:p>
    <w:p>
      <w:pPr>
        <w:ind w:right="420" w:firstLine="324"/>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7020" w:val="left"/>
          <w:tab w:leader="none" w:pos="7380" w:val="left"/>
          <w:tab w:leader="none" w:pos="7680" w:val="left"/>
        </w:tabs>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 x</w:t>
      </w:r>
    </w:p>
    <w:p>
      <w:pPr>
        <w:spacing w:after="0" w:line="6" w:lineRule="exact"/>
        <w:rPr>
          <w:sz w:val="24"/>
          <w:szCs w:val="24"/>
          <w:color w:val="auto"/>
        </w:rPr>
      </w:pPr>
    </w:p>
    <w:p>
      <w:pPr>
        <w:ind w:firstLine="324"/>
        <w:spacing w:after="0" w:line="241" w:lineRule="auto"/>
        <w:rPr>
          <w:sz w:val="20"/>
          <w:szCs w:val="20"/>
          <w:color w:val="auto"/>
        </w:rPr>
      </w:pPr>
      <w:r>
        <w:rPr>
          <w:rFonts w:ascii="Arial" w:cs="Arial" w:eastAsia="Arial" w:hAnsi="Arial"/>
          <w:sz w:val="14"/>
          <w:szCs w:val="14"/>
          <w:color w:val="auto"/>
        </w:rPr>
        <w:t>As of July 31, 2018, the last business day of the registrant’s most recently completed second fiscal quarter, there were approximately 218.9 million shares of the registrant’s common stock outstanding that were held by non-affiliates, and the aggregate market value of such shares held by non-affiliates of the registrant (based on the closing sale price of such shares on the Nasdaq Global Select Market on July 31, 2018) was approximately $28.1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15, 2019, the registrant had outstanding 219,535,216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6248400</wp:posOffset>
            </wp:positionH>
            <wp:positionV relativeFrom="paragraph">
              <wp:posOffset>262255</wp:posOffset>
            </wp:positionV>
            <wp:extent cx="100330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10080"/>
        <w:spacing w:after="0"/>
        <w:rPr>
          <w:sz w:val="20"/>
          <w:szCs w:val="20"/>
          <w:color w:val="auto"/>
        </w:rPr>
      </w:pPr>
      <w:r>
        <w:rPr>
          <w:rFonts w:ascii="Arial" w:cs="Arial" w:eastAsia="Arial" w:hAnsi="Arial"/>
          <w:sz w:val="16"/>
          <w:szCs w:val="16"/>
          <w:i w:val="1"/>
          <w:iCs w:val="1"/>
          <w:color w:val="auto"/>
        </w:rPr>
        <w:t>2019 Form 10-K 1</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10-K to the extent stated herein.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3357880</wp:posOffset>
            </wp:positionV>
            <wp:extent cx="100330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2</w:t>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rPr>
              <w:t>AUTODESK, INC. FORM 10-K</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gridSpan w:val="5"/>
          </w:tcPr>
          <w:p>
            <w:pPr>
              <w:spacing w:after="0" w:line="189"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80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860" w:type="dxa"/>
            <w:vAlign w:val="bottom"/>
            <w:gridSpan w:val="19"/>
          </w:tcPr>
          <w:p>
            <w:pPr>
              <w:spacing w:after="0"/>
              <w:rPr>
                <w:sz w:val="24"/>
                <w:szCs w:val="24"/>
                <w:color w:val="auto"/>
              </w:rPr>
            </w:pPr>
          </w:p>
        </w:tc>
        <w:tc>
          <w:tcPr>
            <w:tcW w:w="13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50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850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6460" w:type="dxa"/>
            <w:vAlign w:val="bottom"/>
            <w:gridSpan w:val="11"/>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Legal Proceedings</w:t>
              </w:r>
            </w:hyperlink>
          </w:p>
        </w:tc>
        <w:tc>
          <w:tcPr>
            <w:tcW w:w="7160" w:type="dxa"/>
            <w:vAlign w:val="bottom"/>
            <w:gridSpan w:val="16"/>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5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37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PART II</w:t>
              </w:r>
            </w:hyperlink>
          </w:p>
        </w:tc>
        <w:tc>
          <w:tcPr>
            <w:tcW w:w="7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9"/>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Market for Registrant’s Common Equity, Related Stockholder Matters and Issuer Purchases of Equity Securities</w:t>
              </w:r>
            </w:hyperlink>
          </w:p>
        </w:tc>
        <w:tc>
          <w:tcPr>
            <w:tcW w:w="420" w:type="dxa"/>
            <w:vAlign w:val="bottom"/>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420" w:type="dxa"/>
            <w:vAlign w:val="bottom"/>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040" w:type="dxa"/>
            <w:vAlign w:val="bottom"/>
            <w:gridSpan w:val="4"/>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2040" w:type="dxa"/>
            <w:vAlign w:val="bottom"/>
            <w:gridSpan w:val="4"/>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4140" w:type="dxa"/>
            <w:vAlign w:val="bottom"/>
            <w:gridSpan w:val="6"/>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Changes in and Disagreements With Accountants on Accounting and Financial Disclosure</w:t>
              </w:r>
            </w:hyperlink>
          </w:p>
        </w:tc>
        <w:tc>
          <w:tcPr>
            <w:tcW w:w="1980" w:type="dxa"/>
            <w:vAlign w:val="bottom"/>
            <w:gridSpan w:val="3"/>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850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Controls and Procedures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09">
              <w:r>
                <w:rPr>
                  <w:rFonts w:ascii="Arial" w:cs="Arial" w:eastAsia="Arial" w:hAnsi="Arial"/>
                  <w:sz w:val="18"/>
                  <w:szCs w:val="18"/>
                  <w:color w:val="0000EE"/>
                </w:rPr>
                <w:t>109</w:t>
              </w:r>
            </w:hyperlink>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6740" w:type="dxa"/>
            <w:vAlign w:val="bottom"/>
            <w:gridSpan w:val="13"/>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Pr>
          <w:p>
            <w:pPr>
              <w:spacing w:after="0"/>
              <w:rPr>
                <w:sz w:val="24"/>
                <w:szCs w:val="24"/>
                <w:color w:val="auto"/>
              </w:rPr>
            </w:pPr>
          </w:p>
        </w:tc>
      </w:tr>
      <w:tr>
        <w:trPr>
          <w:trHeight w:val="37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Directors, Executive Officers and Corporate Governance</w:t>
              </w:r>
            </w:hyperlink>
          </w:p>
        </w:tc>
        <w:tc>
          <w:tcPr>
            <w:tcW w:w="4400" w:type="dxa"/>
            <w:vAlign w:val="bottom"/>
            <w:gridSpan w:val="7"/>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r>
      <w:tr>
        <w:trPr>
          <w:trHeight w:val="20"/>
        </w:trPr>
        <w:tc>
          <w:tcPr>
            <w:tcW w:w="7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Executive Compensation</w:t>
              </w:r>
            </w:hyperlink>
          </w:p>
        </w:tc>
        <w:tc>
          <w:tcPr>
            <w:tcW w:w="4400" w:type="dxa"/>
            <w:vAlign w:val="bottom"/>
            <w:gridSpan w:val="7"/>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r>
      <w:tr>
        <w:trPr>
          <w:trHeight w:val="20"/>
        </w:trPr>
        <w:tc>
          <w:tcPr>
            <w:tcW w:w="7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8"/>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Security Ownership of Certain Beneficial Owners and Management and Related Stockholder Matters</w:t>
              </w:r>
            </w:hyperlink>
          </w:p>
        </w:tc>
        <w:tc>
          <w:tcPr>
            <w:tcW w:w="1200" w:type="dxa"/>
            <w:vAlign w:val="bottom"/>
            <w:gridSpan w:val="2"/>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r>
      <w:tr>
        <w:trPr>
          <w:trHeight w:val="20"/>
        </w:trPr>
        <w:tc>
          <w:tcPr>
            <w:tcW w:w="7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5"/>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4"/>
                <w:szCs w:val="24"/>
                <w:color w:val="auto"/>
              </w:rPr>
            </w:pPr>
          </w:p>
        </w:tc>
        <w:tc>
          <w:tcPr>
            <w:tcW w:w="1200" w:type="dxa"/>
            <w:vAlign w:val="bottom"/>
            <w:gridSpan w:val="2"/>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r>
      <w:tr>
        <w:trPr>
          <w:trHeight w:val="20"/>
        </w:trPr>
        <w:tc>
          <w:tcPr>
            <w:tcW w:w="7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5"/>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Principal Accounting Fees and Services</w:t>
              </w:r>
            </w:hyperlink>
          </w:p>
        </w:tc>
        <w:tc>
          <w:tcPr>
            <w:tcW w:w="3040" w:type="dxa"/>
            <w:vAlign w:val="bottom"/>
            <w:gridSpan w:val="5"/>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r>
      <w:tr>
        <w:trPr>
          <w:trHeight w:val="37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12">
              <w:r>
                <w:rPr>
                  <w:rFonts w:ascii="Arial" w:cs="Arial" w:eastAsia="Arial" w:hAnsi="Arial"/>
                  <w:sz w:val="18"/>
                  <w:szCs w:val="18"/>
                  <w:b w:val="1"/>
                  <w:bCs w:val="1"/>
                  <w:color w:val="0000EE"/>
                  <w:w w:val="98"/>
                </w:rPr>
                <w:t>PART IV</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Exhibits and Financial Statement Schedules</w:t>
              </w:r>
            </w:hyperlink>
          </w:p>
        </w:tc>
        <w:tc>
          <w:tcPr>
            <w:tcW w:w="5340" w:type="dxa"/>
            <w:vAlign w:val="bottom"/>
            <w:gridSpan w:val="9"/>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r>
      <w:tr>
        <w:trPr>
          <w:trHeight w:val="20"/>
        </w:trPr>
        <w:tc>
          <w:tcPr>
            <w:tcW w:w="1380" w:type="dxa"/>
            <w:vAlign w:val="bottom"/>
            <w:gridSpan w:val="5"/>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Form 10-K Summary</w:t>
              </w:r>
            </w:hyperlink>
          </w:p>
        </w:tc>
        <w:tc>
          <w:tcPr>
            <w:tcW w:w="5340" w:type="dxa"/>
            <w:vAlign w:val="bottom"/>
            <w:gridSpan w:val="9"/>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6960" w:type="dxa"/>
            <w:vAlign w:val="bottom"/>
            <w:gridSpan w:val="15"/>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2"/>
          </w:tcPr>
          <w:p>
            <w:pPr>
              <w:spacing w:after="0"/>
              <w:rPr>
                <w:rFonts w:ascii="Arial" w:cs="Arial" w:eastAsia="Arial" w:hAnsi="Arial"/>
                <w:sz w:val="18"/>
                <w:szCs w:val="18"/>
                <w:color w:val="0000EE"/>
                <w:w w:val="78"/>
              </w:rPr>
            </w:pPr>
            <w:hyperlink w:anchor="page113">
              <w:r>
                <w:rPr>
                  <w:rFonts w:ascii="Arial" w:cs="Arial" w:eastAsia="Arial" w:hAnsi="Arial"/>
                  <w:sz w:val="18"/>
                  <w:szCs w:val="18"/>
                  <w:color w:val="0000EE"/>
                  <w:w w:val="78"/>
                </w:rPr>
                <w:t>Signatures</w:t>
              </w:r>
            </w:hyperlink>
          </w:p>
        </w:tc>
        <w:tc>
          <w:tcPr>
            <w:tcW w:w="820" w:type="dxa"/>
            <w:vAlign w:val="bottom"/>
            <w:gridSpan w:val="3"/>
          </w:tcPr>
          <w:p>
            <w:pPr>
              <w:spacing w:after="0"/>
              <w:rPr>
                <w:sz w:val="24"/>
                <w:szCs w:val="24"/>
                <w:color w:val="auto"/>
              </w:rPr>
            </w:pPr>
          </w:p>
        </w:tc>
        <w:tc>
          <w:tcPr>
            <w:tcW w:w="6960" w:type="dxa"/>
            <w:vAlign w:val="bottom"/>
            <w:gridSpan w:val="15"/>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3">
              <w:r>
                <w:rPr>
                  <w:rFonts w:ascii="Arial" w:cs="Arial" w:eastAsia="Arial" w:hAnsi="Arial"/>
                  <w:sz w:val="18"/>
                  <w:szCs w:val="18"/>
                  <w:color w:val="0000EE"/>
                </w:rPr>
                <w:t>113</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188595</wp:posOffset>
            </wp:positionV>
            <wp:extent cx="100330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29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future financial results ( by product type and geography) and subscriptions, the effectiveness of our efforts to successfully manage transitions to new markets, expectations for and our ability to increase annualized recurring revenue, cash flow, our subscription base, and other financial and operational metrics, the impact of past and planned acquisitions and investment activities, expected market trends, including the growth of cloud and mobile computing, the effect of unemployment, the availability of credit, the effects of global economic conditions, the effects of revenue recognition, the effects of newly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businesses and sales initiatives, and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00330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4</w:t>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w:t>
      </w:r>
      <w:r>
        <w:rPr>
          <w:sz w:val="20"/>
          <w:szCs w:val="20"/>
          <w:color w:val="auto"/>
        </w:rPr>
        <w:tab/>
      </w:r>
      <w:r>
        <w:rPr>
          <w:rFonts w:ascii="Arial" w:cs="Arial" w:eastAsia="Arial" w:hAnsi="Arial"/>
          <w:sz w:val="17"/>
          <w:szCs w:val="17"/>
          <w:b w:val="1"/>
          <w:bCs w:val="1"/>
          <w:color w:val="0696D7"/>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We are a global leader in 3D design, engineering and entertainment software and services, offering customers productive business solutions through powerful technology products and services. We serve customers in the architecture, engineering and construction; product design and manufacturing; and digital media and entertainment industries. Our customers are able to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communicate plans, and collaborate with others. Our professional software products are sold globally, both directly to customers and through a network of resellers and distributors.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Segments</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report segment information based on the “management” approach. The management approach designates the internal reporting used by management for making decisions, allocating resources and assessing performance as the source of our reportable segments. The Company's chief operating decision maker ("CODM") allocates resources and assesses the operating performance of the Company as a whole. As such, Autodesk has one segment manager (the CODM), and one operating segment.</w:t>
      </w:r>
    </w:p>
    <w:p>
      <w:pPr>
        <w:spacing w:after="0" w:line="18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 summary of our revenue by geographic area and product family is found in Note 2, “Revenue Recognition,” in the 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Corporate Information</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website at www.autodesk.com as soon as reasonably practicable after we electronically file such material with, or furnish it to, the SEC. The public may also read and copy any material we file with the SEC at the SEC's Public Reference Room at 100 F Street N.E. Washington, D.C. 20549. The public may obtain information on the operation of the Public Reference Room by calling the SEC at 1 (800) SEC-0330.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Our architecture, engineering and construction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and accuracy through process automation. Our digital media and entertainment products provide tools for digital sculpting, modeling, animation, effects, rendering, and compositing for design visualization, visual effects and games production. Our portfolio of products and services enables our customers to foster innovation, optimize and improve their designs, save time and money, improve quality, communicate plans, and collaborate with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269875</wp:posOffset>
            </wp:positionV>
            <wp:extent cx="100330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Autodesk’s product offerings, sold through a subscription, include:</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AutoCAD software is a customizable and extensible CAD application for professional design, drafting, detailing, and visualization. AutoCAD software provides digital tools that can be used independently and in conjunction with other specific applications in fields ranging from construction and civil engineering to manufacturing and plant design.</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Civil 3D</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AutoCAD Civil 3D solution provides a surveying, design, analysis, and documentation solution for civil engineering, including land development, transportation, and environmental projects. Using a model-centric approach that automatically updates documentation as design changes are made, AutoCAD Civil 3D enables civil engineers, designers, drafters, and surveyors to significantly boost productivity and deliver higher-quality designs and construction documentation faster. With AutoCAD Civil 3D, the entire project team works from the same consistent, up-to-date model so they stay coordinated throughout all project phases.</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LT</w:t>
      </w:r>
    </w:p>
    <w:p>
      <w:pPr>
        <w:spacing w:after="0" w:line="22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 AutoCAD LT software is our second largest revenue-generating product.</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0696D7"/>
        </w:rPr>
      </w:pPr>
      <w:r>
        <w:rPr>
          <w:rFonts w:ascii="Arial" w:cs="Arial" w:eastAsia="Arial" w:hAnsi="Arial"/>
          <w:sz w:val="18"/>
          <w:szCs w:val="18"/>
          <w:i w:val="1"/>
          <w:iCs w:val="1"/>
          <w:color w:val="0696D7"/>
        </w:rPr>
        <w:t>BIM 360</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BIM 360 construction management cloud-based software enables almost anytime, anywhere access to project data throughout the building construction lifecycle. BIM 360 empowers those in the field to better anticipate and act, and those in the back office to optimize and manage all aspects of construction performance.</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0696D7"/>
        </w:rPr>
      </w:pPr>
      <w:r>
        <w:rPr>
          <w:rFonts w:ascii="Arial" w:cs="Arial" w:eastAsia="Arial" w:hAnsi="Arial"/>
          <w:sz w:val="18"/>
          <w:szCs w:val="18"/>
          <w:i w:val="1"/>
          <w:iCs w:val="1"/>
          <w:color w:val="0696D7"/>
        </w:rPr>
        <w:t>CAM Solutions</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Our computer-aided manufacturing ("CAM") software offers industry-leading solutions for Computer Numeric Control ("CNC") machining, inspection, and modeling for manufacturing. A comprehensive line-up of expert products, including PowerMill, FeatureCAM, PowerInspect, PowerShare, and others, help our customers manufacture complex, innovative products and components with maximum quality, control, and production efficiency.</w:t>
      </w:r>
    </w:p>
    <w:p>
      <w:pPr>
        <w:spacing w:after="0" w:line="1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0696D7"/>
        </w:rPr>
      </w:pPr>
      <w:r>
        <w:rPr>
          <w:rFonts w:ascii="Arial" w:cs="Arial" w:eastAsia="Arial" w:hAnsi="Arial"/>
          <w:sz w:val="18"/>
          <w:szCs w:val="18"/>
          <w:i w:val="1"/>
          <w:iCs w:val="1"/>
          <w:color w:val="0696D7"/>
        </w:rPr>
        <w:t>Fusion 360</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Fusion 360 is the first 3D CAD, CAM, and Computer-aided Engineering ("CAE") tool of its kind. It connects the entire product development process on a single cloud-based platform.</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0696D7"/>
        </w:rPr>
      </w:pPr>
      <w:r>
        <w:rPr>
          <w:rFonts w:ascii="Arial" w:cs="Arial" w:eastAsia="Arial" w:hAnsi="Arial"/>
          <w:sz w:val="18"/>
          <w:szCs w:val="18"/>
          <w:i w:val="1"/>
          <w:iCs w:val="1"/>
          <w:color w:val="0696D7"/>
        </w:rPr>
        <w:t>Industry Collections</w:t>
      </w:r>
    </w:p>
    <w:p>
      <w:pPr>
        <w:spacing w:after="0" w:line="225"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Autodesk's Industry Collections provide our customers with increased access to a broader selection of Autodesk solutions, greater value, more flexibility, and a simpler way to subscribe and manage Autodesk subscriptions. The collections are tailored to provide the essential software needed by professionals within each industry: Architecture, Engineering and Construction ("AEC"), Product Design &amp; Manufacturing, and Media &amp; Entertainment ("M&amp;E").</w:t>
      </w:r>
    </w:p>
    <w:p>
      <w:pPr>
        <w:spacing w:after="0" w:line="18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AEC Collection, including AutoCAD, AutoCAD Civil3D, and Revit, aims to help our customers design, engineer, and construct higher quality, more predictable building and civil infrastructure projects, commonly used by AEC industry experts.</w:t>
      </w:r>
    </w:p>
    <w:p>
      <w:pPr>
        <w:spacing w:after="0" w:line="170"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Product Design &amp; Manufacturing Collection offers connected, professional-grade tools that help our customers make great products today and compete in the changing manufacturing landscape of the future. The collection offers access to a wide range of our products, including AutoCAD and Inventor.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00330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M&amp;E Collection provides end-to-end creative tools for entertainment creation. This collection enables animators, modelers and visual effect artists to access the tools they need, including Maya and 3ds Max, to create compelling effects, 3D characters and digital worlds.</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0696D7"/>
        </w:rPr>
      </w:pPr>
      <w:r>
        <w:rPr>
          <w:rFonts w:ascii="Arial" w:cs="Arial" w:eastAsia="Arial" w:hAnsi="Arial"/>
          <w:sz w:val="18"/>
          <w:szCs w:val="18"/>
          <w:i w:val="1"/>
          <w:iCs w:val="1"/>
          <w:color w:val="0696D7"/>
        </w:rPr>
        <w:t>Inventor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Inventor enables manufacturers to go beyond 3D design to digital prototyping by giving engineers a comprehensive and flexible set of tools for 3D mechanical design, simulation, analysis, tooling, visualization, and documentation.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18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0696D7"/>
        </w:rPr>
      </w:pPr>
      <w:r>
        <w:rPr>
          <w:rFonts w:ascii="Arial" w:cs="Arial" w:eastAsia="Arial" w:hAnsi="Arial"/>
          <w:sz w:val="18"/>
          <w:szCs w:val="18"/>
          <w:i w:val="1"/>
          <w:iCs w:val="1"/>
          <w:color w:val="0696D7"/>
        </w:rPr>
        <w:t>Maya</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 length animated feature films.</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0696D7"/>
        </w:rPr>
      </w:pPr>
      <w:r>
        <w:rPr>
          <w:rFonts w:ascii="Arial" w:cs="Arial" w:eastAsia="Arial" w:hAnsi="Arial"/>
          <w:sz w:val="18"/>
          <w:szCs w:val="18"/>
          <w:i w:val="1"/>
          <w:iCs w:val="1"/>
          <w:color w:val="0696D7"/>
        </w:rPr>
        <w:t>PlanGrid</w:t>
      </w:r>
    </w:p>
    <w:p>
      <w:pPr>
        <w:spacing w:after="0" w:line="2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PlanGrid cloud-based field collaboration software provides general contractors, subcontractors, owners and architects access to construction information in real-time. With PlanGrid technology, any construction team member can manage and update blueprints, specs, photos, requests for information (RFIs), field reports, punchlists and other critical jobsite data. The data collected within PlanGrid software acts as a digital trail during the building process, allowing for easy turnover to the owner for operations and maintenance after construction is complete. PlanGrid mobile-first technology is accessible on modern desktop, laptop or mobile devices, including native iOS, Android and Windows.</w:t>
      </w:r>
    </w:p>
    <w:p>
      <w:pPr>
        <w:spacing w:after="0" w:line="17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0696D7"/>
        </w:rPr>
      </w:pPr>
      <w:r>
        <w:rPr>
          <w:rFonts w:ascii="Arial" w:cs="Arial" w:eastAsia="Arial" w:hAnsi="Arial"/>
          <w:sz w:val="18"/>
          <w:szCs w:val="18"/>
          <w:i w:val="1"/>
          <w:iCs w:val="1"/>
          <w:color w:val="0696D7"/>
        </w:rPr>
        <w:t>Revit</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Revit software is built for Building Information Modeling ("BIM") to help professionals design, build, and maintain higher-quality, more energy-efficient buildings. Using the information-rich models created with Revit, architects, engineers, and construction firms can collaborate to make better-informed decisions earlier in the design process to deliver projects with greater efficiency. Revit includes features for architectural, mechanical, electrical and plumbing design as well as structural engineering and construction, providing a comprehensive solution for the entire building project team.</w:t>
      </w:r>
    </w:p>
    <w:p>
      <w:pPr>
        <w:spacing w:after="0" w:line="1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0696D7"/>
        </w:rPr>
      </w:pPr>
      <w:r>
        <w:rPr>
          <w:rFonts w:ascii="Arial" w:cs="Arial" w:eastAsia="Arial" w:hAnsi="Arial"/>
          <w:sz w:val="18"/>
          <w:szCs w:val="18"/>
          <w:i w:val="1"/>
          <w:iCs w:val="1"/>
          <w:color w:val="0696D7"/>
        </w:rPr>
        <w:t>Shotgun</w:t>
      </w:r>
    </w:p>
    <w:p>
      <w:pPr>
        <w:spacing w:after="0" w:line="225"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Shotgun is cloud-based software for review and production tracking in the M&amp;E industry. Creative companies use the Shotgun platform to provide essential business tools for managers and visual collaboration tools for artists and supervisors, who often work globally with distributed teams.</w:t>
      </w:r>
    </w:p>
    <w:p>
      <w:pPr>
        <w:spacing w:after="0" w:line="12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i w:val="1"/>
          <w:iCs w:val="1"/>
          <w:color w:val="0696D7"/>
        </w:rPr>
      </w:pPr>
      <w:r>
        <w:rPr>
          <w:rFonts w:ascii="Arial" w:cs="Arial" w:eastAsia="Arial" w:hAnsi="Arial"/>
          <w:sz w:val="18"/>
          <w:szCs w:val="18"/>
          <w:i w:val="1"/>
          <w:iCs w:val="1"/>
          <w:color w:val="0696D7"/>
        </w:rPr>
        <w:t>3ds Max</w:t>
      </w:r>
    </w:p>
    <w:p>
      <w:pPr>
        <w:spacing w:after="0" w:line="22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29"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The technology industry is characterized by rapid technological change in computer hardware, operating systems, and software. In addition, our customers’ requirements and preferences rapidly evolve, as do their expectations of the performance of our software and services. To keep pace with these changes, we maintain a vigorous program of new product development to address demands in the marketplace for our products.</w:t>
      </w:r>
    </w:p>
    <w:p>
      <w:pPr>
        <w:spacing w:after="0" w:line="166"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The software industry has undergone a transition from developing and selling perpetual licenses and on-premises products to cloud, mobile and social applications. To address this shift, Autodesk made a strategic decision to shift its business model from selling perpetual licenses to selling subscriptions. We discontinued the sale of new commercial licenses of most individual software products in 2016. Additionally, in June 2017, we commenced a program to incentivize maintenance plan customers to move to subscription plan offerings, maintenance-to-subscription ("M2S"), while at the same time increasing maintenance plan pricing over time for customers that remain on maintenance plans. Since launching the program, over 794,000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126365</wp:posOffset>
            </wp:positionV>
            <wp:extent cx="100330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plan customers have converted to subscription plan offerings. Autodesk seeks to convert the remaining 796,100 maintenance plan customers to subscription through this program. Subscription plan offerings are designed to give our customers increased flexibility with how they use our products and service offerings and to attract a broader range of customers such as project-based users and small businesses. Subscriptions represent a combined hybrid offering of desktop software and cloud functionality which provides a device-independent, collaborative design workflow for designers and their stakeholders.</w:t>
      </w:r>
    </w:p>
    <w:p>
      <w:pPr>
        <w:spacing w:after="0" w:line="154"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We dedicate considerable technical and financial resources to research and development to further enhance our existing products and to create new solutions and technologies to expand our market opportunity. For example, in fiscal 2019, we continued and expanded our investments in construction. We continued to make investments in the traditional data creation tools to support the design and pre-construction phases, while expanding our investment in the areas of site execution with process and project management cloud-based tools. Recognizing the value of data continuity across the construction lifecycle of design, building and operations, we made investments in the pre-construction and site execution phases of the project through our cloud-based tools. To connect the phases of construction upstream with design, we invested in and announced our cloud-based project delivery platform that allows individuals, teams and projects to be connected across all phases in a common data platform. We anticipate ongoing investments in construction that support pre-construction, site execution as well as the handover phase of the project and will continue to invest in connecting workflows and data across the ecosystem of the project.</w:t>
      </w:r>
    </w:p>
    <w:p>
      <w:pPr>
        <w:spacing w:after="0" w:line="19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Research and development expenditures were $725.0 million or 28% of fiscal 2019 net revenue, $755.5 million or 37% of fiscal 2018 net revenue and $766.1 million or 38% of fiscal 2017 net revenue.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8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Canada, and the United Kingdom. However, we employ experienced software developers in many of our other locations. Translation and localization of our products are performed in a number of local markets, principally Singapore and Ireland. We generally localize and translate our products into German, French, Italian, Spanish, Russian, Japanese, Korean, and simplified and traditional Chinese.</w:t>
      </w:r>
    </w:p>
    <w:p>
      <w:pPr>
        <w:spacing w:after="0" w:line="187" w:lineRule="exact"/>
        <w:rPr>
          <w:sz w:val="20"/>
          <w:szCs w:val="20"/>
          <w:color w:val="auto"/>
        </w:rPr>
      </w:pPr>
    </w:p>
    <w:p>
      <w:pPr>
        <w:jc w:val="both"/>
        <w:ind w:right="380" w:firstLine="432"/>
        <w:spacing w:after="0" w:line="259" w:lineRule="auto"/>
        <w:rPr>
          <w:sz w:val="20"/>
          <w:szCs w:val="20"/>
          <w:color w:val="auto"/>
        </w:rPr>
      </w:pPr>
      <w:r>
        <w:rPr>
          <w:rFonts w:ascii="Arial" w:cs="Arial" w:eastAsia="Arial" w:hAnsi="Arial"/>
          <w:sz w:val="18"/>
          <w:szCs w:val="18"/>
          <w:color w:val="auto"/>
        </w:rPr>
        <w:t>We plan to continue managing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We sell our products and services globally, primarily through indirect channels consisting of distributors and resellers. To a lesser extent we also transact directly with our enterprise and named account customers and with customers through our online Autodesk branded store. Our indirect channel model includes both a two-tiered distribution structure, where distributors sell to resellers, and a one-tiered structure, where Autodesk sells directly to resellers. We have a network of approximately 1,300 resellers and distributors worldwide. For fiscal 2019, approximately 71% of our revenue was derived from indirect channel sales through distributors and resellers.</w:t>
      </w:r>
    </w:p>
    <w:p>
      <w:pPr>
        <w:spacing w:after="0" w:line="18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anticipate that our channel mix will continue to change, particularly as we scale our online Autodesk branded store business and our largest accounts shift towards direct-only business models. Importantly, we expect that the majority of our revenue will continue to be derived from indirect channel sales in the near future. We employ a variety of incentive programs and promotions to align our reseller channel with our business strategies. 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193"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Sales through our largest distributor, Tech Data Corporation and its global affiliates, accounted for 35%, 31%, and 30% of our net revenue for fiscal years ended January 31, 2019, 2018, and 2017, respectively. We believe our business is not substantially dependent on Tech Data. Our customers through Tech Data are the resellers and end users who purchase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00330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products.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No other distributor, reseller, or direct customer accounted for 10% or more of our revenue.</w:t>
      </w:r>
    </w:p>
    <w:p>
      <w:pPr>
        <w:spacing w:after="0" w:line="14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2019 net revenue in the Americas, EMEA, and APAC was $1,049.9 million (41%), $1,034.3 million (40%), and $485.6 million (19%), respectively.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A summary of our financial information by geographic location is found in Note 2, “Revenue Recognition,” in the Notes to Consolidated Financial Statements. Our international operations and sales subject us to a variety of risks; see Item 1A, “Risk Factors,” for further discussion.</w:t>
      </w:r>
    </w:p>
    <w:p>
      <w:pPr>
        <w:spacing w:after="0" w:line="166"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sponsorships, advertising in business and trade journals, and social media. We have a worldwide user group organization and we have created online user communities dedicated to the exchange of information related to the use of our products and services.</w:t>
      </w:r>
    </w:p>
    <w:p>
      <w:pPr>
        <w:spacing w:after="0" w:line="17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generate revenue primarily through various offerings that provide recurring revenue. Under our subscription plan, customers can use our software anytime, anywhere, and get access to the latest updates to previous versions through term-based product subscriptions, cloud service offerings, and enterprise business agreements. With the discontinuation of the sale of perpetual licenses, we have transitioned away from selling a mix of perpetual licenses and maintenance plans in favor of a consolidated subscription model. However, our customers who have previously purchased a perpetual use license for the most recent version of the underlying product are able to renew a previously purchased maintenance plan that provides them with unspecified upgrades when and if available, and receive online support during the term of their maintenance contract.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2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provide technical support and training to customers through a multi-tiered support model, augmented by direct programs designed to address certain specific customer needs. Most of our customers receive support and training from the resellers and distributors from which they purchased subscriptions or licenses for our products or services, with Autodesk in turn providing second tier support to the resellers and distributors. Other customers are supported directly via self-service using the Autodesk Knowledge Network which guides customers to answers in our online support assets, support forums, webinars or to support representatives using a number of different modalities such as social media, phone, email and webchat. We also support our resellers and distributors through technical product training, sales training classes, webinars and other knowledge sharing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SUSTAINABILITY, AND PHILANTHROPIC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Education</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Autodesk is committed to helping fuel a lifelong passion for design and making among students of all ages, both within and outside the classroom. We offer free educational licenses of Autodesk's professional software to students, educators, and accredited educational institutions worldwide. We inspire and support beginners with Tinkercad, a simple online 3D design and 3D printing tool. Through Autodesk Design Academy, we provide secondary and postsecondary schools hundreds of standards-aligned class projects to support design-based disciplines in Science, Technology, Engineering, Digital Arts, and Math (STEAM) using Autodesk's professional-grade design, engineering and entertainment software. Autodesk Design Academy curricula is also syndicated on iTunes U and Udemy, where millions of students go to learn online. Classes and projects are available on our Instructables website for anyone looking to expand their "making" skills. Our intention is to make Autodesk software ubiquitous and the design and making software of choice for those poised to become the next generation of professional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276860</wp:posOffset>
            </wp:positionV>
            <wp:extent cx="100330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Sustainability Programs</w:t>
      </w:r>
    </w:p>
    <w:p>
      <w:pPr>
        <w:spacing w:after="0" w:line="225"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To help our customers imagine, design, and make a better world, our sustainability initiatives focus our efforts on the areas where we can have the greatest positive impact: enabling sustainable practices through our products, delivering free sustainable-design learning and training resources, providing software grants to qualifying nonprofits and entrepreneurs, and leading by example with our sustainable business practices. Through our products and services, we are supporting our customers to better understand and improve the environmental performance of everything they make.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Climate Change</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hand-in-hand with our values and reputation in the marketplace.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Management Actions</w:t>
      </w:r>
    </w:p>
    <w:p>
      <w:pPr>
        <w:spacing w:after="0" w:line="225" w:lineRule="exact"/>
        <w:rPr>
          <w:sz w:val="20"/>
          <w:szCs w:val="20"/>
          <w:color w:val="auto"/>
        </w:rPr>
      </w:pPr>
    </w:p>
    <w:p>
      <w:pPr>
        <w:jc w:val="both"/>
        <w:ind w:right="40" w:firstLine="405"/>
        <w:spacing w:after="0" w:line="302" w:lineRule="auto"/>
        <w:rPr>
          <w:sz w:val="20"/>
          <w:szCs w:val="20"/>
          <w:color w:val="auto"/>
        </w:rPr>
      </w:pPr>
      <w:r>
        <w:rPr>
          <w:rFonts w:ascii="Arial" w:cs="Arial" w:eastAsia="Arial" w:hAnsi="Arial"/>
          <w:sz w:val="16"/>
          <w:szCs w:val="16"/>
          <w:color w:val="auto"/>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provide software and support to early stage entrepreneurs and start-up companies who are designing clean technologies. We plan to expand these offerings in the future based upon demand and opportunity in response to challenges posed by climate change.</w:t>
      </w:r>
    </w:p>
    <w:p>
      <w:pPr>
        <w:spacing w:after="0" w:line="15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Internally, we are investing in best practices to mitigate our greenhouse gas emissions and climate change risk through investments in renewable energy, energy efficiency, disaster management and recovery strategies, and materials innovation. We are on track to meet our science-based greenhouse gas reduction target of 43% absolute emissions by 2020.</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Governance</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With oversight from our CEO, the Sustainability &amp; Foundation Team has direct responsibility for setting and implementing our corporate sustainability strategy, including our climate change strategy.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Emissions Performance &amp; Other Key Performance Indicators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By end of fiscal 2018, Autodesk had reduced its net greenhouse gas emissions for its operational boundary by 38% from our fiscal year 2009 baseline to 187,000 metric tons of carbon dioxide equivalent. This reduction was accomplished through increased investment in renewable energy and energy efficiency in our global real estate portfolio, and continued transition from physical software delivery to cloud and electronic software delivery. More information about our sustainability commitment can be found in our annual sustainability reports, which we have published on our website since 2008. Our fiscal 2019 sustainability report will be published in the second quarter of fiscal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Philanthropy</w:t>
      </w:r>
    </w:p>
    <w:p>
      <w:pPr>
        <w:spacing w:after="0" w:line="22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and/or donations to nonprofit organizations; and to support organizations and individuals using design to drive positive social and environmental impact. In the latter case, we use grant funding, software donations, and training to accomplish this goal, selecting the most impactful and innovative organizations around the world, thus, leading to a better future for our planet.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2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Our business and our customers benefit from our relationships with an extensive developer network. These developers create and sell their own interoperable products that further enhance the range of integrated solutions available to our customers. One of our key strategies is to maintain an open-architecture design of our software products to facilitate third-party development of complementary products and industry-specific software solutions. This approach enables customers and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00330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created our web services platform, Autodesk Forge. The Forge Platform includes a number of web services that enable software developers to rapidly develop the next generation of applications, and experiences that will power the future of making things. Forge facilitates the development of a single connected ecosystem for integrating Autodesk applications with other enterprise, web and mobile solutions.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markets for our products are highly competitive, are subject to rapid change, and can have complex interdependencies between many of the larger businesses.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competitors include large, global, publicly traded companies; small, geographically focused firms; startup firms; and solutions produced in-house by their users. Our primary global competitors include Adobe Systems Incorporated, ANSYS, Inc., Apple Inc., AVEVA Group plc, Avid Technology, Inc., Bentley Systems, Inc., Dassault Systèmes S.A. and its subsidiary Dassault Systèmes SolidWorks Corp., Intergraph Corporation, a wholly owned subsidiary of Hexagon AB, MSC Software Corporation, Nemetschek AG, Oracle Corporation, Procore Technologies, Inc., PTC Inc., 3D Systems Corporation, Siemens PLM, SONY Corporation, Technicolor S.A., and Trimble Navigation Limited, among others.</w:t>
      </w:r>
    </w:p>
    <w:p>
      <w:pPr>
        <w:spacing w:after="0" w:line="173"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67" w:lineRule="exact"/>
        <w:rPr>
          <w:sz w:val="20"/>
          <w:szCs w:val="20"/>
          <w:color w:val="auto"/>
        </w:rPr>
      </w:pPr>
    </w:p>
    <w:p>
      <w:pPr>
        <w:jc w:val="both"/>
        <w:ind w:right="520" w:firstLine="432"/>
        <w:spacing w:after="0" w:line="312" w:lineRule="auto"/>
        <w:rPr>
          <w:sz w:val="20"/>
          <w:szCs w:val="20"/>
          <w:color w:val="auto"/>
        </w:rPr>
      </w:pPr>
      <w:r>
        <w:rPr>
          <w:rFonts w:ascii="Arial" w:cs="Arial" w:eastAsia="Arial" w:hAnsi="Arial"/>
          <w:sz w:val="16"/>
          <w:szCs w:val="16"/>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2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w:t>
      </w:r>
    </w:p>
    <w:p>
      <w:pPr>
        <w:spacing w:after="0" w:line="15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8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278765</wp:posOffset>
            </wp:positionV>
            <wp:extent cx="100330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We retain ownership of software we develop. Our combined hybrid offerings include both desktop software and cloud functionality.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1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18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While we have recovered some revenue resulting from the unauthorized use of our software solutions, we are unable to measure the full extent to which piracy of our software products exists. We believe, however, that software piracy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pirated.</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production of our software products and services involves duplication or hosting of software media. The way that we deliver software has evolved during our business model transition. For certain cloud-based products, we use a combination of co-located hosting facilities and increasingly Amazon Web Services and to a lesser degree other infrastructure-as-a-service providers. We offer customers an electronic software download option for both initial product fulfillment and subsequent product updates. Customers who choose electronic fulfillment receive the latest version of the software from our vendor’s secure servers. Customers may also obtain our software through media such as DVDs and USB flash drives available from multiple sources. The purchase of media and the transfer of the software programs onto media for distribution to customers are performed by us and by licensed subcontractors. Packaging materials are produced to our specifications by outside sources. Production is performed in leased facilities operated by independent third-party contractors. To date, we have not experienced any material difficulties or delays in the production of our software and documentation.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As of January 31, 2019, we employed approximately 9,600 people. None of our employees in the United States are represented by a labor union. In certain foreign countries, our employees are represented by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which could negatively impact our business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00330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Over the past three years, we acquired new technology or supplemented our existing technology by purchasing businesses or technology related assets focused in specific markets or industries. For the fiscal years ended January 31, 2019, 2018, and 2017, we acquired companies all of which were accounted for as business combinations. The following were significant acquisitions for fiscal years 2019, 2018, and 2017:</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Date of closing</w:t>
            </w:r>
          </w:p>
        </w:tc>
        <w:tc>
          <w:tcPr>
            <w:tcW w:w="2100" w:type="dxa"/>
            <w:vAlign w:val="bottom"/>
            <w:gridSpan w:val="3"/>
          </w:tcPr>
          <w:p>
            <w:pPr>
              <w:jc w:val="center"/>
              <w:ind w:left="2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88"/>
              </w:rPr>
              <w:t>January 2019</w:t>
            </w:r>
          </w:p>
        </w:tc>
        <w:tc>
          <w:tcPr>
            <w:tcW w:w="400" w:type="dxa"/>
            <w:vAlign w:val="bottom"/>
            <w:vMerge w:val="restart"/>
          </w:tcPr>
          <w:p>
            <w:pPr>
              <w:spacing w:after="0"/>
              <w:rPr>
                <w:sz w:val="20"/>
                <w:szCs w:val="20"/>
                <w:color w:val="auto"/>
              </w:rPr>
            </w:pPr>
          </w:p>
        </w:tc>
        <w:tc>
          <w:tcPr>
            <w:tcW w:w="2100" w:type="dxa"/>
            <w:vAlign w:val="bottom"/>
            <w:gridSpan w:val="3"/>
          </w:tcPr>
          <w:p>
            <w:pPr>
              <w:jc w:val="center"/>
              <w:ind w:left="240"/>
              <w:spacing w:after="0"/>
              <w:rPr>
                <w:sz w:val="20"/>
                <w:szCs w:val="20"/>
                <w:color w:val="auto"/>
              </w:rPr>
            </w:pPr>
            <w:r>
              <w:rPr>
                <w:rFonts w:ascii="Arial" w:cs="Arial" w:eastAsia="Arial" w:hAnsi="Arial"/>
                <w:sz w:val="16"/>
                <w:szCs w:val="16"/>
                <w:color w:val="auto"/>
                <w:w w:val="93"/>
              </w:rPr>
              <w:t>BuildingConnected, Inc.</w:t>
            </w: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2100" w:type="dxa"/>
            <w:vAlign w:val="bottom"/>
            <w:gridSpan w:val="3"/>
            <w:vMerge w:val="restart"/>
          </w:tcPr>
          <w:p>
            <w:pPr>
              <w:jc w:val="center"/>
              <w:ind w:left="240"/>
              <w:spacing w:after="0"/>
              <w:rPr>
                <w:sz w:val="20"/>
                <w:szCs w:val="20"/>
                <w:color w:val="auto"/>
              </w:rPr>
            </w:pPr>
            <w:r>
              <w:rPr>
                <w:rFonts w:ascii="Arial" w:cs="Arial" w:eastAsia="Arial" w:hAnsi="Arial"/>
                <w:sz w:val="16"/>
                <w:szCs w:val="16"/>
                <w:color w:val="auto"/>
                <w:w w:val="95"/>
              </w:rPr>
              <w:t>("BuildingConnected")</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60" w:type="dxa"/>
            <w:vAlign w:val="bottom"/>
            <w:gridSpan w:val="3"/>
          </w:tcPr>
          <w:p>
            <w:pPr>
              <w:jc w:val="center"/>
              <w:ind w:right="340"/>
              <w:spacing w:after="0"/>
              <w:rPr>
                <w:sz w:val="20"/>
                <w:szCs w:val="20"/>
                <w:color w:val="auto"/>
              </w:rPr>
            </w:pPr>
            <w:r>
              <w:rPr>
                <w:rFonts w:ascii="Arial" w:cs="Arial" w:eastAsia="Arial" w:hAnsi="Arial"/>
                <w:sz w:val="16"/>
                <w:szCs w:val="16"/>
                <w:color w:val="auto"/>
                <w:w w:val="89"/>
              </w:rPr>
              <w:t>December 2018</w:t>
            </w:r>
          </w:p>
        </w:tc>
        <w:tc>
          <w:tcPr>
            <w:tcW w:w="2100" w:type="dxa"/>
            <w:vAlign w:val="bottom"/>
            <w:gridSpan w:val="3"/>
          </w:tcPr>
          <w:p>
            <w:pPr>
              <w:jc w:val="center"/>
              <w:ind w:left="240"/>
              <w:spacing w:after="0"/>
              <w:rPr>
                <w:sz w:val="20"/>
                <w:szCs w:val="20"/>
                <w:color w:val="auto"/>
              </w:rPr>
            </w:pPr>
            <w:r>
              <w:rPr>
                <w:rFonts w:ascii="Arial" w:cs="Arial" w:eastAsia="Arial" w:hAnsi="Arial"/>
                <w:sz w:val="16"/>
                <w:szCs w:val="16"/>
                <w:color w:val="auto"/>
                <w:w w:val="95"/>
              </w:rPr>
              <w:t>PlanGrid, Inc. ("PlanGrid")</w:t>
            </w: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6"/>
                <w:szCs w:val="16"/>
                <w:color w:val="auto"/>
                <w:w w:val="90"/>
              </w:rPr>
              <w:t>July 2018</w:t>
            </w:r>
          </w:p>
        </w:tc>
        <w:tc>
          <w:tcPr>
            <w:tcW w:w="2100" w:type="dxa"/>
            <w:vAlign w:val="bottom"/>
            <w:gridSpan w:val="3"/>
          </w:tcPr>
          <w:p>
            <w:pPr>
              <w:jc w:val="center"/>
              <w:ind w:left="240"/>
              <w:spacing w:after="0"/>
              <w:rPr>
                <w:sz w:val="20"/>
                <w:szCs w:val="20"/>
                <w:color w:val="auto"/>
              </w:rPr>
            </w:pPr>
            <w:r>
              <w:rPr>
                <w:rFonts w:ascii="Arial" w:cs="Arial" w:eastAsia="Arial" w:hAnsi="Arial"/>
                <w:sz w:val="16"/>
                <w:szCs w:val="16"/>
                <w:color w:val="auto"/>
                <w:w w:val="90"/>
              </w:rPr>
              <w:t>Assemble Systems, Inc.</w:t>
            </w: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100" w:type="dxa"/>
            <w:vAlign w:val="bottom"/>
            <w:gridSpan w:val="3"/>
            <w:vMerge w:val="restart"/>
          </w:tcPr>
          <w:p>
            <w:pPr>
              <w:jc w:val="center"/>
              <w:ind w:left="240"/>
              <w:spacing w:after="0"/>
              <w:rPr>
                <w:sz w:val="20"/>
                <w:szCs w:val="20"/>
                <w:color w:val="auto"/>
              </w:rPr>
            </w:pPr>
            <w:r>
              <w:rPr>
                <w:rFonts w:ascii="Arial" w:cs="Arial" w:eastAsia="Arial" w:hAnsi="Arial"/>
                <w:sz w:val="16"/>
                <w:szCs w:val="16"/>
                <w:color w:val="auto"/>
                <w:w w:val="92"/>
              </w:rPr>
              <w:t>("Assemble Systems")</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23495</wp:posOffset>
            </wp:positionV>
            <wp:extent cx="72466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4"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acquisition of BuildingConnected will enable Autodesk to add bid-management capabilities to its construction portfolio.</w:t>
      </w:r>
    </w:p>
    <w:p>
      <w:pPr>
        <w:spacing w:after="0" w:line="1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acquisition of PlanGrid will enable Autodesk to offer a more comprehensive, cloud-based construction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-3810</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right="200"/>
        <w:spacing w:after="0" w:line="329" w:lineRule="auto"/>
        <w:rPr>
          <w:sz w:val="20"/>
          <w:szCs w:val="20"/>
          <w:color w:val="auto"/>
        </w:rPr>
      </w:pPr>
      <w:r>
        <w:rPr>
          <w:rFonts w:ascii="Arial" w:cs="Arial" w:eastAsia="Arial" w:hAnsi="Arial"/>
          <w:sz w:val="15"/>
          <w:szCs w:val="15"/>
          <w:color w:val="auto"/>
        </w:rPr>
        <w:t>The acquisition of Assemble Systems will enable Autodesk's customers to influence, query and connect BIM data to key workflows across bid management, estimating, scheduling, site management and finance.</w:t>
      </w:r>
    </w:p>
    <w:p>
      <w:pPr>
        <w:spacing w:after="0" w:line="167" w:lineRule="exact"/>
        <w:rPr>
          <w:sz w:val="20"/>
          <w:szCs w:val="20"/>
          <w:color w:val="auto"/>
        </w:rPr>
      </w:pPr>
    </w:p>
    <w:p>
      <w:pPr>
        <w:sectPr>
          <w:pgSz w:w="11900" w:h="16838" w:orient="portrait"/>
          <w:cols w:equalWidth="0" w:num="2">
            <w:col w:w="3800" w:space="360"/>
            <w:col w:w="726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i w:val="1"/>
          <w:iCs w:val="1"/>
          <w:color w:val="auto"/>
        </w:rPr>
        <w:t>Annualized Recurring Revenue (ARR)—</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54"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Annualized Revenue Per Subscription (ARPS)—</w:t>
      </w:r>
      <w:r>
        <w:rPr>
          <w:rFonts w:ascii="Arial" w:cs="Arial" w:eastAsia="Arial" w:hAnsi="Arial"/>
          <w:sz w:val="17"/>
          <w:szCs w:val="17"/>
          <w:color w:val="auto"/>
        </w:rPr>
        <w:t>Is calculated by dividing our annualized recurring revenue by the total number of subscriptions.</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Represents total revenue plus net change in deferred revenue from the beginning to the end of the period.</w:t>
      </w:r>
    </w:p>
    <w:p>
      <w:pPr>
        <w:spacing w:after="0" w:line="225" w:lineRule="exact"/>
        <w:rPr>
          <w:sz w:val="20"/>
          <w:szCs w:val="20"/>
          <w:color w:val="auto"/>
        </w:rPr>
      </w:pPr>
    </w:p>
    <w:p>
      <w:pPr>
        <w:ind w:right="32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8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Core Business</w:t>
      </w:r>
      <w:r>
        <w:rPr>
          <w:rFonts w:ascii="Arial" w:cs="Arial" w:eastAsia="Arial" w:hAnsi="Arial"/>
          <w:sz w:val="18"/>
          <w:szCs w:val="18"/>
          <w:b w:val="1"/>
          <w:bCs w:val="1"/>
          <w:color w:val="auto"/>
        </w:rPr>
        <w:t>—</w:t>
      </w:r>
      <w:r>
        <w:rPr>
          <w:rFonts w:ascii="Arial" w:cs="Arial" w:eastAsia="Arial" w:hAnsi="Arial"/>
          <w:sz w:val="18"/>
          <w:szCs w:val="18"/>
          <w:color w:val="auto"/>
        </w:rPr>
        <w:t>Represents the combination of maintenance, product, and EBA.</w:t>
      </w:r>
    </w:p>
    <w:p>
      <w:pPr>
        <w:spacing w:after="0" w:line="225" w:lineRule="exact"/>
        <w:rPr>
          <w:sz w:val="20"/>
          <w:szCs w:val="20"/>
          <w:color w:val="auto"/>
        </w:rPr>
      </w:pPr>
    </w:p>
    <w:p>
      <w:pPr>
        <w:ind w:right="60" w:firstLine="405"/>
        <w:spacing w:after="0" w:line="282" w:lineRule="auto"/>
        <w:rPr>
          <w:sz w:val="20"/>
          <w:szCs w:val="20"/>
          <w:color w:val="auto"/>
        </w:rPr>
      </w:pPr>
      <w:r>
        <w:rPr>
          <w:rFonts w:ascii="Arial" w:cs="Arial" w:eastAsia="Arial" w:hAnsi="Arial"/>
          <w:sz w:val="18"/>
          <w:szCs w:val="18"/>
          <w:i w:val="1"/>
          <w:iCs w:val="1"/>
          <w:color w:val="auto"/>
        </w:rPr>
        <w:t>Enterprise Business Agreements (EBAs)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seats to a broad pool of Autodesk products over a defined contract term.</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Free Cash Flow</w:t>
      </w:r>
      <w:r>
        <w:rPr>
          <w:rFonts w:ascii="Arial" w:cs="Arial" w:eastAsia="Arial" w:hAnsi="Arial"/>
          <w:sz w:val="18"/>
          <w:szCs w:val="18"/>
          <w:b w:val="1"/>
          <w:bCs w:val="1"/>
          <w:color w:val="auto"/>
        </w:rPr>
        <w:t>—</w:t>
      </w:r>
      <w:r>
        <w:rPr>
          <w:rFonts w:ascii="Arial" w:cs="Arial" w:eastAsia="Arial" w:hAnsi="Arial"/>
          <w:sz w:val="18"/>
          <w:szCs w:val="18"/>
          <w:color w:val="auto"/>
        </w:rPr>
        <w:t>Represents cash flow from operating activities minus capital expenditures.</w:t>
      </w:r>
    </w:p>
    <w:p>
      <w:pPr>
        <w:spacing w:after="0" w:line="2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i w:val="1"/>
          <w:iCs w:val="1"/>
          <w:color w:val="auto"/>
        </w:rPr>
        <w:t>Industry Collections</w:t>
      </w:r>
      <w:r>
        <w:rPr>
          <w:rFonts w:ascii="Arial" w:cs="Arial" w:eastAsia="Arial" w:hAnsi="Arial"/>
          <w:sz w:val="16"/>
          <w:szCs w:val="16"/>
          <w:color w:val="auto"/>
        </w:rPr>
        <w:t>—Autodesk Industry Collections are a combination of products and services that target a specific user objective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Industry Collections consist of: Autodesk Architecture, Engineering and Construction Collection, Autodesk Product Design</w:t>
      </w:r>
    </w:p>
    <w:p>
      <w:pPr>
        <w:ind w:right="100" w:firstLine="8"/>
        <w:spacing w:after="0" w:line="261" w:lineRule="auto"/>
        <w:tabs>
          <w:tab w:leader="none" w:pos="1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Collection, and Autodesk Media and Entertainment Collection. We introduced Industry Collections effective August 1, 2016 to replace our suites.</w:t>
      </w:r>
    </w:p>
    <w:p>
      <w:pPr>
        <w:spacing w:after="0" w:line="180" w:lineRule="exact"/>
        <w:rPr>
          <w:sz w:val="20"/>
          <w:szCs w:val="20"/>
          <w:color w:val="auto"/>
        </w:rPr>
      </w:pPr>
    </w:p>
    <w:p>
      <w:pPr>
        <w:ind w:right="420" w:firstLine="405"/>
        <w:spacing w:after="0" w:line="347" w:lineRule="auto"/>
        <w:rPr>
          <w:sz w:val="20"/>
          <w:szCs w:val="20"/>
          <w:color w:val="auto"/>
        </w:rPr>
      </w:pPr>
      <w:r>
        <w:rPr>
          <w:rFonts w:ascii="Arial" w:cs="Arial" w:eastAsia="Arial" w:hAnsi="Arial"/>
          <w:sz w:val="16"/>
          <w:szCs w:val="16"/>
          <w:i w:val="1"/>
          <w:iCs w:val="1"/>
          <w:color w:val="auto"/>
        </w:rPr>
        <w:t>Other Revenue</w:t>
      </w:r>
      <w:r>
        <w:rPr>
          <w:rFonts w:ascii="Arial" w:cs="Arial" w:eastAsia="Arial" w:hAnsi="Arial"/>
          <w:sz w:val="16"/>
          <w:szCs w:val="16"/>
          <w:b w:val="1"/>
          <w:bCs w:val="1"/>
          <w:color w:val="auto"/>
        </w:rPr>
        <w:t>—</w:t>
      </w:r>
      <w:r>
        <w:rPr>
          <w:rFonts w:ascii="Arial" w:cs="Arial" w:eastAsia="Arial" w:hAnsi="Arial"/>
          <w:sz w:val="16"/>
          <w:szCs w:val="16"/>
          <w:color w:val="auto"/>
        </w:rPr>
        <w:t>Consists of revenue from consulting, training and other services, and is recognized over time as the services are performed.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also includes software license revenue from the sale of products which do not incorporate substantial cloud services and is recognized up front.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102870</wp:posOffset>
            </wp:positionV>
            <wp:extent cx="100330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00" w:firstLine="405"/>
        <w:spacing w:after="0" w:line="314" w:lineRule="auto"/>
        <w:rPr>
          <w:sz w:val="20"/>
          <w:szCs w:val="20"/>
          <w:color w:val="auto"/>
        </w:rPr>
      </w:pPr>
      <w:r>
        <w:rPr>
          <w:rFonts w:ascii="Arial" w:cs="Arial" w:eastAsia="Arial" w:hAnsi="Arial"/>
          <w:sz w:val="16"/>
          <w:szCs w:val="16"/>
          <w:i w:val="1"/>
          <w:iCs w:val="1"/>
          <w:color w:val="auto"/>
        </w:rPr>
        <w:t>Subscription Plan</w:t>
      </w:r>
      <w:r>
        <w:rPr>
          <w:rFonts w:ascii="Arial" w:cs="Arial" w:eastAsia="Arial" w:hAnsi="Arial"/>
          <w:sz w:val="16"/>
          <w:szCs w:val="16"/>
          <w:b w:val="1"/>
          <w:bCs w:val="1"/>
          <w:color w:val="auto"/>
        </w:rPr>
        <w:t>—</w:t>
      </w:r>
      <w:r>
        <w:rPr>
          <w:rFonts w:ascii="Arial" w:cs="Arial" w:eastAsia="Arial" w:hAnsi="Arial"/>
          <w:sz w:val="16"/>
          <w:szCs w:val="16"/>
          <w:color w:val="auto"/>
        </w:rPr>
        <w:t>Comprises our term-based product subscriptions, cloud service offerings, and EBAs. Subscriptions represent a combined hybrid</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4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Maintenance Plan</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80" w:lineRule="exact"/>
        <w:rPr>
          <w:sz w:val="20"/>
          <w:szCs w:val="20"/>
          <w:color w:val="auto"/>
        </w:rPr>
      </w:pPr>
    </w:p>
    <w:p>
      <w:pPr>
        <w:ind w:right="120" w:firstLine="405"/>
        <w:spacing w:after="0" w:line="266" w:lineRule="auto"/>
        <w:rPr>
          <w:sz w:val="20"/>
          <w:szCs w:val="20"/>
          <w:color w:val="auto"/>
        </w:rPr>
      </w:pPr>
      <w:r>
        <w:rPr>
          <w:rFonts w:ascii="Arial" w:cs="Arial" w:eastAsia="Arial" w:hAnsi="Arial"/>
          <w:sz w:val="18"/>
          <w:szCs w:val="18"/>
          <w:i w:val="1"/>
          <w:iCs w:val="1"/>
          <w:color w:val="auto"/>
        </w:rPr>
        <w:t>Product Subscription</w:t>
      </w:r>
      <w:r>
        <w:rPr>
          <w:rFonts w:ascii="Arial" w:cs="Arial" w:eastAsia="Arial" w:hAnsi="Arial"/>
          <w:sz w:val="18"/>
          <w:szCs w:val="18"/>
          <w:b w:val="1"/>
          <w:bCs w:val="1"/>
          <w:color w:val="auto"/>
        </w:rPr>
        <w:t>—</w:t>
      </w:r>
      <w:r>
        <w:rPr>
          <w:rFonts w:ascii="Arial" w:cs="Arial" w:eastAsia="Arial" w:hAnsi="Arial"/>
          <w:sz w:val="18"/>
          <w:szCs w:val="18"/>
          <w:color w:val="auto"/>
        </w:rPr>
        <w:t>Provides customers the most flexible, cost-effective way to access and manage 3D design, engineering,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tools. Our product subscriptions currently represent a hybrid of desktop and SaaS functionality, which provides a device-independent, collaborative design workflow for designers and their stakeholders.</w:t>
      </w:r>
    </w:p>
    <w:p>
      <w:pPr>
        <w:spacing w:after="0" w:line="176"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Subscription Revenue</w:t>
      </w:r>
      <w:r>
        <w:rPr>
          <w:rFonts w:ascii="Arial" w:cs="Arial" w:eastAsia="Arial" w:hAnsi="Arial"/>
          <w:sz w:val="18"/>
          <w:szCs w:val="18"/>
          <w:b w:val="1"/>
          <w:bCs w:val="1"/>
          <w:color w:val="auto"/>
        </w:rPr>
        <w:t>—</w:t>
      </w:r>
      <w:r>
        <w:rPr>
          <w:rFonts w:ascii="Arial" w:cs="Arial" w:eastAsia="Arial" w:hAnsi="Arial"/>
          <w:sz w:val="18"/>
          <w:szCs w:val="18"/>
          <w:color w:val="auto"/>
        </w:rPr>
        <w:t>Includes subscription fees from product subscriptions, cloud service offerings, and EBAs.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Total Deferred Revenue</w:t>
      </w:r>
      <w:r>
        <w:rPr>
          <w:rFonts w:ascii="Arial" w:cs="Arial" w:eastAsia="Arial" w:hAnsi="Arial"/>
          <w:sz w:val="18"/>
          <w:szCs w:val="18"/>
          <w:b w:val="1"/>
          <w:bCs w:val="1"/>
          <w:color w:val="auto"/>
        </w:rPr>
        <w:t>—</w:t>
      </w:r>
      <w:r>
        <w:rPr>
          <w:rFonts w:ascii="Arial" w:cs="Arial" w:eastAsia="Arial" w:hAnsi="Arial"/>
          <w:sz w:val="21"/>
          <w:szCs w:val="21"/>
          <w:color w:val="auto"/>
        </w:rPr>
        <w:t>Is calculated by adding together total short term, long term, and unbilled deferred revenue.</w:t>
      </w:r>
    </w:p>
    <w:p>
      <w:pPr>
        <w:spacing w:after="0" w:line="238"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Total Subscriptions</w:t>
      </w:r>
      <w:r>
        <w:rPr>
          <w:rFonts w:ascii="Arial" w:cs="Arial" w:eastAsia="Arial" w:hAnsi="Arial"/>
          <w:sz w:val="17"/>
          <w:szCs w:val="17"/>
          <w:color w:val="auto"/>
        </w:rPr>
        <w:t>—Consists of subscriptions from our maintenance plans and subscription plan offerings that are active and paid as of the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 date. For certain cloud service offerings and EBAs, subscriptions represent the monthly average activity reported within the last three months of the fiscal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69" w:lineRule="exact"/>
        <w:rPr>
          <w:sz w:val="20"/>
          <w:szCs w:val="20"/>
          <w:color w:val="auto"/>
        </w:rPr>
      </w:pPr>
    </w:p>
    <w:p>
      <w:pPr>
        <w:ind w:right="120" w:firstLine="405"/>
        <w:spacing w:after="0" w:line="314" w:lineRule="auto"/>
        <w:rPr>
          <w:sz w:val="20"/>
          <w:szCs w:val="20"/>
          <w:color w:val="auto"/>
        </w:rPr>
      </w:pPr>
      <w:r>
        <w:rPr>
          <w:rFonts w:ascii="Arial" w:cs="Arial" w:eastAsia="Arial" w:hAnsi="Arial"/>
          <w:sz w:val="16"/>
          <w:szCs w:val="16"/>
          <w:i w:val="1"/>
          <w:iCs w:val="1"/>
          <w:color w:val="auto"/>
        </w:rPr>
        <w:t>Unbilled Deferred Revenue</w:t>
      </w:r>
      <w:r>
        <w:rPr>
          <w:rFonts w:ascii="Arial" w:cs="Arial" w:eastAsia="Arial" w:hAnsi="Arial"/>
          <w:sz w:val="16"/>
          <w:szCs w:val="16"/>
          <w:b w:val="1"/>
          <w:bCs w:val="1"/>
          <w:color w:val="auto"/>
        </w:rPr>
        <w:t>—</w:t>
      </w:r>
      <w:r>
        <w:rPr>
          <w:rFonts w:ascii="Arial" w:cs="Arial" w:eastAsia="Arial" w:hAnsi="Arial"/>
          <w:sz w:val="16"/>
          <w:szCs w:val="16"/>
          <w:color w:val="auto"/>
        </w:rPr>
        <w:t>Unbilled deferred revenue represents contractually stated or committed orders under early renewal and multi-year billing</w:t>
      </w:r>
      <w:r>
        <w:rPr>
          <w:rFonts w:ascii="Arial" w:cs="Arial" w:eastAsia="Arial" w:hAnsi="Arial"/>
          <w:sz w:val="16"/>
          <w:szCs w:val="16"/>
          <w:i w:val="1"/>
          <w:iCs w:val="1"/>
          <w:color w:val="auto"/>
        </w:rPr>
        <w:t xml:space="preserve"> </w:t>
      </w:r>
      <w:r>
        <w:rPr>
          <w:rFonts w:ascii="Arial" w:cs="Arial" w:eastAsia="Arial" w:hAnsi="Arial"/>
          <w:sz w:val="16"/>
          <w:szCs w:val="16"/>
          <w:color w:val="auto"/>
        </w:rPr>
        <w:t>plans for subscription, services and maintenance for which the associated deferred revenue has not been recognized. Under FASB Accounting Standards Codification ("ASC") Topic 606, unbilled deferred revenue is not included as a receivable or deferred revenue on our Consolidated Balance Sheet.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696D7"/>
        </w:rPr>
        <w:t>ITEM 1A. RISK FACTORS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right="220" w:firstLine="392"/>
        <w:spacing w:after="0" w:line="291"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00330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firstLine="392"/>
        <w:spacing w:after="0" w:line="302" w:lineRule="auto"/>
        <w:rPr>
          <w:sz w:val="20"/>
          <w:szCs w:val="20"/>
          <w:color w:val="auto"/>
        </w:rPr>
      </w:pPr>
      <w:r>
        <w:rPr>
          <w:rFonts w:ascii="Arial" w:cs="Arial" w:eastAsia="Arial" w:hAnsi="Arial"/>
          <w:sz w:val="16"/>
          <w:szCs w:val="16"/>
          <w:color w:val="auto"/>
        </w:rPr>
        <w:t>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54" w:lineRule="exact"/>
        <w:rPr>
          <w:sz w:val="20"/>
          <w:szCs w:val="20"/>
          <w:color w:val="auto"/>
        </w:rPr>
      </w:pPr>
    </w:p>
    <w:p>
      <w:pPr>
        <w:ind w:right="20" w:firstLine="392"/>
        <w:spacing w:after="0" w:line="286" w:lineRule="auto"/>
        <w:rPr>
          <w:sz w:val="20"/>
          <w:szCs w:val="20"/>
          <w:color w:val="auto"/>
        </w:rPr>
      </w:pPr>
      <w:r>
        <w:rPr>
          <w:rFonts w:ascii="Arial" w:cs="Arial" w:eastAsia="Arial" w:hAnsi="Arial"/>
          <w:sz w:val="17"/>
          <w:szCs w:val="17"/>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the software industry has undergone a transition from developing and selling perpetual licenses and on-premises products to cloud, mobile and social applications. Customers are also reconsidering the manner in which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173"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 such as the recent acquisitions of Assemble Systems, Inc., PlanGrid, Inc. and BuildingConnected, Inc.</w:t>
      </w:r>
    </w:p>
    <w:p>
      <w:pPr>
        <w:spacing w:after="0" w:line="170" w:lineRule="exact"/>
        <w:rPr>
          <w:sz w:val="20"/>
          <w:szCs w:val="20"/>
          <w:color w:val="auto"/>
        </w:rPr>
      </w:pPr>
    </w:p>
    <w:p>
      <w:pPr>
        <w:ind w:right="120" w:firstLine="392"/>
        <w:spacing w:after="0" w:line="255" w:lineRule="auto"/>
        <w:rPr>
          <w:sz w:val="20"/>
          <w:szCs w:val="20"/>
          <w:color w:val="auto"/>
        </w:rPr>
      </w:pPr>
      <w:r>
        <w:rPr>
          <w:rFonts w:ascii="Arial" w:cs="Arial" w:eastAsia="Arial" w:hAnsi="Arial"/>
          <w:sz w:val="18"/>
          <w:szCs w:val="18"/>
          <w:color w:val="auto"/>
        </w:rPr>
        <w:t>We regularly acquire or invest in businesses, software solutions and technologies that are complementary to our business through acquisitions, strategic alliances or equity or debt investments. For example, we recently acquired Assemble Systems, PlanGrid and BuildingConnected. The risks associated with such acquisitions include, among others, the difficulty of assimilating solutions,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285750</wp:posOffset>
            </wp:positionV>
            <wp:extent cx="100330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solution does not identify significant problems;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66% and 64% of our net revenue in fiscal 2019 and 2018,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w:t>
      </w:r>
    </w:p>
    <w:p>
      <w:pPr>
        <w:spacing w:after="0" w:line="178"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fluctuating currency exchange rates, including devaluations, currency controls and inflation, and risks related to any hedging activities we undertake;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0330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of our business partners also have international operations and are subject to the risks described above.</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"Brexit" vote has exacerbated and may further exacerbate many of the risks and uncertainties described above. The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There remains significant risk that the United Kingdom will exit from the European Union without agreement between the European Union and United Kingdom on terms addressing customs and trade matters. Further, uncertainty around these and related issues could lead to adverse effects on the economy of the United Kingdom, European Union and the other economies in which we operate.</w:t>
      </w:r>
    </w:p>
    <w:p>
      <w:pPr>
        <w:spacing w:after="0" w:line="17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the current U.S. administration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are considering imposing trade sanctions on certain U.S. 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17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271780</wp:posOffset>
            </wp:positionV>
            <wp:extent cx="100330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w:t>
      </w:r>
    </w:p>
    <w:p>
      <w:pPr>
        <w:spacing w:after="0" w:line="118"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0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virtually impossible for us to entirely eliminate this risk.</w:t>
      </w:r>
    </w:p>
    <w:p>
      <w:pPr>
        <w:spacing w:after="0" w:line="149"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If any of the foregoing security incidents were to occur, our reputation may suffer, our competitive position may be diminished, customers may stop paying for our solutions and services, we could face regulator inquiry, lawsuits and potential liability, and our financial performance could be negatively impacted.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strategy to digitize Autodesk involves increasing our use of cloud and web-based technologies and applications to leverage customer data to improve our offerings for the benefit of our customers. To accomplish this strategy, we must collect customer data, which may include personal data. Federal, state and foreign government privacy and data security laws apply to the treatment of personal data. Governments, regulators, the plaintiffs’ bar, privacy advocates and customers have increased their focus on how companies collect, process, use, store, share and transmit personal data.</w:t>
      </w:r>
    </w:p>
    <w:p>
      <w:pPr>
        <w:spacing w:after="0" w:line="13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General Data Protection Regulation ("GDPR") is applicable in all EU member states The GDPR introduced new data protection requirements in the EU and substantial fines for non-compliance. In addition, in June 2018, California enacted the California Consumer Privacy Act (the "CCPA"), which takes effect in January 2020. The CCPA will, among other things, give California residents expanded rights to access and delete their personal information, opt out of certain personal information sharing, and receive detailed information about how their personal information is used. The CCPA was amended in September 2018, and it is unclear whether further modifications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49"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The GDPR, CCPA and other state and global laws and regulations increased our responsibility and potential liability in relation to personal data, and we have and will continue to put in place additional processes and programs to demonstrate compliance. Any failure to comply with the GDPR or other data privacy laws could lead to government enforcement actions and significant penalties. Any perceived privacy right violation could result in reputational harm, third-party claims, lawsuits or investigations.</w:t>
      </w:r>
    </w:p>
    <w:p>
      <w:pPr>
        <w:spacing w:after="0" w:line="146" w:lineRule="exact"/>
        <w:rPr>
          <w:sz w:val="20"/>
          <w:szCs w:val="20"/>
          <w:color w:val="auto"/>
        </w:rPr>
      </w:pPr>
    </w:p>
    <w:p>
      <w:pPr>
        <w:ind w:right="180" w:firstLine="392"/>
        <w:spacing w:after="0" w:line="276" w:lineRule="auto"/>
        <w:rPr>
          <w:sz w:val="20"/>
          <w:szCs w:val="20"/>
          <w:color w:val="auto"/>
        </w:rPr>
      </w:pPr>
      <w:r>
        <w:rPr>
          <w:rFonts w:ascii="Arial" w:cs="Arial" w:eastAsia="Arial" w:hAnsi="Arial"/>
          <w:sz w:val="17"/>
          <w:szCs w:val="17"/>
          <w:color w:val="auto"/>
        </w:rPr>
        <w:t>Additionally, we store customer information and content and if our customers fail to comply with contractual obligations or applicable laws, it could result in litigation or reputational harm to us. The GDPR, CCPA other laws and self-regulatory codes may affect our ability to reach current and prospective customers, to understand how our offerings and services are being used, to respond to customer requests allowed under the laws, and to implement our new business models effectively. These new laws and regulations would similarly affect our competitors as well as our customers. These requirements could impact demand for our offerings and services and result in more onerous contract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100330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rely on third-parties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our reputation may suffer, our competitive position may be diminished, customers may buy fewer of our offerings and services, we could face lawsuits and potential liability, and our financial performance could be negatively impacted.</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various services and materials that we use in the operation of our business and production of our solutions.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81" w:lineRule="exact"/>
        <w:rPr>
          <w:sz w:val="20"/>
          <w:szCs w:val="20"/>
          <w:color w:val="auto"/>
        </w:rPr>
      </w:pPr>
    </w:p>
    <w:p>
      <w:pPr>
        <w:jc w:val="both"/>
        <w:ind w:right="60" w:firstLine="392"/>
        <w:spacing w:after="0" w:line="302" w:lineRule="auto"/>
        <w:rPr>
          <w:sz w:val="20"/>
          <w:szCs w:val="20"/>
          <w:color w:val="auto"/>
        </w:rPr>
      </w:pPr>
      <w:r>
        <w:rPr>
          <w:rFonts w:ascii="Arial" w:cs="Arial" w:eastAsia="Arial" w:hAnsi="Arial"/>
          <w:sz w:val="16"/>
          <w:szCs w:val="16"/>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154"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12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jc w:val="both"/>
        <w:ind w:right="120" w:firstLine="392"/>
        <w:spacing w:after="0" w:line="279" w:lineRule="auto"/>
        <w:rPr>
          <w:sz w:val="20"/>
          <w:szCs w:val="20"/>
          <w:color w:val="auto"/>
        </w:rPr>
      </w:pPr>
      <w:r>
        <w:rPr>
          <w:rFonts w:ascii="Arial" w:cs="Arial" w:eastAsia="Arial" w:hAnsi="Arial"/>
          <w:sz w:val="17"/>
          <w:szCs w:val="17"/>
          <w:color w:val="auto"/>
        </w:rPr>
        <w:t>The software solutions that we offer are complex and, despite extensive testing and quality control, may contain errors, defects or vulnerabilities. Some errors, defects and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272415</wp:posOffset>
            </wp:positionV>
            <wp:extent cx="100330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40" w:firstLine="392"/>
        <w:spacing w:after="0" w:line="270" w:lineRule="auto"/>
        <w:rPr>
          <w:sz w:val="20"/>
          <w:szCs w:val="20"/>
          <w:color w:val="auto"/>
        </w:rPr>
      </w:pPr>
      <w:r>
        <w:rPr>
          <w:rFonts w:ascii="Arial" w:cs="Arial" w:eastAsia="Arial" w:hAnsi="Arial"/>
          <w:sz w:val="17"/>
          <w:szCs w:val="17"/>
          <w:color w:val="auto"/>
        </w:rPr>
        <w:t>The software industry has limited barriers to entry, and the availability of computing devices with continually expanding performance at progressively lower prices contributes to the ease of market entry. The software industry has undergone a transition from developing and selling perpetual licenses and on-premises products to cloud, mobile and social applications.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offerings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8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countries in which we operate may be classified as highly inflationary economies, requiring special</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accounting and financial reporting treatment for such operations, or such countries’ currencies may be devalued, or both, which may adversely impact our business operations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00330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subscriptions, our ability to generate revenue will be adversely affected.</w:t>
      </w:r>
    </w:p>
    <w:p>
      <w:pPr>
        <w:spacing w:after="0" w:line="18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fiscal 2019 and fiscal 2018, approximately 71% and 70%,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 Tech Data. Tech Data accounted for 35% and 31% of our total net revenue for fiscal 2019 and 2018,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54" w:lineRule="exact"/>
        <w:rPr>
          <w:sz w:val="20"/>
          <w:szCs w:val="20"/>
          <w:color w:val="auto"/>
        </w:rPr>
      </w:pPr>
    </w:p>
    <w:p>
      <w:pPr>
        <w:ind w:firstLine="392"/>
        <w:spacing w:after="0" w:line="268"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may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w:t>
      </w:r>
    </w:p>
    <w:p>
      <w:pPr>
        <w:spacing w:after="0" w:line="1" w:lineRule="exact"/>
        <w:rPr>
          <w:sz w:val="20"/>
          <w:szCs w:val="20"/>
          <w:color w:val="auto"/>
        </w:rPr>
      </w:pPr>
    </w:p>
    <w:p>
      <w:pPr>
        <w:ind w:right="180" w:firstLine="392"/>
        <w:spacing w:after="0" w:line="261" w:lineRule="auto"/>
        <w:rPr>
          <w:sz w:val="20"/>
          <w:szCs w:val="20"/>
          <w:color w:val="auto"/>
        </w:rPr>
      </w:pPr>
      <w:r>
        <w:rPr>
          <w:rFonts w:ascii="Arial" w:cs="Arial" w:eastAsia="Arial" w:hAnsi="Arial"/>
          <w:sz w:val="18"/>
          <w:szCs w:val="18"/>
          <w:color w:val="auto"/>
        </w:rPr>
        <w:t>accounts and may be required to delay the recognition of revenue on future sales to these customers. These events could have a material adverse effect on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produce sufficient revenue, ARR, billings, subscription, profitability and cash flow growth;</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manage spend;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subscription mix, pricing pressure or changes in subscription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306705</wp:posOffset>
            </wp:positionV>
            <wp:extent cx="100330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additional investments in our technologies or deployment of our services;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Securities Exchange Commission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renewals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subscriptions;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releases and retirements of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effectively implement and maintain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0330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Form 10-K 22</w:t>
      </w:r>
    </w:p>
    <w:p>
      <w:pPr>
        <w:sectPr>
          <w:pgSz w:w="11900" w:h="16838" w:orient="portrait"/>
          <w:cols w:equalWidth="0" w:num="1">
            <w:col w:w="11280"/>
          </w:cols>
          <w:pgMar w:left="240" w:top="125" w:right="37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32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solutions, including our AutoCAD-based software products and collections, if these offerings are not successful, our revenue will be adversely affected.</w:t>
      </w:r>
    </w:p>
    <w:p>
      <w:pPr>
        <w:spacing w:after="0" w:line="1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fiscal 2019 and fiscal 2018, combined revenue from our AutoCAD and AutoCAD LT products, not including collections having AutoCAD or AutoCAD LT as a component, represented 28% and 27% of our total net revenue,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service obligations may adversely affect our financial condition and cash flows from operations.</w:t>
      </w:r>
    </w:p>
    <w:p>
      <w:pPr>
        <w:spacing w:after="0" w:line="225" w:lineRule="exact"/>
        <w:rPr>
          <w:sz w:val="20"/>
          <w:szCs w:val="20"/>
          <w:color w:val="auto"/>
        </w:rPr>
      </w:pPr>
    </w:p>
    <w:p>
      <w:pPr>
        <w:ind w:right="360" w:firstLine="392"/>
        <w:spacing w:after="0" w:line="302" w:lineRule="auto"/>
        <w:rPr>
          <w:sz w:val="20"/>
          <w:szCs w:val="20"/>
          <w:color w:val="auto"/>
        </w:rPr>
      </w:pPr>
      <w:r>
        <w:rPr>
          <w:rFonts w:ascii="Arial" w:cs="Arial" w:eastAsia="Arial" w:hAnsi="Arial"/>
          <w:sz w:val="16"/>
          <w:szCs w:val="16"/>
          <w:color w:val="auto"/>
        </w:rPr>
        <w:t>We have $2.1 billion of debt, consisting of notes due at various times from June 2020 to June 2027 and a delayed draw term loan facility in the aggregate principal amount of $500.0 million due in December 2020, each as described in Part 2, Item 8. We also entered into a credit agreement that provides for an unsecured revolving loan facility in the aggregate principal amount of $650.0 million, with an option to be increased up to $1.0 billion, as described in Part 2, Item 8. Maintenance of our indebtedness, contractual restrictions, and additional issuances of indebtedness could:</w:t>
      </w:r>
    </w:p>
    <w:p>
      <w:pPr>
        <w:spacing w:after="0" w:line="15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us to dedicate a substantial portion of our cash flows from operations towards debt service obligations and principal repayments;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impair our ability to obtain future financing for working capital, capital expenditures, acquisitions, general corporate or other purposes; and</w:t>
      </w:r>
    </w:p>
    <w:p>
      <w:pPr>
        <w:spacing w:after="0" w:line="236" w:lineRule="exact"/>
        <w:rPr>
          <w:rFonts w:ascii="Arial" w:cs="Arial" w:eastAsia="Arial" w:hAnsi="Arial"/>
          <w:sz w:val="17"/>
          <w:szCs w:val="17"/>
          <w:color w:val="auto"/>
        </w:rPr>
      </w:pPr>
    </w:p>
    <w:p>
      <w:pPr>
        <w:ind w:left="660" w:right="14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18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are required to comply with the covenants set forth in our debt instruments, such as an interest coverage ratio in effect January 31, 2019 and a leverage ratio in effect July 31, 2019. If we breach any of the covenants and do not obtain a waiver from the note holders or lenders, then, subject to applicable cure periods, we would not be able to incur additional indebtedness under the credit agreement described in Part 2, Item 8 and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283845</wp:posOffset>
            </wp:positionV>
            <wp:extent cx="100330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or have obtained and used information that we regard as proprietary. Policing unauthorized use of our software is time-consuming and costly. We are unable to measure the extent to which piracy of our software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offerings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more software patents are granted worldwide, the number of offerings and competitors in our industries grows and the functionality of products in different industries overlaps, we expect that software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delays or require us to enter into royalty or licensing agreements. In addition, such royalty or license agreements, if required, may not be available on acceptable terms, if at all, which would likely harm our business.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Net revenue, ARR, billings, earnings, cash flow or subscriptions shortfalls or the volatility of the market generally may cause the market price of our stock to decline.</w:t>
      </w:r>
    </w:p>
    <w:p>
      <w:pPr>
        <w:spacing w:after="0" w:line="170"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7" w:lineRule="exact"/>
        <w:rPr>
          <w:sz w:val="20"/>
          <w:szCs w:val="20"/>
          <w:color w:val="auto"/>
        </w:rPr>
      </w:pPr>
    </w:p>
    <w:p>
      <w:pPr>
        <w:ind w:left="660" w:right="6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ARR, billings, earnings and cash flow or key performance metrics, such as subscriptions;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00330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short-term and long-term impact to our business;</w:t>
      </w:r>
    </w:p>
    <w:p>
      <w:pPr>
        <w:spacing w:after="0" w:line="23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new offerings or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00" w:lineRule="exact"/>
        <w:rPr>
          <w:sz w:val="20"/>
          <w:szCs w:val="20"/>
          <w:color w:val="auto"/>
        </w:rPr>
      </w:pP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268605</wp:posOffset>
            </wp:positionV>
            <wp:extent cx="100330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Increasingly, governmental tax authorities are scrutinizing corporate tax strategies. Many countries in the European Union, as well as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in the interpretation and application of the Tax Act could materially affect our tax obligations and effective tax rate.</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Tax Act was enacted on December 22, 2017, and provides broad and significant changes to the U.S. tax code and how the U.S. imposes income tax on multinational corporations. Due to the complexity and varying interpretations of the Tax Act, the U.S. Department of Treasury and other standard-setting bodies have been issuing and will be issuing regulations and interpretative guidance that could significantly impact how we will apply the law and the ultimate impact to our results of operations from the Tax Act.</w:t>
      </w:r>
    </w:p>
    <w:p>
      <w:pPr>
        <w:spacing w:after="0" w:line="187" w:lineRule="exact"/>
        <w:rPr>
          <w:sz w:val="20"/>
          <w:szCs w:val="20"/>
          <w:color w:val="auto"/>
        </w:rPr>
      </w:pPr>
    </w:p>
    <w:p>
      <w:pPr>
        <w:jc w:val="both"/>
        <w:ind w:right="380" w:firstLine="405"/>
        <w:spacing w:after="0" w:line="259" w:lineRule="auto"/>
        <w:rPr>
          <w:sz w:val="20"/>
          <w:szCs w:val="20"/>
          <w:color w:val="auto"/>
        </w:rPr>
      </w:pPr>
      <w:r>
        <w:rPr>
          <w:rFonts w:ascii="Arial" w:cs="Arial" w:eastAsia="Arial" w:hAnsi="Arial"/>
          <w:sz w:val="18"/>
          <w:szCs w:val="18"/>
          <w:color w:val="auto"/>
        </w:rPr>
        <w:t>The Tax Act requires complex computations to be performed that were not previously provided for in the U.S. tax law. These computations require significant judgments to be made regarding the interpretation of the provisions within the Tax Act and treasury regulations issued thereunder, along with preparation and analysis of information not previously required. As additional regulatory guidance is issued, we may make amendments to prior year tax returns.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00330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4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make assumptions, judgments and estimates for a number of items, including revenue recognition for our hybrid desktop software and cloud service subscriptions,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solutions and service development may be delayed and our financial results negatively impacted.</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278765</wp:posOffset>
            </wp:positionV>
            <wp:extent cx="100330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solutions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80" w:firstLine="392"/>
        <w:spacing w:after="0" w:line="288"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2016,and in fiscal 2018, we determined that it was more likely than not that Autodesk would not realize our U.S. and Singapore deferred tax assets, respectively, and established a valuation allowance against the deferred tax assets. We continued to have a full valuation allowance against our U.S. and Singapore deferred tax assets in fiscal 2019.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1B.</w:t>
      </w:r>
      <w:r>
        <w:rPr>
          <w:sz w:val="20"/>
          <w:szCs w:val="20"/>
          <w:color w:val="auto"/>
        </w:rPr>
        <w:tab/>
      </w:r>
      <w:r>
        <w:rPr>
          <w:rFonts w:ascii="Arial" w:cs="Arial" w:eastAsia="Arial" w:hAnsi="Arial"/>
          <w:sz w:val="17"/>
          <w:szCs w:val="17"/>
          <w:b w:val="1"/>
          <w:bCs w:val="1"/>
          <w:color w:val="0696D7"/>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2.</w:t>
      </w:r>
      <w:r>
        <w:rPr>
          <w:sz w:val="20"/>
          <w:szCs w:val="20"/>
          <w:color w:val="auto"/>
        </w:rPr>
        <w:tab/>
      </w:r>
      <w:r>
        <w:rPr>
          <w:rFonts w:ascii="Arial" w:cs="Arial" w:eastAsia="Arial" w:hAnsi="Arial"/>
          <w:sz w:val="17"/>
          <w:szCs w:val="17"/>
          <w:b w:val="1"/>
          <w:bCs w:val="1"/>
          <w:color w:val="0696D7"/>
        </w:rPr>
        <w:t>PROPERTIES</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lease approximately 2,200,000 square feet of office space in 107 locations in the United States and internationally through our foreign subsidiaries. Our executive offices are located in leased office space in San Francisco, California, and our corporate headquarters are located in leased office space in San Rafael, California. Our San Rafael facilities consist of approximately 162,000 square feet under leases that have an expiration date of December 2019. Our San Francisco facilities consist of approximately 287,000 square feet under leases that have expiration dates ranging from April 2019 to December 2023. We and our foreign subsidiaries lease additional space in various locations throughout the world for local sales, product development, and technical support personnel.</w:t>
      </w:r>
    </w:p>
    <w:p>
      <w:pPr>
        <w:spacing w:after="0" w:line="19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All facilities are in good condition. Our facilities are operating at capacities averaging 86% occupancy worldwide as of January 31, 2019. We believe that our existing facilities and offices are adequate to meet our requirements for the foreseeable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0330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future. See Note 9, “Commitments and Contingencies,” in the Notes to Consolidated Financial Statements for more information about our lease commitments.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3.</w:t>
      </w:r>
      <w:r>
        <w:rPr>
          <w:sz w:val="20"/>
          <w:szCs w:val="20"/>
          <w:color w:val="auto"/>
        </w:rPr>
        <w:tab/>
      </w:r>
      <w:r>
        <w:rPr>
          <w:rFonts w:ascii="Arial" w:cs="Arial" w:eastAsia="Arial" w:hAnsi="Arial"/>
          <w:sz w:val="18"/>
          <w:szCs w:val="18"/>
          <w:b w:val="1"/>
          <w:bCs w:val="1"/>
          <w:color w:val="0696D7"/>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4.</w:t>
      </w:r>
      <w:r>
        <w:rPr>
          <w:sz w:val="20"/>
          <w:szCs w:val="20"/>
          <w:color w:val="auto"/>
        </w:rPr>
        <w:tab/>
      </w:r>
      <w:r>
        <w:rPr>
          <w:rFonts w:ascii="Arial" w:cs="Arial" w:eastAsia="Arial" w:hAnsi="Arial"/>
          <w:sz w:val="17"/>
          <w:szCs w:val="17"/>
          <w:b w:val="1"/>
          <w:bCs w:val="1"/>
          <w:color w:val="0696D7"/>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306705</wp:posOffset>
            </wp:positionV>
            <wp:extent cx="100330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5.</w:t>
      </w:r>
      <w:r>
        <w:rPr>
          <w:sz w:val="20"/>
          <w:szCs w:val="20"/>
          <w:color w:val="auto"/>
        </w:rPr>
        <w:tab/>
      </w:r>
      <w:r>
        <w:rPr>
          <w:rFonts w:ascii="Arial" w:cs="Arial" w:eastAsia="Arial" w:hAnsi="Arial"/>
          <w:sz w:val="18"/>
          <w:szCs w:val="18"/>
          <w:b w:val="1"/>
          <w:bCs w:val="1"/>
          <w:color w:val="0696D7"/>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traded on the Nasdaq Global Select Market under the symbol ADSK.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anticipate that, for the foreseeable future, we will not pay any cash or stock dividends.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January 31, 2019, the number of common stockholders of record was 376. Because many of our shares of common stock are held by brokers or other institutions on behalf of stockholders, we are unable to estimate the total number of stockholders represented by the record 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about the repurchase of common stock in open-market transactions during the quarter ended January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5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 that May Yet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 Plans or</w:t>
            </w:r>
          </w:p>
        </w:tc>
        <w:tc>
          <w:tcPr>
            <w:tcW w:w="1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Programs(2)</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1- November 30</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133.83</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0.2</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December 1 - December 31</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40" w:type="dxa"/>
            <w:vAlign w:val="bottom"/>
            <w:gridSpan w:val="2"/>
          </w:tcPr>
          <w:p>
            <w:pPr>
              <w:jc w:val="right"/>
              <w:ind w:right="28"/>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0.2</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133.83</w:t>
            </w:r>
          </w:p>
        </w:tc>
        <w:tc>
          <w:tcPr>
            <w:tcW w:w="120" w:type="dxa"/>
            <w:vAlign w:val="bottom"/>
          </w:tcPr>
          <w:p>
            <w:pPr>
              <w:spacing w:after="0"/>
              <w:rPr>
                <w:sz w:val="21"/>
                <w:szCs w:val="21"/>
                <w:color w:val="auto"/>
              </w:rPr>
            </w:pPr>
          </w:p>
        </w:tc>
        <w:tc>
          <w:tcPr>
            <w:tcW w:w="2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 approved by the Board of Directors.</w:t>
      </w:r>
    </w:p>
    <w:p>
      <w:pPr>
        <w:spacing w:after="0" w:line="9" w:lineRule="exact"/>
        <w:rPr>
          <w:rFonts w:ascii="Arial" w:cs="Arial" w:eastAsia="Arial" w:hAnsi="Arial"/>
          <w:sz w:val="16"/>
          <w:szCs w:val="16"/>
          <w:color w:val="auto"/>
        </w:rPr>
      </w:pPr>
    </w:p>
    <w:p>
      <w:pPr>
        <w:ind w:left="420" w:right="880" w:hanging="412"/>
        <w:spacing w:after="0" w:line="257"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amounts correspond to the plan publicly announced and approved by the Board of Directors in September 2016 that authorizes the repurchase of 30.0 million shares. The plan does not have a fixed expiration date.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0330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2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following graph shows a five-year comparison of cumulative total return (equal to dividends plus stock appreciation) for our Common Stock, the Standard &amp; Poor’s 500 Stock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15240</wp:posOffset>
            </wp:positionV>
            <wp:extent cx="4570730" cy="3430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707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420" w:right="40" w:hanging="412"/>
        <w:spacing w:after="0" w:line="263"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Assumes $100 invested on January 31, 2014, in Autodesk’s stock, the Standard &amp; Poor’s 500 Stock Index, and the Dow Jones U.S. Software Index, with reinvestment of all dividends. Total stockholder returns for prior periods are not an indication of future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258445</wp:posOffset>
            </wp:positionV>
            <wp:extent cx="100330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6.</w:t>
      </w:r>
      <w:r>
        <w:rPr>
          <w:sz w:val="20"/>
          <w:szCs w:val="20"/>
          <w:color w:val="auto"/>
        </w:rPr>
        <w:tab/>
      </w:r>
      <w:r>
        <w:rPr>
          <w:rFonts w:ascii="Arial" w:cs="Arial" w:eastAsia="Arial" w:hAnsi="Arial"/>
          <w:sz w:val="18"/>
          <w:szCs w:val="18"/>
          <w:b w:val="1"/>
          <w:bCs w:val="1"/>
          <w:color w:val="0696D7"/>
        </w:rPr>
        <w:t>SELECTED FINANCIAL DATA</w:t>
      </w:r>
    </w:p>
    <w:p>
      <w:pPr>
        <w:spacing w:after="0" w:line="22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fiscal years ended January 31, 2019 and 2018 are derived from, and are qualified by reference to, the audited consolidated financial statements that are included in this Form 10-K. The Consolidated Statements of Operations and the Consolidated Statements of Cash Flows data for the fiscal year ended January 31, 2017 are derived from, and are qualified by reference to, the audited consolidated financial statements that are included in this Form 10-K. The Consolidated Balance Sheet data for the fiscal year ended January 31, 2017 and the remaining financial data for the fiscal years ended January 31, 2016 and 2015 are derived from audited, consolidated financial statements which are not included in this Form 10-K.</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Fiscal Year Ended January 31,</w:t>
            </w: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 (1)</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fiscal year:</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6"/>
                <w:szCs w:val="16"/>
                <w:color w:val="auto"/>
              </w:rPr>
              <w:t>Net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2,569.8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2,056.6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2,031.0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2,504.1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2,512.2</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(509.1)</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(499.6)</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120.7</w:t>
            </w:r>
          </w:p>
        </w:tc>
      </w:tr>
      <w:tr>
        <w:trPr>
          <w:trHeight w:val="237"/>
        </w:trPr>
        <w:tc>
          <w:tcPr>
            <w:tcW w:w="2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6"/>
                <w:szCs w:val="16"/>
                <w:color w:val="auto"/>
              </w:rPr>
              <w:t>Net (loss) income</w:t>
            </w:r>
          </w:p>
        </w:tc>
        <w:tc>
          <w:tcPr>
            <w:tcW w:w="24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(80.8)</w:t>
            </w:r>
          </w:p>
        </w:tc>
        <w:tc>
          <w:tcPr>
            <w:tcW w:w="38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(566.9)</w:t>
            </w:r>
          </w:p>
        </w:tc>
        <w:tc>
          <w:tcPr>
            <w:tcW w:w="3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(582.1)</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(330.5)</w:t>
            </w:r>
          </w:p>
        </w:tc>
        <w:tc>
          <w:tcPr>
            <w:tcW w:w="3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81.8</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from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377.1</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169.7</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414.0</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708.6</w:t>
            </w:r>
          </w:p>
        </w:tc>
      </w:tr>
      <w:tr>
        <w:trPr>
          <w:trHeight w:val="224"/>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Common stock data:</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net (loss) income per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(2.58)</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0.36</w:t>
            </w:r>
          </w:p>
        </w:tc>
      </w:tr>
      <w:tr>
        <w:trPr>
          <w:trHeight w:val="237"/>
        </w:trPr>
        <w:tc>
          <w:tcPr>
            <w:tcW w:w="2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6"/>
                <w:szCs w:val="16"/>
                <w:color w:val="auto"/>
              </w:rPr>
              <w:t>Diluted net (loss) income per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(0.37)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0.35</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 year end: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4,729.2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4,113.6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4,798.1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5,515.3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4,909.7</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2,638.9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2,246.4</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1,879.1</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2,304.7</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1,290.4</w:t>
            </w:r>
          </w:p>
        </w:tc>
      </w:tr>
      <w:tr>
        <w:trPr>
          <w:trHeight w:val="237"/>
        </w:trPr>
        <w:tc>
          <w:tcPr>
            <w:tcW w:w="20" w:type="dxa"/>
            <w:vAlign w:val="bottom"/>
          </w:tcPr>
          <w:p>
            <w:pPr>
              <w:spacing w:after="0"/>
              <w:rPr>
                <w:sz w:val="20"/>
                <w:szCs w:val="20"/>
                <w:color w:val="auto"/>
              </w:rPr>
            </w:pPr>
          </w:p>
        </w:tc>
        <w:tc>
          <w:tcPr>
            <w:tcW w:w="4680" w:type="dxa"/>
            <w:vAlign w:val="bottom"/>
          </w:tcPr>
          <w:p>
            <w:pPr>
              <w:ind w:left="380"/>
              <w:spacing w:after="0"/>
              <w:rPr>
                <w:sz w:val="20"/>
                <w:szCs w:val="20"/>
                <w:color w:val="auto"/>
              </w:rPr>
            </w:pPr>
            <w:r>
              <w:rPr>
                <w:rFonts w:ascii="Arial" w:cs="Arial" w:eastAsia="Arial" w:hAnsi="Arial"/>
                <w:sz w:val="16"/>
                <w:szCs w:val="16"/>
                <w:color w:val="auto"/>
              </w:rPr>
              <w:t>Stockholders’ (deficit) equity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(210.9)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(256.0)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733.6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1,619.6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2,219.2</w:t>
            </w:r>
          </w:p>
        </w:tc>
      </w:tr>
      <w:tr>
        <w:trPr>
          <w:trHeight w:val="249"/>
        </w:trPr>
        <w:tc>
          <w:tcPr>
            <w:tcW w:w="4700" w:type="dxa"/>
            <w:vAlign w:val="bottom"/>
            <w:gridSpan w:val="2"/>
          </w:tcPr>
          <w:p>
            <w:pPr>
              <w:jc w:val="right"/>
              <w:ind w:right="2819"/>
              <w:spacing w:after="0"/>
              <w:rPr>
                <w:sz w:val="20"/>
                <w:szCs w:val="20"/>
                <w:color w:val="auto"/>
              </w:rPr>
            </w:pPr>
            <w:r>
              <w:rPr>
                <w:rFonts w:ascii="Arial" w:cs="Arial" w:eastAsia="Arial" w:hAnsi="Arial"/>
                <w:sz w:val="18"/>
                <w:szCs w:val="18"/>
                <w:color w:val="auto"/>
                <w:w w:val="88"/>
              </w:rPr>
              <w:t>____________________</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ind w:left="420" w:right="40" w:hanging="412"/>
        <w:spacing w:after="0" w:line="263"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the impact of the adoption of new accounting standards in fiscal year 2019 related to revenue recognition. See Part II, Item 8, Note 1, Business and Summary of Significant Accounting Policies, Accounting Standards Adopted, of our consolidated financial statements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100330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w:t>
      </w:r>
      <w:r>
        <w:rPr>
          <w:sz w:val="20"/>
          <w:szCs w:val="20"/>
          <w:color w:val="auto"/>
        </w:rPr>
        <w:tab/>
      </w:r>
      <w:r>
        <w:rPr>
          <w:rFonts w:ascii="Arial" w:cs="Arial" w:eastAsia="Arial" w:hAnsi="Arial"/>
          <w:sz w:val="17"/>
          <w:szCs w:val="17"/>
          <w:b w:val="1"/>
          <w:bCs w:val="1"/>
          <w:color w:val="0696D7"/>
        </w:rPr>
        <w:t>MANAGEMENT’S DISCUSSION AND ANALYSIS OF FINANCIAL CONDITION AND RESULTS OF OPERATIONS</w:t>
      </w:r>
    </w:p>
    <w:p>
      <w:pPr>
        <w:spacing w:after="0" w:line="22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Fiscal 2019” below, future net revenue, operating expenses, recurring revenue, annualized recurring revenue, cash flow, other future financial results (by product type and geography), subscriptions and annualized revenue per subscription, the effectiveness of our efforts to successfully manage transitions to new markets, our ability to increase our subscription base, expected market trends, the impact of planned and past acquisitions and investment activities, the effects of global economic conditions, the effects of revenue recognition, the effects of recently issued accounting standards,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above in Part 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Autodesk gives you the power to make anything.</w:t>
      </w:r>
    </w:p>
    <w:p>
      <w:pPr>
        <w:spacing w:after="0" w:line="18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cloud, mobile and social applications.</w:t>
      </w:r>
    </w:p>
    <w:p>
      <w:pPr>
        <w:spacing w:after="0" w:line="18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To address this shift, Autodesk made a strategic decision to shift its business model from selling perpetual licenses and maintenance plans to selling subscriptions.</w:t>
      </w:r>
    </w:p>
    <w:p>
      <w:pPr>
        <w:spacing w:after="0" w:line="170"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Today, we offer subscriptions for individual products and Industry Collections, flexible enterprise business agreements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18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product subscriptions currently represent a hybrid of desktop software and cloud functionality, which provides a device-independent, collaborative design workflow for designers and their stakeholders. Our cloud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8" w:lineRule="exact"/>
        <w:rPr>
          <w:sz w:val="20"/>
          <w:szCs w:val="20"/>
          <w:color w:val="auto"/>
        </w:rPr>
      </w:pPr>
    </w:p>
    <w:p>
      <w:pPr>
        <w:ind w:right="800" w:firstLine="405"/>
        <w:spacing w:after="0" w:line="308" w:lineRule="auto"/>
        <w:rPr>
          <w:sz w:val="20"/>
          <w:szCs w:val="20"/>
          <w:color w:val="auto"/>
        </w:rPr>
      </w:pPr>
      <w:r>
        <w:rPr>
          <w:rFonts w:ascii="Arial" w:cs="Arial" w:eastAsia="Arial" w:hAnsi="Arial"/>
          <w:sz w:val="17"/>
          <w:szCs w:val="17"/>
          <w:color w:val="auto"/>
        </w:rPr>
        <w:t>Industry Collections provide our customers with increased access to a broader selection of Autodesk solutions and services that exceeds those previously available in suites — simplifying the customers' ability to get access to a complete set of tools for their industry.</w:t>
      </w:r>
    </w:p>
    <w:p>
      <w:pPr>
        <w:spacing w:after="0" w:line="14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We discontinued the sale of new commercial licenses of most individual software products in 2016. Additionally, in June 2017, we commenced a program to incentivize maintenance plan customers to move to subscription plan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134620</wp:posOffset>
            </wp:positionV>
            <wp:extent cx="100330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maintenance-to-subscription ("M2S"), while at the same time increasing maintenance plan pricing over time for customers that remain on maintenance plans. Since launching the program, over 794,000 maintenance plan customers have converted to subscription plan offerings. Autodesk seeks to convert the remaining 796,100 maintenance plan customers to subscription through this program.</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To support our strategic priority of re-imagining construction, in fiscal 2019, we strengthened the foundation of our construction solutions with both organic and inorganic investments. In addition to investing in our BIM 360 portfolio, we purchased Assemble Systems for quantity take off functionality, PlanGrid for document-centric workflows and field execution, and BuildingConnected for bidding and estimation processes. The broadened product portfolio will help us expand our presence with sub-contractors, trades people, and building owners.</w:t>
      </w:r>
    </w:p>
    <w:p>
      <w:pPr>
        <w:spacing w:after="0" w:line="18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As part of our manufacturing strategy we continue to attract global manufacturing leaders with our generative design and our Fusion technology enhancements.</w:t>
      </w:r>
    </w:p>
    <w:p>
      <w:pPr>
        <w:spacing w:after="0" w:line="17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solutions, and business transacted through our online Autodesk branded store. See Note 2, "Revenue Recognition" in the Notes to the Consolidated Financial Statements for further detail on the results of our indirect and direct channel sales for the fiscal years ended January 31, 2019, 2018, and 2017.</w:t>
      </w:r>
    </w:p>
    <w:p>
      <w:pPr>
        <w:spacing w:after="0" w:line="188"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15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making with students of all ages. We offer free educational licenses of Autodesk software worldwide to students, educators, and accredited educational institutions. We inspire and support beginners with Tinkercad, a simple online 3D design and 3D printing tool.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Udemy and Coursera. Our intention is to make Autodesk software ubiquitous and the design and making software of choice for those poised to become the next generation of professional users.</w:t>
      </w:r>
    </w:p>
    <w:p>
      <w:pPr>
        <w:spacing w:after="0" w:line="189"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Our strategy includes improving our product functionality and expanding our product offerings through internal development as well as through the acquisition of products, technology, and businesses. For example, we recently acquired Assemble Systems, a leading provider of key workflow software solutions, PlanGrid, Inc., a leading provider of construction productivity software, and BuildingConnected, a leading pre-construction platform. We believe that the acquisitions of Assemble Systems, PlanGrid and BuildingConnected will enable us to offer a more comprehensive, cloud-based construction platform. Acquisitions often increase the speed at which we can deliver product functionality to our customers; however, they entail cost and integration challenges and may, in certain instances, negatively impact our operating margins. We continually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0330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review these trade-offs in making decisions regarding acquisitions. We currently anticipate that we will continue to acquire products, technology, and businesses as compelling opportunities become available.</w:t>
      </w:r>
    </w:p>
    <w:p>
      <w:pPr>
        <w:spacing w:after="0" w:line="17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 our current business model, annualized recurring revenue ("ARR"), growth of billings, and total deferred revenue better reflect business momentum. To analyze progress, we have disaggregated our growth between the original maintenance model ("maintenance plan") and the subscription plan model. Maintenance plan subscriptions peaked in the fourth quarter of our fiscal 2016 as we discontinued selling new maintenance plan subscriptions in fiscal 2017, and we expect them to keep declining over time as maintenance plan customers continue to convert to our subscription plans.</w:t>
      </w:r>
    </w:p>
    <w:p>
      <w:pPr>
        <w:spacing w:after="0" w:line="15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strategy depends upon a number of assumptions, including: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Part II, Item 8,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Autodesk’s revenue is divided into three categories: subscription revenue, maintenance revenue, and other revenue.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when control for these offerings is transferred to our customers, in an amount that reflects the consideration we expect to be entitled to in exchange for products and services.</w:t>
      </w:r>
    </w:p>
    <w:p>
      <w:pPr>
        <w:spacing w:after="0" w:line="18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contracts with customers may include promises to provide multiple subscriptions and services to a customer. Determining whether the offerings and services are considered distinct performance obligations that should be accounted for separately or as one combined performance obligation may require significant judgment. Judgment is required to determine the level of integration and interdependency between individual components of software and cloud functionality. This determination influences whether the software is considered distinct and accounted for separately as a license performance obligation, or not distinct and accounted for together with the cloud functionality as a single subscription performance obligation recognized over time.</w:t>
      </w:r>
    </w:p>
    <w:p>
      <w:pPr>
        <w:spacing w:after="0" w:line="158"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For product subscriptions, Industry Collections, and enterprise business agreement ("EBA") subscriptions in which the desktop software and related cloud functionality are highly interrelated, the combined performance obligation is recognized ratably over the contract term as the obligation is satisfied. For contracts involving distinct software licenses, the license performance obligation is satisfied at a point in time when control is transferred to the customer.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158"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281940</wp:posOffset>
            </wp:positionV>
            <wp:extent cx="100330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and geographic region to determine the SSP.</w:t>
      </w:r>
    </w:p>
    <w:p>
      <w:pPr>
        <w:spacing w:after="0" w:line="18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end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5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As part of the indirect channel model, we have a partner incentive program that uses quarterly attainment of monetary rewards to motivate distributors and resellers to achieve mutually agreed upon business goals in a specified time period. Incentives related to our subscription program are recorded as a reduction to deferred revenue in the period the subscription transaction is billed, and are subsequently recognized as a reduction to subscription revenue over the contract period. A small portion of partner incentives reduce other revenue in the current period. These incentive balances do not require significant assumptions or judgments. Depending on how the payments are made, the reserves associated with the partner incentive program are recorded on the balance sheet as either contra accounts receivable or accounts payable.</w:t>
      </w:r>
    </w:p>
    <w:p>
      <w:pPr>
        <w:spacing w:after="0" w:line="178"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The new revenue recognition standard had a material impact in our consolidated financial statements. Refer to Part II, Item 8, Note 1, Business and Summary of Significant Accounting Policies, Accounting Standards Adopted, of our consolidated financial statements and to discussions below under the heading “Overview” for additional information.</w:t>
      </w:r>
    </w:p>
    <w:p>
      <w:pPr>
        <w:spacing w:after="0" w:line="18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Marketable Securities and Privately Held Company Investments. </w:t>
      </w:r>
      <w:r>
        <w:rPr>
          <w:rFonts w:ascii="Arial" w:cs="Arial" w:eastAsia="Arial" w:hAnsi="Arial"/>
          <w:sz w:val="18"/>
          <w:szCs w:val="18"/>
          <w:color w:val="auto"/>
        </w:rPr>
        <w:t>As described in Part II, Item 8, Note 3, “Financial Instruments,” 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our investments in marketable securities are measured at the end of each reporting period and reported at fair value. 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18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0696D7"/>
        </w:rPr>
        <w:t>Level 1</w:t>
      </w:r>
      <w:r>
        <w:rPr>
          <w:rFonts w:ascii="Arial" w:cs="Arial" w:eastAsia="Arial" w:hAnsi="Arial"/>
          <w:sz w:val="18"/>
          <w:szCs w:val="18"/>
          <w:color w:val="0696D7"/>
        </w:rPr>
        <w:t xml:space="preserve"> </w:t>
      </w:r>
      <w:r>
        <w:rPr>
          <w:rFonts w:ascii="Arial" w:cs="Arial" w:eastAsia="Arial" w:hAnsi="Arial"/>
          <w:sz w:val="18"/>
          <w:szCs w:val="18"/>
          <w:color w:val="000000"/>
        </w:rPr>
        <w:t>- Quoted prices for identical instruments in active markets;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0696D7"/>
        </w:rPr>
        <w:t>Level 2</w:t>
      </w:r>
      <w:r>
        <w:rPr>
          <w:rFonts w:ascii="Arial" w:cs="Arial" w:eastAsia="Arial" w:hAnsi="Arial"/>
          <w:sz w:val="17"/>
          <w:szCs w:val="17"/>
          <w:color w:val="0696D7"/>
        </w:rPr>
        <w:t xml:space="preserve"> </w:t>
      </w:r>
      <w:r>
        <w:rPr>
          <w:rFonts w:ascii="Arial" w:cs="Arial" w:eastAsia="Arial" w:hAnsi="Arial"/>
          <w:sz w:val="17"/>
          <w:szCs w:val="17"/>
          <w:color w:val="000000"/>
        </w:rPr>
        <w:t>- Quoted prices for similar instruments in active markets, quoted prices for identical or similar instruments in markets that are not active, and</w:t>
      </w:r>
      <w:r>
        <w:rPr>
          <w:rFonts w:ascii="Arial" w:cs="Arial" w:eastAsia="Arial" w:hAnsi="Arial"/>
          <w:sz w:val="17"/>
          <w:szCs w:val="17"/>
          <w:color w:val="0696D7"/>
        </w:rPr>
        <w:t xml:space="preserve"> </w:t>
      </w:r>
      <w:r>
        <w:rPr>
          <w:rFonts w:ascii="Arial" w:cs="Arial" w:eastAsia="Arial" w:hAnsi="Arial"/>
          <w:sz w:val="17"/>
          <w:szCs w:val="17"/>
          <w:color w:val="000000"/>
        </w:rPr>
        <w:t>model-derived valuations in which all significant inputs and significant value drivers are observable in active markets;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0696D7"/>
        </w:rPr>
        <w:t>Level 3</w:t>
      </w:r>
      <w:r>
        <w:rPr>
          <w:rFonts w:ascii="Arial" w:cs="Arial" w:eastAsia="Arial" w:hAnsi="Arial"/>
          <w:sz w:val="17"/>
          <w:szCs w:val="17"/>
          <w:color w:val="0696D7"/>
        </w:rPr>
        <w:t xml:space="preserve"> </w:t>
      </w:r>
      <w:r>
        <w:rPr>
          <w:rFonts w:ascii="Arial" w:cs="Arial" w:eastAsia="Arial" w:hAnsi="Arial"/>
          <w:sz w:val="17"/>
          <w:szCs w:val="17"/>
          <w:color w:val="000000"/>
        </w:rPr>
        <w:t>- Valuations derived from valuation techniques in which one or more significant inputs or significant value drivers are unobservable.</w:t>
      </w:r>
    </w:p>
    <w:p>
      <w:pPr>
        <w:spacing w:after="0" w:line="237"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assets and Level 2 assets.</w:t>
      </w:r>
    </w:p>
    <w:p>
      <w:pPr>
        <w:spacing w:after="0" w:line="12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Privately held debt and equity securities (Level 3) are valued using significant unobservable inputs or data in an inactive market and the valuation requires our judgment due to the absence of market prices and inherent lack of liquidity.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8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 carrying value is not adjusted for our privately held equity securities if there are no observable price changes in a same or similar security from the same issuer or if there are no identified events or changes in circumstances that may indicate impairment, as discussed below. In determining the estimated fair value of its strategic investments in privately held companies, we utilize the most recent data available to us. In addition, the determination of whether an orderly transaction is for a same or similar investment requires significant management judgment including: the rights and obligations of the investments,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00330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extent to which those differences would affect the fair values of those investments, and the impact of any differences based on the stage of operational development of the investee.</w:t>
      </w:r>
    </w:p>
    <w:p>
      <w:pPr>
        <w:spacing w:after="0" w:line="170"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All of Autodesk’s marketable securities and privately held company investments are subject to a periodic impairment review. For any marketable debt securities, declines in fair value judged to be other-than-temporary on securities available for sale are included as a reduction to investment income. To determine whether a decline in value is other-than-temporary, we evaluate, among other factors: the duration and extent to which the fair value has been less than the carrying value and its intent and ability to retain the investment for a period of time sufficient to allow for any anticipated recovery in fair value. For the purposes of computing realized and unrealized gains and losses, the cost of securities sold is based on the specific-identification method. Interest on securities classified as available for sale is also included as a component of investment income.</w:t>
      </w:r>
    </w:p>
    <w:p>
      <w:pPr>
        <w:spacing w:after="0" w:line="178"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For Autodesk's quarterly impairment assessment of privately held debt and equity securities strategic investment portfolio, the analysis encompasses an assessment of the severity and duration of the impairment and qualitative and quantitative analysis 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 If the investment is considered to be impaired, the Company will record the investment at fair value by recognizing an impairment through the consolidated statement of operations and establishing a new carrying value for the investment.</w:t>
      </w:r>
    </w:p>
    <w:p>
      <w:pPr>
        <w:spacing w:after="0" w:line="165"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The assets acquired and liabilities assumed in a business combination are recorded based on their estimated fair values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date. Any residual purchase price is recorded as goodwill. Accounting for business combinations requires us to make significant estimates and assumptions, especially at the acquisition date with respect to intangible assets and deferred revenue obligations.</w:t>
      </w:r>
    </w:p>
    <w:p>
      <w:pPr>
        <w:spacing w:after="0" w:line="16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18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expected cash flows from sales, maintenance agreements, and acquired developed technologies;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acquired company's trade name, trademark and existing customer relationship, as well as assumptions about the period of time the acquired trade name and trademark will continue to be used in our product portfolio;</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products and estimated cash flows from the projects when completed;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2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These estimates are inherently uncertain and unpredictable. Unanticipated events and circumstances may occur which may affect the accuracy or validity of such assumptions, estimates or actual results.</w:t>
      </w:r>
    </w:p>
    <w:p>
      <w:pPr>
        <w:spacing w:after="0" w:line="1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i w:val="1"/>
          <w:iCs w:val="1"/>
          <w:color w:val="auto"/>
        </w:rPr>
        <w:t xml:space="preserve">Realizability of Long-Lived Assets. </w:t>
      </w:r>
      <w:r>
        <w:rPr>
          <w:rFonts w:ascii="Arial" w:cs="Arial" w:eastAsia="Arial" w:hAnsi="Arial"/>
          <w:sz w:val="17"/>
          <w:szCs w:val="17"/>
          <w:color w:val="auto"/>
        </w:rPr>
        <w:t>We assess the realizability of our long-lived assets and related intangible assets, other than goodwill, quarterly, or</w:t>
      </w:r>
      <w:r>
        <w:rPr>
          <w:rFonts w:ascii="Arial" w:cs="Arial" w:eastAsia="Arial" w:hAnsi="Arial"/>
          <w:sz w:val="17"/>
          <w:szCs w:val="17"/>
          <w:i w:val="1"/>
          <w:iCs w:val="1"/>
          <w:color w:val="auto"/>
        </w:rPr>
        <w:t xml:space="preserve"> </w:t>
      </w:r>
      <w:r>
        <w:rPr>
          <w:rFonts w:ascii="Arial" w:cs="Arial" w:eastAsia="Arial" w:hAnsi="Arial"/>
          <w:sz w:val="17"/>
          <w:szCs w:val="17"/>
          <w:color w:val="auto"/>
        </w:rPr>
        <w:t>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17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283210</wp:posOffset>
            </wp:positionV>
            <wp:extent cx="100330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70" w:lineRule="exact"/>
        <w:rPr>
          <w:sz w:val="20"/>
          <w:szCs w:val="20"/>
          <w:color w:val="auto"/>
        </w:rPr>
      </w:pPr>
    </w:p>
    <w:p>
      <w:pPr>
        <w:jc w:val="both"/>
        <w:ind w:right="100" w:firstLine="432"/>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approach. Under this method, deferred tax assets, including those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tax loss carryforwards and credits, and deferred tax liabilities are determined based on the differences between the financial statement and tax bases of assets and liabilities using enacted tax rates in effect for the year in which the differences are expected to reverse. We recognize the tax benefit for an uncertain tax position when it meets a more likely than not threshold. We recognize potential accrued interest and penalties related to unrecognized tax benefits as income tax expense.</w:t>
      </w:r>
    </w:p>
    <w:p>
      <w:pPr>
        <w:spacing w:after="0" w:line="188"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valuation allowance, we consider all available evidence including past operating results and estimates of future taxable income. As a result of cumulative losses arising from our transition to a subscription model, we considered cumulative losses as a significant source of negative evidence and recorded a valuation allowance against our deferred tax attributes in Singapore, Canada and the U.S. jurisdictions.</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we continually strive to optimize our overall business model, tax planning strategies may become feasible and prudent whereby management may determine that it is more likely than not that the federal and state deferred tax assets will be realized; therefore, we will continue to evaluate the evidence around our ability to utilize our net deferred tax assets each quarter, both in the U.S. and in foreign jurisdictions, based on all available evidence, both positive and negative.</w:t>
      </w:r>
    </w:p>
    <w:p>
      <w:pPr>
        <w:spacing w:after="0" w:line="18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measure stock-based compensation cost at the grant date fair value of the award, and recognize expense ratably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requisite service period, which is generally the vesting period. We estimate the fair value of certain stock-based payment awards (including grants of employee stock purchases related to the employee stock purchase plan) using either the Black-Scholes-Merton option-pricing model or a binomial-lattice model (e.g., Monte Carlo simulation model). To determine the grant-date fair value of our stock-based payment awards, we use a Black-Scholes model or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on a quarterly basis and adjusted, as needed. Share-based compensation cost for restricted stock is measured on the closing fair market value of our common stock on the date of grant. The value of the portion of the award that is ultimately expected to vest is recognized as expense in our Consolidated Statements of Operations.</w:t>
      </w:r>
    </w:p>
    <w:p>
      <w:pPr>
        <w:spacing w:after="0" w:line="169"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i w:val="1"/>
          <w:iCs w:val="1"/>
          <w:color w:val="auto"/>
        </w:rPr>
        <w:t>Legal Contingencies</w:t>
      </w:r>
      <w:r>
        <w:rPr>
          <w:rFonts w:ascii="Arial" w:cs="Arial" w:eastAsia="Arial" w:hAnsi="Arial"/>
          <w:sz w:val="17"/>
          <w:szCs w:val="17"/>
          <w:color w:val="auto"/>
        </w:rPr>
        <w:t>. As described in Part I, Item 3, “Legal Proceedings” and Part II, Item 8, Note 9, “Commitments and Contingencies,”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Restructuring and other exit costs, net</w:t>
      </w:r>
      <w:r>
        <w:rPr>
          <w:rFonts w:ascii="Arial" w:cs="Arial" w:eastAsia="Arial" w:hAnsi="Arial"/>
          <w:sz w:val="18"/>
          <w:szCs w:val="18"/>
          <w:color w:val="auto"/>
        </w:rPr>
        <w:t>. Our restructuring plans include one–time termination benefits as well as certain contractual termination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 record costs associated with exit activities related to restructuring plans in accordance with the ASC Topic 420, </w:t>
      </w:r>
      <w:r>
        <w:rPr>
          <w:rFonts w:ascii="Arial" w:cs="Arial" w:eastAsia="Arial" w:hAnsi="Arial"/>
          <w:sz w:val="18"/>
          <w:szCs w:val="18"/>
          <w:i w:val="1"/>
          <w:iCs w:val="1"/>
          <w:color w:val="auto"/>
        </w:rPr>
        <w:t>Exit or Disposal Obligations</w:t>
      </w:r>
      <w:r>
        <w:rPr>
          <w:rFonts w:ascii="Arial" w:cs="Arial" w:eastAsia="Arial" w:hAnsi="Arial"/>
          <w:sz w:val="18"/>
          <w:szCs w:val="18"/>
          <w:color w:val="auto"/>
        </w:rPr>
        <w:t>. Liabilities for costs associated with an exit or disposal activity are recognized in the period in which the liability is incurred. The timing of associated cash payments is dependent upon the type of exit cost and may extend over a 12-month period or longer. We record restructuring liabilities in “Other accrued liabilities,” or "Other liabilities" in the consolidated balance sheet.</w:t>
      </w:r>
    </w:p>
    <w:p>
      <w:pPr>
        <w:spacing w:after="0" w:line="18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Restructuring and other exit costs, net includes employee termination costs, facility closure, accelerated depreciation of certain assets and relocation costs, and contract termination costs. One–time termination benefits are recognized as a liability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0330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estimated fair value when the approved plan of termination has been communicated to employees, unless employees must provide future service that is longer than the statutory requirement, in which case the benefits are recognized ratably over the future service period. For the facility-related restructuring, we recognize upon exiting all or a portion of a leased facility and meeting cease-use and other requirements. The amount of restructuring is based on the fair value of the lease obligation for the abandoned space, which includes a sublease assumption that could be reasonably obtained. We also recognize accelerated depreciation related to assets at the time we commit to a plan to abandon.</w:t>
      </w:r>
    </w:p>
    <w:p>
      <w:pPr>
        <w:spacing w:after="0" w:line="18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Restructuring and other exit costs, net requires significant estimates and assumptions, including sub-lease income and expenses for severance and other employee separation costs. Our estimates involve a number of risks and uncertainties, some of which are beyond our control, including future real estate market conditions and our ability to successfully enter into subleases or termination agreements with terms as favorable as those assumed when arriving at our estimates. We monitor these estimates and assumptions on at least a quarterly basis for changes in circumstances and any corresponding adjustments to the accrual are recorded in our statement of operations in the period when such changes are known.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2019</w:t>
      </w:r>
    </w:p>
    <w:p>
      <w:pPr>
        <w:spacing w:after="0" w:line="22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net revenue was $2.57 billion during fiscal 2019, an increase of 25% compared to the prior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ARR was $2.75 billion, an increase of 34% compared to the prior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Subscription plan ARR was $2.20 billion, an increase of 87% compared to the prior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subscriptions increased 0.6 million from the prior fiscal year to 4.3 million.</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Deferred revenue was $2.09 billion, an increase of 7% compared to the prior fiscal year. Total deferred revenue (deferred revenue plus unbilled deferred revenue) was $2.68 billion, an increase of approximately 18 percent compared to prior fiscal year.</w:t>
      </w:r>
    </w:p>
    <w:p>
      <w:pPr>
        <w:spacing w:after="0" w:line="170"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adopted ASC Topic 606 and ASC Topic 340-40 during the first quarter of fiscal 2019. See discussion below for additional information regarding certain metrics that were affected by the new standards under the heading “Impact of New Revenue Accounting Standard."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Analysis</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During fiscal 2019, net revenue increased 25%, as compared to the prior fiscal year, primarily due to a 102% increase in subscription revenue. The increase in subscription revenue was partially offset by a 36% decrease in maintenance revenue.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Total sales to Tech Data accounted for 35%, 31%, and 30% of Autodesk's total net revenue during fiscal 2019, 2018, and 2017, respectively. Our customers through Tech Data are the resellers and end users who purchase our software subscription services. Should any of our agreements with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Recurring Revenue and Subscriptions</w:t>
      </w:r>
    </w:p>
    <w:p>
      <w:pPr>
        <w:spacing w:after="0" w:line="225" w:lineRule="exact"/>
        <w:rPr>
          <w:sz w:val="20"/>
          <w:szCs w:val="20"/>
          <w:color w:val="auto"/>
        </w:rPr>
      </w:pPr>
    </w:p>
    <w:p>
      <w:pPr>
        <w:ind w:right="580" w:firstLine="405"/>
        <w:spacing w:after="0" w:line="264" w:lineRule="auto"/>
        <w:rPr>
          <w:sz w:val="20"/>
          <w:szCs w:val="20"/>
          <w:color w:val="auto"/>
        </w:rPr>
      </w:pPr>
      <w:r>
        <w:rPr>
          <w:rFonts w:ascii="Arial" w:cs="Arial" w:eastAsia="Arial" w:hAnsi="Arial"/>
          <w:sz w:val="18"/>
          <w:szCs w:val="18"/>
          <w:color w:val="auto"/>
        </w:rPr>
        <w:t>In order to help better understand our financial performance we use several metrics including recurring revenue, ARR, total subscriptions, and annualized revenue per subscription ("ARPS"). ARR, ARPS, total subscriptions, and recurring revenue are performance metrics and should be viewed independently of revenue and deferred revenue as ARR, ARPS,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141605</wp:posOffset>
            </wp:positionV>
            <wp:extent cx="100330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subscriptions, and recurring revenue are not intended to be combined with those items. Our determination and presentation may differ from that of other companies. Please refer to the Glossary of Terms for the definitions of these metrics.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fiscal years ended January 31, 2019, 2018, and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4"/>
                <w:szCs w:val="14"/>
                <w:color w:val="auto"/>
              </w:rPr>
            </w:pP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4"/>
                <w:szCs w:val="14"/>
                <w:color w:val="auto"/>
              </w:rPr>
            </w:pP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Change compared to</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ind w:left="140"/>
              <w:spacing w:after="0" w:line="145" w:lineRule="exact"/>
              <w:rPr>
                <w:sz w:val="20"/>
                <w:szCs w:val="20"/>
                <w:color w:val="auto"/>
              </w:rPr>
            </w:pPr>
            <w:r>
              <w:rPr>
                <w:rFonts w:ascii="Arial" w:cs="Arial" w:eastAsia="Arial" w:hAnsi="Arial"/>
                <w:sz w:val="14"/>
                <w:szCs w:val="14"/>
                <w:b w:val="1"/>
                <w:bCs w:val="1"/>
                <w:color w:val="auto"/>
                <w:w w:val="94"/>
              </w:rPr>
              <w:t>prior fiscal year end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ind w:left="160"/>
              <w:spacing w:after="0" w:line="145" w:lineRule="exact"/>
              <w:rPr>
                <w:sz w:val="20"/>
                <w:szCs w:val="20"/>
                <w:color w:val="auto"/>
              </w:rPr>
            </w:pPr>
            <w:r>
              <w:rPr>
                <w:rFonts w:ascii="Arial" w:cs="Arial" w:eastAsia="Arial" w:hAnsi="Arial"/>
                <w:sz w:val="14"/>
                <w:szCs w:val="14"/>
                <w:b w:val="1"/>
                <w:bCs w:val="1"/>
                <w:color w:val="auto"/>
                <w:w w:val="96"/>
              </w:rPr>
              <w:t>prior fiscal year end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18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Ended January</w:t>
            </w: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18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Ended January</w:t>
            </w: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Ended January</w:t>
            </w: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5"/>
                <w:szCs w:val="5"/>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1"/>
              </w:rPr>
              <w:t>31, 2019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1"/>
              </w:rPr>
              <w:t>31, 2018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1"/>
              </w:rPr>
              <w:t>31, 2017</w:t>
            </w:r>
          </w:p>
        </w:tc>
        <w:tc>
          <w:tcPr>
            <w:tcW w:w="0" w:type="dxa"/>
            <w:vAlign w:val="bottom"/>
          </w:tcPr>
          <w:p>
            <w:pPr>
              <w:spacing w:after="0"/>
              <w:rPr>
                <w:sz w:val="1"/>
                <w:szCs w:val="1"/>
                <w:color w:val="auto"/>
              </w:rPr>
            </w:pPr>
          </w:p>
        </w:tc>
      </w:tr>
      <w:tr>
        <w:trPr>
          <w:trHeight w:val="236"/>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Recurring Revenue </w:t>
            </w:r>
            <w:r>
              <w:rPr>
                <w:rFonts w:ascii="Arial" w:cs="Arial" w:eastAsia="Arial" w:hAnsi="Arial"/>
                <w:sz w:val="16"/>
                <w:szCs w:val="16"/>
                <w:i w:val="1"/>
                <w:iCs w:val="1"/>
                <w:color w:val="auto"/>
              </w:rPr>
              <w:t>(in millions)</w:t>
            </w:r>
            <w:r>
              <w:rPr>
                <w:rFonts w:ascii="Arial" w:cs="Arial" w:eastAsia="Arial" w:hAnsi="Arial"/>
                <w:sz w:val="16"/>
                <w:szCs w:val="16"/>
                <w:color w:val="auto"/>
              </w:rPr>
              <w:t xml:space="preserve">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2,437.2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554.9</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92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1,882.3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342.0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1,540.3</w:t>
            </w: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9"/>
        </w:trPr>
        <w:tc>
          <w:tcPr>
            <w:tcW w:w="376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Consolidated Statements of Operations.</w:t>
      </w:r>
    </w:p>
    <w:p>
      <w:pPr>
        <w:spacing w:after="0" w:line="17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following table outlines our ARR, subscriptions, and ARPS metrics as of fiscal years ended January 31, 2019 and 2018. For purposes of clarification, the ARR and ARPS balances in the following table as of January 31, 2019 are calculated under ASC Topic 606. For comparison of ARR and ARPS as of January 31, 2019 under the old revenue standard, ASC Topic 605, refer to the table under the title "Impact of New Revenue Accounting Standard" further below.</w:t>
      </w:r>
    </w:p>
    <w:p>
      <w:pPr>
        <w:spacing w:after="0" w:line="125"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Change compared to</w:t>
      </w:r>
    </w:p>
    <w:p>
      <w:pPr>
        <w:spacing w:after="0" w:line="4"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13335</wp:posOffset>
            </wp:positionV>
            <wp:extent cx="2915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31, 2019</w:t>
            </w:r>
          </w:p>
        </w:tc>
        <w:tc>
          <w:tcPr>
            <w:tcW w:w="200" w:type="dxa"/>
            <w:vAlign w:val="bottom"/>
          </w:tcPr>
          <w:p>
            <w:pPr>
              <w:spacing w:after="0"/>
              <w:rPr>
                <w:sz w:val="16"/>
                <w:szCs w:val="16"/>
                <w:color w:val="auto"/>
              </w:rPr>
            </w:pPr>
          </w:p>
        </w:tc>
        <w:tc>
          <w:tcPr>
            <w:tcW w:w="680" w:type="dxa"/>
            <w:vAlign w:val="bottom"/>
          </w:tcPr>
          <w:p>
            <w:pPr>
              <w:jc w:val="right"/>
              <w:ind w:right="3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9"/>
              </w:rPr>
              <w:t>January 31, 2018</w:t>
            </w:r>
          </w:p>
        </w:tc>
      </w:tr>
      <w:tr>
        <w:trPr>
          <w:trHeight w:val="250"/>
        </w:trPr>
        <w:tc>
          <w:tcPr>
            <w:tcW w:w="6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14"/>
                <w:szCs w:val="14"/>
                <w:i w:val="1"/>
                <w:iCs w:val="1"/>
                <w:color w:val="auto"/>
              </w:rPr>
              <w:t>(in millions)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Subscription plan ARR</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2,200.1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1,025.1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20"/>
                <w:szCs w:val="20"/>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1,175.0</w:t>
            </w:r>
          </w:p>
        </w:tc>
      </w:tr>
      <w:tr>
        <w:trPr>
          <w:trHeight w:val="33"/>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879.1</w:t>
            </w:r>
          </w:p>
        </w:tc>
      </w:tr>
      <w:tr>
        <w:trPr>
          <w:trHeight w:val="284"/>
        </w:trPr>
        <w:tc>
          <w:tcPr>
            <w:tcW w:w="6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ARR (1)</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2,749.4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695.3</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2,054.1</w:t>
            </w:r>
          </w:p>
        </w:tc>
      </w:tr>
      <w:tr>
        <w:trPr>
          <w:trHeight w:val="311"/>
        </w:trPr>
        <w:tc>
          <w:tcPr>
            <w:tcW w:w="6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 xml:space="preserve">Number of subscriptions </w:t>
            </w:r>
            <w:r>
              <w:rPr>
                <w:rFonts w:ascii="Arial" w:cs="Arial" w:eastAsia="Arial" w:hAnsi="Arial"/>
                <w:sz w:val="14"/>
                <w:szCs w:val="14"/>
                <w:i w:val="1"/>
                <w:iCs w:val="1"/>
                <w:color w:val="auto"/>
              </w:rPr>
              <w:t>(in thousands)</w:t>
            </w:r>
            <w:r>
              <w:rPr>
                <w:rFonts w:ascii="Arial" w:cs="Arial" w:eastAsia="Arial" w:hAnsi="Arial"/>
                <w:sz w:val="18"/>
                <w:szCs w:val="18"/>
                <w:b w:val="1"/>
                <w:bCs w:val="1"/>
                <w:color w:val="auto"/>
              </w:rPr>
              <w:t xml:space="preserve"> </w:t>
            </w:r>
            <w:r>
              <w:rPr>
                <w:rFonts w:ascii="Arial" w:cs="Arial" w:eastAsia="Arial" w:hAnsi="Arial"/>
                <w:sz w:val="16"/>
                <w:szCs w:val="16"/>
                <w:color w:val="auto"/>
              </w:rPr>
              <w:t>(2)</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1,267.1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2,266.8</w:t>
            </w: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Maintenance plan</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(652.8)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1,448.9</w:t>
            </w:r>
          </w:p>
        </w:tc>
      </w:tr>
      <w:tr>
        <w:trPr>
          <w:trHeight w:val="33"/>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subscriptions</w:t>
            </w: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614.3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3,715.7</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ARPS </w:t>
            </w:r>
            <w:r>
              <w:rPr>
                <w:rFonts w:ascii="Arial" w:cs="Arial" w:eastAsia="Arial" w:hAnsi="Arial"/>
                <w:sz w:val="14"/>
                <w:szCs w:val="14"/>
                <w:i w:val="1"/>
                <w:iCs w:val="1"/>
                <w:color w:val="auto"/>
              </w:rPr>
              <w:t>(ARR divided by number of subscriptions)</w:t>
            </w:r>
            <w:r>
              <w:rPr>
                <w:rFonts w:ascii="Arial" w:cs="Arial" w:eastAsia="Arial" w:hAnsi="Arial"/>
                <w:sz w:val="18"/>
                <w:szCs w:val="18"/>
                <w:b w:val="1"/>
                <w:bCs w:val="1"/>
                <w:color w:val="auto"/>
              </w:rPr>
              <w:t xml:space="preserve"> </w:t>
            </w:r>
            <w:r>
              <w:rPr>
                <w:rFonts w:ascii="Arial" w:cs="Arial" w:eastAsia="Arial" w:hAnsi="Arial"/>
                <w:sz w:val="16"/>
                <w:szCs w:val="16"/>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Subscription plan ARPS</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20"/>
                <w:szCs w:val="20"/>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ARPS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r>
      <w:tr>
        <w:trPr>
          <w:trHeight w:val="237"/>
        </w:trPr>
        <w:tc>
          <w:tcPr>
            <w:tcW w:w="6820" w:type="dxa"/>
            <w:vAlign w:val="bottom"/>
          </w:tcPr>
          <w:p>
            <w:pPr>
              <w:ind w:left="360"/>
              <w:spacing w:after="0"/>
              <w:rPr>
                <w:sz w:val="20"/>
                <w:szCs w:val="20"/>
                <w:color w:val="auto"/>
              </w:rPr>
            </w:pPr>
            <w:r>
              <w:rPr>
                <w:rFonts w:ascii="Arial" w:cs="Arial" w:eastAsia="Arial" w:hAnsi="Arial"/>
                <w:sz w:val="16"/>
                <w:szCs w:val="16"/>
                <w:color w:val="auto"/>
              </w:rPr>
              <w:t>Total ARPS (3)</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0"/>
                <w:szCs w:val="20"/>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553</w:t>
            </w:r>
          </w:p>
        </w:tc>
      </w:tr>
      <w:tr>
        <w:trPr>
          <w:trHeight w:val="249"/>
        </w:trPr>
        <w:tc>
          <w:tcPr>
            <w:tcW w:w="682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ind w:left="420" w:right="840" w:hanging="412"/>
        <w:spacing w:after="0" w:line="249"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Consolidated Statements of Operations.</w:t>
      </w: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first quarter of fiscal 2020, we will discontinue presenting subscriptions and ARPS on a quarterly basis.</w:t>
      </w:r>
    </w:p>
    <w:p>
      <w:pPr>
        <w:spacing w:after="0" w:line="5" w:lineRule="exact"/>
        <w:rPr>
          <w:rFonts w:ascii="Arial" w:cs="Arial" w:eastAsia="Arial" w:hAnsi="Arial"/>
          <w:sz w:val="16"/>
          <w:szCs w:val="16"/>
          <w:color w:val="auto"/>
        </w:rPr>
      </w:pPr>
    </w:p>
    <w:p>
      <w:pPr>
        <w:ind w:left="420" w:right="40" w:hanging="412"/>
        <w:spacing w:after="0" w:line="252"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are small variances between ARR and total subscriptions due in part to the inherent limitation with collecting all subscriptions information. For example, Buzzsaw and Constructware are included with ARR but not in total subscriptions due to these inherent limitations. We do not view these variances as meaningful to amounts or quarterly comparisons presented here for ARPS.</w:t>
      </w:r>
    </w:p>
    <w:p>
      <w:pPr>
        <w:spacing w:after="0" w:line="185"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Total ARR increased 34% as of January 31, 2019 as compared to the end of fiscal 2018, primarily due to a 87% increase in subscription plan ARR driven by product subscriptions, including the M2S program. The increase was partially offset by a 38% decrease in maintenance plan ARR driven by the migration from maintenance plan subscriptions to subscription plan subscriptions. Under ASC 605, total ARR increased 32% as compared to the end of the prior fiscal year primarily due to an 84% increase in subscription plan ARR, partially offset by a 36% decrease in maintenance plan ARR.</w:t>
      </w:r>
    </w:p>
    <w:p>
      <w:pPr>
        <w:spacing w:after="0" w:line="15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Subscription plan subscriptions increased 56% or approximately 1.3 million as compared to the end of fiscal 2018, driven by growth in all subscription plan types, led by new product subscriptions. Subscription plan subscriptions benefited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0330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approximately 452,000 maintenance subscribers that were converted to product subscription under the maintenance-to-subscription program during the fiscal year ended January 31, 2019.</w:t>
      </w:r>
    </w:p>
    <w:p>
      <w:pPr>
        <w:spacing w:after="0" w:line="170"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Maintenance plan subscriptions decreased 45% or approximately 652,800 as compared to the end of fiscal 2018, primarily as a result of the strong performance of the M2S program in which approximately 452,000 maintenance plan subscriptions converted to product subscription during the fiscal year ended January 31, 2019. The net decrease is expected and we expect to see ongoing declines in maintenance plan subscriptions going forward as part of the business model transition. The rate of decline will vary based on the number of subscriptions subject to renewal, the renewal rate, and our ability to incentivize customers to switch over to EBAs or product subscriptions.</w:t>
      </w:r>
    </w:p>
    <w:p>
      <w:pPr>
        <w:spacing w:after="0" w:line="18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January 31, 2019, when adjusted for the impact of the M2S program, subscription plan ARPS and maintenance plan ARPS would have been $631 and $641, respectively.</w:t>
      </w:r>
    </w:p>
    <w:p>
      <w:pPr>
        <w:spacing w:after="0" w:line="17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ARPS as of January 31, 2019, was $635 under ASC 606, a 15% increase compared to the prior fiscal year primarily due to an increase in subscription plan ARPS. The increase in subscription plan ARPS was driven by growth in all subscription plan types, led by product subscription ARPS. Under ASC 605, ARPS was $628 as of January 31, 2019.</w:t>
      </w:r>
    </w:p>
    <w:p>
      <w:pPr>
        <w:spacing w:after="0" w:line="181"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Our ARPS is currently, and will continue to be, affected by various factors including the M2S program, geography and product mix, promotions, acquisitions, sales linearity within a quarter, pricing changes, and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271780</wp:posOffset>
            </wp:positionV>
            <wp:extent cx="100330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Impact of New Revenue Accounting Standard</w:t>
      </w:r>
    </w:p>
    <w:p>
      <w:pPr>
        <w:spacing w:after="0" w:line="22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Effective in the first quarter of fiscal 2019, we adopted Accounting Standard Update No. 2014-09, which codified new revenue recognition guidance under ASC Topic 606. Previously, we followed revenue accounting guidance under ASC Topic 605. Under the modified retrospective adoption, Autodesk calculated the impact of the adoption during fiscal 2019, as the first year of adoption. The table below shows what some of our key metrics would have been under ASC Topic 605 (see Part II, Item 8, Note 1, “Business and Summary of Significant Accounting Policies” for more details on our adoption and impacts).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Fiscal Year Ended January 31, 2019</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January 31, 2018</w:t>
            </w:r>
          </w:p>
        </w:tc>
        <w:tc>
          <w:tcPr>
            <w:tcW w:w="0" w:type="dxa"/>
            <w:vAlign w:val="bottom"/>
          </w:tcPr>
          <w:p>
            <w:pPr>
              <w:spacing w:after="0"/>
              <w:rPr>
                <w:sz w:val="1"/>
                <w:szCs w:val="1"/>
                <w:color w:val="auto"/>
              </w:rPr>
            </w:pPr>
          </w:p>
        </w:tc>
      </w:tr>
      <w:tr>
        <w:trPr>
          <w:trHeight w:val="264"/>
        </w:trPr>
        <w:tc>
          <w:tcPr>
            <w:tcW w:w="7400" w:type="dxa"/>
            <w:vAlign w:val="bottom"/>
          </w:tcPr>
          <w:p>
            <w:pPr>
              <w:ind w:left="40"/>
              <w:spacing w:after="0"/>
              <w:rPr>
                <w:sz w:val="20"/>
                <w:szCs w:val="20"/>
                <w:color w:val="auto"/>
              </w:rPr>
            </w:pPr>
            <w:r>
              <w:rPr>
                <w:rFonts w:ascii="Arial" w:cs="Arial" w:eastAsia="Arial" w:hAnsi="Arial"/>
                <w:sz w:val="14"/>
                <w:szCs w:val="14"/>
                <w:i w:val="1"/>
                <w:iCs w:val="1"/>
                <w:color w:val="auto"/>
              </w:rPr>
              <w:t>(in millions except ARPS)</w:t>
            </w:r>
          </w:p>
        </w:tc>
        <w:tc>
          <w:tcPr>
            <w:tcW w:w="120" w:type="dxa"/>
            <w:vAlign w:val="bottom"/>
          </w:tcPr>
          <w:p>
            <w:pPr>
              <w:spacing w:after="0"/>
              <w:rPr>
                <w:sz w:val="22"/>
                <w:szCs w:val="22"/>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ASC 606</w:t>
            </w: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ASC 605</w:t>
            </w:r>
          </w:p>
        </w:tc>
        <w:tc>
          <w:tcPr>
            <w:tcW w:w="140" w:type="dxa"/>
            <w:vAlign w:val="bottom"/>
          </w:tcPr>
          <w:p>
            <w:pPr>
              <w:spacing w:after="0"/>
              <w:rPr>
                <w:sz w:val="22"/>
                <w:szCs w:val="22"/>
                <w:color w:val="auto"/>
              </w:rPr>
            </w:pPr>
          </w:p>
        </w:tc>
        <w:tc>
          <w:tcPr>
            <w:tcW w:w="132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ASC 605</w:t>
            </w: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Key Income Statement Metrics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6"/>
                <w:szCs w:val="16"/>
                <w:color w:val="auto"/>
              </w:rPr>
              <w:t>Subscription 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1,802.3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1,785.7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894.3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Maintenance revenue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989.6</w:t>
            </w: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6"/>
                <w:szCs w:val="16"/>
                <w:color w:val="auto"/>
              </w:rPr>
              <w:t>Other revenue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132.4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2,569.8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2,056.6</w:t>
            </w:r>
          </w:p>
        </w:tc>
        <w:tc>
          <w:tcPr>
            <w:tcW w:w="0" w:type="dxa"/>
            <w:vAlign w:val="bottom"/>
          </w:tcPr>
          <w:p>
            <w:pPr>
              <w:spacing w:after="0"/>
              <w:rPr>
                <w:sz w:val="1"/>
                <w:szCs w:val="1"/>
                <w:color w:val="auto"/>
              </w:rPr>
            </w:pPr>
          </w:p>
        </w:tc>
      </w:tr>
      <w:tr>
        <w:trPr>
          <w:trHeight w:val="217"/>
        </w:trPr>
        <w:tc>
          <w:tcPr>
            <w:tcW w:w="740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2,283.9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1,753.2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spend (1)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2,594.8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2,565.7</w:t>
            </w:r>
          </w:p>
        </w:tc>
        <w:tc>
          <w:tcPr>
            <w:tcW w:w="0" w:type="dxa"/>
            <w:vAlign w:val="bottom"/>
          </w:tcPr>
          <w:p>
            <w:pPr>
              <w:spacing w:after="0"/>
              <w:rPr>
                <w:sz w:val="1"/>
                <w:szCs w:val="1"/>
                <w:color w:val="auto"/>
              </w:rPr>
            </w:pPr>
          </w:p>
        </w:tc>
      </w:tr>
      <w:tr>
        <w:trPr>
          <w:trHeight w:val="284"/>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(566.9)</w:t>
            </w:r>
          </w:p>
        </w:tc>
        <w:tc>
          <w:tcPr>
            <w:tcW w:w="0" w:type="dxa"/>
            <w:vAlign w:val="bottom"/>
          </w:tcPr>
          <w:p>
            <w:pPr>
              <w:spacing w:after="0"/>
              <w:rPr>
                <w:sz w:val="1"/>
                <w:szCs w:val="1"/>
                <w:color w:val="auto"/>
              </w:rPr>
            </w:pPr>
          </w:p>
        </w:tc>
      </w:tr>
      <w:tr>
        <w:trPr>
          <w:trHeight w:val="224"/>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and diluted net loss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ARR</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 plan ARR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1,175.0</w:t>
            </w: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6"/>
                <w:szCs w:val="16"/>
                <w:color w:val="auto"/>
              </w:rPr>
              <w:t>Maintenance plan ARR</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549.3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879.1</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ARR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2,749.4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2,054.1</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ARPS (2)</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 plan ARPS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6"/>
                <w:szCs w:val="16"/>
                <w:color w:val="auto"/>
              </w:rPr>
              <w:t>Maintenance plan ARPS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ARPS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Net Revenue by Product Family (3)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Architecture, Engineering and Construction ("AEC")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787.5</w:t>
            </w: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6"/>
                <w:szCs w:val="16"/>
                <w:color w:val="auto"/>
              </w:rPr>
              <w:t>AutoCAD and AutoCAD LT ("ACAD")</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731.8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561.4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Manufacturing ("MFG")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528.8</w:t>
            </w: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6"/>
                <w:szCs w:val="16"/>
                <w:color w:val="auto"/>
              </w:rPr>
              <w:t>Media and Entertainment ("M&amp;E")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84"/>
        </w:trPr>
        <w:tc>
          <w:tcPr>
            <w:tcW w:w="7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2,569.8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2,547.6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2,056.6</w:t>
            </w: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 by Geography</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1,049.9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871.1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Europe, Middle East and Africa ("EMEA")</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6"/>
                <w:szCs w:val="16"/>
                <w:color w:val="auto"/>
              </w:rPr>
              <w:t>Asia Pacific ("APAC")</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485.6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370.1</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2,569.8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2,056.6</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total spend is defined as cost of revenue plus operating expenses.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first quarter of fiscal 2020, we will discontinue presenting subscriptions and ARPS on a quarterly basis.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26"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adoption of ASC Topic 606 required a change to our reporting of deferred revenue. See discussions below under the heading "Total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00330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Germany, Japan, the United Kingdom and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5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Fiscal Year Ended January 31, 2019</w:t>
            </w:r>
          </w:p>
        </w:tc>
        <w:tc>
          <w:tcPr>
            <w:tcW w:w="0" w:type="dxa"/>
            <w:vAlign w:val="bottom"/>
          </w:tcPr>
          <w:p>
            <w:pPr>
              <w:spacing w:after="0"/>
              <w:rPr>
                <w:sz w:val="1"/>
                <w:szCs w:val="1"/>
                <w:color w:val="auto"/>
              </w:rPr>
            </w:pPr>
          </w:p>
        </w:tc>
      </w:tr>
      <w:tr>
        <w:trPr>
          <w:trHeight w:val="152"/>
        </w:trPr>
        <w:tc>
          <w:tcPr>
            <w:tcW w:w="6000" w:type="dxa"/>
            <w:vAlign w:val="bottom"/>
          </w:tcPr>
          <w:p>
            <w:pPr>
              <w:spacing w:after="0"/>
              <w:rPr>
                <w:sz w:val="13"/>
                <w:szCs w:val="13"/>
                <w:color w:val="auto"/>
              </w:rPr>
            </w:pPr>
          </w:p>
        </w:tc>
        <w:tc>
          <w:tcPr>
            <w:tcW w:w="18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Percent</w:t>
            </w: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Constant currency percent</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Positive/negative/neutral</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change compared to</w:t>
            </w:r>
          </w:p>
        </w:tc>
        <w:tc>
          <w:tcPr>
            <w:tcW w:w="18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prior fiscal year (as</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impact from foreign</w:t>
            </w: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prior fiscal year (1)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36"/>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Positive</w:t>
            </w:r>
          </w:p>
        </w:tc>
        <w:tc>
          <w:tcPr>
            <w:tcW w:w="0" w:type="dxa"/>
            <w:vAlign w:val="bottom"/>
          </w:tcPr>
          <w:p>
            <w:pPr>
              <w:spacing w:after="0"/>
              <w:rPr>
                <w:sz w:val="1"/>
                <w:szCs w:val="1"/>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Total spend</w:t>
            </w:r>
          </w:p>
        </w:tc>
        <w:tc>
          <w:tcPr>
            <w:tcW w:w="1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Neutral</w:t>
            </w:r>
          </w:p>
        </w:tc>
        <w:tc>
          <w:tcPr>
            <w:tcW w:w="0" w:type="dxa"/>
            <w:vAlign w:val="bottom"/>
          </w:tcPr>
          <w:p>
            <w:pPr>
              <w:spacing w:after="0"/>
              <w:rPr>
                <w:sz w:val="1"/>
                <w:szCs w:val="1"/>
                <w:color w:val="auto"/>
              </w:rPr>
            </w:pPr>
          </w:p>
        </w:tc>
      </w:tr>
      <w:tr>
        <w:trPr>
          <w:trHeight w:val="249"/>
        </w:trPr>
        <w:tc>
          <w:tcPr>
            <w:tcW w:w="600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180"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Total Deferred Revenue</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adoption of ASC Topic 606 required a change to the definition of unbilled deferred revenue and new qualitative and quantitative disclosures around our performance obligations. Unbilled deferred revenue represents contractually stated or committed orders under early renewal and multi-year billing plans primarily for subscription, services and maintenance for which the associated deferred revenue has not been recognized. Under ASC Topic 606, unbilled deferred revenue is not included as a receivable or deferred revenue on our Consolidated Balance Sheet. See Part II, Item 8, Note 2, “Revenue Recognition” for more details on Autodesk's performance obligations.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January 31, 2019</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w w:val="99"/>
              </w:rPr>
              <w:t>January 31, 2018</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ASC 606</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ASC 605</w:t>
            </w:r>
          </w:p>
        </w:tc>
        <w:tc>
          <w:tcPr>
            <w:tcW w:w="220" w:type="dxa"/>
            <w:vAlign w:val="bottom"/>
          </w:tcPr>
          <w:p>
            <w:pPr>
              <w:spacing w:after="0"/>
              <w:rPr>
                <w:sz w:val="22"/>
                <w:szCs w:val="22"/>
                <w:color w:val="auto"/>
              </w:rPr>
            </w:pPr>
          </w:p>
        </w:tc>
        <w:tc>
          <w:tcPr>
            <w:tcW w:w="1020" w:type="dxa"/>
            <w:vAlign w:val="bottom"/>
          </w:tcPr>
          <w:p>
            <w:pPr>
              <w:jc w:val="right"/>
              <w:ind w:right="281"/>
              <w:spacing w:after="0"/>
              <w:rPr>
                <w:sz w:val="20"/>
                <w:szCs w:val="20"/>
                <w:color w:val="auto"/>
              </w:rPr>
            </w:pPr>
            <w:r>
              <w:rPr>
                <w:rFonts w:ascii="Arial" w:cs="Arial" w:eastAsia="Arial" w:hAnsi="Arial"/>
                <w:sz w:val="14"/>
                <w:szCs w:val="14"/>
                <w:b w:val="1"/>
                <w:bCs w:val="1"/>
                <w:color w:val="auto"/>
              </w:rPr>
              <w:t>ASC 605</w:t>
            </w:r>
          </w:p>
        </w:tc>
      </w:tr>
      <w:tr>
        <w:trPr>
          <w:trHeight w:val="236"/>
        </w:trPr>
        <w:tc>
          <w:tcPr>
            <w:tcW w:w="7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2,091.4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1,955.1</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Unbilled deferred revenue</w:t>
            </w:r>
          </w:p>
        </w:tc>
        <w:tc>
          <w:tcPr>
            <w:tcW w:w="18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591.0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491.6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326.4</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deferred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2,682.4</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2,760.8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2,281.5</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Balance Sheet and Cash Flow Items</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At January 31, 2019, we had $953.6 million in cash and marketable securities. Our cash flow from operations increased to $377.1 million for the fiscal year ended January 31, 2019 from $0.9 million for the fiscal year ended January 31, 2018. We repurchased 2.2 million shares of our common stock for $292.5 million during fiscal 2019. Comparatively, we repurchased 6.9 million shares of our common stock for $690.1 million during fiscal 2018. Further discussion regarding the balance sheet and cash flow activities are discussed below under the heading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272415</wp:posOffset>
            </wp:positionV>
            <wp:extent cx="100330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The revenue and spend balances included in the tables below during the fiscal year ended January 31, 2019, are calculated under ASC Topic 606. For comparison of subscription revenue, maintenance revenue, other revenue and total spend during the fiscal year ended January 31, 2019, under ASC Topic 605, refer to the table within Item 7, "Overview" under the title "Impact of New Revenue Accounting Standard."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Income Statement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 revenue consists of our term-based product subscriptions, cloud service offerings, and flexible enterprise</w:t>
      </w:r>
    </w:p>
    <w:p>
      <w:pPr>
        <w:spacing w:after="0" w:line="2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business arrangements. Revenue from these arrangements is recognized ratably over the contract term commencing with the date our service is made available to customers and when all other revenue recognition criteria have been satisfied.</w:t>
      </w:r>
    </w:p>
    <w:p>
      <w:pPr>
        <w:spacing w:after="0" w:line="18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18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Other revenue consists of revenue from consulting, training and other services, and is recognized over time as the services are performed. Other revenue also includes software license revenue from the sale of products which do not incorporate substantial cloud services and is recognized up front.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00330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1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200" w:type="dxa"/>
            <w:vAlign w:val="bottom"/>
          </w:tcPr>
          <w:p>
            <w:pPr>
              <w:spacing w:after="0"/>
              <w:rPr>
                <w:sz w:val="12"/>
                <w:szCs w:val="12"/>
                <w:color w:val="auto"/>
              </w:rPr>
            </w:pPr>
          </w:p>
        </w:tc>
        <w:tc>
          <w:tcPr>
            <w:tcW w:w="18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40" w:type="dxa"/>
            <w:vAlign w:val="bottom"/>
          </w:tcPr>
          <w:p>
            <w:pPr>
              <w:spacing w:after="0"/>
              <w:rPr>
                <w:sz w:val="12"/>
                <w:szCs w:val="12"/>
                <w:color w:val="auto"/>
              </w:rPr>
            </w:pPr>
          </w:p>
        </w:tc>
        <w:tc>
          <w:tcPr>
            <w:tcW w:w="6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100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January 31,</w:t>
            </w: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January 31,</w:t>
            </w:r>
          </w:p>
        </w:tc>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3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1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3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78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1,802.3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908.0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894.3</w:t>
            </w:r>
          </w:p>
        </w:tc>
        <w:tc>
          <w:tcPr>
            <w:tcW w:w="1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w w:val="94"/>
              </w:rPr>
              <w:t>Up due to growth across all subscription types,</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w w:val="98"/>
              </w:rPr>
              <w:t>led by product subscription renewal revenue,</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w w:val="98"/>
              </w:rPr>
              <w:t>which benefited from the success of the M2S</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w w:val="99"/>
              </w:rPr>
              <w:t>program. Also contributing to the growth was</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an increase in revenue from new product</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subscriptions and EBA offerings.</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989.6</w:t>
            </w: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maintenance plan subscriptions to subscription</w:t>
            </w:r>
          </w:p>
        </w:tc>
        <w:tc>
          <w:tcPr>
            <w:tcW w:w="0" w:type="dxa"/>
            <w:vAlign w:val="bottom"/>
          </w:tcPr>
          <w:p>
            <w:pPr>
              <w:spacing w:after="0"/>
              <w:rPr>
                <w:sz w:val="1"/>
                <w:szCs w:val="1"/>
                <w:color w:val="auto"/>
              </w:rPr>
            </w:pPr>
          </w:p>
        </w:tc>
      </w:tr>
      <w:tr>
        <w:trPr>
          <w:trHeight w:val="239"/>
        </w:trPr>
        <w:tc>
          <w:tcPr>
            <w:tcW w:w="4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340" w:type="dxa"/>
            <w:vAlign w:val="bottom"/>
          </w:tcPr>
          <w:p>
            <w:pPr>
              <w:ind w:left="520"/>
              <w:spacing w:after="0"/>
              <w:rPr>
                <w:sz w:val="20"/>
                <w:szCs w:val="20"/>
                <w:color w:val="auto"/>
              </w:rPr>
            </w:pPr>
            <w:r>
              <w:rPr>
                <w:rFonts w:ascii="Arial" w:cs="Arial" w:eastAsia="Arial" w:hAnsi="Arial"/>
                <w:sz w:val="16"/>
                <w:szCs w:val="16"/>
                <w:color w:val="auto"/>
              </w:rPr>
              <w:t>Total subscription and maintenance revenue</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2,437.4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553.5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7"/>
              </w:rPr>
              <w:t>1,883.9</w:t>
            </w: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172.7</w:t>
            </w: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2,569.8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513.2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7"/>
              </w:rPr>
              <w:t>2,056.6</w:t>
            </w:r>
          </w:p>
        </w:tc>
        <w:tc>
          <w:tcPr>
            <w:tcW w:w="1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360" w:hanging="412"/>
        <w:spacing w:after="0" w:line="249"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expect maintenance revenue will continue to decline; however, the rate of decline will vary based on the number of renewals, the renewal rate, and our ability to incentivize maintenance plan customers to switch over to subscription plan offerings.</w:t>
      </w:r>
    </w:p>
    <w:p>
      <w:pPr>
        <w:ind w:left="420" w:hanging="412"/>
        <w:spacing w:after="0"/>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4"/>
                <w:szCs w:val="14"/>
                <w:color w:val="auto"/>
              </w:rPr>
            </w:pPr>
          </w:p>
        </w:tc>
        <w:tc>
          <w:tcPr>
            <w:tcW w:w="17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Change compared to</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220" w:type="dxa"/>
            <w:vAlign w:val="bottom"/>
          </w:tcPr>
          <w:p>
            <w:pPr>
              <w:spacing w:after="0"/>
              <w:rPr>
                <w:sz w:val="12"/>
                <w:szCs w:val="12"/>
                <w:color w:val="auto"/>
              </w:rPr>
            </w:pPr>
          </w:p>
        </w:tc>
        <w:tc>
          <w:tcPr>
            <w:tcW w:w="17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4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340" w:type="dxa"/>
            <w:vAlign w:val="bottom"/>
          </w:tcPr>
          <w:p>
            <w:pPr>
              <w:spacing w:after="0"/>
              <w:rPr>
                <w:sz w:val="4"/>
                <w:szCs w:val="4"/>
                <w:color w:val="auto"/>
              </w:rPr>
            </w:pPr>
          </w:p>
        </w:tc>
        <w:tc>
          <w:tcPr>
            <w:tcW w:w="10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January 31,</w:t>
            </w: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January 31,</w:t>
            </w:r>
          </w:p>
        </w:tc>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34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1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3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78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894.3</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451.2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443.1</w:t>
            </w:r>
          </w:p>
        </w:tc>
        <w:tc>
          <w:tcPr>
            <w:tcW w:w="1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w w:val="94"/>
              </w:rPr>
              <w:t>Up due to growth across all subscription types,</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led by product subscriptions and EBA</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w w:val="97"/>
              </w:rPr>
              <w:t>offerings, primarily as a result of the business</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model transition.</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7"/>
              </w:rPr>
              <w:t>1,103.1</w:t>
            </w: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the discontinued sale of new</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maintenance agreements and the migration of</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customers moving from maintenance to</w:t>
            </w:r>
          </w:p>
        </w:tc>
        <w:tc>
          <w:tcPr>
            <w:tcW w:w="0" w:type="dxa"/>
            <w:vAlign w:val="bottom"/>
          </w:tcPr>
          <w:p>
            <w:pPr>
              <w:spacing w:after="0"/>
              <w:rPr>
                <w:sz w:val="1"/>
                <w:szCs w:val="1"/>
                <w:color w:val="auto"/>
              </w:rPr>
            </w:pPr>
          </w:p>
        </w:tc>
      </w:tr>
      <w:tr>
        <w:trPr>
          <w:trHeight w:val="239"/>
        </w:trPr>
        <w:tc>
          <w:tcPr>
            <w:tcW w:w="4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0" w:type="dxa"/>
            <w:vAlign w:val="bottom"/>
          </w:tcPr>
          <w:p>
            <w:pPr>
              <w:spacing w:after="0"/>
              <w:rPr>
                <w:sz w:val="1"/>
                <w:szCs w:val="1"/>
                <w:color w:val="auto"/>
              </w:rPr>
            </w:pPr>
          </w:p>
        </w:tc>
      </w:tr>
      <w:tr>
        <w:trPr>
          <w:trHeight w:val="217"/>
        </w:trPr>
        <w:tc>
          <w:tcPr>
            <w:tcW w:w="4340" w:type="dxa"/>
            <w:vAlign w:val="bottom"/>
          </w:tcPr>
          <w:p>
            <w:pPr>
              <w:ind w:left="520"/>
              <w:spacing w:after="0"/>
              <w:rPr>
                <w:sz w:val="20"/>
                <w:szCs w:val="20"/>
                <w:color w:val="auto"/>
              </w:rPr>
            </w:pPr>
            <w:r>
              <w:rPr>
                <w:rFonts w:ascii="Arial" w:cs="Arial" w:eastAsia="Arial" w:hAnsi="Arial"/>
                <w:sz w:val="16"/>
                <w:szCs w:val="16"/>
                <w:color w:val="auto"/>
              </w:rPr>
              <w:t>Total subscription and maintenance revenue</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1,883.9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337.7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7"/>
              </w:rPr>
              <w:t>1,546.2</w:t>
            </w: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(2)</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484.8</w:t>
            </w:r>
          </w:p>
        </w:tc>
        <w:tc>
          <w:tcPr>
            <w:tcW w:w="1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2,056.6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25.6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97"/>
              </w:rPr>
              <w:t>2,031.0</w:t>
            </w:r>
          </w:p>
        </w:tc>
        <w:tc>
          <w:tcPr>
            <w:tcW w:w="1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360" w:hanging="412"/>
        <w:spacing w:after="0" w:line="249" w:lineRule="auto"/>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expect maintenance revenue will continue to decline; however, the rate of decline will vary based on the number of renewals, the renewal rate, and our ability to incentivize maintenance plan customers to switch over to subscription plan offerings.</w:t>
      </w:r>
    </w:p>
    <w:p>
      <w:pPr>
        <w:ind w:left="420" w:hanging="412"/>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292100</wp:posOffset>
            </wp:positionV>
            <wp:extent cx="100330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Product Family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offerings are focused in four primary product families: AEC, ACAD, MFG, and M&amp;E.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1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18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40" w:type="dxa"/>
            <w:vAlign w:val="bottom"/>
          </w:tcPr>
          <w:p>
            <w:pPr>
              <w:spacing w:after="0"/>
              <w:rPr>
                <w:sz w:val="12"/>
                <w:szCs w:val="12"/>
                <w:color w:val="auto"/>
              </w:rPr>
            </w:pPr>
          </w:p>
        </w:tc>
        <w:tc>
          <w:tcPr>
            <w:tcW w:w="6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90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3"/>
              </w:rPr>
              <w:t>January 31,</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76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421"/>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7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62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Net revenue by product family (1):</w:t>
            </w: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AEC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3"/>
              </w:rPr>
              <w:t>1,021.6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234.1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787.5</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an increase in AEC collections as well as an</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increase in revenue from EBAs and our individual product</w:t>
            </w:r>
          </w:p>
        </w:tc>
        <w:tc>
          <w:tcPr>
            <w:tcW w:w="0" w:type="dxa"/>
            <w:vAlign w:val="bottom"/>
          </w:tcPr>
          <w:p>
            <w:pPr>
              <w:spacing w:after="0"/>
              <w:rPr>
                <w:sz w:val="1"/>
                <w:szCs w:val="1"/>
                <w:color w:val="auto"/>
              </w:rPr>
            </w:pPr>
          </w:p>
        </w:tc>
      </w:tr>
      <w:tr>
        <w:trPr>
          <w:trHeight w:val="219"/>
        </w:trPr>
        <w:tc>
          <w:tcPr>
            <w:tcW w:w="3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offering, Revit.</w:t>
            </w:r>
          </w:p>
        </w:tc>
        <w:tc>
          <w:tcPr>
            <w:tcW w:w="0" w:type="dxa"/>
            <w:vAlign w:val="bottom"/>
          </w:tcPr>
          <w:p>
            <w:pPr>
              <w:spacing w:after="0"/>
              <w:rPr>
                <w:sz w:val="1"/>
                <w:szCs w:val="1"/>
                <w:color w:val="auto"/>
              </w:rPr>
            </w:pPr>
          </w:p>
        </w:tc>
      </w:tr>
      <w:tr>
        <w:trPr>
          <w:trHeight w:val="220"/>
        </w:trPr>
        <w:tc>
          <w:tcPr>
            <w:tcW w:w="3760" w:type="dxa"/>
            <w:vAlign w:val="bottom"/>
          </w:tcPr>
          <w:p>
            <w:pPr>
              <w:ind w:left="380"/>
              <w:spacing w:after="0"/>
              <w:rPr>
                <w:sz w:val="20"/>
                <w:szCs w:val="20"/>
                <w:color w:val="auto"/>
              </w:rPr>
            </w:pPr>
            <w:r>
              <w:rPr>
                <w:rFonts w:ascii="Arial" w:cs="Arial" w:eastAsia="Arial" w:hAnsi="Arial"/>
                <w:sz w:val="16"/>
                <w:szCs w:val="16"/>
                <w:color w:val="auto"/>
              </w:rPr>
              <w:t>ACAD</w:t>
            </w:r>
          </w:p>
        </w:tc>
        <w:tc>
          <w:tcPr>
            <w:tcW w:w="16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731.8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170.4</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561.4</w:t>
            </w:r>
          </w:p>
        </w:tc>
        <w:tc>
          <w:tcPr>
            <w:tcW w:w="100" w:type="dxa"/>
            <w:vAlign w:val="bottom"/>
          </w:tcPr>
          <w:p>
            <w:pPr>
              <w:spacing w:after="0"/>
              <w:rPr>
                <w:sz w:val="19"/>
                <w:szCs w:val="19"/>
                <w:color w:val="auto"/>
              </w:rPr>
            </w:pPr>
          </w:p>
        </w:tc>
        <w:tc>
          <w:tcPr>
            <w:tcW w:w="3880" w:type="dxa"/>
            <w:vAlign w:val="bottom"/>
          </w:tcPr>
          <w:p>
            <w:pPr>
              <w:ind w:left="40"/>
              <w:spacing w:after="0"/>
              <w:rPr>
                <w:sz w:val="20"/>
                <w:szCs w:val="20"/>
                <w:color w:val="auto"/>
              </w:rPr>
            </w:pPr>
            <w:r>
              <w:rPr>
                <w:rFonts w:ascii="Arial" w:cs="Arial" w:eastAsia="Arial" w:hAnsi="Arial"/>
                <w:sz w:val="16"/>
                <w:szCs w:val="16"/>
                <w:color w:val="auto"/>
                <w:w w:val="96"/>
              </w:rPr>
              <w:t>Up due to increases in revenue from both AutoCAD and</w:t>
            </w:r>
          </w:p>
        </w:tc>
        <w:tc>
          <w:tcPr>
            <w:tcW w:w="0" w:type="dxa"/>
            <w:vAlign w:val="bottom"/>
          </w:tcPr>
          <w:p>
            <w:pPr>
              <w:spacing w:after="0"/>
              <w:rPr>
                <w:sz w:val="1"/>
                <w:szCs w:val="1"/>
                <w:color w:val="auto"/>
              </w:rPr>
            </w:pPr>
          </w:p>
        </w:tc>
      </w:tr>
      <w:tr>
        <w:trPr>
          <w:trHeight w:val="206"/>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Arial" w:cs="Arial" w:eastAsia="Arial" w:hAnsi="Arial"/>
                <w:sz w:val="16"/>
                <w:szCs w:val="16"/>
                <w:color w:val="auto"/>
              </w:rPr>
              <w:t>AutoCAD LT.</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MFG</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87.4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528.8</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an increase in MFG collections as well as an</w:t>
            </w:r>
          </w:p>
        </w:tc>
        <w:tc>
          <w:tcPr>
            <w:tcW w:w="0" w:type="dxa"/>
            <w:vAlign w:val="bottom"/>
          </w:tcPr>
          <w:p>
            <w:pPr>
              <w:spacing w:after="0"/>
              <w:rPr>
                <w:sz w:val="1"/>
                <w:szCs w:val="1"/>
                <w:color w:val="auto"/>
              </w:rPr>
            </w:pPr>
          </w:p>
        </w:tc>
      </w:tr>
      <w:tr>
        <w:trPr>
          <w:trHeight w:val="219"/>
        </w:trPr>
        <w:tc>
          <w:tcPr>
            <w:tcW w:w="3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increase in revenue from EBAs.</w:t>
            </w:r>
          </w:p>
        </w:tc>
        <w:tc>
          <w:tcPr>
            <w:tcW w:w="0" w:type="dxa"/>
            <w:vAlign w:val="bottom"/>
          </w:tcPr>
          <w:p>
            <w:pPr>
              <w:spacing w:after="0"/>
              <w:rPr>
                <w:sz w:val="1"/>
                <w:szCs w:val="1"/>
                <w:color w:val="auto"/>
              </w:rPr>
            </w:pPr>
          </w:p>
        </w:tc>
      </w:tr>
      <w:tr>
        <w:trPr>
          <w:trHeight w:val="220"/>
        </w:trPr>
        <w:tc>
          <w:tcPr>
            <w:tcW w:w="3760" w:type="dxa"/>
            <w:vAlign w:val="bottom"/>
          </w:tcPr>
          <w:p>
            <w:pPr>
              <w:ind w:left="380"/>
              <w:spacing w:after="0"/>
              <w:rPr>
                <w:sz w:val="20"/>
                <w:szCs w:val="20"/>
                <w:color w:val="auto"/>
              </w:rPr>
            </w:pPr>
            <w:r>
              <w:rPr>
                <w:rFonts w:ascii="Arial" w:cs="Arial" w:eastAsia="Arial" w:hAnsi="Arial"/>
                <w:sz w:val="16"/>
                <w:szCs w:val="16"/>
                <w:color w:val="auto"/>
              </w:rPr>
              <w:t>M&amp;E</w:t>
            </w:r>
          </w:p>
        </w:tc>
        <w:tc>
          <w:tcPr>
            <w:tcW w:w="16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29.9</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9"/>
                <w:szCs w:val="19"/>
                <w:color w:val="auto"/>
              </w:rPr>
            </w:pPr>
          </w:p>
        </w:tc>
        <w:tc>
          <w:tcPr>
            <w:tcW w:w="3880" w:type="dxa"/>
            <w:vAlign w:val="bottom"/>
          </w:tcPr>
          <w:p>
            <w:pPr>
              <w:ind w:left="40"/>
              <w:spacing w:after="0"/>
              <w:rPr>
                <w:sz w:val="20"/>
                <w:szCs w:val="20"/>
                <w:color w:val="auto"/>
              </w:rPr>
            </w:pPr>
            <w:r>
              <w:rPr>
                <w:rFonts w:ascii="Arial" w:cs="Arial" w:eastAsia="Arial" w:hAnsi="Arial"/>
                <w:sz w:val="16"/>
                <w:szCs w:val="16"/>
                <w:color w:val="auto"/>
              </w:rPr>
              <w:t>Up due to an increase in revenue from our individual</w:t>
            </w:r>
          </w:p>
        </w:tc>
        <w:tc>
          <w:tcPr>
            <w:tcW w:w="0" w:type="dxa"/>
            <w:vAlign w:val="bottom"/>
          </w:tcPr>
          <w:p>
            <w:pPr>
              <w:spacing w:after="0"/>
              <w:rPr>
                <w:sz w:val="1"/>
                <w:szCs w:val="1"/>
                <w:color w:val="auto"/>
              </w:rPr>
            </w:pPr>
          </w:p>
        </w:tc>
      </w:tr>
      <w:tr>
        <w:trPr>
          <w:trHeight w:val="206"/>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Arial" w:cs="Arial" w:eastAsia="Arial" w:hAnsi="Arial"/>
                <w:sz w:val="16"/>
                <w:szCs w:val="16"/>
                <w:color w:val="auto"/>
              </w:rPr>
              <w:t>product offerings 3DS Max and Maya.</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93"/>
              </w:rPr>
              <w:t>2,569.8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513.2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93"/>
              </w:rPr>
              <w:t>2,056.6</w:t>
            </w:r>
          </w:p>
        </w:tc>
        <w:tc>
          <w:tcPr>
            <w:tcW w:w="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Fiscal year</w:t>
            </w:r>
          </w:p>
        </w:tc>
      </w:tr>
      <w:tr>
        <w:trPr>
          <w:trHeight w:val="149"/>
        </w:trPr>
        <w:tc>
          <w:tcPr>
            <w:tcW w:w="36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36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January 31,</w:t>
            </w:r>
          </w:p>
        </w:tc>
      </w:tr>
      <w:tr>
        <w:trPr>
          <w:trHeight w:val="192"/>
        </w:trPr>
        <w:tc>
          <w:tcPr>
            <w:tcW w:w="36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3620" w:type="dxa"/>
            <w:vAlign w:val="bottom"/>
          </w:tcPr>
          <w:p>
            <w:pPr>
              <w:spacing w:after="0"/>
              <w:rPr>
                <w:sz w:val="20"/>
                <w:szCs w:val="20"/>
                <w:color w:val="auto"/>
              </w:rPr>
            </w:pPr>
            <w:r>
              <w:rPr>
                <w:rFonts w:ascii="Arial" w:cs="Arial" w:eastAsia="Arial" w:hAnsi="Arial"/>
                <w:sz w:val="16"/>
                <w:szCs w:val="16"/>
                <w:color w:val="auto"/>
              </w:rPr>
              <w:t>Net revenue by product family (1):</w:t>
            </w:r>
          </w:p>
        </w:tc>
        <w:tc>
          <w:tcPr>
            <w:tcW w:w="880" w:type="dxa"/>
            <w:vAlign w:val="bottom"/>
          </w:tcPr>
          <w:p>
            <w:pPr>
              <w:spacing w:after="0"/>
              <w:rPr>
                <w:sz w:val="18"/>
                <w:szCs w:val="18"/>
                <w:color w:val="auto"/>
              </w:rPr>
            </w:pPr>
          </w:p>
        </w:tc>
      </w:tr>
      <w:tr>
        <w:trPr>
          <w:trHeight w:val="284"/>
        </w:trPr>
        <w:tc>
          <w:tcPr>
            <w:tcW w:w="3620" w:type="dxa"/>
            <w:vAlign w:val="bottom"/>
          </w:tcPr>
          <w:p>
            <w:pPr>
              <w:ind w:left="340"/>
              <w:spacing w:after="0"/>
              <w:rPr>
                <w:sz w:val="20"/>
                <w:szCs w:val="20"/>
                <w:color w:val="auto"/>
              </w:rPr>
            </w:pPr>
            <w:r>
              <w:rPr>
                <w:rFonts w:ascii="Arial" w:cs="Arial" w:eastAsia="Arial" w:hAnsi="Arial"/>
                <w:sz w:val="16"/>
                <w:szCs w:val="16"/>
                <w:color w:val="auto"/>
              </w:rPr>
              <w:t>AEC</w:t>
            </w:r>
          </w:p>
        </w:tc>
        <w:tc>
          <w:tcPr>
            <w:tcW w:w="880" w:type="dxa"/>
            <w:vAlign w:val="bottom"/>
          </w:tcPr>
          <w:p>
            <w:pPr>
              <w:jc w:val="right"/>
              <w:ind w:right="31"/>
              <w:spacing w:after="0"/>
              <w:rPr>
                <w:sz w:val="20"/>
                <w:szCs w:val="20"/>
                <w:color w:val="auto"/>
              </w:rPr>
            </w:pPr>
            <w:r>
              <w:rPr>
                <w:rFonts w:ascii="Arial" w:cs="Arial" w:eastAsia="Arial" w:hAnsi="Arial"/>
                <w:sz w:val="16"/>
                <w:szCs w:val="16"/>
                <w:color w:val="auto"/>
                <w:w w:val="89"/>
              </w:rPr>
              <w:t>$787.5</w:t>
            </w:r>
          </w:p>
        </w:tc>
      </w:tr>
      <w:tr>
        <w:trPr>
          <w:trHeight w:val="864"/>
        </w:trPr>
        <w:tc>
          <w:tcPr>
            <w:tcW w:w="3620" w:type="dxa"/>
            <w:vAlign w:val="bottom"/>
          </w:tcPr>
          <w:p>
            <w:pPr>
              <w:ind w:left="340"/>
              <w:spacing w:after="0"/>
              <w:rPr>
                <w:sz w:val="20"/>
                <w:szCs w:val="20"/>
                <w:color w:val="auto"/>
              </w:rPr>
            </w:pPr>
            <w:r>
              <w:rPr>
                <w:rFonts w:ascii="Arial" w:cs="Arial" w:eastAsia="Arial" w:hAnsi="Arial"/>
                <w:sz w:val="16"/>
                <w:szCs w:val="16"/>
                <w:color w:val="auto"/>
              </w:rPr>
              <w:t>ACAD</w:t>
            </w:r>
          </w:p>
        </w:tc>
        <w:tc>
          <w:tcPr>
            <w:tcW w:w="880" w:type="dxa"/>
            <w:vAlign w:val="bottom"/>
          </w:tcPr>
          <w:p>
            <w:pPr>
              <w:jc w:val="right"/>
              <w:ind w:right="31"/>
              <w:spacing w:after="0"/>
              <w:rPr>
                <w:sz w:val="20"/>
                <w:szCs w:val="20"/>
                <w:color w:val="auto"/>
              </w:rPr>
            </w:pPr>
            <w:r>
              <w:rPr>
                <w:rFonts w:ascii="Arial" w:cs="Arial" w:eastAsia="Arial" w:hAnsi="Arial"/>
                <w:sz w:val="16"/>
                <w:szCs w:val="16"/>
                <w:color w:val="auto"/>
              </w:rPr>
              <w:t>561.4</w:t>
            </w:r>
          </w:p>
        </w:tc>
      </w:tr>
      <w:tr>
        <w:trPr>
          <w:trHeight w:val="270"/>
        </w:trPr>
        <w:tc>
          <w:tcPr>
            <w:tcW w:w="3620" w:type="dxa"/>
            <w:vAlign w:val="bottom"/>
          </w:tcPr>
          <w:p>
            <w:pPr>
              <w:ind w:left="340"/>
              <w:spacing w:after="0"/>
              <w:rPr>
                <w:sz w:val="20"/>
                <w:szCs w:val="20"/>
                <w:color w:val="auto"/>
              </w:rPr>
            </w:pPr>
            <w:r>
              <w:rPr>
                <w:rFonts w:ascii="Arial" w:cs="Arial" w:eastAsia="Arial" w:hAnsi="Arial"/>
                <w:sz w:val="16"/>
                <w:szCs w:val="16"/>
                <w:color w:val="auto"/>
              </w:rPr>
              <w:t>MFG</w:t>
            </w:r>
          </w:p>
        </w:tc>
        <w:tc>
          <w:tcPr>
            <w:tcW w:w="880" w:type="dxa"/>
            <w:vAlign w:val="bottom"/>
          </w:tcPr>
          <w:p>
            <w:pPr>
              <w:jc w:val="right"/>
              <w:ind w:right="31"/>
              <w:spacing w:after="0"/>
              <w:rPr>
                <w:sz w:val="20"/>
                <w:szCs w:val="20"/>
                <w:color w:val="auto"/>
              </w:rPr>
            </w:pPr>
            <w:r>
              <w:rPr>
                <w:rFonts w:ascii="Arial" w:cs="Arial" w:eastAsia="Arial" w:hAnsi="Arial"/>
                <w:sz w:val="16"/>
                <w:szCs w:val="16"/>
                <w:color w:val="auto"/>
              </w:rPr>
              <w:t>528.8</w:t>
            </w:r>
          </w:p>
        </w:tc>
      </w:tr>
      <w:tr>
        <w:trPr>
          <w:trHeight w:val="662"/>
        </w:trPr>
        <w:tc>
          <w:tcPr>
            <w:tcW w:w="3620" w:type="dxa"/>
            <w:vAlign w:val="bottom"/>
          </w:tcPr>
          <w:p>
            <w:pPr>
              <w:ind w:left="340"/>
              <w:spacing w:after="0"/>
              <w:rPr>
                <w:sz w:val="20"/>
                <w:szCs w:val="20"/>
                <w:color w:val="auto"/>
              </w:rPr>
            </w:pPr>
            <w:r>
              <w:rPr>
                <w:rFonts w:ascii="Arial" w:cs="Arial" w:eastAsia="Arial" w:hAnsi="Arial"/>
                <w:sz w:val="16"/>
                <w:szCs w:val="16"/>
                <w:color w:val="auto"/>
              </w:rPr>
              <w:t>M&amp;E</w:t>
            </w:r>
          </w:p>
        </w:tc>
        <w:tc>
          <w:tcPr>
            <w:tcW w:w="880" w:type="dxa"/>
            <w:vAlign w:val="bottom"/>
          </w:tcPr>
          <w:p>
            <w:pPr>
              <w:jc w:val="right"/>
              <w:ind w:right="31"/>
              <w:spacing w:after="0"/>
              <w:rPr>
                <w:sz w:val="20"/>
                <w:szCs w:val="20"/>
                <w:color w:val="auto"/>
              </w:rPr>
            </w:pPr>
            <w:r>
              <w:rPr>
                <w:rFonts w:ascii="Arial" w:cs="Arial" w:eastAsia="Arial" w:hAnsi="Arial"/>
                <w:sz w:val="16"/>
                <w:szCs w:val="16"/>
                <w:color w:val="auto"/>
              </w:rPr>
              <w:t>152.1</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6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Change compared to</w:t>
            </w:r>
          </w:p>
        </w:tc>
        <w:tc>
          <w:tcPr>
            <w:tcW w:w="1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Fiscal Year</w:t>
            </w: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gridSpan w:val="3"/>
          </w:tcPr>
          <w:p>
            <w:pPr>
              <w:jc w:val="right"/>
              <w:ind w:right="239"/>
              <w:spacing w:after="0" w:line="149" w:lineRule="exact"/>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January 31,</w:t>
            </w:r>
          </w:p>
        </w:tc>
        <w:tc>
          <w:tcPr>
            <w:tcW w:w="3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78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4"/>
                <w:szCs w:val="4"/>
                <w:color w:val="auto"/>
              </w:rPr>
            </w:pPr>
          </w:p>
        </w:tc>
        <w:tc>
          <w:tcPr>
            <w:tcW w:w="7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398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3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780" w:type="dxa"/>
            <w:vAlign w:val="bottom"/>
          </w:tcPr>
          <w:p>
            <w:pPr>
              <w:jc w:val="right"/>
              <w:spacing w:after="0"/>
              <w:rPr>
                <w:sz w:val="20"/>
                <w:szCs w:val="20"/>
                <w:color w:val="auto"/>
              </w:rPr>
            </w:pPr>
            <w:r>
              <w:rPr>
                <w:rFonts w:ascii="Arial" w:cs="Arial" w:eastAsia="Arial" w:hAnsi="Arial"/>
                <w:sz w:val="16"/>
                <w:szCs w:val="16"/>
                <w:color w:val="auto"/>
              </w:rPr>
              <w:t>$   (22.9)</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810.4</w:t>
            </w:r>
          </w:p>
        </w:tc>
        <w:tc>
          <w:tcPr>
            <w:tcW w:w="1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w w:val="94"/>
              </w:rPr>
              <w:t>Down due to a net decrease in AEC collections and legacy</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w w:val="94"/>
              </w:rPr>
              <w:t>suites due to the discontinuation of perpetual licenses. The</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w w:val="92"/>
              </w:rPr>
              <w:t>decrease was partially offset by an increase in revenue from</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rPr>
              <w:t>individual AEC product offerings and EBAs.</w:t>
            </w:r>
          </w:p>
        </w:tc>
        <w:tc>
          <w:tcPr>
            <w:tcW w:w="0" w:type="dxa"/>
            <w:vAlign w:val="bottom"/>
          </w:tcPr>
          <w:p>
            <w:pPr>
              <w:spacing w:after="0"/>
              <w:rPr>
                <w:sz w:val="1"/>
                <w:szCs w:val="1"/>
                <w:color w:val="auto"/>
              </w:rPr>
            </w:pPr>
          </w:p>
        </w:tc>
      </w:tr>
      <w:tr>
        <w:trPr>
          <w:trHeight w:val="257"/>
        </w:trPr>
        <w:tc>
          <w:tcPr>
            <w:tcW w:w="780" w:type="dxa"/>
            <w:vAlign w:val="bottom"/>
          </w:tcPr>
          <w:p>
            <w:pPr>
              <w:jc w:val="right"/>
              <w:ind w:right="42"/>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472.7</w:t>
            </w:r>
          </w:p>
        </w:tc>
        <w:tc>
          <w:tcPr>
            <w:tcW w:w="12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w w:val="99"/>
              </w:rPr>
              <w:t>Up due to increases in both AutoCAD LT and AutoCAD.</w:t>
            </w:r>
          </w:p>
        </w:tc>
        <w:tc>
          <w:tcPr>
            <w:tcW w:w="0" w:type="dxa"/>
            <w:vAlign w:val="bottom"/>
          </w:tcPr>
          <w:p>
            <w:pPr>
              <w:spacing w:after="0"/>
              <w:rPr>
                <w:sz w:val="1"/>
                <w:szCs w:val="1"/>
                <w:color w:val="auto"/>
              </w:rPr>
            </w:pPr>
          </w:p>
        </w:tc>
      </w:tr>
      <w:tr>
        <w:trPr>
          <w:trHeight w:val="266"/>
        </w:trPr>
        <w:tc>
          <w:tcPr>
            <w:tcW w:w="78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w w:val="94"/>
              </w:rPr>
              <w:t>Down due to a net decrease in MFG collections and legacy</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rPr>
              <w:t>suites due to the discontinuation of perpetual licenses,</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w w:val="95"/>
              </w:rPr>
              <w:t>partially offset by an increase in revenue from MFG EBAs.</w:t>
            </w:r>
          </w:p>
        </w:tc>
        <w:tc>
          <w:tcPr>
            <w:tcW w:w="0" w:type="dxa"/>
            <w:vAlign w:val="bottom"/>
          </w:tcPr>
          <w:p>
            <w:pPr>
              <w:spacing w:after="0"/>
              <w:rPr>
                <w:sz w:val="1"/>
                <w:szCs w:val="1"/>
                <w:color w:val="auto"/>
              </w:rPr>
            </w:pPr>
          </w:p>
        </w:tc>
      </w:tr>
      <w:tr>
        <w:trPr>
          <w:trHeight w:val="253"/>
        </w:trPr>
        <w:tc>
          <w:tcPr>
            <w:tcW w:w="780" w:type="dxa"/>
            <w:vAlign w:val="bottom"/>
          </w:tcPr>
          <w:p>
            <w:pPr>
              <w:jc w:val="right"/>
              <w:ind w:right="42"/>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rPr>
              <w:t>Up due to an increase in Animation, partially offset by a</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rPr>
              <w:t>decrease in Creative Finishing.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-1410335</wp:posOffset>
            </wp:positionV>
            <wp:extent cx="7246620" cy="548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-690245</wp:posOffset>
            </wp:positionV>
            <wp:extent cx="7246620" cy="420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4540" w:space="120"/>
            <w:col w:w="67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231"/>
        </w:trPr>
        <w:tc>
          <w:tcPr>
            <w:tcW w:w="366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2,056.6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1 %  $</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2,031.0</w:t>
            </w: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12700</wp:posOffset>
            </wp:positionV>
            <wp:extent cx="5657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12700</wp:posOffset>
            </wp:positionV>
            <wp:extent cx="11322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-130175</wp:posOffset>
            </wp:positionV>
            <wp:extent cx="5657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-130175</wp:posOffset>
            </wp:positionV>
            <wp:extent cx="11322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100330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46</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Geographic Area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Fiscal Year</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currency</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2"/>
                <w:szCs w:val="12"/>
                <w:color w:val="auto"/>
              </w:rPr>
            </w:pPr>
          </w:p>
        </w:tc>
        <w:tc>
          <w:tcPr>
            <w:tcW w:w="8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4"/>
              </w:rPr>
              <w:t>Fiscal Year</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6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Change compared to</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Change compared to</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January 31,</w:t>
            </w:r>
          </w:p>
        </w:tc>
        <w:tc>
          <w:tcPr>
            <w:tcW w:w="1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prior fiscal</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 January</w:t>
            </w:r>
          </w:p>
        </w:tc>
        <w:tc>
          <w:tcPr>
            <w:tcW w:w="1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prior fiscal</w:t>
            </w: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Ended January</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prior fiscal year</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year</w:t>
            </w:r>
          </w:p>
        </w:tc>
        <w:tc>
          <w:tcPr>
            <w:tcW w:w="140" w:type="dxa"/>
            <w:vAlign w:val="bottom"/>
          </w:tcPr>
          <w:p>
            <w:pPr>
              <w:spacing w:after="0"/>
              <w:rPr>
                <w:sz w:val="17"/>
                <w:szCs w:val="17"/>
                <w:color w:val="auto"/>
              </w:rPr>
            </w:pPr>
          </w:p>
        </w:tc>
        <w:tc>
          <w:tcPr>
            <w:tcW w:w="880" w:type="dxa"/>
            <w:vAlign w:val="bottom"/>
          </w:tcPr>
          <w:p>
            <w:pPr>
              <w:jc w:val="right"/>
              <w:ind w:right="181"/>
              <w:spacing w:after="0"/>
              <w:rPr>
                <w:sz w:val="20"/>
                <w:szCs w:val="20"/>
                <w:color w:val="auto"/>
              </w:rPr>
            </w:pPr>
            <w:r>
              <w:rPr>
                <w:rFonts w:ascii="Arial" w:cs="Arial" w:eastAsia="Arial" w:hAnsi="Arial"/>
                <w:sz w:val="14"/>
                <w:szCs w:val="14"/>
                <w:b w:val="1"/>
                <w:bCs w:val="1"/>
                <w:color w:val="auto"/>
              </w:rPr>
              <w:t>31, 2018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prior fiscal year</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year</w:t>
            </w:r>
          </w:p>
        </w:tc>
        <w:tc>
          <w:tcPr>
            <w:tcW w:w="140" w:type="dxa"/>
            <w:vAlign w:val="bottom"/>
          </w:tcPr>
          <w:p>
            <w:pPr>
              <w:spacing w:after="0"/>
              <w:rPr>
                <w:sz w:val="17"/>
                <w:szCs w:val="17"/>
                <w:color w:val="auto"/>
              </w:rPr>
            </w:pPr>
          </w:p>
        </w:tc>
        <w:tc>
          <w:tcPr>
            <w:tcW w:w="880" w:type="dxa"/>
            <w:vAlign w:val="bottom"/>
          </w:tcPr>
          <w:p>
            <w:pPr>
              <w:jc w:val="right"/>
              <w:ind w:right="181"/>
              <w:spacing w:after="0"/>
              <w:rPr>
                <w:sz w:val="20"/>
                <w:szCs w:val="20"/>
                <w:color w:val="auto"/>
              </w:rPr>
            </w:pPr>
            <w:r>
              <w:rPr>
                <w:rFonts w:ascii="Arial" w:cs="Arial" w:eastAsia="Arial" w:hAnsi="Arial"/>
                <w:sz w:val="14"/>
                <w:szCs w:val="14"/>
                <w:b w:val="1"/>
                <w:bCs w:val="1"/>
                <w:color w:val="auto"/>
              </w:rPr>
              <w:t>31, 2017</w:t>
            </w:r>
          </w:p>
        </w:tc>
        <w:tc>
          <w:tcPr>
            <w:tcW w:w="0" w:type="dxa"/>
            <w:vAlign w:val="bottom"/>
          </w:tcPr>
          <w:p>
            <w:pPr>
              <w:spacing w:after="0"/>
              <w:rPr>
                <w:sz w:val="1"/>
                <w:szCs w:val="1"/>
                <w:color w:val="auto"/>
              </w:rPr>
            </w:pPr>
          </w:p>
        </w:tc>
      </w:tr>
      <w:tr>
        <w:trPr>
          <w:trHeight w:val="264"/>
        </w:trPr>
        <w:tc>
          <w:tcPr>
            <w:tcW w:w="23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34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134.2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237"/>
        </w:trPr>
        <w:tc>
          <w:tcPr>
            <w:tcW w:w="2340" w:type="dxa"/>
            <w:vAlign w:val="bottom"/>
          </w:tcPr>
          <w:p>
            <w:pPr>
              <w:ind w:left="280"/>
              <w:spacing w:after="0"/>
              <w:rPr>
                <w:sz w:val="20"/>
                <w:szCs w:val="20"/>
                <w:color w:val="auto"/>
              </w:rPr>
            </w:pPr>
            <w:r>
              <w:rPr>
                <w:rFonts w:ascii="Arial" w:cs="Arial" w:eastAsia="Arial" w:hAnsi="Arial"/>
                <w:sz w:val="16"/>
                <w:szCs w:val="16"/>
                <w:color w:val="auto"/>
              </w:rPr>
              <w:t>Other Americas</w:t>
            </w:r>
          </w:p>
        </w:tc>
        <w:tc>
          <w:tcPr>
            <w:tcW w:w="1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44.6</w:t>
            </w: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33"/>
        </w:trPr>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178.8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871.9</w:t>
            </w:r>
          </w:p>
        </w:tc>
        <w:tc>
          <w:tcPr>
            <w:tcW w:w="0" w:type="dxa"/>
            <w:vAlign w:val="bottom"/>
          </w:tcPr>
          <w:p>
            <w:pPr>
              <w:spacing w:after="0"/>
              <w:rPr>
                <w:sz w:val="1"/>
                <w:szCs w:val="1"/>
                <w:color w:val="auto"/>
              </w:rPr>
            </w:pPr>
          </w:p>
        </w:tc>
      </w:tr>
      <w:tr>
        <w:trPr>
          <w:trHeight w:val="237"/>
        </w:trPr>
        <w:tc>
          <w:tcPr>
            <w:tcW w:w="2340" w:type="dxa"/>
            <w:vAlign w:val="bottom"/>
          </w:tcPr>
          <w:p>
            <w:pPr>
              <w:ind w:left="380"/>
              <w:spacing w:after="0"/>
              <w:rPr>
                <w:sz w:val="20"/>
                <w:szCs w:val="20"/>
                <w:color w:val="auto"/>
              </w:rPr>
            </w:pPr>
            <w:r>
              <w:rPr>
                <w:rFonts w:ascii="Arial" w:cs="Arial" w:eastAsia="Arial" w:hAnsi="Arial"/>
                <w:sz w:val="16"/>
                <w:szCs w:val="16"/>
                <w:color w:val="auto"/>
              </w:rPr>
              <w:t>EMEA</w:t>
            </w:r>
          </w:p>
        </w:tc>
        <w:tc>
          <w:tcPr>
            <w:tcW w:w="1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1,034.3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218.9</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815.4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15.0</w:t>
            </w:r>
          </w:p>
        </w:tc>
        <w:tc>
          <w:tcPr>
            <w:tcW w:w="100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800.4</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APAC</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284"/>
        </w:trPr>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net revenue (1)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2,569.8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513.2</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2,056.6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25.6</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2,031.0</w:t>
            </w:r>
          </w:p>
        </w:tc>
        <w:tc>
          <w:tcPr>
            <w:tcW w:w="0" w:type="dxa"/>
            <w:vAlign w:val="bottom"/>
          </w:tcPr>
          <w:p>
            <w:pPr>
              <w:spacing w:after="0"/>
              <w:rPr>
                <w:sz w:val="1"/>
                <w:szCs w:val="1"/>
                <w:color w:val="auto"/>
              </w:rPr>
            </w:pPr>
          </w:p>
        </w:tc>
      </w:tr>
      <w:tr>
        <w:trPr>
          <w:trHeight w:val="284"/>
        </w:trPr>
        <w:tc>
          <w:tcPr>
            <w:tcW w:w="2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color w:val="auto"/>
              </w:rPr>
              <w:t>Emerging economies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307.4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80.9</w:t>
            </w: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26"/>
        </w:trPr>
        <w:tc>
          <w:tcPr>
            <w:tcW w:w="2340" w:type="dxa"/>
            <w:vAlign w:val="bottom"/>
          </w:tcPr>
          <w:p>
            <w:pPr>
              <w:ind w:left="60"/>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Constant currency data not provided at this level.</w:t>
      </w:r>
    </w:p>
    <w:p>
      <w:pPr>
        <w:spacing w:after="0" w:line="20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264160</wp:posOffset>
            </wp:positionV>
            <wp:extent cx="100330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Sales Channel</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prior fiscal year</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gridSpan w:val="3"/>
          </w:tcPr>
          <w:p>
            <w:pPr>
              <w:jc w:val="center"/>
              <w:spacing w:after="0" w:line="153" w:lineRule="exact"/>
              <w:rPr>
                <w:sz w:val="20"/>
                <w:szCs w:val="20"/>
                <w:color w:val="auto"/>
              </w:rPr>
            </w:pPr>
            <w:r>
              <w:rPr>
                <w:rFonts w:ascii="Arial" w:cs="Arial" w:eastAsia="Arial" w:hAnsi="Arial"/>
                <w:sz w:val="14"/>
                <w:szCs w:val="14"/>
                <w:b w:val="1"/>
                <w:bCs w:val="1"/>
                <w:color w:val="auto"/>
                <w:w w:val="95"/>
              </w:rPr>
              <w:t>January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343"/>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tcBorders>
              <w:top w:val="single" w:sz="8" w:color="auto"/>
            </w:tcBorders>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13"/>
                <w:szCs w:val="13"/>
                <w:color w:val="auto"/>
              </w:rPr>
            </w:pPr>
          </w:p>
        </w:tc>
        <w:tc>
          <w:tcPr>
            <w:tcW w:w="374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62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12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 by sales channel:</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40" w:type="dxa"/>
            <w:vAlign w:val="bottom"/>
            <w:gridSpan w:val="2"/>
          </w:tcPr>
          <w:p>
            <w:pPr>
              <w:ind w:left="360"/>
              <w:spacing w:after="0"/>
              <w:rPr>
                <w:sz w:val="20"/>
                <w:szCs w:val="20"/>
                <w:color w:val="auto"/>
              </w:rPr>
            </w:pPr>
            <w:r>
              <w:rPr>
                <w:rFonts w:ascii="Arial" w:cs="Arial" w:eastAsia="Arial" w:hAnsi="Arial"/>
                <w:sz w:val="16"/>
                <w:szCs w:val="16"/>
                <w:color w:val="auto"/>
              </w:rPr>
              <w:t>Indirect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1,830.8</w:t>
            </w:r>
          </w:p>
        </w:tc>
        <w:tc>
          <w:tcPr>
            <w:tcW w:w="6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387.0</w:t>
            </w:r>
          </w:p>
        </w:tc>
        <w:tc>
          <w:tcPr>
            <w:tcW w:w="6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1,443.8</w:t>
            </w:r>
          </w:p>
        </w:tc>
        <w:tc>
          <w:tcPr>
            <w:tcW w:w="1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Up due to an increase in subscription revenue.</w:t>
            </w: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6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612.8</w:t>
            </w:r>
          </w:p>
        </w:tc>
        <w:tc>
          <w:tcPr>
            <w:tcW w:w="120" w:type="dxa"/>
            <w:vAlign w:val="bottom"/>
            <w:shd w:val="clear" w:color="auto" w:fill="CCEEFF"/>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Up due to an increase in revenue from EBAs and our</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2,569.8</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513.2</w:t>
            </w:r>
          </w:p>
        </w:tc>
        <w:tc>
          <w:tcPr>
            <w:tcW w:w="60" w:type="dxa"/>
            <w:vAlign w:val="bottom"/>
            <w:tcBorders>
              <w:top w:val="single" w:sz="8" w:color="auto"/>
              <w:bottom w:val="single" w:sz="8" w:color="auto"/>
            </w:tcBorders>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2,056.6</w:t>
            </w:r>
          </w:p>
        </w:tc>
        <w:tc>
          <w:tcPr>
            <w:tcW w:w="120" w:type="dxa"/>
            <w:vAlign w:val="bottom"/>
          </w:tcPr>
          <w:p>
            <w:pPr>
              <w:spacing w:after="0"/>
              <w:rPr>
                <w:sz w:val="21"/>
                <w:szCs w:val="21"/>
                <w:color w:val="auto"/>
              </w:rPr>
            </w:pPr>
          </w:p>
        </w:tc>
        <w:tc>
          <w:tcPr>
            <w:tcW w:w="3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Year ended</w:t>
            </w:r>
          </w:p>
        </w:tc>
        <w:tc>
          <w:tcPr>
            <w:tcW w:w="6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6"/>
          </w:tcPr>
          <w:p>
            <w:pPr>
              <w:ind w:left="140"/>
              <w:spacing w:after="0"/>
              <w:rPr>
                <w:sz w:val="20"/>
                <w:szCs w:val="20"/>
                <w:color w:val="auto"/>
              </w:rPr>
            </w:pPr>
            <w:r>
              <w:rPr>
                <w:rFonts w:ascii="Arial" w:cs="Arial" w:eastAsia="Arial" w:hAnsi="Arial"/>
                <w:sz w:val="14"/>
                <w:szCs w:val="14"/>
                <w:b w:val="1"/>
                <w:bCs w:val="1"/>
                <w:color w:val="auto"/>
              </w:rPr>
              <w:t>Change compared to</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13"/>
                <w:szCs w:val="13"/>
                <w:color w:val="auto"/>
              </w:rPr>
            </w:pPr>
          </w:p>
        </w:tc>
        <w:tc>
          <w:tcPr>
            <w:tcW w:w="374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3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 by sales channel: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2"/>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0" w:type="dxa"/>
            <w:vAlign w:val="bottom"/>
            <w:gridSpan w:val="2"/>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40" w:type="dxa"/>
            <w:vAlign w:val="bottom"/>
            <w:gridSpan w:val="2"/>
          </w:tcPr>
          <w:p>
            <w:pPr>
              <w:ind w:left="360"/>
              <w:spacing w:after="0"/>
              <w:rPr>
                <w:sz w:val="20"/>
                <w:szCs w:val="20"/>
                <w:color w:val="auto"/>
              </w:rPr>
            </w:pPr>
            <w:r>
              <w:rPr>
                <w:rFonts w:ascii="Arial" w:cs="Arial" w:eastAsia="Arial" w:hAnsi="Arial"/>
                <w:sz w:val="16"/>
                <w:szCs w:val="16"/>
                <w:color w:val="auto"/>
              </w:rPr>
              <w:t>Indirect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w w:val="93"/>
              </w:rPr>
              <w:t>1,443.8</w:t>
            </w:r>
          </w:p>
        </w:tc>
        <w:tc>
          <w:tcPr>
            <w:tcW w:w="60" w:type="dxa"/>
            <w:vAlign w:val="bottom"/>
          </w:tcPr>
          <w:p>
            <w:pPr>
              <w:spacing w:after="0"/>
              <w:rPr>
                <w:sz w:val="19"/>
                <w:szCs w:val="19"/>
                <w:color w:val="auto"/>
              </w:rPr>
            </w:pPr>
          </w:p>
        </w:tc>
        <w:tc>
          <w:tcPr>
            <w:tcW w:w="30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(25.1)</w:t>
            </w:r>
          </w:p>
        </w:tc>
        <w:tc>
          <w:tcPr>
            <w:tcW w:w="6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1,468.9</w:t>
            </w:r>
          </w:p>
        </w:tc>
        <w:tc>
          <w:tcPr>
            <w:tcW w:w="1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Down due to a decrease in sales with resellers.</w:t>
            </w: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6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50.7</w:t>
            </w:r>
          </w:p>
        </w:tc>
        <w:tc>
          <w:tcPr>
            <w:tcW w:w="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562.1</w:t>
            </w:r>
          </w:p>
        </w:tc>
        <w:tc>
          <w:tcPr>
            <w:tcW w:w="120" w:type="dxa"/>
            <w:vAlign w:val="bottom"/>
            <w:shd w:val="clear" w:color="auto" w:fill="CCEEFF"/>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Up due to an increase in revenue from EBAs and our</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2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93"/>
              </w:rPr>
              <w:t>2,056.6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25.6</w:t>
            </w:r>
          </w:p>
        </w:tc>
        <w:tc>
          <w:tcPr>
            <w:tcW w:w="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2,031.0</w:t>
            </w:r>
          </w:p>
        </w:tc>
        <w:tc>
          <w:tcPr>
            <w:tcW w:w="120" w:type="dxa"/>
            <w:vAlign w:val="bottom"/>
          </w:tcPr>
          <w:p>
            <w:pPr>
              <w:spacing w:after="0"/>
              <w:rPr>
                <w:sz w:val="21"/>
                <w:szCs w:val="21"/>
                <w:color w:val="auto"/>
              </w:rPr>
            </w:pPr>
          </w:p>
        </w:tc>
        <w:tc>
          <w:tcPr>
            <w:tcW w:w="3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 of Revenue and Operating Expenses</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ind w:right="680" w:firstLine="405"/>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payment processing fees, the cost of supplies and equipment, gains and losses on our operating expense cash flow hedges, allocated IT and facilities costs, and labor costs associated with sales and order management.</w:t>
      </w:r>
    </w:p>
    <w:p>
      <w:pPr>
        <w:spacing w:after="0" w:line="188"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119380</wp:posOffset>
            </wp:positionV>
            <wp:extent cx="100330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General and administrative expenses include salaries, bonuses, acquisition-related transition costs,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and the cost of supplies and equipment.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Fiscal year</w:t>
            </w:r>
          </w:p>
        </w:tc>
        <w:tc>
          <w:tcPr>
            <w:tcW w:w="200" w:type="dxa"/>
            <w:vAlign w:val="bottom"/>
          </w:tcPr>
          <w:p>
            <w:pPr>
              <w:spacing w:after="0"/>
              <w:rPr>
                <w:sz w:val="14"/>
                <w:szCs w:val="14"/>
                <w:color w:val="auto"/>
              </w:rPr>
            </w:pPr>
          </w:p>
        </w:tc>
        <w:tc>
          <w:tcPr>
            <w:tcW w:w="1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40" w:type="dxa"/>
            <w:vAlign w:val="bottom"/>
          </w:tcPr>
          <w:p>
            <w:pPr>
              <w:spacing w:after="0"/>
              <w:rPr>
                <w:sz w:val="14"/>
                <w:szCs w:val="14"/>
                <w:color w:val="auto"/>
              </w:rPr>
            </w:pPr>
          </w:p>
        </w:tc>
        <w:tc>
          <w:tcPr>
            <w:tcW w:w="8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3"/>
              </w:rPr>
              <w:t>Fiscal year</w:t>
            </w:r>
          </w:p>
        </w:tc>
        <w:tc>
          <w:tcPr>
            <w:tcW w:w="1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112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1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56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5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31, 2019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31, 2018</w:t>
            </w:r>
          </w:p>
        </w:tc>
        <w:tc>
          <w:tcPr>
            <w:tcW w:w="1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Subscription and maintenance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214.4</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Up primarily due to an increase in cloud hosting costs partially offset</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by a decrease in royalty and depreciation expense.</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Other (1)</w:t>
            </w: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7"/>
              </w:rPr>
              <w:t>Down primarily due to lower employee-related costs from reduced</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7"/>
              </w:rPr>
              <w:t>headcount associated with the Fiscal 2018 Plan restructuring and</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lower professional fees.</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 of developed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Down as previously acquired developed technologies continue to</w:t>
            </w:r>
          </w:p>
        </w:tc>
        <w:tc>
          <w:tcPr>
            <w:tcW w:w="0" w:type="dxa"/>
            <w:vAlign w:val="bottom"/>
          </w:tcPr>
          <w:p>
            <w:pPr>
              <w:spacing w:after="0"/>
              <w:rPr>
                <w:sz w:val="1"/>
                <w:szCs w:val="1"/>
                <w:color w:val="auto"/>
              </w:rPr>
            </w:pPr>
          </w:p>
        </w:tc>
      </w:tr>
      <w:tr>
        <w:trPr>
          <w:trHeight w:val="239"/>
        </w:trPr>
        <w:tc>
          <w:tcPr>
            <w:tcW w:w="2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technology</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become fully amortized.</w:t>
            </w:r>
          </w:p>
        </w:tc>
        <w:tc>
          <w:tcPr>
            <w:tcW w:w="0" w:type="dxa"/>
            <w:vAlign w:val="bottom"/>
          </w:tcPr>
          <w:p>
            <w:pPr>
              <w:spacing w:after="0"/>
              <w:rPr>
                <w:sz w:val="1"/>
                <w:szCs w:val="1"/>
                <w:color w:val="auto"/>
              </w:rPr>
            </w:pPr>
          </w:p>
        </w:tc>
      </w:tr>
      <w:tr>
        <w:trPr>
          <w:trHeight w:val="217"/>
        </w:trPr>
        <w:tc>
          <w:tcPr>
            <w:tcW w:w="2500" w:type="dxa"/>
            <w:vAlign w:val="bottom"/>
          </w:tcPr>
          <w:p>
            <w:pPr>
              <w:ind w:left="480"/>
              <w:spacing w:after="0"/>
              <w:rPr>
                <w:sz w:val="20"/>
                <w:szCs w:val="20"/>
                <w:color w:val="auto"/>
              </w:rPr>
            </w:pPr>
            <w:r>
              <w:rPr>
                <w:rFonts w:ascii="Arial" w:cs="Arial" w:eastAsia="Arial" w:hAnsi="Arial"/>
                <w:sz w:val="16"/>
                <w:szCs w:val="16"/>
                <w:color w:val="auto"/>
              </w:rPr>
              <w:t>Total cost of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285.9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303.4</w:t>
            </w: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5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5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Marketing and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1,183.9</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96.6</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Up due to increased employee-related costs driven by higher</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7"/>
              </w:rPr>
              <w:t>headcount, as well as higher cloud hosting costs and professional</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fees.</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755.5</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a decrease in employee-related costs from lower</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headcount associated with the Fiscal 2018 plan restructuring partially</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offset by higher professional fees.</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34.9</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3"/>
              </w:rPr>
              <w:t>Up primarily due to higher professional fees, employee-related costs</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3"/>
              </w:rPr>
              <w:t>and facilities costs, partially offset by lower employee benefits costs.</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purchased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Down as previously acquired intangible assets continue to become</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intangibles</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fully amortized.</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Restructuring and other exit</w:t>
            </w: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(52.2)</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Down as we substantially completed the reduction in force and</w:t>
            </w:r>
          </w:p>
        </w:tc>
        <w:tc>
          <w:tcPr>
            <w:tcW w:w="0" w:type="dxa"/>
            <w:vAlign w:val="bottom"/>
          </w:tcPr>
          <w:p>
            <w:pPr>
              <w:spacing w:after="0"/>
              <w:rPr>
                <w:sz w:val="1"/>
                <w:szCs w:val="1"/>
                <w:color w:val="auto"/>
              </w:rPr>
            </w:pPr>
          </w:p>
        </w:tc>
      </w:tr>
      <w:tr>
        <w:trPr>
          <w:trHeight w:val="206"/>
        </w:trPr>
        <w:tc>
          <w:tcPr>
            <w:tcW w:w="2500" w:type="dxa"/>
            <w:vAlign w:val="bottom"/>
          </w:tcPr>
          <w:p>
            <w:pPr>
              <w:ind w:left="520"/>
              <w:spacing w:after="0"/>
              <w:rPr>
                <w:sz w:val="20"/>
                <w:szCs w:val="20"/>
                <w:color w:val="auto"/>
              </w:rPr>
            </w:pPr>
            <w:r>
              <w:rPr>
                <w:rFonts w:ascii="Arial" w:cs="Arial" w:eastAsia="Arial" w:hAnsi="Arial"/>
                <w:sz w:val="16"/>
                <w:szCs w:val="16"/>
                <w:color w:val="auto"/>
              </w:rPr>
              <w:t>costs, net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facilities consolidation of the Fiscal 2018 Plan.</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46.6</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2,262.3</w:t>
            </w:r>
          </w:p>
        </w:tc>
        <w:tc>
          <w:tcPr>
            <w:tcW w:w="1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342900</wp:posOffset>
            </wp:positionV>
            <wp:extent cx="100330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Fiscal year</w:t>
            </w:r>
          </w:p>
        </w:tc>
        <w:tc>
          <w:tcPr>
            <w:tcW w:w="200" w:type="dxa"/>
            <w:vAlign w:val="bottom"/>
          </w:tcPr>
          <w:p>
            <w:pPr>
              <w:spacing w:after="0"/>
              <w:rPr>
                <w:sz w:val="14"/>
                <w:szCs w:val="14"/>
                <w:color w:val="auto"/>
              </w:rPr>
            </w:pPr>
          </w:p>
        </w:tc>
        <w:tc>
          <w:tcPr>
            <w:tcW w:w="1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40" w:type="dxa"/>
            <w:vAlign w:val="bottom"/>
          </w:tcPr>
          <w:p>
            <w:pPr>
              <w:spacing w:after="0"/>
              <w:rPr>
                <w:sz w:val="14"/>
                <w:szCs w:val="14"/>
                <w:color w:val="auto"/>
              </w:rPr>
            </w:pPr>
          </w:p>
        </w:tc>
        <w:tc>
          <w:tcPr>
            <w:tcW w:w="8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3"/>
              </w:rPr>
              <w:t>Fiscal year</w:t>
            </w:r>
          </w:p>
        </w:tc>
        <w:tc>
          <w:tcPr>
            <w:tcW w:w="1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112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1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56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5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31, 2018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31, 2017</w:t>
            </w:r>
          </w:p>
        </w:tc>
        <w:tc>
          <w:tcPr>
            <w:tcW w:w="1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Subscription and maintenance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Up due to an increase in employee-related costs driven by increased</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headcount associated with maintenance and subscription services in</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22.7</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support of the business model transition.</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Other (1)</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4"/>
              </w:rPr>
              <w:t>Down due to lower employee-related costs from reduced headcount</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1"/>
              </w:rPr>
              <w:t>associated with license and other revenue products and services as a</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(37.6)</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result of our move to a subscription based business model.</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 of developed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Down as previously acquired developed technologies continue to</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technology</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become fully amortized while fewer assets are acquired compared to</w:t>
            </w:r>
          </w:p>
        </w:tc>
        <w:tc>
          <w:tcPr>
            <w:tcW w:w="0" w:type="dxa"/>
            <w:vAlign w:val="bottom"/>
          </w:tcPr>
          <w:p>
            <w:pPr>
              <w:spacing w:after="0"/>
              <w:rPr>
                <w:sz w:val="1"/>
                <w:szCs w:val="1"/>
                <w:color w:val="auto"/>
              </w:rPr>
            </w:pPr>
          </w:p>
        </w:tc>
      </w:tr>
      <w:tr>
        <w:trPr>
          <w:trHeight w:val="239"/>
        </w:trPr>
        <w:tc>
          <w:tcPr>
            <w:tcW w:w="2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 prior year.</w:t>
            </w:r>
          </w:p>
        </w:tc>
        <w:tc>
          <w:tcPr>
            <w:tcW w:w="0" w:type="dxa"/>
            <w:vAlign w:val="bottom"/>
          </w:tcPr>
          <w:p>
            <w:pPr>
              <w:spacing w:after="0"/>
              <w:rPr>
                <w:sz w:val="1"/>
                <w:szCs w:val="1"/>
                <w:color w:val="auto"/>
              </w:rPr>
            </w:pPr>
          </w:p>
        </w:tc>
      </w:tr>
      <w:tr>
        <w:trPr>
          <w:trHeight w:val="284"/>
        </w:trPr>
        <w:tc>
          <w:tcPr>
            <w:tcW w:w="2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cost of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303.4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1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341.9</w:t>
            </w:r>
          </w:p>
        </w:tc>
        <w:tc>
          <w:tcPr>
            <w:tcW w:w="120" w:type="dxa"/>
            <w:vAlign w:val="bottom"/>
            <w:tcBorders>
              <w:bottom w:val="single" w:sz="8" w:color="CCEEFF"/>
            </w:tcBorders>
          </w:tcPr>
          <w:p>
            <w:pPr>
              <w:spacing w:after="0"/>
              <w:rPr>
                <w:sz w:val="24"/>
                <w:szCs w:val="24"/>
                <w:color w:val="auto"/>
              </w:rPr>
            </w:pPr>
          </w:p>
        </w:tc>
        <w:tc>
          <w:tcPr>
            <w:tcW w:w="45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Marketing and sales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2"/>
              </w:rPr>
              <w:t>Up due to increase in employee-related costs from higher headcount,</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6"/>
              </w:rPr>
              <w:t>increased commissions, and increased stock-based compensation</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64.8</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1,022.5</w:t>
            </w: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expense from a higher fair value of awards granted.</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a decrease in employee-related costs from lower</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755.5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766.1</w:t>
            </w: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headcount.</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Up driven by costs associated with the CEO transition and an</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7"/>
              </w:rPr>
              <w:t>increase in stock-based compensation expense from a higher fair</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4"/>
              </w:rPr>
              <w:t>value of awards granted, partially offset by a decrease in employee-</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17.4</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287.8</w:t>
            </w: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related costs from lower headcount.</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purchased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Down as previously acquired intangible assets continue to become</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intangibles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fully amortized and fewer assets are acquired compared to the prior</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Restructuring and other exit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2"/>
              </w:rPr>
              <w:t>Driven by the Fiscal 2018 Plan to re-balance resources to better align</w:t>
            </w:r>
          </w:p>
        </w:tc>
        <w:tc>
          <w:tcPr>
            <w:tcW w:w="0" w:type="dxa"/>
            <w:vAlign w:val="bottom"/>
          </w:tcPr>
          <w:p>
            <w:pPr>
              <w:spacing w:after="0"/>
              <w:rPr>
                <w:sz w:val="1"/>
                <w:szCs w:val="1"/>
                <w:color w:val="auto"/>
              </w:rPr>
            </w:pPr>
          </w:p>
        </w:tc>
      </w:tr>
      <w:tr>
        <w:trPr>
          <w:trHeight w:val="203"/>
        </w:trPr>
        <w:tc>
          <w:tcPr>
            <w:tcW w:w="2500" w:type="dxa"/>
            <w:vAlign w:val="bottom"/>
          </w:tcPr>
          <w:p>
            <w:pPr>
              <w:ind w:left="520"/>
              <w:spacing w:after="0"/>
              <w:rPr>
                <w:sz w:val="20"/>
                <w:szCs w:val="20"/>
                <w:color w:val="auto"/>
              </w:rPr>
            </w:pPr>
            <w:r>
              <w:rPr>
                <w:rFonts w:ascii="Arial" w:cs="Arial" w:eastAsia="Arial" w:hAnsi="Arial"/>
                <w:sz w:val="16"/>
                <w:szCs w:val="16"/>
                <w:color w:val="auto"/>
              </w:rPr>
              <w:t>costs, net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9"/>
              </w:rPr>
              <w:t>with the Company's strategic priorities and position itself to meet</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long-term goals. Costs associated with the Fiscal 2018 Plan are</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9"/>
              </w:rPr>
              <w:t>principally from employee termination benefits, lease termination</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13.6</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costs and other exit costs.</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2,262.3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73.6</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2,188.7</w:t>
            </w:r>
          </w:p>
        </w:tc>
        <w:tc>
          <w:tcPr>
            <w:tcW w:w="1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highlights our expectation for the absolute dollar change and percent of revenue change for fiscal 2020 as compared to fiscal 2019:</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Absolute dollar impact</w:t>
            </w: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Percent of net revenue impact</w:t>
            </w:r>
          </w:p>
        </w:tc>
      </w:tr>
      <w:tr>
        <w:trPr>
          <w:trHeight w:val="23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Slight decrease</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Marketing and sales</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4"/>
              </w:rPr>
              <w:t>Decrease</w:t>
            </w:r>
          </w:p>
        </w:tc>
      </w:tr>
      <w:tr>
        <w:trPr>
          <w:trHeight w:val="33"/>
        </w:trPr>
        <w:tc>
          <w:tcPr>
            <w:tcW w:w="6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4"/>
              </w:rPr>
              <w:t>Decrease</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4"/>
              </w:rPr>
              <w:t>Decrease</w:t>
            </w:r>
          </w:p>
        </w:tc>
      </w:tr>
      <w:tr>
        <w:trPr>
          <w:trHeight w:val="33"/>
        </w:trPr>
        <w:tc>
          <w:tcPr>
            <w:tcW w:w="6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Increase</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Slight increase</w:t>
            </w:r>
          </w:p>
        </w:tc>
      </w:tr>
      <w:tr>
        <w:trPr>
          <w:trHeight w:val="33"/>
        </w:trPr>
        <w:tc>
          <w:tcPr>
            <w:tcW w:w="67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00330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80"/>
              <w:spacing w:after="0"/>
              <w:rPr>
                <w:sz w:val="20"/>
                <w:szCs w:val="20"/>
                <w:color w:val="auto"/>
              </w:rPr>
            </w:pPr>
            <w:r>
              <w:rPr>
                <w:rFonts w:ascii="Arial" w:cs="Arial" w:eastAsia="Arial" w:hAnsi="Arial"/>
                <w:sz w:val="14"/>
                <w:szCs w:val="14"/>
                <w:b w:val="1"/>
                <w:bCs w:val="1"/>
                <w:color w:val="auto"/>
                <w:w w:val="91"/>
              </w:rPr>
              <w:t>Fiscal year ended January 31,</w:t>
            </w:r>
          </w:p>
        </w:tc>
        <w:tc>
          <w:tcPr>
            <w:tcW w:w="1100" w:type="dxa"/>
            <w:vAlign w:val="bottom"/>
            <w:tcBorders>
              <w:bottom w:val="single" w:sz="8" w:color="auto"/>
            </w:tcBorders>
          </w:tcPr>
          <w:p>
            <w:pPr>
              <w:spacing w:after="0"/>
              <w:rPr>
                <w:sz w:val="16"/>
                <w:szCs w:val="16"/>
                <w:color w:val="auto"/>
              </w:rPr>
            </w:pPr>
          </w:p>
        </w:tc>
      </w:tr>
      <w:tr>
        <w:trPr>
          <w:trHeight w:val="196"/>
        </w:trPr>
        <w:tc>
          <w:tcPr>
            <w:tcW w:w="6720" w:type="dxa"/>
            <w:vAlign w:val="bottom"/>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196"/>
        </w:trPr>
        <w:tc>
          <w:tcPr>
            <w:tcW w:w="6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Gain (loss) on foreign currency</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(loss) on strategic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8.5</w:t>
            </w: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Interest and other expense, net, positively changed by $30.5 million during fiscal 2019, as compared to fiscal 2018, primarily driven by curtailment gains on our pension plans, mark-to-market gains on certain of our privately-held strategic investments, realized gains on sales of strategic investments, offset by an increase in interest expense resulting from our term loan entered into on December 17, 2018 in aggregate principal amount of $500 million and mark-to-market losses on marketable securities.</w:t>
      </w:r>
    </w:p>
    <w:p>
      <w:pPr>
        <w:spacing w:after="0" w:line="18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Interest and other expense, net, increased $24.0 million during fiscal 2018, as compared to fiscal 2017, primarily related to increases in impairment losses on certain of our privately-held strategic investments and interest expense resulting from our June 2017 issuance of $500.0 million aggregate principal amount of 3.5% notes due June 15, 2027.</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and debt balances, average maturities and interest rates.</w:t>
      </w:r>
    </w:p>
    <w:p>
      <w:pPr>
        <w:spacing w:after="0" w:line="24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320" w:firstLine="432"/>
        <w:spacing w:after="0" w:line="254" w:lineRule="auto"/>
        <w:rPr>
          <w:sz w:val="20"/>
          <w:szCs w:val="20"/>
          <w:color w:val="auto"/>
        </w:rPr>
      </w:pPr>
      <w:r>
        <w:rPr>
          <w:rFonts w:ascii="Arial" w:cs="Arial" w:eastAsia="Arial" w:hAnsi="Arial"/>
          <w:sz w:val="18"/>
          <w:szCs w:val="18"/>
          <w:color w:val="auto"/>
        </w:rPr>
        <w:t>Income tax expense was $38.1 million and $9.6 million for fiscal 2019 and 2018, respectively, relative to pre-tax losses of $42.7 million and $557.3 million, respectively, for the same periods. Tax expense for fiscal 2019 consists primarily of foreign tax expense including withholding tax and tax amortization on indefinite-lived intangibles offset by a benefit for the release of uncertain tax positions upon finalization of IRS examination during the current fiscal year. In addition, we had a tax benefit from the release of valuation allowance from acquired deferred tax liabilities during the current fiscal year. Tax expense for fiscal 2018 consisted primarily of foreign tax expense including withholding tax and tax amortization on indefinite-lived intangibles offset by the revaluation of our deferred tax liability due to the corporate rate reduction under the Tax Act. We recorded a tax benefit of the Tax Act in our financial statements as of January 31, 2018 of approximately $32.3 million mainly driven by the corporate rate remeasurement of the indefinite-lived intangible deferred tax liability.</w:t>
      </w:r>
    </w:p>
    <w:p>
      <w:pPr>
        <w:spacing w:after="0" w:line="19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Tax Act was signed into law on December 22, 2017 and provided broad and significant changes to the U.S. corporate income tax regime. In light of our fiscal year-end, the Tax Act reduced the statutory federal corporate rate from 35% to 33.81% for fiscal 2018 and to 21% for fiscal 2019 and forward. The Tax Act also, among many other provisions, imposed a one-time mandatory tax on accumulated earnings of foreign subsidiaries (commonly referred to as the "transition tax"), subjected the deemed intangible income of our foreign subsidiaries to current U.S. taxation (commonly referred to as "GILTI"), provided for a full dividends received deduction upon repatriation of untaxed earnings of our foreign subsidiaries, imposed a minimum taxation (without most tax credits) on modified taxable income, which is generally taxable income without deductions for payments to related foreign companies (commonly referred to as “BEAT”), modified the accelerated depreciation deduction rules, and made updates to the deductibility of certain expenses. We have completed our determination of the accounting implications of the Tax Act on our tax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139700</wp:posOffset>
            </wp:positionV>
            <wp:extent cx="100330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January 31, 2018, we estimated taxable income associated with offshore earnings of $831.5 million, and as of January 31, 2019, we adjusted the taxable income to $819.6 million to reflect the impact of Treasury Regulations issued in the fourth quarter of fiscal 2019. Transition tax related to adjustments in offshore earnings resulted in no impact to the effective tax rate as it is primarily offset by net operating losses that are subject to a full valuation allowance. As a result of the transition tax, we recorded a deferred tax asset of approximately $45.1 million for foreign tax credits, which are also subject to a full valuation allowance.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GILTI in fiscal 2019, primarily offset by current year operating losses, resulting in no impact to the effective tax rate.</w:t>
      </w:r>
    </w:p>
    <w:p>
      <w:pPr>
        <w:spacing w:after="0" w:line="22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anticipate that the U.S. Department of Treasury and other standard-setting bodies will continue to interpret or issue guidance on how provisions of the Tax Act will be applied or otherwise administered. As future guidance is issued, we may make adjustments to amounts that we have previously recorded that may materially impact our financial statements in the period in which the adjustments are made.</w:t>
      </w:r>
    </w:p>
    <w:p>
      <w:pPr>
        <w:spacing w:after="0" w:line="181" w:lineRule="exact"/>
        <w:rPr>
          <w:sz w:val="20"/>
          <w:szCs w:val="20"/>
          <w:color w:val="auto"/>
        </w:rPr>
      </w:pPr>
    </w:p>
    <w:p>
      <w:pPr>
        <w:ind w:right="140" w:firstLine="432"/>
        <w:spacing w:after="0" w:line="268"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U.S. arising from our business model transition as a significant source of negative evidence. Considering this negative evidence and the absence of sufficient positive objective evidence that we would generate sufficient taxable income in the U.S. to realize the deferred tax assets, we determined that it was more likely than not that we would not realize the U.S. federal and state deferred tax assets and recorded a full valuation allowance. Furthermore, in the first quarter of fiscal 2018, our Singapore operation, similar to the U.S. incurred cumulative losses and recorded a full valuation allowance against the net deferred tax asset. As we continually strive to optimize our overall business model, tax planning strategies may become feasible whereby management may determine that it is more likely than not that the federal and state deferred tax assets will be realized; as a result, we will continue to evaluate the realizability of our net deferred tax assets each quarter, both in the U.S. and in foreign jurisdictions, based on all available evidence, both positive and negative.</w:t>
      </w:r>
    </w:p>
    <w:p>
      <w:pPr>
        <w:spacing w:after="0" w:line="188"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As of January 31, 2019, we had $209.0 million of gross unrecognized tax benefits, of which $190.6 million would reduce our valuation allowance, if recognized. The remaining $18.4 million would impact the effective tax rate. It is possible that the amount of unrecognized tax benefits will change in the next twelve months; however, an estimate of the range of the possible change cannot be made at this time.</w:t>
      </w:r>
    </w:p>
    <w:p>
      <w:pPr>
        <w:spacing w:after="0" w:line="181"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17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At January 31, 2019, we had non-current foreign net deferred tax assets of $54.3 million that management believes are more likely than not to be realized in future years.</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additional information regarding our income tax provision and reconciliation of our effective rate to the federal statutory rate of 21%, see Part II, Item 8, Note 5, “Income Taxes,” in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00330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In addition to our results determined under U.S. generally accepted accounting principles (“GAAP”) discussed above, we believe the following non-GAAP measures are useful to investors in evaluating our operating performance. For the fiscal years ended January 31, 2019, 2018, and 2017, our gross profit, gross margin, (loss) income from operations, operating margin, net (loss) income, diluted net (loss) income per share and diluted shares used in per share calculation on a GAAP and non-GAAP basis were as follows (in millions except for gross margin, operating margin,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center"/>
              <w:ind w:left="760"/>
              <w:spacing w:after="0"/>
              <w:rPr>
                <w:sz w:val="20"/>
                <w:szCs w:val="20"/>
                <w:color w:val="auto"/>
              </w:rPr>
            </w:pPr>
            <w:r>
              <w:rPr>
                <w:rFonts w:ascii="Arial" w:cs="Arial" w:eastAsia="Arial" w:hAnsi="Arial"/>
                <w:sz w:val="14"/>
                <w:szCs w:val="14"/>
                <w:b w:val="1"/>
                <w:bCs w:val="1"/>
                <w:color w:val="auto"/>
                <w:w w:val="93"/>
              </w:rPr>
              <w:t>Fiscal Year Ended January 31,</w:t>
            </w:r>
          </w:p>
        </w:tc>
        <w:tc>
          <w:tcPr>
            <w:tcW w:w="1180" w:type="dxa"/>
            <w:vAlign w:val="bottom"/>
            <w:tcBorders>
              <w:bottom w:val="single" w:sz="8" w:color="auto"/>
            </w:tcBorders>
          </w:tcPr>
          <w:p>
            <w:pPr>
              <w:spacing w:after="0"/>
              <w:rPr>
                <w:sz w:val="16"/>
                <w:szCs w:val="16"/>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6"/>
        </w:trPr>
        <w:tc>
          <w:tcPr>
            <w:tcW w:w="6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4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2,283.9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1,753.2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1,689.1</w:t>
            </w:r>
          </w:p>
        </w:tc>
      </w:tr>
      <w:tr>
        <w:trPr>
          <w:trHeight w:val="33"/>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gross profit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2,317.0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1,785.5</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1,743.2</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8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89 %</w:t>
            </w:r>
          </w:p>
        </w:tc>
        <w:tc>
          <w:tcPr>
            <w:tcW w:w="30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85 %</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33"/>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90 %</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87 %</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(25.0)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(509.1)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(499.6)</w:t>
            </w:r>
          </w:p>
        </w:tc>
      </w:tr>
      <w:tr>
        <w:trPr>
          <w:trHeight w:val="33"/>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income (loss) from operations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316.0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(112.0)</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(125.5)</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Operating margin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12 %</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(80.8)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(566.9)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(582.1)</w:t>
            </w:r>
          </w:p>
        </w:tc>
      </w:tr>
      <w:tr>
        <w:trPr>
          <w:trHeight w:val="33"/>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net income (loss)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223.3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(106.3)</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(111.0)</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Diluted net loss per share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(0.37)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(2.58)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(2.61)</w:t>
            </w:r>
          </w:p>
        </w:tc>
      </w:tr>
      <w:tr>
        <w:trPr>
          <w:trHeight w:val="33"/>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net income (loss) per share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1.01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(0.48)</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(0.50)</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GAAP diluted weighted average shares used in per share calculation</w:t>
            </w:r>
          </w:p>
        </w:tc>
        <w:tc>
          <w:tcPr>
            <w:tcW w:w="380" w:type="dxa"/>
            <w:vAlign w:val="bottom"/>
          </w:tcPr>
          <w:p>
            <w:pPr>
              <w:spacing w:after="0"/>
              <w:rPr>
                <w:sz w:val="20"/>
                <w:szCs w:val="20"/>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218.9</w:t>
            </w:r>
          </w:p>
        </w:tc>
        <w:tc>
          <w:tcPr>
            <w:tcW w:w="300" w:type="dxa"/>
            <w:vAlign w:val="bottom"/>
          </w:tcPr>
          <w:p>
            <w:pPr>
              <w:spacing w:after="0"/>
              <w:rPr>
                <w:sz w:val="20"/>
                <w:szCs w:val="20"/>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219.5</w:t>
            </w:r>
          </w:p>
        </w:tc>
        <w:tc>
          <w:tcPr>
            <w:tcW w:w="420" w:type="dxa"/>
            <w:vAlign w:val="bottom"/>
          </w:tcPr>
          <w:p>
            <w:pPr>
              <w:spacing w:after="0"/>
              <w:rPr>
                <w:sz w:val="20"/>
                <w:szCs w:val="20"/>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222.7</w:t>
            </w:r>
          </w:p>
        </w:tc>
      </w:tr>
      <w:tr>
        <w:trPr>
          <w:trHeight w:val="33"/>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222.0</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219.5</w:t>
            </w: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222.7</w:t>
            </w:r>
          </w:p>
        </w:tc>
      </w:tr>
      <w:tr>
        <w:trPr>
          <w:trHeight w:val="33"/>
        </w:trPr>
        <w:tc>
          <w:tcPr>
            <w:tcW w:w="6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For our internal budgeting and resource allocation process and as a means to provide consistency in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6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406400</wp:posOffset>
            </wp:positionV>
            <wp:extent cx="100330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 (1):</w:t>
      </w:r>
    </w:p>
    <w:p>
      <w:pPr>
        <w:spacing w:after="0" w:line="163"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30956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03" w:lineRule="exact"/>
        <w:rPr>
          <w:sz w:val="20"/>
          <w:szCs w:val="20"/>
          <w:color w:val="auto"/>
        </w:rPr>
      </w:pPr>
    </w:p>
    <w:p>
      <w:pPr>
        <w:jc w:val="both"/>
        <w:ind w:left="7160"/>
        <w:spacing w:after="0"/>
        <w:tabs>
          <w:tab w:leader="none" w:pos="8800" w:val="left"/>
          <w:tab w:leader="none" w:pos="10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30956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89"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 (1)</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operations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CEO transition costs (2)</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Acquisition related costs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Restructuring and other exit costs,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income (loss) from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CEO transition costs (2)</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Acquisition related costs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Restructuring and other exit costs,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 (1)</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Amortization of developed technologies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Amortization of purchased intangibles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CEO transition costs (2)</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Acquisition related costs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Restructuring and other exit costs, net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(Gain) loss on strategic investments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Discrete tax provision items</w:t>
      </w:r>
    </w:p>
    <w:p>
      <w:pPr>
        <w:spacing w:after="0" w:line="86" w:lineRule="exact"/>
        <w:rPr>
          <w:sz w:val="20"/>
          <w:szCs w:val="20"/>
          <w:color w:val="auto"/>
        </w:rPr>
      </w:pPr>
    </w:p>
    <w:p>
      <w:pPr>
        <w:jc w:val="right"/>
        <w:ind w:right="2520"/>
        <w:spacing w:after="0"/>
        <w:rPr>
          <w:sz w:val="20"/>
          <w:szCs w:val="20"/>
          <w:color w:val="auto"/>
        </w:rPr>
      </w:pPr>
      <w:r>
        <w:rPr>
          <w:rFonts w:ascii="Arial" w:cs="Arial" w:eastAsia="Arial" w:hAnsi="Arial"/>
          <w:sz w:val="16"/>
          <w:szCs w:val="16"/>
          <w:color w:val="auto"/>
        </w:rPr>
        <w:t>Income tax effect of non-GAAP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00330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2,283.9</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1,753.2</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1,689.1</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14.1</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40.0</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2,317.0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1,785.5</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1,743.2</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70"/>
        </w:trPr>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(509.1)</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(499.6)</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249.5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245.0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221.8</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40.0</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31.8</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80.5</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316.0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(125.5)</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70"/>
        </w:trPr>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480" w:type="dxa"/>
            <w:vAlign w:val="bottom"/>
          </w:tcPr>
          <w:p>
            <w:pPr>
              <w:spacing w:after="0"/>
              <w:rPr>
                <w:sz w:val="23"/>
                <w:szCs w:val="23"/>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 %</w:t>
            </w: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 %</w:t>
            </w: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(566.9)</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(582.1)</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249.5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245.0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221.8</w:t>
            </w:r>
          </w:p>
        </w:tc>
      </w:tr>
      <w:tr>
        <w:trPr>
          <w:trHeight w:val="257"/>
        </w:trPr>
        <w:tc>
          <w:tcPr>
            <w:tcW w:w="48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40.0</w:t>
            </w:r>
          </w:p>
        </w:tc>
      </w:tr>
      <w:tr>
        <w:trPr>
          <w:trHeight w:val="257"/>
        </w:trPr>
        <w:tc>
          <w:tcPr>
            <w:tcW w:w="48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31.8</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80.5</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(0.3)</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w:t>
            </w:r>
          </w:p>
        </w:tc>
      </w:tr>
      <w:tr>
        <w:trPr>
          <w:trHeight w:val="270"/>
        </w:trPr>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100.0</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(111.0)</w:t>
            </w:r>
          </w:p>
        </w:tc>
      </w:tr>
      <w:tr>
        <w:trPr>
          <w:trHeight w:val="3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-4138295</wp:posOffset>
            </wp:positionH>
            <wp:positionV relativeFrom="paragraph">
              <wp:posOffset>-5736590</wp:posOffset>
            </wp:positionV>
            <wp:extent cx="72294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-5384800</wp:posOffset>
            </wp:positionV>
            <wp:extent cx="722947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-5033645</wp:posOffset>
            </wp:positionV>
            <wp:extent cx="72294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-4681855</wp:posOffset>
            </wp:positionV>
            <wp:extent cx="7229475"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-4330065</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-3987165</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-3644265</wp:posOffset>
            </wp:positionV>
            <wp:extent cx="72294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-3292475</wp:posOffset>
            </wp:positionV>
            <wp:extent cx="722947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-2940685</wp:posOffset>
            </wp:positionV>
            <wp:extent cx="72294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-2597785</wp:posOffset>
            </wp:positionV>
            <wp:extent cx="72294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-2254885</wp:posOffset>
            </wp:positionV>
            <wp:extent cx="72294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-1903095</wp:posOffset>
            </wp:positionV>
            <wp:extent cx="722947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-1551305</wp:posOffset>
            </wp:positionV>
            <wp:extent cx="722947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-1225550</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-882650</wp:posOffset>
            </wp:positionV>
            <wp:extent cx="722947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-539750</wp:posOffset>
            </wp:positionV>
            <wp:extent cx="722947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-196850</wp:posOffset>
            </wp:positionV>
            <wp:extent cx="7229475"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860"/>
          </w:cols>
          <w:pgMar w:left="240" w:top="125" w:right="259" w:bottom="1440" w:gutter="0" w:footer="0" w:header="0"/>
          <w:type w:val="continuous"/>
        </w:sect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Form 10-K 54</w:t>
      </w:r>
    </w:p>
    <w:p>
      <w:pPr>
        <w:sectPr>
          <w:pgSz w:w="11900" w:h="16838" w:orient="portrait"/>
          <w:cols w:equalWidth="0" w:num="1">
            <w:col w:w="11400"/>
          </w:cols>
          <w:pgMar w:left="240" w:top="125" w:right="2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80"/>
              <w:spacing w:after="0"/>
              <w:rPr>
                <w:sz w:val="20"/>
                <w:szCs w:val="20"/>
                <w:color w:val="auto"/>
              </w:rPr>
            </w:pPr>
            <w:r>
              <w:rPr>
                <w:rFonts w:ascii="Arial" w:cs="Arial" w:eastAsia="Arial" w:hAnsi="Arial"/>
                <w:sz w:val="14"/>
                <w:szCs w:val="14"/>
                <w:b w:val="1"/>
                <w:bCs w:val="1"/>
                <w:color w:val="auto"/>
                <w:w w:val="94"/>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(2)</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(Gain) loss on strategic investments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diluted income (loss) per share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40" w:type="dxa"/>
            <w:vAlign w:val="bottom"/>
            <w:gridSpan w:val="2"/>
            <w:vMerge w:val="restart"/>
          </w:tcPr>
          <w:p>
            <w:pPr>
              <w:jc w:val="right"/>
              <w:ind w:right="5299"/>
              <w:spacing w:after="0"/>
              <w:rPr>
                <w:sz w:val="20"/>
                <w:szCs w:val="20"/>
                <w:color w:val="auto"/>
              </w:rPr>
            </w:pPr>
            <w:r>
              <w:rPr>
                <w:rFonts w:ascii="Arial" w:cs="Arial" w:eastAsia="Arial" w:hAnsi="Arial"/>
                <w:sz w:val="18"/>
                <w:szCs w:val="18"/>
                <w:color w:val="auto"/>
                <w:w w:val="89"/>
              </w:rPr>
              <w:t>_______________</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9" w:lineRule="exact"/>
        <w:rPr>
          <w:rFonts w:ascii="Arial" w:cs="Arial" w:eastAsia="Arial" w:hAnsi="Arial"/>
          <w:sz w:val="16"/>
          <w:szCs w:val="16"/>
          <w:color w:val="auto"/>
        </w:rPr>
      </w:pPr>
    </w:p>
    <w:p>
      <w:pPr>
        <w:ind w:left="420" w:right="240" w:hanging="412"/>
        <w:spacing w:after="0" w:line="257" w:lineRule="auto"/>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CEO transition costs include stock-based compensation of $16.4 million related to the acceleration of eligible stock awards in conjunction with the Company's former CEOs' transition agreements for the fiscal year ended January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261620</wp:posOffset>
            </wp:positionV>
            <wp:extent cx="100330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 xml:space="preserve">Acquisition related costs. </w:t>
      </w:r>
      <w:r>
        <w:rPr>
          <w:rFonts w:ascii="Arial" w:cs="Arial" w:eastAsia="Arial" w:hAnsi="Arial"/>
          <w:sz w:val="17"/>
          <w:szCs w:val="17"/>
          <w:color w:val="auto"/>
        </w:rPr>
        <w:t>We exclude certain acquisition related costs, including due diligence costs, professional fees in connection with an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financing costs, and certain integration 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 related costs, may not be indicative of such future costs. We believe excluding acquisition related costs facilitates the comparison of our financial results to the Company's historical operating results and to other companies in our industry.</w:t>
      </w:r>
    </w:p>
    <w:p>
      <w:pPr>
        <w:spacing w:after="0" w:line="18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(Gain) loss on strategic investments and dispositions. </w:t>
      </w:r>
      <w:r>
        <w:rPr>
          <w:rFonts w:ascii="Arial" w:cs="Arial" w:eastAsia="Arial" w:hAnsi="Arial"/>
          <w:sz w:val="18"/>
          <w:szCs w:val="18"/>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3"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net (loss) 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3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At January 31, 2019, our principal sources of liquidity were cash, cash equivalents, and marketable securities totaling $953.6 million and net accounts receivable of $474.3 million.</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December 17, 2018, Autodesk entered into a new Credit Agreement (the “Credit Agreement”) for an unsecured revolving loan facility in the aggregate principal amount of $650.0 million, with an option to request increases in the amount of the credit facility by up to an additional $350.0 million. The Credit Agreement replaced and terminated our $400.0 million Amended and Restated Credit Agreement. The maturity date on the line of credit facility is December 2023. At January 31, 2019, Autodesk had no outstanding borrowings on this line of credit. As of March 25, 2019, we have no amounts outstanding under the credit facility. See Part II, Item 8, Note 8, "Borrowing Arrangements," in the Notes to Consolidated Financial Statements for further discussion on our covenant requirements. If we are unable to remain in compliance with the covenants, we will not be able to draw on our credit facility.</w:t>
      </w:r>
    </w:p>
    <w:p>
      <w:pPr>
        <w:spacing w:after="0" w:line="165"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On December 17, 2018, we also entered into a Term Loan Agreement (the “Term Loan Agreement”) which provided for a delayed draw term loan facility in the aggregate principal amount of $500.0 million. On December 19, 2018, we borrowed a $500.0 million term loan under the Term Loan Agreement in connection with the acquisition of PlanGrid. See Part II, 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00330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Note 8, "Borrowing Arrangements," in the Notes to Consolidated Financial Statements for further discussion on the Term Loan Agreement terms and Part II, Item 8, Note 6, "Acquisitions" for further discussion on the PlanGrid acquisition.</w:t>
      </w:r>
    </w:p>
    <w:p>
      <w:pPr>
        <w:spacing w:after="0" w:line="17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 addition to the term loan, as of January 31, 2019, we have $1.6 billion aggregate principal amount of Notes outstanding. See Part II, Item 8, Note 8, "Borrowing Arrangements," in the Notes to Consolidated Financial Statements for further discussion.</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w:t>
      </w:r>
    </w:p>
    <w:p>
      <w:pPr>
        <w:spacing w:after="0" w:line="181"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January 31, 2019, approximately 52%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includes a mandatory one-time tax on accumulated earnings of foreign subsidiaries and generally eliminates U.S. taxes on foreign subsidiary distributions in future periods. As a result, earnings in foreign jurisdictions are generally available for distribution to the U.S.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a combination of current cash balances, ongoing cash flows, and external borrowings.</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46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377.1</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169.7</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20" w:type="dxa"/>
            <w:vAlign w:val="bottom"/>
          </w:tcPr>
          <w:p>
            <w:pPr>
              <w:spacing w:after="0"/>
              <w:rPr>
                <w:sz w:val="20"/>
                <w:szCs w:val="20"/>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(710.4)</w:t>
            </w:r>
          </w:p>
        </w:tc>
        <w:tc>
          <w:tcPr>
            <w:tcW w:w="2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506.4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272.0</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151.9</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(578.3)</w:t>
            </w:r>
          </w:p>
        </w:tc>
      </w:tr>
      <w:tr>
        <w:trPr>
          <w:trHeight w:val="33"/>
        </w:trPr>
        <w:tc>
          <w:tcPr>
            <w:tcW w:w="8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Net cash provided by operating activities of $377.1 million for fiscal 2019 consisted of $371.8 million of non-cash expenses, including stock-based compensation expense, restructuring charges, net, depreciation, amortization and accretion expense, offsetting our net loss of $80.8 million, and included $86.1 million of cash flow provided by changes in operating assets and liabilities.</w:t>
      </w:r>
    </w:p>
    <w:p>
      <w:pPr>
        <w:spacing w:after="0" w:line="181"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The primary working capital source of cash was an increase in deferred revenue from $1,955.1 million as of January 31, 2018, to $2,091.4 million as of January 31, 2019. The primary working capital uses of cash were decreases in accounts payable and other accrued liabilities.</w:t>
      </w:r>
    </w:p>
    <w:p>
      <w:pPr>
        <w:spacing w:after="0" w:line="14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Net cash used in investing activities was $710.4 million for fiscal 2019 and was primarily due to acquisitions, net of cash acquired and purchases of marketable securities. These cash outflows were partially offset by sales and 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271780</wp:posOffset>
            </wp:positionV>
            <wp:extent cx="100330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At January 31, 2019, our short-term investment portfolio had an estimated fair value of $67.6 million and a cost basis of $62.8 million. The portfolio fair value consisted of $60.3 million of trading securities that were invested in a defined set of mutual funds as directed by the participants in our Deferred Compensation Plan (see Note 7, “Deferred Compensation,” in the Notes to Consolidated Financial Statements for further discussion) and $7.3 million invested in other available-for-sale short-term securities.</w:t>
      </w:r>
    </w:p>
    <w:p>
      <w:pPr>
        <w:spacing w:after="0" w:line="187"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Net cash provided by financing activities was $151.9 million in fiscal 2019 and was primarily due to proceeds from debt issuance, net of discount and proceeds from issuance of stock. These cash inflows were partially offset by repurchases of our common stock and taxes paid related to net share settlement of equity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summarizes our significant financial contractual obligations at January 31, 2019, and the effect such obligations are expected to have on our liquidity and cash flows in future periods.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Fiscal year 2020</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2021-</w:t>
            </w: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Fiscal years 2023-</w:t>
            </w:r>
          </w:p>
        </w:tc>
        <w:tc>
          <w:tcPr>
            <w:tcW w:w="220" w:type="dxa"/>
            <w:vAlign w:val="bottom"/>
          </w:tcPr>
          <w:p>
            <w:pPr>
              <w:spacing w:after="0"/>
              <w:rPr>
                <w:sz w:val="14"/>
                <w:szCs w:val="14"/>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Notes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1,898.3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541.7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422.3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877.0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Deferred compensation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Asset retirement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(1)</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1,204.7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2"/>
            <w:vMerge w:val="restart"/>
          </w:tcPr>
          <w:p>
            <w:pPr>
              <w:jc w:val="right"/>
              <w:ind w:right="2239"/>
              <w:spacing w:after="0"/>
              <w:rPr>
                <w:sz w:val="20"/>
                <w:szCs w:val="20"/>
                <w:color w:val="auto"/>
              </w:rPr>
            </w:pPr>
            <w:r>
              <w:rPr>
                <w:rFonts w:ascii="Arial" w:cs="Arial" w:eastAsia="Arial" w:hAnsi="Arial"/>
                <w:sz w:val="18"/>
                <w:szCs w:val="18"/>
                <w:color w:val="auto"/>
                <w:w w:val="88"/>
              </w:rPr>
              <w:t>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20" w:right="60" w:hanging="412"/>
        <w:spacing w:after="0" w:line="307" w:lineRule="auto"/>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w:t>
      </w:r>
      <w:r>
        <w:rPr>
          <w:rFonts w:ascii="Arial" w:cs="Arial" w:eastAsia="Arial" w:hAnsi="Arial"/>
          <w:sz w:val="17"/>
          <w:szCs w:val="17"/>
          <w:color w:val="auto"/>
        </w:rPr>
        <w:t>Part II, Item 8,</w:t>
      </w:r>
      <w:r>
        <w:rPr>
          <w:rFonts w:ascii="Arial" w:cs="Arial" w:eastAsia="Arial" w:hAnsi="Arial"/>
          <w:sz w:val="15"/>
          <w:szCs w:val="15"/>
          <w:color w:val="auto"/>
        </w:rPr>
        <w:t xml:space="preserve"> Note 5, “Income Taxes” in the Notes to Consolidated Financial Statements).</w:t>
      </w:r>
    </w:p>
    <w:p>
      <w:pPr>
        <w:spacing w:after="0" w:line="15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Notes consist of the Notes issued in December 2012, June 2015 and June 2017. See Part II, Item 8, Note 8, "Borrowing Arrangements," in the Notes to Consolidated Financial Statements for further discussion..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 loan consists of the Term Loan Agreement entered into on December 17, 2018 as described above.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lease obligations consist primarily of obligations for facilities, net of sublease income, computer equipment and other equipment leases.</w:t>
      </w:r>
    </w:p>
    <w:p>
      <w:pPr>
        <w:spacing w:after="0" w:line="23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Purchase obligations are contractual obligations for purchase of goods or services and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enterprise subscription agreements, IT infrastructure costs, and marketing costs.</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Part II, Item 8, Note 7, “Deferred Compensation,” in our Notes to Consolidated Financial Statements for further information regarding this plan.</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Pension obligations relate to our obligations for pension plans outside of the U.S. See Part II, Item 8, Note 15, “Retirement Benefit Plans,” in our Notes to Consolidated Financial Statements for further information regarding these obligations.</w:t>
      </w:r>
    </w:p>
    <w:p>
      <w:pPr>
        <w:spacing w:after="0" w:line="17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Asset retirement obligations represent the estimated costs to bring certain office buildings that we lease back to their original condition after the termination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00330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9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47"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During the three and twelve months ended January 31, 2019, we repurchased 0.2 million and 2.2 million shares of our common stock, respectively. At January 31, 2019, 17.4 million shares remained available for repurchase under the repurchase program approved by the Board of Directors. This program does not have a fixed expiration date. See Part II, Item 8, Note 10, “Stockholders' (Deficit) Equity,” in the Notes to Consolidated Financial Statements for further discussion.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January 31, 2019, we did not have any significant off-balance sheet arrangements other than operating leases, as defined in Item 303(a)(4)(ii)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271780</wp:posOffset>
            </wp:positionV>
            <wp:extent cx="100330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7A.</w:t>
      </w:r>
      <w:r>
        <w:rPr>
          <w:sz w:val="20"/>
          <w:szCs w:val="20"/>
          <w:color w:val="auto"/>
        </w:rPr>
        <w:tab/>
      </w:r>
      <w:r>
        <w:rPr>
          <w:rFonts w:ascii="Arial" w:cs="Arial" w:eastAsia="Arial" w:hAnsi="Arial"/>
          <w:sz w:val="18"/>
          <w:szCs w:val="18"/>
          <w:b w:val="1"/>
          <w:bCs w:val="1"/>
          <w:color w:val="0696D7"/>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2019, and 2018, we had open cash flow and balance sheet hedge contracts with future settlements within one to twelve months. Contracts were primarily denominated in euros, Japanese yen, British pounds, Canadian dollars, Australian dollars, Singapore dollars, Swiss francs, Swedish krona, and Czech krona. We do not enter into foreign exchange derivative instruments for trading or speculative purposes. The notional amount of our option and forward contracts was $1,383.3 million and $949.5 million at January 31, 2019, and 2018, respectively.</w:t>
      </w:r>
    </w:p>
    <w:p>
      <w:pPr>
        <w:spacing w:after="0" w:line="16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January 31, 2019, indicated that a hypothetical 10% appreciation of the U.S. dollar from its value at January 31, 2019 and 2018 would increase the fair value of our foreign currency contracts by $123.4 million and $57.9 million, respectively. A hypothetical 10% depreciation of the dollar from its value at January 31, 2019, and 2018 would decrease the fair value of our foreign currency contracts by $98.3 million and $83.2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Interest rate movements affect both the interest income we earn on our short-term investments and the market value of certain longer term securities. At January 31, 2019, we had $443.7 million of cash equivalents and marketable securities, including $67.6 million classified as short-term marketable securities. If interest rates were to move up by 50 or 100 basis points over a twelve month period, the market value change of our marketable securities would not have a meaningful unrealized gain or loss.</w:t>
      </w:r>
    </w:p>
    <w:p>
      <w:pPr>
        <w:spacing w:after="0" w:line="18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December 2018, we entered into a $500.0 million term loan facility, all of which was outstanding as of January 31, 2019. The term loan bears interest, at Autodesk's option, at either (i) a floating rate per annum equal to the base rate plus a margin between 0.000% and 0.625%, depending on Autodesk's Public Debt Rating or (ii) a per annum rate equal to the rate at which dollar deposits are offered in the London interbank market, plus a margin of between 0.875% and 1.625%, depending on Autodesk's Public Debt Rating. Based on Autodesk's current credit ratings the term loan bears interest at a per annum rate equal to the rate at which dollar deposits are offered in the London interbank market, plus a margin of 1.125% per annum. A hypothetical increase or decrease of 50 or 100 basis points would not have a material impact on our results of operations. The term loan facility matures in December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II, Item 8, Note 3, "Financial Instruments" in the Notes to Consolidated Financial Statements for further discussion regarding our privately held investments.</w:t>
      </w:r>
    </w:p>
    <w:p>
      <w:pPr>
        <w:spacing w:after="0" w:line="178"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For information about exposure to counter-party credit-related losses, see Part II, Item 8, Note 1, “Business and Summary of Significant Accounting Policies - Concentration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1003300"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8.</w:t>
      </w:r>
      <w:r>
        <w:rPr>
          <w:sz w:val="20"/>
          <w:szCs w:val="20"/>
          <w:color w:val="auto"/>
        </w:rPr>
        <w:tab/>
      </w:r>
      <w:r>
        <w:rPr>
          <w:rFonts w:ascii="Arial" w:cs="Arial" w:eastAsia="Arial" w:hAnsi="Arial"/>
          <w:sz w:val="17"/>
          <w:szCs w:val="17"/>
          <w:b w:val="1"/>
          <w:bCs w:val="1"/>
          <w:color w:val="0696D7"/>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365" w:lineRule="exact"/>
        <w:rPr>
          <w:sz w:val="20"/>
          <w:szCs w:val="20"/>
          <w:color w:val="auto"/>
        </w:rPr>
      </w:pPr>
    </w:p>
    <w:p>
      <w:pPr>
        <w:jc w:val="right"/>
        <w:ind w:right="142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23495</wp:posOffset>
            </wp:positionV>
            <wp:extent cx="29584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Maintenance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subscription and maintenance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(1)</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net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subscription and maintenance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other revenue (2)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r>
      <w:tr>
        <w:trPr>
          <w:trHeight w:val="50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1,802.3</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894.3</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443.1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635.1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989.6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1,103.1</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2,437.4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1,883.9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1,546.2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484.8</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2,569.8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2,056.6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2,031.0</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6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191.7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110.2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-1530350</wp:posOffset>
            </wp:positionV>
            <wp:extent cx="722947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-1187450</wp:posOffset>
            </wp:positionV>
            <wp:extent cx="722947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-844550</wp:posOffset>
            </wp:positionV>
            <wp:extent cx="722947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-492760</wp:posOffset>
            </wp:positionV>
            <wp:extent cx="722947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-149860</wp:posOffset>
            </wp:positionV>
            <wp:extent cx="722947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285.9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303.4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2,283.9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1,689.1</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1,022.5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5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725.0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755.5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766.1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5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2,308.9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2,262.3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2,188.7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and other expense, net</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loss per share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loss per share</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loss per share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218.9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loss per share</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Previously labeled as "Cost of license and other revenue" in prior periods.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306705</wp:posOffset>
            </wp:positionV>
            <wp:extent cx="100330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61</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 comprehensive (loss) income, net of reclassifications: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(loss) on derivative instruments (net of tax effect of ($1.1), $3.2, and ($1.1))</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Change in net unrealized gain (loss) on available-for-sale securities (net of tax effect of $0.0, $0.1, and ($0.5))</w:t>
            </w:r>
          </w:p>
        </w:tc>
        <w:tc>
          <w:tcPr>
            <w:tcW w:w="2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1.3</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($2.0), ($0.7), and ($0.9))</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gain (net of tax effect of $0.5, ($4.8), and $0.2))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33"/>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44"/>
        </w:trPr>
        <w:tc>
          <w:tcPr>
            <w:tcW w:w="844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(639.5)</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003300"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right"/>
              <w:ind w:right="3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7"/>
        </w:trPr>
        <w:tc>
          <w:tcPr>
            <w:tcW w:w="8320" w:type="dxa"/>
            <w:vAlign w:val="bottom"/>
          </w:tcPr>
          <w:p>
            <w:pPr>
              <w:ind w:left="390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886.0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1,078.0</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438.2</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17"/>
        </w:trPr>
        <w:tc>
          <w:tcPr>
            <w:tcW w:w="8320" w:type="dxa"/>
            <w:vAlign w:val="bottom"/>
          </w:tcPr>
          <w:p>
            <w:pPr>
              <w:ind w:left="7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1,620.0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1,877.9</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2,450.8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1,620.2</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170.9</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4,113.6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580"/>
              <w:spacing w:after="0"/>
              <w:rPr>
                <w:sz w:val="20"/>
                <w:szCs w:val="20"/>
                <w:color w:val="auto"/>
              </w:rPr>
            </w:pPr>
            <w:r>
              <w:rPr>
                <w:rFonts w:ascii="Arial" w:cs="Arial" w:eastAsia="Arial" w:hAnsi="Arial"/>
                <w:sz w:val="14"/>
                <w:szCs w:val="14"/>
                <w:b w:val="1"/>
                <w:bCs w:val="1"/>
                <w:color w:val="auto"/>
              </w:rPr>
              <w:t>LIABILITIES AND STOCKHOLDERS’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67945</wp:posOffset>
            </wp:positionV>
            <wp:extent cx="722947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2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260" w:type="dxa"/>
            <w:vAlign w:val="bottom"/>
          </w:tcPr>
          <w:p>
            <w:pPr>
              <w:ind w:left="360"/>
              <w:spacing w:after="0"/>
              <w:rPr>
                <w:sz w:val="20"/>
                <w:szCs w:val="20"/>
                <w:color w:val="auto"/>
              </w:rPr>
            </w:pPr>
            <w:r>
              <w:rPr>
                <w:rFonts w:ascii="Arial" w:cs="Arial" w:eastAsia="Arial" w:hAnsi="Arial"/>
                <w:sz w:val="16"/>
                <w:szCs w:val="16"/>
                <w:color w:val="auto"/>
              </w:rPr>
              <w:t>Accrued compensation</w:t>
            </w:r>
          </w:p>
        </w:tc>
        <w:tc>
          <w:tcPr>
            <w:tcW w:w="3140" w:type="dxa"/>
            <w:vAlign w:val="bottom"/>
          </w:tcPr>
          <w:p>
            <w:pPr>
              <w:spacing w:after="0"/>
              <w:rPr>
                <w:sz w:val="22"/>
                <w:szCs w:val="22"/>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3140" w:type="dxa"/>
            <w:vAlign w:val="bottom"/>
          </w:tcPr>
          <w:p>
            <w:pPr>
              <w:spacing w:after="0"/>
              <w:rPr>
                <w:sz w:val="23"/>
                <w:szCs w:val="23"/>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3140" w:type="dxa"/>
            <w:vAlign w:val="bottom"/>
          </w:tcPr>
          <w:p>
            <w:pPr>
              <w:spacing w:after="0"/>
              <w:rPr>
                <w:sz w:val="23"/>
                <w:szCs w:val="23"/>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6"/>
                <w:szCs w:val="16"/>
                <w:color w:val="auto"/>
              </w:rPr>
              <w:t>Other accrued liabilities</w:t>
            </w:r>
          </w:p>
        </w:tc>
        <w:tc>
          <w:tcPr>
            <w:tcW w:w="3140" w:type="dxa"/>
            <w:vAlign w:val="bottom"/>
          </w:tcPr>
          <w:p>
            <w:pPr>
              <w:spacing w:after="0"/>
              <w:rPr>
                <w:sz w:val="23"/>
                <w:szCs w:val="23"/>
                <w:color w:val="auto"/>
              </w:rPr>
            </w:pPr>
          </w:p>
        </w:tc>
      </w:tr>
      <w:tr>
        <w:trPr>
          <w:trHeight w:val="270"/>
        </w:trPr>
        <w:tc>
          <w:tcPr>
            <w:tcW w:w="526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3140" w:type="dxa"/>
            <w:vAlign w:val="bottom"/>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6"/>
                <w:szCs w:val="16"/>
                <w:color w:val="auto"/>
              </w:rPr>
              <w:t>Long-term deferred revenue</w:t>
            </w:r>
          </w:p>
        </w:tc>
        <w:tc>
          <w:tcPr>
            <w:tcW w:w="3140" w:type="dxa"/>
            <w:vAlign w:val="bottom"/>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6"/>
                <w:szCs w:val="16"/>
                <w:color w:val="auto"/>
              </w:rPr>
              <w:t>Long-term income taxes payable</w:t>
            </w:r>
          </w:p>
        </w:tc>
        <w:tc>
          <w:tcPr>
            <w:tcW w:w="3140" w:type="dxa"/>
            <w:vAlign w:val="bottom"/>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6"/>
                <w:szCs w:val="16"/>
                <w:color w:val="auto"/>
              </w:rPr>
              <w:t>Long-term deferred income taxes</w:t>
            </w:r>
          </w:p>
        </w:tc>
        <w:tc>
          <w:tcPr>
            <w:tcW w:w="3140" w:type="dxa"/>
            <w:vAlign w:val="bottom"/>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6"/>
                <w:szCs w:val="16"/>
                <w:color w:val="auto"/>
              </w:rPr>
              <w:t>Long-term notes payable, net</w:t>
            </w:r>
          </w:p>
        </w:tc>
        <w:tc>
          <w:tcPr>
            <w:tcW w:w="3140" w:type="dxa"/>
            <w:vAlign w:val="bottom"/>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6"/>
                <w:szCs w:val="16"/>
                <w:color w:val="auto"/>
              </w:rPr>
              <w:t>Long-term other liabilities</w:t>
            </w:r>
          </w:p>
        </w:tc>
        <w:tc>
          <w:tcPr>
            <w:tcW w:w="3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-1685290</wp:posOffset>
            </wp:positionV>
            <wp:extent cx="722947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-1341755</wp:posOffset>
            </wp:positionV>
            <wp:extent cx="722947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-655955</wp:posOffset>
            </wp:positionV>
            <wp:extent cx="722947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-313055</wp:posOffset>
            </wp:positionV>
            <wp:extent cx="722947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29845</wp:posOffset>
            </wp:positionV>
            <wp:extent cx="722947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-998855</wp:posOffset>
            </wp:positionV>
            <wp:extent cx="722947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Preferred stock, $0.01 par value; shares authorized 2.0; none issued or outstanding at January 31, 2019 and 2018</w:t>
      </w:r>
    </w:p>
    <w:p>
      <w:pPr>
        <w:spacing w:after="0" w:line="98" w:lineRule="exact"/>
        <w:rPr>
          <w:sz w:val="20"/>
          <w:szCs w:val="20"/>
          <w:color w:val="auto"/>
        </w:rPr>
      </w:pPr>
    </w:p>
    <w:p>
      <w:pPr>
        <w:ind w:left="400" w:right="240"/>
        <w:spacing w:after="0" w:line="293" w:lineRule="auto"/>
        <w:rPr>
          <w:sz w:val="20"/>
          <w:szCs w:val="20"/>
          <w:color w:val="auto"/>
        </w:rPr>
      </w:pPr>
      <w:r>
        <w:rPr>
          <w:rFonts w:ascii="Arial" w:cs="Arial" w:eastAsia="Arial" w:hAnsi="Arial"/>
          <w:sz w:val="16"/>
          <w:szCs w:val="16"/>
          <w:color w:val="auto"/>
        </w:rPr>
        <w:t>Common stock and additional paid-in capital, $0.01 par value; shares authorized 750.0; 219.4 outstanding at January 31, 2019 and 218.3 outstanding at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wp:posOffset>
            </wp:positionV>
            <wp:extent cx="722947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101.6</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94.7</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280.8</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250.9</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13.2</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97"/>
              </w:rPr>
              <w:t>1,763.3</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1,551.6</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142.3</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198.0</w:t>
            </w:r>
          </w:p>
        </w:tc>
      </w:tr>
      <w:tr>
        <w:trPr>
          <w:trHeight w:val="33"/>
        </w:trPr>
        <w:tc>
          <w:tcPr>
            <w:tcW w:w="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97"/>
              </w:rPr>
              <w:t>2,301.2</w:t>
            </w: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2,123.2</w:t>
            </w:r>
          </w:p>
        </w:tc>
      </w:tr>
      <w:tr>
        <w:trPr>
          <w:trHeight w:val="33"/>
        </w:trPr>
        <w:tc>
          <w:tcPr>
            <w:tcW w:w="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328.1</w:t>
            </w: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403.5</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41.6</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79.8</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66.6</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97"/>
              </w:rPr>
              <w:t>2,087.7</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1,586.0</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121.8</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148.7</w:t>
            </w:r>
          </w:p>
        </w:tc>
      </w:tr>
      <w:tr>
        <w:trPr>
          <w:trHeight w:val="81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97"/>
              </w:rPr>
              <w:t>2,071.5</w:t>
            </w:r>
          </w:p>
        </w:tc>
        <w:tc>
          <w:tcPr>
            <w:tcW w:w="4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1,952.7</w:t>
            </w:r>
          </w:p>
        </w:tc>
      </w:tr>
      <w:tr>
        <w:trPr>
          <w:trHeight w:val="270"/>
        </w:trPr>
        <w:tc>
          <w:tcPr>
            <w:tcW w:w="760" w:type="dxa"/>
            <w:vAlign w:val="bottom"/>
          </w:tcPr>
          <w:p>
            <w:pPr>
              <w:jc w:val="right"/>
              <w:ind w:right="79"/>
              <w:spacing w:after="0"/>
              <w:rPr>
                <w:sz w:val="20"/>
                <w:szCs w:val="20"/>
                <w:color w:val="auto"/>
              </w:rPr>
            </w:pPr>
            <w:r>
              <w:rPr>
                <w:rFonts w:ascii="Arial" w:cs="Arial" w:eastAsia="Arial" w:hAnsi="Arial"/>
                <w:sz w:val="16"/>
                <w:szCs w:val="16"/>
                <w:color w:val="auto"/>
              </w:rPr>
              <w:t>(135.0)</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70"/>
        </w:trPr>
        <w:tc>
          <w:tcPr>
            <w:tcW w:w="760" w:type="dxa"/>
            <w:vAlign w:val="bottom"/>
          </w:tcPr>
          <w:p>
            <w:pPr>
              <w:jc w:val="right"/>
              <w:ind w:right="79"/>
              <w:spacing w:after="0"/>
              <w:rPr>
                <w:sz w:val="20"/>
                <w:szCs w:val="20"/>
                <w:color w:val="auto"/>
              </w:rPr>
            </w:pPr>
            <w:r>
              <w:rPr>
                <w:rFonts w:ascii="Arial" w:cs="Arial" w:eastAsia="Arial" w:hAnsi="Arial"/>
                <w:sz w:val="16"/>
                <w:szCs w:val="16"/>
                <w:color w:val="auto"/>
                <w:w w:val="90"/>
              </w:rPr>
              <w:t>(2,147.4)</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-1985010</wp:posOffset>
            </wp:positionV>
            <wp:extent cx="951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460" w:space="720"/>
            <w:col w:w="224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270"/>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deficit</w:t>
            </w: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 liabilities and stockholders' deficit</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4,729.2</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4,113.6</w:t>
            </w:r>
          </w:p>
        </w:tc>
      </w:tr>
      <w:tr>
        <w:trPr>
          <w:trHeight w:val="33"/>
        </w:trPr>
        <w:tc>
          <w:tcPr>
            <w:tcW w:w="8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581025</wp:posOffset>
            </wp:positionV>
            <wp:extent cx="100330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2019 Form 10-K 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7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0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2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(566.9)</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(582.1)</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221.8</w:t>
            </w: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37"/>
        </w:trPr>
        <w:tc>
          <w:tcPr>
            <w:tcW w:w="6720" w:type="dxa"/>
            <w:vAlign w:val="bottom"/>
            <w:gridSpan w:val="4"/>
          </w:tcPr>
          <w:p>
            <w:pPr>
              <w:ind w:left="360"/>
              <w:spacing w:after="0"/>
              <w:rPr>
                <w:sz w:val="20"/>
                <w:szCs w:val="20"/>
                <w:color w:val="auto"/>
              </w:rPr>
            </w:pPr>
            <w:r>
              <w:rPr>
                <w:rFonts w:ascii="Arial" w:cs="Arial" w:eastAsia="Arial" w:hAnsi="Arial"/>
                <w:sz w:val="16"/>
                <w:szCs w:val="16"/>
                <w:color w:val="auto"/>
              </w:rPr>
              <w:t>Other operating activities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33"/>
        </w:trPr>
        <w:tc>
          <w:tcPr>
            <w:tcW w:w="7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169.7</w:t>
            </w:r>
          </w:p>
        </w:tc>
        <w:tc>
          <w:tcPr>
            <w:tcW w:w="0" w:type="dxa"/>
            <w:vAlign w:val="bottom"/>
          </w:tcPr>
          <w:p>
            <w:pPr>
              <w:spacing w:after="0"/>
              <w:rPr>
                <w:sz w:val="1"/>
                <w:szCs w:val="1"/>
                <w:color w:val="auto"/>
              </w:rPr>
            </w:pPr>
          </w:p>
        </w:tc>
      </w:tr>
      <w:tr>
        <w:trPr>
          <w:trHeight w:val="204"/>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(1,867.9)</w:t>
            </w: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Sales of marketable securities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1,257.7</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1,057.2</w:t>
            </w: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Other investing activities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7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04"/>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37"/>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Proceeds from debt, net of discount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Repayments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720" w:type="dxa"/>
            <w:vAlign w:val="bottom"/>
            <w:gridSpan w:val="4"/>
          </w:tcPr>
          <w:p>
            <w:pPr>
              <w:ind w:left="380"/>
              <w:spacing w:after="0"/>
              <w:rPr>
                <w:sz w:val="20"/>
                <w:szCs w:val="20"/>
                <w:color w:val="auto"/>
              </w:rPr>
            </w:pPr>
            <w:r>
              <w:rPr>
                <w:rFonts w:ascii="Arial" w:cs="Arial" w:eastAsia="Arial" w:hAnsi="Arial"/>
                <w:sz w:val="16"/>
                <w:szCs w:val="16"/>
                <w:color w:val="auto"/>
              </w:rPr>
              <w:t>Other 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Net cash provided by (used in) financing activities</w:t>
            </w:r>
          </w:p>
        </w:tc>
        <w:tc>
          <w:tcPr>
            <w:tcW w:w="2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(578.3)</w:t>
            </w:r>
          </w:p>
        </w:tc>
        <w:tc>
          <w:tcPr>
            <w:tcW w:w="0" w:type="dxa"/>
            <w:vAlign w:val="bottom"/>
          </w:tcPr>
          <w:p>
            <w:pPr>
              <w:spacing w:after="0"/>
              <w:rPr>
                <w:sz w:val="1"/>
                <w:szCs w:val="1"/>
                <w:color w:val="auto"/>
              </w:rPr>
            </w:pPr>
          </w:p>
        </w:tc>
      </w:tr>
      <w:tr>
        <w:trPr>
          <w:trHeight w:val="21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7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88"/>
                <w:shd w:val="clear" w:color="auto" w:fill="CCEEFF"/>
              </w:rPr>
              <w:t>Net decrease in cash and cash equivalents</w:t>
            </w:r>
          </w:p>
        </w:tc>
        <w:tc>
          <w:tcPr>
            <w:tcW w:w="3980" w:type="dxa"/>
            <w:vAlign w:val="bottom"/>
            <w:tcBorders>
              <w:bottom w:val="single" w:sz="8" w:color="CCEEFF"/>
            </w:tcBorders>
            <w:gridSpan w:val="2"/>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Cash and cash equivalents at beginning of fiscal year</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1,078.0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1,213.1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1,353.0</w:t>
            </w:r>
          </w:p>
        </w:tc>
        <w:tc>
          <w:tcPr>
            <w:tcW w:w="0" w:type="dxa"/>
            <w:vAlign w:val="bottom"/>
          </w:tcPr>
          <w:p>
            <w:pPr>
              <w:spacing w:after="0"/>
              <w:rPr>
                <w:sz w:val="1"/>
                <w:szCs w:val="1"/>
                <w:color w:val="auto"/>
              </w:rPr>
            </w:pPr>
          </w:p>
        </w:tc>
      </w:tr>
      <w:tr>
        <w:trPr>
          <w:trHeight w:val="33"/>
        </w:trPr>
        <w:tc>
          <w:tcPr>
            <w:tcW w:w="7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fiscal year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7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Cash paid during the year for interest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4"/>
            <w:vMerge w:val="restart"/>
          </w:tcPr>
          <w:p>
            <w:pPr>
              <w:ind w:left="380"/>
              <w:spacing w:after="0"/>
              <w:rPr>
                <w:sz w:val="20"/>
                <w:szCs w:val="20"/>
                <w:color w:val="auto"/>
              </w:rPr>
            </w:pPr>
            <w:r>
              <w:rPr>
                <w:rFonts w:ascii="Arial" w:cs="Arial" w:eastAsia="Arial" w:hAnsi="Arial"/>
                <w:sz w:val="16"/>
                <w:szCs w:val="16"/>
                <w:color w:val="auto"/>
              </w:rPr>
              <w:t>Cash paid for income taxes, net of tax refunds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gridSpan w:val="4"/>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73"/>
        </w:trPr>
        <w:tc>
          <w:tcPr>
            <w:tcW w:w="700" w:type="dxa"/>
            <w:vAlign w:val="bottom"/>
            <w:tcBorders>
              <w:bottom w:val="single" w:sz="8" w:color="CCEEFF"/>
            </w:tcBorders>
          </w:tcPr>
          <w:p>
            <w:pPr>
              <w:spacing w:after="0"/>
              <w:rPr>
                <w:sz w:val="6"/>
                <w:szCs w:val="6"/>
                <w:color w:val="auto"/>
              </w:rPr>
            </w:pPr>
          </w:p>
        </w:tc>
        <w:tc>
          <w:tcPr>
            <w:tcW w:w="2040" w:type="dxa"/>
            <w:vAlign w:val="bottom"/>
            <w:tcBorders>
              <w:bottom w:val="single" w:sz="8" w:color="CCEEFF"/>
            </w:tcBorders>
          </w:tcPr>
          <w:p>
            <w:pPr>
              <w:spacing w:after="0"/>
              <w:rPr>
                <w:sz w:val="6"/>
                <w:szCs w:val="6"/>
                <w:color w:val="auto"/>
              </w:rPr>
            </w:pPr>
          </w:p>
        </w:tc>
        <w:tc>
          <w:tcPr>
            <w:tcW w:w="1240" w:type="dxa"/>
            <w:vAlign w:val="bottom"/>
            <w:tcBorders>
              <w:bottom w:val="single" w:sz="8" w:color="CCEEFF"/>
            </w:tcBorders>
          </w:tcPr>
          <w:p>
            <w:pPr>
              <w:spacing w:after="0"/>
              <w:rPr>
                <w:sz w:val="6"/>
                <w:szCs w:val="6"/>
                <w:color w:val="auto"/>
              </w:rPr>
            </w:pPr>
          </w:p>
        </w:tc>
        <w:tc>
          <w:tcPr>
            <w:tcW w:w="2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gridSpan w:val="4"/>
            <w:shd w:val="clear" w:color="auto" w:fill="CCEEFF"/>
          </w:tcPr>
          <w:p>
            <w:pPr>
              <w:ind w:left="700"/>
              <w:spacing w:after="0" w:line="177" w:lineRule="exact"/>
              <w:rPr>
                <w:sz w:val="20"/>
                <w:szCs w:val="20"/>
                <w:color w:val="auto"/>
              </w:rPr>
            </w:pPr>
            <w:r>
              <w:rPr>
                <w:rFonts w:ascii="Arial" w:cs="Arial" w:eastAsia="Arial" w:hAnsi="Arial"/>
                <w:sz w:val="16"/>
                <w:szCs w:val="16"/>
                <w:color w:val="auto"/>
              </w:rPr>
              <w:t>Non-cash investing and financing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0" w:type="dxa"/>
            <w:vAlign w:val="bottom"/>
            <w:tcBorders>
              <w:bottom w:val="single" w:sz="8" w:color="CCEEFF"/>
            </w:tcBorders>
            <w:shd w:val="clear" w:color="auto" w:fill="CCEEFF"/>
          </w:tcPr>
          <w:p>
            <w:pPr>
              <w:spacing w:after="0"/>
              <w:rPr>
                <w:sz w:val="6"/>
                <w:szCs w:val="6"/>
                <w:color w:val="auto"/>
              </w:rPr>
            </w:pPr>
          </w:p>
        </w:tc>
        <w:tc>
          <w:tcPr>
            <w:tcW w:w="204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shd w:val="clear" w:color="auto" w:fill="CCEEFF"/>
          </w:tcPr>
          <w:p>
            <w:pPr>
              <w:spacing w:after="0"/>
              <w:rPr>
                <w:sz w:val="6"/>
                <w:szCs w:val="6"/>
                <w:color w:val="auto"/>
              </w:rPr>
            </w:pPr>
          </w:p>
        </w:tc>
        <w:tc>
          <w:tcPr>
            <w:tcW w:w="274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ind w:left="380"/>
              <w:spacing w:after="0"/>
              <w:rPr>
                <w:sz w:val="20"/>
                <w:szCs w:val="20"/>
                <w:color w:val="auto"/>
              </w:rPr>
            </w:pPr>
            <w:r>
              <w:rPr>
                <w:rFonts w:ascii="Arial" w:cs="Arial" w:eastAsia="Arial" w:hAnsi="Arial"/>
                <w:sz w:val="16"/>
                <w:szCs w:val="16"/>
                <w:color w:val="auto"/>
              </w:rPr>
              <w:t>Fair value of equity awards assumed (See Note 6)</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gridSpan w:val="4"/>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700" w:type="dxa"/>
            <w:vAlign w:val="bottom"/>
            <w:tcBorders>
              <w:bottom w:val="single" w:sz="8" w:color="CCEEFF"/>
            </w:tcBorders>
          </w:tcPr>
          <w:p>
            <w:pPr>
              <w:spacing w:after="0"/>
              <w:rPr>
                <w:sz w:val="6"/>
                <w:szCs w:val="6"/>
                <w:color w:val="auto"/>
              </w:rPr>
            </w:pPr>
          </w:p>
        </w:tc>
        <w:tc>
          <w:tcPr>
            <w:tcW w:w="2040" w:type="dxa"/>
            <w:vAlign w:val="bottom"/>
            <w:tcBorders>
              <w:bottom w:val="single" w:sz="8" w:color="CCEEFF"/>
            </w:tcBorders>
          </w:tcPr>
          <w:p>
            <w:pPr>
              <w:spacing w:after="0"/>
              <w:rPr>
                <w:sz w:val="6"/>
                <w:szCs w:val="6"/>
                <w:color w:val="auto"/>
              </w:rPr>
            </w:pPr>
          </w:p>
        </w:tc>
        <w:tc>
          <w:tcPr>
            <w:tcW w:w="1240" w:type="dxa"/>
            <w:vAlign w:val="bottom"/>
            <w:tcBorders>
              <w:bottom w:val="single" w:sz="8" w:color="CCEEFF"/>
            </w:tcBorders>
          </w:tcPr>
          <w:p>
            <w:pPr>
              <w:spacing w:after="0"/>
              <w:rPr>
                <w:sz w:val="6"/>
                <w:szCs w:val="6"/>
                <w:color w:val="auto"/>
              </w:rPr>
            </w:pPr>
          </w:p>
        </w:tc>
        <w:tc>
          <w:tcPr>
            <w:tcW w:w="2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gridSpan w:val="4"/>
            <w:shd w:val="clear" w:color="auto" w:fill="CCEEFF"/>
          </w:tcPr>
          <w:p>
            <w:pPr>
              <w:ind w:left="380"/>
              <w:spacing w:after="0" w:line="177" w:lineRule="exact"/>
              <w:rPr>
                <w:sz w:val="20"/>
                <w:szCs w:val="20"/>
                <w:color w:val="auto"/>
              </w:rPr>
            </w:pPr>
            <w:r>
              <w:rPr>
                <w:rFonts w:ascii="Arial" w:cs="Arial" w:eastAsia="Arial" w:hAnsi="Arial"/>
                <w:sz w:val="16"/>
                <w:szCs w:val="16"/>
                <w:color w:val="auto"/>
                <w:w w:val="98"/>
              </w:rPr>
              <w:t>Fair value of common stock issued as consideration for business combination (See Note 6)</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03300"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Form 10-K 64</w:t>
      </w:r>
    </w:p>
    <w:p>
      <w:pPr>
        <w:sectPr>
          <w:pgSz w:w="11900" w:h="16838" w:orient="portrait"/>
          <w:cols w:equalWidth="0" w:num="1">
            <w:col w:w="11400"/>
          </w:cols>
          <w:pgMar w:left="240" w:top="125" w:right="2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jc w:val="right"/>
        <w:ind w:right="2560"/>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January 31, 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shares issued under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benefits from employee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and retirement of common shares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January 31, 2017</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shares issued under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and retirement of common shares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January 31, 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shares issued under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Pre-combination expense related to equity awards assumed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effect of accounting changes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Shares issued as consideration for business combination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and retirement of common shares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January 31, 2019</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Common stock and additional paid-in</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capital</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6"/>
                <w:szCs w:val="6"/>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8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(deficit) equity</w:t>
            </w: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224.4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1,821.5</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83"/>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1,619.6</w:t>
            </w:r>
          </w:p>
        </w:tc>
        <w:tc>
          <w:tcPr>
            <w:tcW w:w="0" w:type="dxa"/>
            <w:vAlign w:val="bottom"/>
          </w:tcPr>
          <w:p>
            <w:pPr>
              <w:spacing w:after="0"/>
              <w:rPr>
                <w:sz w:val="1"/>
                <w:szCs w:val="1"/>
                <w:color w:val="auto"/>
              </w:rPr>
            </w:pPr>
          </w:p>
        </w:tc>
      </w:tr>
      <w:tr>
        <w:trPr>
          <w:trHeight w:val="270"/>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221.8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221.8</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(582.1)</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(631.6)</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1,876.3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270"/>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261.4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(566.9)</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(690.1)</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1,952.7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70"/>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249.5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70"/>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219.4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2,071.5</w:t>
            </w:r>
          </w:p>
        </w:tc>
        <w:tc>
          <w:tcPr>
            <w:tcW w:w="120" w:type="dxa"/>
            <w:vAlign w:val="bottom"/>
          </w:tcPr>
          <w:p>
            <w:pPr>
              <w:spacing w:after="0"/>
              <w:rPr>
                <w:sz w:val="18"/>
                <w:szCs w:val="18"/>
                <w:color w:val="auto"/>
              </w:rPr>
            </w:pPr>
          </w:p>
        </w:tc>
        <w:tc>
          <w:tcPr>
            <w:tcW w:w="460" w:type="dxa"/>
            <w:vAlign w:val="bottom"/>
          </w:tcPr>
          <w:p>
            <w:pPr>
              <w:jc w:val="right"/>
              <w:ind w:right="283"/>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-3970020</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-3627120</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-3284220</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-2940685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-2597785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-2254885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-1911985</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-1568450</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-1225550</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-882650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-539750</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-196850</wp:posOffset>
            </wp:positionV>
            <wp:extent cx="7246620"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125"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321310</wp:posOffset>
            </wp:positionV>
            <wp:extent cx="100330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65</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January 31, 2019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07"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Business</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consumer, and entertainment industries. The Company’s sophisticated software products, offered through a hybrid of desktop and cloud functionality,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foster innovation, optimize and improve their designs, help save time and money, improve quality, and collaborate with others. Autodesk software products are sold globally, both directly to customers and through a network of resellers and distributors.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Principles of Consolidation</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Use of Estimates</w:t>
      </w:r>
    </w:p>
    <w:p>
      <w:pPr>
        <w:spacing w:after="0" w:line="22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Examples of significant estimates and assumptions made by management involve revenue recognition for our hybrid desktop software and cloud service subscriptions, the determination of the fair value of acquired assets and liabilities, goodwill, financial instruments including strategic investments, long-lived assets and other intangible assets, the realizability of deferred tax assets, and the fair value of stock awards. The Company also makes assumptions, judgments, and estimates in determining the accruals for uncertain tax positions, variable compensation, partner incentive programs, product returns reserves, allowances for doubtful accounts, asset retirement obligations, and legal contingencies.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Translation and Transactions</w:t>
      </w:r>
    </w:p>
    <w:p>
      <w:pPr>
        <w:spacing w:after="0" w:line="22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as other comprehensive (loss) income.</w:t>
      </w:r>
    </w:p>
    <w:p>
      <w:pPr>
        <w:spacing w:after="0" w:line="14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expense, net". Monetary assets and liabilities are remeasured using foreign currency exchange rates at the end of the period, and non-monetary assets are remeasured based on historical exchange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Derivative Financial Instruments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Autodesk accounts for its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 See Note 3, "Financial Instruments" for information regarding Autodesk's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003300"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Cash and Cash Equivalents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Marketable Securities and Privately Held Company Investments</w:t>
      </w:r>
    </w:p>
    <w:p>
      <w:pPr>
        <w:spacing w:after="0" w:line="225"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Marketable securities are stated at fair value. Marketable securities maturing within one year that are not restricted are classified as current assets. Substantially all marketable debt and equity investments held by Autodesk are classified as current based on the nature of the investments and their availability for use in current operations.</w:t>
      </w:r>
    </w:p>
    <w:p>
      <w:pPr>
        <w:spacing w:after="0" w:line="181"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(deficit) until disposition or maturity. Autodesk carries all “trading securities” at fair value, with unrealized gains and losses, recorded in “Interest and other expense, net” in the Company’s Consolidated Statements of Operations. The cost of securities sold is based on the specific-identification method.</w:t>
      </w:r>
    </w:p>
    <w:p>
      <w:pPr>
        <w:spacing w:after="0" w:line="15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Privately held debt and equity securities (Level 3) are valued using significant unobservable inputs or data in an inactive market and the valuation requires the Company's judgment due to the absence of market prices and inherent lack of liquidity.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8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carrying value is not adjusted for the Company's privately held equity securities if there are no observable price changes in a same or similar security from the same issuer or if there are no identified events or changes in circumstances that may indicate impairment, as discussed below. In determining the estimated fair value of its strategic investments in privately held companies, the Company utilizes the most recent data available to the Company. In addition, the determination of whether an orderly transaction is for a same or similar investment requires significant management judgment including: the rights and obligations of the investments, the extent to which those differences would affect the fair values of those investments, and the impact of any differences based on the stage of operational development of the investee.</w:t>
      </w:r>
    </w:p>
    <w:p>
      <w:pPr>
        <w:spacing w:after="0" w:line="19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All of Autodesk’s marketable securities and privately held company investments are subject to a periodic impairment review. For any marketable debt securities, declines in fair value judged to be other-than-temporary on securities available for sale are included as a reduction to investment income. To determine whether a decline in value is other-than-temporary, the Company evaluates, among other factors: the duration and extent to which the fair value has been less than the carrying value and its intent and ability to retain the investment for a period of time sufficient to allow for any anticipated recovery in fair value. For the purposes of computing realized and unrealized gains and losses, the cost of securities sold is based on the specific-identification method. Interest on securities classified as available for sale is also included as a component of investment income.</w:t>
      </w:r>
    </w:p>
    <w:p>
      <w:pPr>
        <w:spacing w:after="0" w:line="178"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For Autodesk's quarterly impairment assessment of privately held debt and equity securities strategic investment portfolio, the analysis encompasses an assessment of the severity and duration of the impairment and qualitative and quantitative analysis 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 If the investment is considered to be impaired, the Company will record the investment at fair value by recognizing an impairment through the consolidated statement of operations and establishing a new carrying value for the investment.</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information, see “Concentration of Credit Risk” within this Note 1 and Note 3,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306705</wp:posOffset>
            </wp:positionV>
            <wp:extent cx="100330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Accounts Receivable,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526.6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469.2</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returns reserve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Partner programs and other obligations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 (1)</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474.3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80" w:hanging="412"/>
        <w:spacing w:after="0" w:line="279" w:lineRule="auto"/>
        <w:tabs>
          <w:tab w:leader="none" w:pos="4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Autodesk adopted ASU No. 2014-09, “Revenue from Contracts with Customers" regarding Accounting Standards Codification (ASC Topic 606) during the first quarter of fiscal 2019. As such, current year balances are shown under ASC Topic 606 and prior year balances are shown under ASC Topic 605. See Note 1, "Business and Summary of Significant Accounting Policies-Accounting Standards Adopted", of our consolidated financial statements for additional information.</w:t>
      </w:r>
    </w:p>
    <w:p>
      <w:pPr>
        <w:spacing w:after="0" w:line="16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7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As part of the indirect channel model, Autodesk has a partner incentive program that uses quarterly attainment of monetary rewards to motivate distributors and resellers to achieve mutually agreed upon business goals in a specified time period. A portion of these incentives reduce maintenance and other revenue in the current period. The remainder, which relates to incentives on our Subscription Program, is recorded as a reduction to deferred revenue in the period the subscription transaction is billed and subsequently recognized as a reduction to subscription revenue over the contract period. These incentive balances do not require significant assumptions or judgments. Depending on how the payments are made, the reserves associated with the partner incentive program are treated on the balance sheet as either contra accounts receivable or accounts payable.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Concentration of Credit Risk</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w:t>
      </w:r>
    </w:p>
    <w:p>
      <w:pPr>
        <w:spacing w:after="0" w:line="18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7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Autodesk’s accounts receivable are derived from sales to a large number of resellers, distributors, and direct customers in the Americas, EMEA, and APAC geographies. Autodesk performs ongoing evaluations of these partners' and customers' financial condition and limits the amount of credit extended when deemed necessary, but generally does not require collateral from such parties. Total sales to the Company's largest distributor Tech Data Corporation, and its global affiliates (“Tech Data”), accounted for 35%, 31%, and 30% of Autodesk's net revenue for fiscal years ended January 31, 2019, 2018, and 2017, respectively. The majority of the net revenue from sales to Tech Data is for sales made outside of the United States. In addition, Tech Data accounted for 29% and 31% of trade accounts receivable as of January 31, 2019, and 2018, respectively. No other customer accounted for more than 10% of Autodesk's total net revenue or trade accounts receivable for each of the respective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Computer Equipment, Software, Furniture, and Leasehold Improvements, Net</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Computer equipment, software, and furniture are depreciated using the straight-line method over the estimated useful lives of the assets, which range from three to five years. Leasehold improvements are amortized on a straight-line basis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03300"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shorter of their estimated useful lives or the lease term. Depreciation expense was $59.2 million in fiscal 2019, $67.6 million in fiscal 2018, and $73.1 million in fiscal 2017.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72.6</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228.9</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Furniture and equipment,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63.4</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582.0</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(422.2)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(437.0)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software’s expected useful life, which is generally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Software Development Costs</w:t>
      </w:r>
    </w:p>
    <w:p>
      <w:pPr>
        <w:spacing w:after="0" w:line="225"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three-year period, if material. Autodesk had no material capitalized software development costs at January 31, 2019, and January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Other Intangible Assets, Net</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Other intangible assets include developed technologies, customer relationships, trade names, patents, user lists and the related accumulated amortization. These assets are shown as “Developed technologies, net” and as part of “Other assets” in the Consolidated Balance Sheet. The majority of Autodesk’s other intangible assets are amortized to expense over the estimated economic life of the product, which ranges from two to ten years. Amortization expense for developed technologies, customer relationships, trade names, patents, and user lists was $33.5 million in fiscal 2019, $36.6 million in fiscal 2018 and $72.2 million in fiscal 2017.</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at cost</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578.5</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9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533.1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372.5</w:t>
            </w:r>
          </w:p>
        </w:tc>
      </w:tr>
      <w:tr>
        <w:trPr>
          <w:trHeight w:val="33"/>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at cost (2)</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6"/>
              </w:rPr>
              <w:t>1,203.3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951.0</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amortization</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(895.8)</w:t>
            </w:r>
          </w:p>
        </w:tc>
      </w:tr>
      <w:tr>
        <w:trPr>
          <w:trHeight w:val="33"/>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w:t>
        <w:tab/>
        <w:t>Included in “Other assets” in the accompanying Consolidated Balance Sheets.</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w:t>
        <w:tab/>
        <w:t>Includes the effects of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292100</wp:posOffset>
            </wp:positionV>
            <wp:extent cx="100330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The weighted average amortization period for developed technologies, customer relationships, trade names, patents, and user lists during fiscal 2019 was 5.4 years. Excluding in-process research and development, expected future amortization expense for developed technologies, customer relationships, trade names, patents, and user lists for each of the fiscal years ended thereafter is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81"/>
              <w:spacing w:after="0"/>
              <w:rPr>
                <w:sz w:val="20"/>
                <w:szCs w:val="20"/>
                <w:color w:val="auto"/>
              </w:rPr>
            </w:pPr>
            <w:r>
              <w:rPr>
                <w:rFonts w:ascii="Arial" w:cs="Arial" w:eastAsia="Arial" w:hAnsi="Arial"/>
                <w:sz w:val="14"/>
                <w:szCs w:val="14"/>
                <w:b w:val="1"/>
                <w:bCs w:val="1"/>
                <w:color w:val="auto"/>
              </w:rPr>
              <w:t>Fiscal Year ended</w:t>
            </w:r>
          </w:p>
        </w:tc>
      </w:tr>
      <w:tr>
        <w:trPr>
          <w:trHeight w:val="192"/>
        </w:trPr>
        <w:tc>
          <w:tcPr>
            <w:tcW w:w="9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January 31,</w:t>
            </w:r>
          </w:p>
        </w:tc>
      </w:tr>
      <w:tr>
        <w:trPr>
          <w:trHeight w:val="23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73.6</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64.8</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49.1</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37.6</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19.2</w:t>
            </w:r>
          </w:p>
        </w:tc>
      </w:tr>
      <w:tr>
        <w:trPr>
          <w:trHeight w:val="217"/>
        </w:trPr>
        <w:tc>
          <w:tcPr>
            <w:tcW w:w="95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244.3</w:t>
            </w:r>
          </w:p>
        </w:tc>
      </w:tr>
      <w:tr>
        <w:trPr>
          <w:trHeight w:val="33"/>
        </w:trPr>
        <w:tc>
          <w:tcPr>
            <w:tcW w:w="9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9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Goodwill</w:t>
      </w:r>
    </w:p>
    <w:p>
      <w:pPr>
        <w:spacing w:after="0" w:line="225" w:lineRule="exact"/>
        <w:rPr>
          <w:sz w:val="20"/>
          <w:szCs w:val="20"/>
          <w:color w:val="auto"/>
        </w:rPr>
      </w:pPr>
    </w:p>
    <w:p>
      <w:pPr>
        <w:jc w:val="both"/>
        <w:ind w:right="460" w:firstLine="405"/>
        <w:spacing w:after="0" w:line="264"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reporting units.</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47"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the Company's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5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For the annual impairment test, Autodesk's market capitalization was substantially in excess of the carrying value of the Company as of January 31, 2019. Accordingly, Autodesk has determined there was no goodwill impairment during the fiscal year ended January 31, 2019. In addition, Autodesk did not recognize any goodwill impairment losses in fiscal 2018 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00330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changes in the carrying amount of goodwill during the fiscal years ended January 31, 2019 and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2019</w:t>
            </w:r>
          </w:p>
        </w:tc>
        <w:tc>
          <w:tcPr>
            <w:tcW w:w="160" w:type="dxa"/>
            <w:vAlign w:val="bottom"/>
          </w:tcPr>
          <w:p>
            <w:pPr>
              <w:spacing w:after="0"/>
              <w:rPr>
                <w:sz w:val="17"/>
                <w:szCs w:val="17"/>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beginning of the year</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1,710.3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impairment losses, beginning of the year</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arising from acquisitions during the year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Effect of foreign currency translation, measurement period adjustments, and other (1)</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59.1</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end of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1,620.2</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420" w:hanging="412"/>
        <w:spacing w:after="0" w:line="283"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Purchase accounting adjustments reflect revisions made to the Company’s preliminary determination of estimated fair value of assets and liabilities assumed during fiscal 2019 and </w:t>
      </w:r>
      <w:r>
        <w:rPr>
          <w:rFonts w:ascii="Arial" w:cs="Arial" w:eastAsia="Arial" w:hAnsi="Arial"/>
          <w:sz w:val="18"/>
          <w:szCs w:val="18"/>
          <w:color w:val="auto"/>
        </w:rPr>
        <w:t>2018</w:t>
      </w:r>
      <w:r>
        <w:rPr>
          <w:rFonts w:ascii="Arial" w:cs="Arial" w:eastAsia="Arial" w:hAnsi="Arial"/>
          <w:sz w:val="16"/>
          <w:szCs w:val="16"/>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Impairment of Long-Lived Assets</w:t>
      </w:r>
    </w:p>
    <w:p>
      <w:pPr>
        <w:spacing w:after="0" w:line="225" w:lineRule="exact"/>
        <w:rPr>
          <w:sz w:val="20"/>
          <w:szCs w:val="20"/>
          <w:color w:val="auto"/>
        </w:rPr>
      </w:pPr>
    </w:p>
    <w:p>
      <w:pPr>
        <w:ind w:right="260" w:firstLine="405"/>
        <w:spacing w:after="0" w:line="285" w:lineRule="auto"/>
        <w:rPr>
          <w:sz w:val="20"/>
          <w:szCs w:val="20"/>
          <w:color w:val="auto"/>
        </w:rPr>
      </w:pPr>
      <w:r>
        <w:rPr>
          <w:rFonts w:ascii="Arial" w:cs="Arial" w:eastAsia="Arial" w:hAnsi="Arial"/>
          <w:sz w:val="16"/>
          <w:szCs w:val="16"/>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recoverability of these assets. Recoverability is measured by comparison of the carrying amounts of the assets to the future undiscounted cash flow the assets are expected to generate. If the long-lived assets are considered to be impaired, the impairment to be recognized is equal to the amount by which the carrying value of the assets exceeds its fair market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value. Autodesk did not recognize any material impairments of long-lived assets during the fiscal years ended January 31, 2019, 2018, and 2017, respectively.</w:t>
      </w:r>
    </w:p>
    <w:p>
      <w:pPr>
        <w:spacing w:after="0" w:line="23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Deferred Tax Assets</w:t>
      </w:r>
    </w:p>
    <w:p>
      <w:pPr>
        <w:spacing w:after="0" w:line="2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Deferred tax assets arise primarily from tax credits, net operating losses, and timing differences for reserves, accrued liabilities, stock options, deferred revenue, purchased technologies, and capitalized intangibles, partially offset by U.S. deferred tax liabilities on acquired intangibles, and valuation allowances against U.S. and foreign deferred tax assets. Autodesk performed a quarterly assessment of the recoverability of these net deferred tax assets and believes it will generate sufficient 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that is "more likely than not" to be realized.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Stock-based Compensation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for fiscal 2019, 2018, and 2017, respectively,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subscription and maintenance 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94.1</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81.3</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r>
      <w:tr>
        <w:trPr>
          <w:trHeight w:val="200"/>
        </w:trPr>
        <w:tc>
          <w:tcPr>
            <w:tcW w:w="6720" w:type="dxa"/>
            <w:vAlign w:val="bottom"/>
          </w:tcPr>
          <w:p>
            <w:pPr>
              <w:ind w:left="20"/>
              <w:spacing w:after="0"/>
              <w:rPr>
                <w:sz w:val="20"/>
                <w:szCs w:val="20"/>
                <w:color w:val="auto"/>
              </w:rPr>
            </w:pPr>
            <w:r>
              <w:rPr>
                <w:rFonts w:ascii="Arial" w:cs="Arial" w:eastAsia="Arial" w:hAnsi="Arial"/>
                <w:sz w:val="16"/>
                <w:szCs w:val="16"/>
                <w:color w:val="auto"/>
                <w:w w:val="93"/>
              </w:rPr>
              <w:t>Stock-based compensation expense related to stock awards and Employee Qualified Stock Purchase</w:t>
            </w:r>
          </w:p>
        </w:tc>
        <w:tc>
          <w:tcPr>
            <w:tcW w:w="9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6720" w:type="dxa"/>
            <w:vAlign w:val="bottom"/>
          </w:tcPr>
          <w:p>
            <w:pPr>
              <w:ind w:left="200"/>
              <w:spacing w:after="0"/>
              <w:rPr>
                <w:sz w:val="20"/>
                <w:szCs w:val="20"/>
                <w:color w:val="auto"/>
              </w:rPr>
            </w:pPr>
            <w:r>
              <w:rPr>
                <w:rFonts w:ascii="Arial" w:cs="Arial" w:eastAsia="Arial" w:hAnsi="Arial"/>
                <w:sz w:val="16"/>
                <w:szCs w:val="16"/>
                <w:color w:val="auto"/>
              </w:rPr>
              <w:t>Plan ("ESPP") purchases</w:t>
            </w: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249.5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221.8</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ESPP purchases, net</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246.9</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219.2</w:t>
            </w: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291465</wp:posOffset>
            </wp:positionV>
            <wp:extent cx="100330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Black-Scholes Merton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276"/>
        </w:trPr>
        <w:tc>
          <w:tcPr>
            <w:tcW w:w="26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January 31, 2019</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2018</w:t>
            </w:r>
          </w:p>
        </w:tc>
        <w:tc>
          <w:tcPr>
            <w:tcW w:w="100" w:type="dxa"/>
            <w:vAlign w:val="bottom"/>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2017</w:t>
            </w: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4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2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Performance</w:t>
            </w:r>
          </w:p>
        </w:tc>
        <w:tc>
          <w:tcPr>
            <w:tcW w:w="12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ESPP</w:t>
            </w: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Performance</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ESPP</w:t>
            </w: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Performance</w:t>
            </w: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Plans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Stock Unit</w:t>
            </w:r>
          </w:p>
        </w:tc>
        <w:tc>
          <w:tcPr>
            <w:tcW w:w="126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Stock Unit</w:t>
            </w:r>
          </w:p>
        </w:tc>
        <w:tc>
          <w:tcPr>
            <w:tcW w:w="124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Stock Unit</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280" w:type="dxa"/>
            <w:vAlign w:val="bottom"/>
            <w:tcBorders>
              <w:top w:val="single" w:sz="8" w:color="auto"/>
              <w:bottom w:val="single" w:sz="8" w:color="CCEEFF"/>
            </w:tcBorders>
            <w:shd w:val="clear" w:color="auto" w:fill="CCEEFF"/>
          </w:tcPr>
          <w:p>
            <w:pPr>
              <w:jc w:val="center"/>
              <w:ind w:left="42"/>
              <w:spacing w:after="0"/>
              <w:rPr>
                <w:sz w:val="20"/>
                <w:szCs w:val="20"/>
                <w:color w:val="auto"/>
              </w:rPr>
            </w:pPr>
            <w:r>
              <w:rPr>
                <w:rFonts w:ascii="Arial" w:cs="Arial" w:eastAsia="Arial" w:hAnsi="Arial"/>
                <w:sz w:val="16"/>
                <w:szCs w:val="16"/>
                <w:color w:val="auto"/>
                <w:w w:val="93"/>
              </w:rPr>
              <w:t>37 - 42%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33 - 38%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31 - 34%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38 - 39%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30 - 40%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280" w:type="dxa"/>
            <w:vAlign w:val="bottom"/>
          </w:tcPr>
          <w:p>
            <w:pPr>
              <w:jc w:val="center"/>
              <w:ind w:left="22"/>
              <w:spacing w:after="0"/>
              <w:rPr>
                <w:sz w:val="20"/>
                <w:szCs w:val="20"/>
                <w:color w:val="auto"/>
              </w:rPr>
            </w:pPr>
            <w:r>
              <w:rPr>
                <w:rFonts w:ascii="Arial" w:cs="Arial" w:eastAsia="Arial" w:hAnsi="Arial"/>
                <w:sz w:val="16"/>
                <w:szCs w:val="16"/>
                <w:color w:val="auto"/>
                <w:w w:val="91"/>
              </w:rPr>
              <w:t>0.5 - 3.8</w:t>
            </w: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40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280" w:type="dxa"/>
            <w:vAlign w:val="bottom"/>
          </w:tcPr>
          <w:p>
            <w:pPr>
              <w:jc w:val="center"/>
              <w:ind w:left="42"/>
              <w:spacing w:after="0"/>
              <w:rPr>
                <w:sz w:val="20"/>
                <w:szCs w:val="20"/>
                <w:color w:val="auto"/>
              </w:rPr>
            </w:pPr>
            <w:r>
              <w:rPr>
                <w:rFonts w:ascii="Arial" w:cs="Arial" w:eastAsia="Arial" w:hAnsi="Arial"/>
                <w:sz w:val="16"/>
                <w:szCs w:val="16"/>
                <w:color w:val="auto"/>
                <w:w w:val="93"/>
              </w:rPr>
              <w:t>2.3 - 2.7%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1.9 - 2.8%</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1.0 - 1.2%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0.9 - 1.4%</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0.6 - 0.7%</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0.5 - 0.9%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Computer Software Select Index or S&amp;P North American Technology Software Index with a market capitalization over $2.00 billion, depending on the award type.</w:t>
      </w:r>
    </w:p>
    <w:p>
      <w:pPr>
        <w:spacing w:after="0" w:line="188"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Autodesk estimates the expected life of stock-based awards using both exercise behavior and post-vesting termination behavior as well as consideration of outstanding options. The range of expected lives of ESPP awards are based upon the four, six-month exercise periods within a 24-month offering period.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Autodesk did not pay cash dividends in fiscal 2019, 2018, or 2017 and does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BSM option pricing model and the Monte Carlo simulation model.</w:t>
      </w:r>
    </w:p>
    <w:p>
      <w:pPr>
        <w:spacing w:after="0" w:line="21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stock-based awards as those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Advertising Expenses</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Advertising costs are expensed as incurred. Total advertising expenses incurred were $37.5 million in fiscal 2019, $31.1 million in fiscal 2018, and $33.6 million in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Loss Per Share</w:t>
      </w:r>
    </w:p>
    <w:p>
      <w:pPr>
        <w:spacing w:after="0" w:line="22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Basic net loss per share is computed based on the weighted average number of shares of common stock outstanding for the period, excluding stock options and restricted stock. Diluted net loss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Benefit Pension Plans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003300"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assets represents the current market value of Autodesk's cumulative company and participant contributions made to the various plans in effect.</w:t>
      </w:r>
    </w:p>
    <w:p>
      <w:pPr>
        <w:spacing w:after="0" w:line="225"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loss. Certain events, such as changes in the employee base, plan amendments, and changes in actuarial assumptions may result in a change in the defined benefit obligation and the corresponding change to other comprehensive loss.</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Gains and losses and prior service costs not recognized as a component of net periodic benefit cost in the Consolidated Statements of Operations as they arise are recognized as a component of other comprehensive (loss) income in the Consolidated Statements of Comprehensive Loss.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Accounting Standards in Fiscal 2019</w:t>
      </w:r>
    </w:p>
    <w:p>
      <w:pPr>
        <w:spacing w:after="0" w:line="22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FASB or adopted by the Company during the fiscal year ended January 31, 2019, that are applicable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Accounting Standards Adopted</w:t>
      </w:r>
    </w:p>
    <w:p>
      <w:pPr>
        <w:spacing w:after="0" w:line="225" w:lineRule="exact"/>
        <w:rPr>
          <w:sz w:val="20"/>
          <w:szCs w:val="20"/>
          <w:color w:val="auto"/>
        </w:rPr>
      </w:pPr>
    </w:p>
    <w:p>
      <w:pPr>
        <w:ind w:right="300" w:firstLine="405"/>
        <w:spacing w:after="0" w:line="293" w:lineRule="auto"/>
        <w:rPr>
          <w:sz w:val="20"/>
          <w:szCs w:val="20"/>
          <w:color w:val="auto"/>
        </w:rPr>
      </w:pPr>
      <w:r>
        <w:rPr>
          <w:rFonts w:ascii="Arial" w:cs="Arial" w:eastAsia="Arial" w:hAnsi="Arial"/>
          <w:sz w:val="16"/>
          <w:szCs w:val="16"/>
          <w:color w:val="auto"/>
        </w:rPr>
        <w:t>Effective in the third quarter of fiscal 2019, Autodesk early adopted ASU No. 2018-15, "Intangibles—Goodwill and Other—Internal-Use Software (Subtopic 350-40): Customer’s Accounting for Implementation Costs Incurred in a Cloud Computing Arrangement that is a Service Contract." The ASU 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Changes to Autodesk's disclosures appear in this filing. The new guidance was applied prospectively to eligible costs as of August 1, 2018, and did not have a material impact on our Consolidated Financial Statements.</w:t>
      </w:r>
    </w:p>
    <w:p>
      <w:pPr>
        <w:spacing w:after="0" w:line="165" w:lineRule="exact"/>
        <w:rPr>
          <w:sz w:val="20"/>
          <w:szCs w:val="20"/>
          <w:color w:val="auto"/>
        </w:rPr>
      </w:pPr>
    </w:p>
    <w:p>
      <w:pPr>
        <w:ind w:right="320" w:firstLine="405"/>
        <w:spacing w:after="0" w:line="291" w:lineRule="auto"/>
        <w:rPr>
          <w:sz w:val="20"/>
          <w:szCs w:val="20"/>
          <w:color w:val="auto"/>
        </w:rPr>
      </w:pPr>
      <w:r>
        <w:rPr>
          <w:rFonts w:ascii="Arial" w:cs="Arial" w:eastAsia="Arial" w:hAnsi="Arial"/>
          <w:sz w:val="16"/>
          <w:szCs w:val="16"/>
          <w:color w:val="auto"/>
        </w:rPr>
        <w:t>In August 2018, as part of FASB’s Disclosure Framework project, FASB issued ASU No. 2018-14, "Compensation—Retirement Benefits—Defined Benefit Plans—General (Subtopic 715-20): Disclosure Framework—Changes to the Disclosure Requirements for Defined Benefit Plans," and ASU No.</w:t>
      </w:r>
    </w:p>
    <w:p>
      <w:pPr>
        <w:ind w:right="100"/>
        <w:spacing w:after="0" w:line="253" w:lineRule="auto"/>
        <w:rPr>
          <w:sz w:val="20"/>
          <w:szCs w:val="20"/>
          <w:color w:val="auto"/>
        </w:rPr>
      </w:pPr>
      <w:r>
        <w:rPr>
          <w:rFonts w:ascii="Arial" w:cs="Arial" w:eastAsia="Arial" w:hAnsi="Arial"/>
          <w:sz w:val="18"/>
          <w:szCs w:val="18"/>
          <w:color w:val="auto"/>
        </w:rPr>
        <w:t>2018-13, "Fair Value Measurement (Topic 820): Disclosure Framework—Changes to the Disclosure Requirements for Fair Value Measurement." FASB issued these ASUs to help improve the effectiveness of disclosures in the notes to financial statements by facilitating clear communication of the information required by GAAP that is most important to users of each entity’s financial statements. Effective in the third quarter of fiscal 2019, Autodesk early adopted ASU No. 2018-14 and ASU No. 2018-13. Most changes required retrospective application with a few exceptions in ASU No. 2018-13 that allowed for prospective adoption.</w:t>
      </w:r>
    </w:p>
    <w:p>
      <w:pPr>
        <w:spacing w:after="0" w:line="19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Effective in the first quarter of fiscal 2019, Autodesk adopted FASB Accounting Standards Update ("ASU") No. 2017-05, "Other Income– Gains and Losses from the Derecognition of Nonfinancial Assets (Subtopic 610-20): Clarifying the Scope of Asset Derecognition Guidance and Accounting for Partial Sales of Nonfinancial Assets." The ASU, among other things, clarifies the scope of the derecognition of nonfinancial assets, provides the definition of in-substance financial assets, and impacts the accounting for partial sales of nonfinancial assets by requiring full gain recognition upon the sale. The new guidance was adopted prospectively as there was no impact on the Company's prior periods consolidated statements of financial position and results of operations which would be reflected in either the full or modified retrospective transition approach. The future effect of the adoption will depend upon the nature of the Company's future dispositions, if any.</w:t>
      </w:r>
    </w:p>
    <w:p>
      <w:pPr>
        <w:spacing w:after="0" w:line="18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Effective in the first quarter of fiscal 2019, Autodesk adopted FASB ASU No. 2017-01, "Business Combinations: Clarifying the Definition of a Business" which provides a more robust framework to use in determining when a set of assets and activities is considered a business. The new guidance was applied on a prospective basis and the adoption did not have any impact on Autodesk's consolidated financial statements. Any future effect of the adoption will depend upon the nature of the Company's future acquisitions,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144780</wp:posOffset>
            </wp:positionV>
            <wp:extent cx="100330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Effective in the first quarter of fiscal 2019, Autodesk adopted FASB ASU No. 2016-16, “Income Taxes: Intra-Entity Transfers of Assets Other than Inventory” which requires that entities recognize the income tax consequences of an intra-entity transfer of an asset, other than inventory, when the transfer occurs. The new guidance was applied on a modified retrospective basis with a cumulative increase of $1.9 million to the opening balance of "Accumulated deficit" at February 1, 2018. The ASU did not have any other material impacts on Autodesk's Consolidated Financial Statements.</w:t>
      </w:r>
    </w:p>
    <w:p>
      <w:pPr>
        <w:spacing w:after="0" w:line="154"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color w:val="auto"/>
        </w:rPr>
        <w:t>Effective in the first quarter of fiscal 2019, Autodesk adopted FASB ASU No. 2016-01 regarding Accounting Standards Codification ("ASC") Topic 825-10, "Financial Instruments - Overall." The amendments address certain aspects of recognition, measurement, presentation, and disclosure of financial instruments, and require equity securities to be measured at fair value, unless the measurement alternative method has been elected for equity investments without readily determinable fair values ("non-marketable equity securities"), with changes in fair value recognized through net income. The amendments also simplify the impairment assessment of equity investments without readily determinable fair values by requiring a qualitative assessment for impairment quarterly at each reporting period. Under the measurement alternative method, the non-marketable equity securities will be measured at cost, less any impairment, plus or minus adjustments resulting from observable price changes in orderly transactions for the identical or a similar investment of the same issuer, which will be recorded within the Consolidated Statement of Operations. The determination of whether a transaction is for a similar investment will require significant management judgment including consideration of the rights and obligations between the investments and the extent to which those differences would affect the fair values of those investments with additional consideration for the stage of development of the investee company.</w:t>
      </w:r>
    </w:p>
    <w:p>
      <w:pPr>
        <w:spacing w:after="0" w:line="16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Autodesk prospectively adopted the amendments related to non-marketable equity securities existing as of the date of adoption. The new standard may add volatility to the Company's statements of operations in future periods, due to changes in market prices of the Company's investments in publicly held equity investments and the valuation and timing of observable price changes and impairments of its investments in non-marketable securities. See Note 3, "Financial Instruments"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from contracts with customers</w:t>
      </w:r>
    </w:p>
    <w:p>
      <w:pPr>
        <w:spacing w:after="0" w:line="22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Effective in the first quarter of fiscal 2019, Autodesk adopted ASU No. 2014-09, “Revenue from Contracts with Customers" regarding Accounting Standards Codification (ASC Topic 606)” and the subsequent and related ASU No. 2015-14, ASU No. 2016-08, ASU No. 2016-10, ASU No. 2016-12, and ASU No. 2016-20.</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Under ASC Topic 606, the Company has concluded that the desktop software and related substantial cloud functionality that are included in the majority of its product subscription offerings and enterprise arrangements are not distinct in the context of the contract as they are considered highly interrelated and represent a single combined performance obligation that should be recognized over time. Therefore, the adoption of ASC Topic 606 has not resulted in a material change in the timing and amount of the recognition of revenue for the majority of the Company's product subscription offerings and enterprise arrangements.</w:t>
      </w:r>
    </w:p>
    <w:p>
      <w:pPr>
        <w:spacing w:after="0" w:line="18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One impact of the new standard relates to product subscriptions that do not incorporate substantial cloud functionality. A limited number of Autodesk's product subscriptions do not incorporate substantial cloud functionality, and therefore are not considered highly interrelated. Under ASU No. 2014-09, these limited number of product subscriptions are recognized as separate and distinct license and service performance obligations. Under ASU No. 2009-13, "Revenue Recognition" regarding Accounting Standards Codification (ASC Topic 605), licenses sold with undelivered elements without vendor-specific objective evidence ("VSOE") are recognized ratably over the term of the undelivered elements. Under ASC Topic 606, Autodesk is no longer required to establish VSOE to recognize software license revenue separately from the other elements and recognizes software licenses once the customer obtains control of the license, which is generally upon delivery of the license. Therefore, revenue allocated to the licenses in these offerings under ASC Topic 606 is recognized at a point in time instead of over the contract term.</w:t>
      </w:r>
    </w:p>
    <w:p>
      <w:pPr>
        <w:spacing w:after="0" w:line="179"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Autodesk adopted ASC Topic 606 using the modified retrospective method, with a cumulative decrease of $89.0 million to the opening balance of "Accumulated deficit" at February 1, 2018. Autodesk applied the standard only to contracts that are not completed as of the date of initial application. The comparative information has not been adjusted and continues to be reported under ASC Topic 605. The details of the quantitative impact of the adoption on the fiscal year ended January 31, 2019, are shown below. See the Note 2, "Revenue Recognition"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00330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Costs to acquire a contract from a customer</w:t>
      </w:r>
    </w:p>
    <w:p>
      <w:pPr>
        <w:spacing w:after="0" w:line="225"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With the adoption of ASC Topic 606, Autodesk also adopted ASC Topic 340-40, "Other Assets and Deferred Costs—Contracts with Customers." Prior to the adoption of ASC Topic 340-40, Autodesk previously recognized compensation paid to sales employees and certain resellers related to obtaining customer contracts in marketing and sales expense in the Consolidated Statements of Operations when incurred. Under ASC Topic 340-40, Autodesk capitalizes this sales compensation as contract costs when they are incremental, directly incurred to obtain a contract with a customer and expected to be recoverable. The contract costs are amortized based on the transfer of goods or services to which the contract costs relate.</w:t>
      </w:r>
    </w:p>
    <w:p>
      <w:pPr>
        <w:spacing w:after="0" w:line="173"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Under the modified retrospective method, Autodesk booked a cumulative decrease of $90.4 million to the opening balance of "Accumulated deficit" at February 1, 2018. The comparative information has not been adjusted and continues to be reported as incurred. The details of the quantitative impact of the adoption on the fiscal year ended January 31, 2019, are shown below. See Note 7, "Deferred Compensation" for disclosures under the new standard.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Quantitative effect of ASC Topics 606 and 340-40 adoption</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Under the modified retrospective adoption, Autodesk calculated the impact of the adoption during fiscal 2019, as the first year of adoption. The following table shows select line items that were materially impacted by the adoption of ASC Topics 606 and 340-40 on Autodesk’s Consolidated Statements of Operations for the fiscal year ended January 31, 2019:</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2"/>
              </w:rPr>
              <w:t>For the Fiscal Year ended January 31, 2019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Impact from the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180" w:type="dxa"/>
            <w:vAlign w:val="bottom"/>
          </w:tcPr>
          <w:p>
            <w:pPr>
              <w:spacing w:after="0"/>
              <w:rPr>
                <w:sz w:val="12"/>
                <w:szCs w:val="12"/>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As adjusted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606 and 340-40</w:t>
            </w: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(1)</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60"/>
              <w:spacing w:after="0"/>
              <w:rPr>
                <w:sz w:val="20"/>
                <w:szCs w:val="20"/>
                <w:color w:val="auto"/>
              </w:rPr>
            </w:pPr>
            <w:r>
              <w:rPr>
                <w:rFonts w:ascii="Arial" w:cs="Arial" w:eastAsia="Arial" w:hAnsi="Arial"/>
                <w:sz w:val="16"/>
                <w:szCs w:val="16"/>
                <w:color w:val="auto"/>
              </w:rPr>
              <w:t>Subscription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1,802.3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1,785.7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Maintenance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 (1)</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60"/>
              <w:spacing w:after="0"/>
              <w:rPr>
                <w:sz w:val="20"/>
                <w:szCs w:val="20"/>
                <w:color w:val="auto"/>
              </w:rPr>
            </w:pPr>
            <w:r>
              <w:rPr>
                <w:rFonts w:ascii="Arial" w:cs="Arial" w:eastAsia="Arial" w:hAnsi="Arial"/>
                <w:sz w:val="16"/>
                <w:szCs w:val="16"/>
                <w:color w:val="auto"/>
              </w:rPr>
              <w:t>Cost of subscription and maintenance revenue</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Cost of other revenue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6"/>
                <w:szCs w:val="16"/>
                <w:color w:val="auto"/>
              </w:rPr>
              <w:t>Operating expenses (1):</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Marketing and sales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net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0" w:right="180" w:hanging="412"/>
        <w:spacing w:after="0" w:line="246"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While not shown here, gross margin, loss from operations, and loss before income taxes have consequently been affected as a result of the net effect of the adjustments noted above.</w:t>
      </w:r>
    </w:p>
    <w:p>
      <w:pPr>
        <w:ind w:left="420" w:hanging="412"/>
        <w:spacing w:after="0" w:line="257"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impact on the Consolidated Statements of Comprehensive Loss is limited to the net effects of the impacts noted above on the Consolidated Statements of Operations, specifically on the line item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278765</wp:posOffset>
            </wp:positionV>
            <wp:extent cx="100330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shows select line items that were materially impacted by the adoption of ASC Topics 606 and 340-40 on Autodesk’s Consolidated Balance Sheet as of January 31, 2019:</w:t>
      </w:r>
    </w:p>
    <w:p>
      <w:pPr>
        <w:spacing w:after="0" w:line="96" w:lineRule="exact"/>
        <w:rPr>
          <w:sz w:val="20"/>
          <w:szCs w:val="20"/>
          <w:color w:val="auto"/>
        </w:rPr>
      </w:pPr>
    </w:p>
    <w:tbl>
      <w:tblPr>
        <w:tblLayout w:type="fixed"/>
        <w:tblInd w:w="79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Impact from the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186"/>
        </w:trPr>
        <w:tc>
          <w:tcPr>
            <w:tcW w:w="94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606 and 340-40</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Prepaid expenses and other current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LIABILITIES AND STOCKHOLDERS’ DEFICIT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474.3</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73.4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547.7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192.1</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(79.4)</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65.3</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337.8</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319.9</w:t>
            </w:r>
          </w:p>
        </w:tc>
      </w:tr>
      <w:tr>
        <w:trPr>
          <w:trHeight w:val="810"/>
        </w:trPr>
        <w:tc>
          <w:tcPr>
            <w:tcW w:w="2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1,763.3</w:t>
            </w:r>
          </w:p>
        </w:tc>
        <w:tc>
          <w:tcPr>
            <w:tcW w:w="44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140.6</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1,903.9</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142.3</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328.1</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37.2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365.3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21.5</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79.8</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73.1</w:t>
            </w:r>
          </w:p>
        </w:tc>
      </w:tr>
      <w:tr>
        <w:trPr>
          <w:trHeight w:val="540"/>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(2,147.4)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(189.5)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(2,336.9)</w:t>
            </w:r>
          </w:p>
        </w:tc>
      </w:tr>
    </w:tbl>
    <w:p>
      <w:pPr>
        <w:spacing w:after="0" w:line="19" w:lineRule="exact"/>
        <w:rPr>
          <w:sz w:val="20"/>
          <w:szCs w:val="20"/>
          <w:color w:val="auto"/>
        </w:rPr>
      </w:pPr>
    </w:p>
    <w:p>
      <w:pPr>
        <w:sectPr>
          <w:pgSz w:w="11900" w:h="16838" w:orient="portrait"/>
          <w:cols w:equalWidth="0" w:num="2">
            <w:col w:w="7080" w:space="720"/>
            <w:col w:w="356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20" w:hanging="412"/>
        <w:spacing w:after="0" w:line="249" w:lineRule="auto"/>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Short term and long term "contract assets" under ASC Topic 606 are included within "Prepaid expenses and other current assets" and "Other assets", respectively, on the Consolidated Balance Sheet.</w:t>
      </w:r>
    </w:p>
    <w:p>
      <w:pPr>
        <w:ind w:left="420" w:right="60" w:hanging="412"/>
        <w:spacing w:after="0" w:line="257" w:lineRule="auto"/>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Included in the "Accumulated deficit" adjustment is $179.4 million for the cumulative effect adjustment of adopting ASC Topic 606 and 340-40 on the opening balance as of February 1, 2018.</w:t>
      </w:r>
    </w:p>
    <w:p>
      <w:pPr>
        <w:spacing w:after="0" w:line="18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Adoption of the standard had no impact to net cash provided by or (used in) operating, financing, or investing activities on the Company’s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Recently Issued Accounting Standards But Not Yet Adopted</w:t>
      </w:r>
    </w:p>
    <w:p>
      <w:pPr>
        <w:spacing w:after="0" w:line="22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 February 2018, FASB issued ASU No. 2018-02, “Income Statement-Reporting Comprehensive Income (Topic 220): Reclassification of Certain Tax Effects from Accumulated Other Comprehensive Income.” The amendment allows entities to reclassify stranded tax effects resulting from the Tax Cuts and Jobs Act from accumulated other comprehensive income to retained earnings. The amendment only impacts the income tax effect of the passage of the Tax Cuts and Jobs Act but does not affect the underlying guidance that requires that the effect of a change in tax laws or rates be included in income from continuing operations. The amendment is effective for Autodesk's fiscal year beginning February 1, 2019. Autodesk currently expects the impact to stockholders' deficit and other comprehensive loss to be approximately $1.3M.</w:t>
      </w:r>
    </w:p>
    <w:p>
      <w:pPr>
        <w:spacing w:after="0" w:line="178"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August 2017, FASB issued ASU No. 2017-12, "Derivatives and Hedging (Topic 815): Targeted Improvements to Accounting for Hedging Activities." The amendment helps simplify certain aspects of hedge accounting and results in a more accurate portrayal of the economics of an entity’s risk management activities in its financial statements. For cash flow and net investment hedges as of the adoption date, the guidance requires a modified retrospective approach. The amended presentation and disclosure guidance is required only prospectively. Autodesk will adopt the amendment for the fiscal year beginning February 1, 2019, the required adoption date. The transition impact, if any, is expected to be immaterial and no substantive changes are expected to Autodesk’s current processes, accounting, or disclosures for cash flow hedges.</w:t>
      </w:r>
    </w:p>
    <w:p>
      <w:pPr>
        <w:spacing w:after="0" w:line="178"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In June 2016, FASB issued ASU No. 2016-13 regarding ASC Topic 326, "Financial Instruments - Credit Losses," which modifies the measurement of expected credit losses of certain financial instruments. Autodesk plans to adopt ASU No. 2016-13 as of the effective date which represents Autodesk’s fiscal year beginning February 1, 2020. Autodesk does not believe the ASU will have a material impact on its consolidated financial statements.</w:t>
      </w:r>
    </w:p>
    <w:p>
      <w:pPr>
        <w:spacing w:after="0" w:line="14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In February 2016, FASB issued ASU No. 2016-02, Leases (ASC Topic 842) to increase transparency and comparability among organizations by recognizing lease assets and lease liabilities on the balance sheet and disclosing key information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0330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76</w:t>
      </w:r>
    </w:p>
    <w:p>
      <w:pPr>
        <w:sectPr>
          <w:pgSz w:w="11900" w:h="16838" w:orient="portrait"/>
          <w:cols w:equalWidth="0" w:num="1">
            <w:col w:w="11360"/>
          </w:cols>
          <w:pgMar w:left="240" w:top="125" w:right="29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leasing transactions. The new standard requires entities to reflect the net present value of all future fixed lease payments for both operating and finance leases. It also requires entities to disclose fixed and variable lease payments separately and by lease type (operating vs. finance leases). In addition, FASB issued ASU No. 2018-10 and 2018-11 in July 2018 and ASU No. 2018-20 in December 2018 to help provide interpretive clarifications on various issues raised by stakeholders. ASU No. 2018-10 clarifies ambiguous or potentially conflicting guidance in ASU No. 2016-02 but is not expected to have a material impact on Autodesk. ASU No. 2018-11 provides an additional transition option to apply ASU No. 2016-02 upon adoption of the new standard. ASU No. 2018-20 allows lessors, as an accounting policy election, to treat sales taxes and other similar taxes as lessee costs only. ASU No. 2018-20 also requires lessors to exclude certain lessor costs paid by lessees directly to third parties from its variable payments, and therefore revenue, and requires lessors to allocate other variable payments to be allocated between lease and nonlease components.</w:t>
      </w:r>
    </w:p>
    <w:p>
      <w:pPr>
        <w:spacing w:after="0" w:line="17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Autodesk will adopt ASU No. 2016-02 as of February 1, 2019 using the modified retrospective method permitted under ASC No. 2018-11 for all existing leases. Under ASU No. 2016-02, Autodesk is required to recognize an asset and offsetting liability upon adoption. The asset and liability are measured by taking the present value of all future fixed lease payments, discounted using the Company’s incremental borrowing rate. Autodesk has elected to opt for the practical expedients to not reassess whether any existing contracts are leases or contain a lease, not reassess the lease classification of existing leases, not reassess initial direct costs for existing leases, and to combine lease and non-lease components for new leases post adoption.</w:t>
      </w:r>
    </w:p>
    <w:p>
      <w:pPr>
        <w:spacing w:after="0" w:line="15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preparation for adoption of the standard, Autodesk is implementing key systems, processes and internal controls to enable the preparation of financial information. ASC No. 2016-02 will have a material impact on the Company’s consolidated balance sheet because of the capitalization of future fixed lease payments. ASU No. 2016-02 is not expected to have a material impact to the Company’s consolidated statement of operations or net cash provided by operating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Recognition</w:t>
      </w:r>
    </w:p>
    <w:p>
      <w:pPr>
        <w:spacing w:after="0" w:line="22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Autodesk’s revenue is divided into three categories: subscription revenue, maintenance revenue, and other revenue. Revenue is recognized when control for these offerings is transferred to our customers, in an amount that reflects the consideration we expect to be entitled to in exchange for products and services.</w:t>
      </w:r>
    </w:p>
    <w:p>
      <w:pPr>
        <w:spacing w:after="0" w:line="181" w:lineRule="exact"/>
        <w:rPr>
          <w:sz w:val="20"/>
          <w:szCs w:val="20"/>
          <w:color w:val="auto"/>
        </w:rPr>
      </w:pPr>
    </w:p>
    <w:p>
      <w:pPr>
        <w:ind w:right="200" w:firstLine="392"/>
        <w:spacing w:after="0" w:line="297" w:lineRule="auto"/>
        <w:rPr>
          <w:sz w:val="20"/>
          <w:szCs w:val="20"/>
          <w:color w:val="auto"/>
        </w:rPr>
      </w:pPr>
      <w:r>
        <w:rPr>
          <w:rFonts w:ascii="Arial" w:cs="Arial" w:eastAsia="Arial" w:hAnsi="Arial"/>
          <w:sz w:val="16"/>
          <w:szCs w:val="16"/>
          <w:color w:val="auto"/>
        </w:rPr>
        <w:t>Our contracts with customers may include promises to transfer multiple products and services to a customer. Determining whether the products and services are considered distinct performance obligations that should be accounted for separately or as one combined performance obligation may require significant judgment. Judgment is required to determine the level of integration and interdependency between individual components of software and cloud functionality. This determination influences whether the software is considered distinct and accounted for separately as a license performance obligation, or not distinct and accounted for together with the cloud functionality as a single subscription performance obligation recognized over time.</w:t>
      </w:r>
    </w:p>
    <w:p>
      <w:pPr>
        <w:spacing w:after="0" w:line="158" w:lineRule="exact"/>
        <w:rPr>
          <w:sz w:val="20"/>
          <w:szCs w:val="20"/>
          <w:color w:val="auto"/>
        </w:rPr>
      </w:pPr>
    </w:p>
    <w:p>
      <w:pPr>
        <w:ind w:right="120" w:firstLine="392"/>
        <w:spacing w:after="0" w:line="297" w:lineRule="auto"/>
        <w:rPr>
          <w:sz w:val="20"/>
          <w:szCs w:val="20"/>
          <w:color w:val="auto"/>
        </w:rPr>
      </w:pPr>
      <w:r>
        <w:rPr>
          <w:rFonts w:ascii="Arial" w:cs="Arial" w:eastAsia="Arial" w:hAnsi="Arial"/>
          <w:sz w:val="16"/>
          <w:szCs w:val="16"/>
          <w:color w:val="auto"/>
        </w:rPr>
        <w:t>For product subscriptions and enterprise business agreement ("EBA") subscriptions in which the desktop software and related cloud functionality are highly interrelated, the combined performance obligation is recognized ratably over the contract term as the obligation is delivered. For contracts involving distinct software licenses, the license performance obligation is satisfied at a point in time when control is transferred to the customer.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158" w:lineRule="exact"/>
        <w:rPr>
          <w:sz w:val="20"/>
          <w:szCs w:val="20"/>
          <w:color w:val="auto"/>
        </w:rPr>
      </w:pPr>
    </w:p>
    <w:p>
      <w:pPr>
        <w:ind w:right="60" w:firstLine="392"/>
        <w:spacing w:after="0" w:line="342" w:lineRule="auto"/>
        <w:rPr>
          <w:sz w:val="20"/>
          <w:szCs w:val="20"/>
          <w:color w:val="auto"/>
        </w:rPr>
      </w:pPr>
      <w:r>
        <w:rPr>
          <w:rFonts w:ascii="Arial" w:cs="Arial" w:eastAsia="Arial" w:hAnsi="Arial"/>
          <w:sz w:val="16"/>
          <w:szCs w:val="16"/>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124" w:lineRule="exact"/>
        <w:rPr>
          <w:sz w:val="20"/>
          <w:szCs w:val="20"/>
          <w:color w:val="auto"/>
        </w:rPr>
      </w:pPr>
    </w:p>
    <w:p>
      <w:pPr>
        <w:jc w:val="both"/>
        <w:ind w:right="40" w:firstLine="392"/>
        <w:spacing w:after="0" w:line="259"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281940</wp:posOffset>
            </wp:positionV>
            <wp:extent cx="100330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and geographic region to determine the SSP.</w:t>
      </w:r>
    </w:p>
    <w:p>
      <w:pPr>
        <w:spacing w:after="0" w:line="18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5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As part of the indirect channel model, we have a partner incentive program that uses quarterly attainment of monetary rewards to motivate distributors and resellers to achieve mutually agreed upon business goals in a specified time period. Incentives related to our subscription program are recorded as a reduction to deferred revenue in the period the subscription transaction is billed, and are subsequently recognized as a reduction to subscription revenue over the contract period. A small portion of partner incentives reduce other revenue in the current period. These incentive balances do not require significant assumptions or judgments. Depending on how the payments are made, the reserves associated with the partner incentive program are recorded on the balance sheet as either contra accounts receivable or accounts payable.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Disaggregation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Autodesk recognizes revenue from the sale of (1) product subscriptions, cloud service offerings, and flexible enterprise business agreements ("EBAs"),</w:t>
      </w:r>
    </w:p>
    <w:p>
      <w:pPr>
        <w:spacing w:after="0" w:line="46" w:lineRule="exact"/>
        <w:rPr>
          <w:sz w:val="20"/>
          <w:szCs w:val="20"/>
          <w:color w:val="auto"/>
        </w:rPr>
      </w:pPr>
    </w:p>
    <w:p>
      <w:pPr>
        <w:ind w:right="360" w:firstLine="8"/>
        <w:spacing w:after="0" w:line="290" w:lineRule="auto"/>
        <w:tabs>
          <w:tab w:leader="none" w:pos="2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renewal fees for existing maintenance plan agreements that were initially purchased with a perpetual software license, and (3) consulting, training and other goods and services. The three categories are presented as line items on Autodesk's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266065</wp:posOffset>
            </wp:positionV>
            <wp:extent cx="1003300"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geographic location, product family, and sales channel is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product family (1):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1,021.6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787.5</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810.4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575.2</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AutoCAD and AutoCAD LT</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731.8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561.4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472.7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2,031.0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871.9</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1,034.3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815.4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800.4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2,569.8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2,056.6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2,031.0</w:t>
            </w:r>
          </w:p>
        </w:tc>
        <w:tc>
          <w:tcPr>
            <w:tcW w:w="0" w:type="dxa"/>
            <w:vAlign w:val="bottom"/>
          </w:tcPr>
          <w:p>
            <w:pPr>
              <w:spacing w:after="0"/>
              <w:rPr>
                <w:sz w:val="1"/>
                <w:szCs w:val="1"/>
                <w:color w:val="auto"/>
              </w:rPr>
            </w:pP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Net revenue by sales channel: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Indirect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1,468.9</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Direct</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739.0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612.8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2,031.0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03"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or warranties or amounts payable to customers for which significant estimation or judgment is required as of the reporting date.</w:t>
      </w:r>
    </w:p>
    <w:p>
      <w:pPr>
        <w:spacing w:after="0" w:line="187"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As of January 31, 2019, Autodesk had total billed and unbilled deferred revenue of $2.7 billion, which represents the total contract price allocated to undelivered performance obligations, which are generally recognized over the next three years. We expect to recognize $1.9 billion or 72% of this revenue during the next 12 months. We expect to recognize the remaining $0.8 billion or 28% of this revenue thereafter.</w:t>
      </w:r>
    </w:p>
    <w:p>
      <w:pPr>
        <w:spacing w:after="0" w:line="166"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32BCAD"/>
        </w:rPr>
        <w:t>Contract Balances</w:t>
      </w:r>
    </w:p>
    <w:p>
      <w:pPr>
        <w:spacing w:after="0" w:line="225"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January 31, 2019. Deferred revenue relates to payments received in advance of performance under the contract. The primary changes in our contract assets and deferred revenues are due to our performance under the contracts and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119380</wp:posOffset>
            </wp:positionV>
            <wp:extent cx="100330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Revenue recognized during the fiscal year ended January 31, 2019, that was included in the deferred revenue balances at January 31, 2018, was $1.5 billion. The satisfaction of performance obligations typically lags behind payments received under revenue contracts from customers, which may lead to an increase in our deferred revenue balance over time.</w:t>
      </w:r>
    </w:p>
    <w:p>
      <w:pPr>
        <w:spacing w:after="0" w:line="177"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January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left="161"/>
              <w:spacing w:after="0"/>
              <w:rPr>
                <w:sz w:val="20"/>
                <w:szCs w:val="20"/>
                <w:color w:val="auto"/>
              </w:rPr>
            </w:pPr>
            <w:r>
              <w:rPr>
                <w:rFonts w:ascii="Arial" w:cs="Arial" w:eastAsia="Arial" w:hAnsi="Arial"/>
                <w:sz w:val="14"/>
                <w:szCs w:val="14"/>
                <w:b w:val="1"/>
                <w:bCs w:val="1"/>
                <w:color w:val="auto"/>
                <w:w w:val="92"/>
              </w:rPr>
              <w:t>January 31, 2019</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16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center"/>
              <w:ind w:right="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60" w:type="dxa"/>
            <w:vAlign w:val="bottom"/>
          </w:tcPr>
          <w:p>
            <w:pPr>
              <w:ind w:left="1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Custody cash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60" w:type="dxa"/>
            <w:vAlign w:val="bottom"/>
          </w:tcPr>
          <w:p>
            <w:pPr>
              <w:ind w:left="16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281.4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160"/>
              <w:spacing w:after="0"/>
              <w:rPr>
                <w:sz w:val="20"/>
                <w:szCs w:val="20"/>
                <w:color w:val="auto"/>
              </w:rPr>
            </w:pPr>
            <w:r>
              <w:rPr>
                <w:rFonts w:ascii="Arial" w:cs="Arial" w:eastAsia="Arial" w:hAnsi="Arial"/>
                <w:sz w:val="16"/>
                <w:szCs w:val="16"/>
                <w:color w:val="auto"/>
              </w:rPr>
              <w:t>Short-term available-for-sale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60" w:type="dxa"/>
            <w:vAlign w:val="bottom"/>
          </w:tcPr>
          <w:p>
            <w:pPr>
              <w:ind w:left="160"/>
              <w:spacing w:after="0"/>
              <w:rPr>
                <w:sz w:val="20"/>
                <w:szCs w:val="20"/>
                <w:color w:val="auto"/>
              </w:rPr>
            </w:pPr>
            <w:r>
              <w:rPr>
                <w:rFonts w:ascii="Arial" w:cs="Arial" w:eastAsia="Arial" w:hAnsi="Arial"/>
                <w:sz w:val="16"/>
                <w:szCs w:val="16"/>
                <w:color w:val="auto"/>
              </w:rPr>
              <w:t>Short-term trading securities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6"/>
                <w:szCs w:val="16"/>
                <w:color w:val="auto"/>
              </w:rPr>
              <w:t>Convertible debt securities (3)</w:t>
            </w: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Consists of corporate bonds, commercial paper, and common stock.</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274955</wp:posOffset>
            </wp:positionV>
            <wp:extent cx="100330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January 31, 2018</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80" w:type="dxa"/>
            <w:vAlign w:val="bottom"/>
            <w:gridSpan w:val="3"/>
            <w:vMerge w:val="continue"/>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Agency bonds</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324.2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Custody cash deposit</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Municipal bonds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Sovereign debt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2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Short-term available-for-sale</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6"/>
                <w:szCs w:val="16"/>
                <w:color w:val="auto"/>
              </w:rPr>
              <w:t>Asset backed securities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6"/>
                <w:szCs w:val="16"/>
                <w:color w:val="auto"/>
              </w:rPr>
              <w:t>Municipal bonds</w:t>
            </w:r>
          </w:p>
        </w:tc>
        <w:tc>
          <w:tcPr>
            <w:tcW w:w="2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Sovereign debt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6"/>
                <w:szCs w:val="16"/>
                <w:color w:val="auto"/>
              </w:rPr>
              <w:t>U.S. government securities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Short-term trading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Long-term 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6"/>
                <w:szCs w:val="16"/>
                <w:color w:val="auto"/>
              </w:rPr>
              <w:t>Agency bonds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 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6"/>
                <w:szCs w:val="16"/>
                <w:color w:val="auto"/>
              </w:rPr>
              <w:t>Sovereign debt</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(3)</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Derivative contract liabilities (4)</w:t>
            </w:r>
          </w:p>
        </w:tc>
        <w:tc>
          <w:tcPr>
            <w:tcW w:w="2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1,080.2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1,068.0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Considered "available for sale" securities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0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Generally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264795</wp:posOffset>
            </wp:positionV>
            <wp:extent cx="100330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2019 Form 10-K 81</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Autodesk reviews for any potential changes on a quarterly basis, in conjunction with our fiscal quarter-end close.</w:t>
      </w:r>
    </w:p>
    <w:p>
      <w:pPr>
        <w:spacing w:after="0" w:line="17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fiscal year ended January 31, 2019 was as follows:</w:t>
      </w:r>
    </w:p>
    <w:p>
      <w:pPr>
        <w:spacing w:after="0" w:line="163"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22294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42"/>
              <w:spacing w:after="0" w:line="153" w:lineRule="exact"/>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3"/>
                <w:szCs w:val="13"/>
                <w:color w:val="auto"/>
              </w:rPr>
            </w:pPr>
          </w:p>
        </w:tc>
        <w:tc>
          <w:tcPr>
            <w:tcW w:w="12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Convertible Debt</w:t>
            </w:r>
          </w:p>
        </w:tc>
        <w:tc>
          <w:tcPr>
            <w:tcW w:w="180" w:type="dxa"/>
            <w:vAlign w:val="bottom"/>
          </w:tcPr>
          <w:p>
            <w:pPr>
              <w:spacing w:after="0"/>
              <w:rPr>
                <w:sz w:val="13"/>
                <w:szCs w:val="13"/>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8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Contracts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8"/>
              </w:rPr>
              <w:t>Securities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January 31, 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7960" w:type="dxa"/>
            <w:vAlign w:val="bottom"/>
            <w:gridSpan w:val="2"/>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(Losses) Gains included in earnings (1)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7960" w:type="dxa"/>
            <w:vAlign w:val="bottom"/>
            <w:gridSpan w:val="2"/>
          </w:tcPr>
          <w:p>
            <w:pPr>
              <w:ind w:left="380"/>
              <w:spacing w:after="0"/>
              <w:rPr>
                <w:sz w:val="20"/>
                <w:szCs w:val="20"/>
                <w:color w:val="auto"/>
              </w:rPr>
            </w:pPr>
            <w:r>
              <w:rPr>
                <w:rFonts w:ascii="Arial" w:cs="Arial" w:eastAsia="Arial" w:hAnsi="Arial"/>
                <w:sz w:val="16"/>
                <w:szCs w:val="16"/>
                <w:color w:val="auto"/>
              </w:rPr>
              <w:t>Losses included in OCI</w:t>
            </w: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January 31, 2019</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0.8</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Included in “Interest and other expense, net” in the accompanying Consolidated Statements of Operations.</w:t>
      </w:r>
    </w:p>
    <w:p>
      <w:pPr>
        <w:spacing w:after="0" w:line="207" w:lineRule="exact"/>
        <w:rPr>
          <w:sz w:val="20"/>
          <w:szCs w:val="20"/>
          <w:color w:val="auto"/>
        </w:rPr>
      </w:pPr>
    </w:p>
    <w:p>
      <w:pPr>
        <w:ind w:left="60" w:right="14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w w:val="98"/>
              </w:rPr>
              <w:t>January 31, 2019</w:t>
            </w:r>
          </w:p>
        </w:tc>
        <w:tc>
          <w:tcPr>
            <w:tcW w:w="4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22"/>
                <w:szCs w:val="22"/>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within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11.7</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11.7</w:t>
            </w:r>
          </w:p>
        </w:tc>
      </w:tr>
      <w:tr>
        <w:trPr>
          <w:trHeight w:val="33"/>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January 31, 2019 and 2018, Autodesk had no securities, individually and in the aggregate, in a continuous unrealized loss position for greater than twelve months.</w:t>
      </w:r>
    </w:p>
    <w:p>
      <w:pPr>
        <w:spacing w:after="0" w:line="170" w:lineRule="exact"/>
        <w:rPr>
          <w:sz w:val="20"/>
          <w:szCs w:val="20"/>
          <w:color w:val="auto"/>
        </w:rPr>
      </w:pPr>
    </w:p>
    <w:p>
      <w:pPr>
        <w:jc w:val="both"/>
        <w:ind w:left="60" w:firstLine="405"/>
        <w:spacing w:after="0" w:line="342" w:lineRule="auto"/>
        <w:rPr>
          <w:sz w:val="20"/>
          <w:szCs w:val="20"/>
          <w:color w:val="auto"/>
        </w:rPr>
      </w:pPr>
      <w:r>
        <w:rPr>
          <w:rFonts w:ascii="Arial" w:cs="Arial" w:eastAsia="Arial" w:hAnsi="Arial"/>
          <w:sz w:val="16"/>
          <w:szCs w:val="16"/>
          <w:color w:val="auto"/>
        </w:rPr>
        <w:t>The sales or redemptions of “available-for-sale securities” in fiscal 2019 and 2018 resulted in a loss of $1.3 million and $0.3 million, respectively, and a gain of $1.5 million in 2017. The loss and gains were recorded in "Interest and other expense, net" on the Company's Consolidated Statements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the sale and maturity of marketable securities for fiscal 2019 and fiscal 2018 were $531.0 million and $1.08 billion,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1003300"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82</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32BCAD"/>
        </w:rPr>
        <w:t>Non-marketable equity securities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January 31, 2019 and 2018, Autodesk had $111.6 million and $112.3 million, respectively, in direct investments in privately held companies. These non-marketable equity securities investments do not have readily determined fair value and with the adoption of ASU No. 2016-01 during the first quarter of fiscal 2019, Autodesk elected to use the measurement alternative to account for the adjustment of these investments in a given quarter. See "Note 1, "Business and Summary of Significant Accounting Policies" for more details of the adoption.</w:t>
      </w:r>
    </w:p>
    <w:p>
      <w:pPr>
        <w:spacing w:after="0" w:line="18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Under the measurement alternative method, these investments are measured at cost, less any impairments, plus or minus changes resulting from observable price changes in orderly transactions for the identical or similar investment of the same issuer in the current period. To determine if a transaction is for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 During the fiscal year ended January 31, 2019, Autodesk recorded $6.2 million as a positive adjustment on certain of its privately held investments, reflected as a gain in "Interest and other income (expense), net" on the Company's Consolidated Statement of Operations.</w:t>
      </w:r>
    </w:p>
    <w:p>
      <w:pPr>
        <w:spacing w:after="0" w:line="17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Non-marketable equity securities investments are periodically assessed for impairment based on available information such as current cash positions, earnings and cash flow positions, earnings and cash flow forecasts, recent operational performance and any other readily available market data. Autodesk does not intend to sell these investments and it is not more likely than not that Autodesk will be required to sell the investment before recovery of the cost basis. If Autodesk determines that an impairment has occurred, Autodesk writes down the investment to its fair value. During fiscal 2019, fiscal 2018 and fiscal 2017, Autodesk recorded $4.8 million, $15.5 million and $1.3 million, respectively, in impairments on its privately held investments, reflected as a loss in "Interest and other expense, net" on the Company's Consolidated Statements of Operations. Autodesk does not consider the remaining investments to be impaired at January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Derivative Financial Instruments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Australian dollars, Singapore dollars, Swiss francs Swedish krona, and Czech krona. These instruments have maturities between one and twelve months in the future. Autodesk does not enter into derivative instrument transactions for trading or speculative purposes.</w:t>
      </w:r>
    </w:p>
    <w:p>
      <w:pPr>
        <w:spacing w:after="0" w:line="18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contracts designated as cash flow hedges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Consolidated Financial Statements at that time.</w:t>
      </w:r>
    </w:p>
    <w:p>
      <w:pPr>
        <w:spacing w:after="0" w:line="17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notional amounts of these contracts are presented net settled and were $803.5 million at January 31, 2019, and $619.9 million at January 31, 2018. Outstanding contracts are recognized as either assets or liabilities on the balance sheet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134620</wp:posOffset>
            </wp:positionV>
            <wp:extent cx="1003300"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fair value. The majority of the net gain of $15.0 million remaining in “Accumulated other comprehensive loss” as of January 31, 2019, is expected to be recognized into earnings within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Derivatives not designated as hedging instruments</w:t>
      </w:r>
    </w:p>
    <w:p>
      <w:pPr>
        <w:spacing w:after="0" w:line="22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payables, and cash. These forward contracts are marked-to-market at the end of each month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 The notional amounts of these foreign currency contracts are presented net settled and were $579.8 million at January 31, 2019, and $329.6 million at January 31, 2018.</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“Interest and other expense, net.”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Fair Value of Derivative Instruments: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fair value of derivative instruments in Autodesk’s Consolidated Balance Sheets were as follows as of January 31, 2019, and January 31,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Assets</w:t>
      </w:r>
    </w:p>
    <w:p>
      <w:pPr>
        <w:spacing w:after="0" w:line="302" w:lineRule="exact"/>
        <w:rPr>
          <w:sz w:val="20"/>
          <w:szCs w:val="20"/>
          <w:color w:val="auto"/>
        </w:rPr>
      </w:pPr>
    </w:p>
    <w:p>
      <w:pPr>
        <w:ind w:left="400" w:right="820" w:hanging="26"/>
        <w:spacing w:after="0" w:line="450" w:lineRule="auto"/>
        <w:rPr>
          <w:sz w:val="20"/>
          <w:szCs w:val="20"/>
          <w:color w:val="auto"/>
        </w:rPr>
      </w:pPr>
      <w:r>
        <w:rPr>
          <w:rFonts w:ascii="Arial" w:cs="Arial" w:eastAsia="Arial" w:hAnsi="Arial"/>
          <w:sz w:val="14"/>
          <w:szCs w:val="14"/>
          <w:color w:val="auto"/>
        </w:rPr>
        <w:t>Foreign currency contracts designated as cash flow hedges Derivatives not designated as hedging instruments</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derivative 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Liabilities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Foreign currency contracts designated as cash flow hedges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Derivatives not designated as hedging instruments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1003300"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6"/>
              </w:rPr>
              <w:t>January 31, 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489"/>
        </w:trPr>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6.2</w:t>
            </w:r>
          </w:p>
        </w:tc>
      </w:tr>
      <w:tr>
        <w:trPr>
          <w:trHeight w:val="253"/>
        </w:trPr>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assets and Other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5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8.5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8.2</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88"/>
        </w:trPr>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18.7</w:t>
            </w:r>
          </w:p>
        </w:tc>
      </w:tr>
      <w:tr>
        <w:trPr>
          <w:trHeight w:val="270"/>
        </w:trPr>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5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26.6</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-1671955</wp:posOffset>
            </wp:positionV>
            <wp:extent cx="7229475" cy="180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-1200150</wp:posOffset>
            </wp:positionV>
            <wp:extent cx="7229475" cy="291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-728345</wp:posOffset>
            </wp:positionV>
            <wp:extent cx="722947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-368300</wp:posOffset>
            </wp:positionV>
            <wp:extent cx="722947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Form 10-K 84</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2019, 2018, and 2017, respectively (amounts presented include any income tax effects):</w:t>
      </w:r>
    </w:p>
    <w:p>
      <w:pPr>
        <w:spacing w:after="0" w:line="10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5"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of gain (loss) recognized in accumulated other comprehensive loss on derivatives (effective portion)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9"/>
              </w:rPr>
              <w:t>Amount and location of (loss) gain reclassified from accumulated other comprehensive loss into (loss)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00"/>
              <w:spacing w:after="0"/>
              <w:rPr>
                <w:sz w:val="20"/>
                <w:szCs w:val="20"/>
                <w:color w:val="auto"/>
              </w:rPr>
            </w:pPr>
            <w:r>
              <w:rPr>
                <w:rFonts w:ascii="Arial" w:cs="Arial" w:eastAsia="Arial" w:hAnsi="Arial"/>
                <w:sz w:val="16"/>
                <w:szCs w:val="16"/>
                <w:i w:val="1"/>
                <w:iCs w:val="1"/>
                <w:color w:val="auto"/>
              </w:rPr>
              <w:t>(effective portion)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rPr>
              <w:t>Amount and location of gain (loss) recognized in income (loss) on derivatives (ineffective portion and amount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00"/>
              <w:spacing w:after="0"/>
              <w:rPr>
                <w:sz w:val="20"/>
                <w:szCs w:val="20"/>
                <w:color w:val="auto"/>
              </w:rPr>
            </w:pPr>
            <w:r>
              <w:rPr>
                <w:rFonts w:ascii="Arial" w:cs="Arial" w:eastAsia="Arial" w:hAnsi="Arial"/>
                <w:sz w:val="16"/>
                <w:szCs w:val="16"/>
                <w:i w:val="1"/>
                <w:iCs w:val="1"/>
                <w:color w:val="auto"/>
              </w:rPr>
              <w:t>excluded from effectiveness testing)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2019, 2018, and 2017, respectively (amounts presented include any income tax effects):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Fiscal Year Ended January 31,</w:t>
            </w:r>
          </w:p>
        </w:tc>
        <w:tc>
          <w:tcPr>
            <w:tcW w:w="78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loss recognized in loss (income) on derivatives</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60"/>
        </w:trPr>
        <w:tc>
          <w:tcPr>
            <w:tcW w:w="77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43"/>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(11.1)</w:t>
            </w:r>
          </w:p>
        </w:tc>
      </w:tr>
    </w:tbl>
    <w:p>
      <w:pPr>
        <w:spacing w:after="0" w:line="200" w:lineRule="exact"/>
        <w:rPr>
          <w:sz w:val="20"/>
          <w:szCs w:val="20"/>
          <w:color w:val="auto"/>
        </w:rPr>
      </w:pPr>
    </w:p>
    <w:p>
      <w:pPr>
        <w:spacing w:after="0" w:line="247"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Director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Stock Plans</w:t>
      </w:r>
    </w:p>
    <w:p>
      <w:pPr>
        <w:spacing w:after="0" w:line="22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As of January 31, 2019, Autodesk maintained four active stock plans for the purpose of granting equity awards to employees and to non-employee members of Autodesk’s Board of Directors: the 2012 Employee Stock Plan (as amended, the “2012 Employee Plan”), which is available only to employees, the Autodesk 2012 Outside Directors’ Stock Plan (“2012 Directors' Plan”), which is available only to non-employee directors, the PlanGrid 2012 Equity Incentive Plan ("PlanGrid 2012 Plan"), which is available to employees who held outstanding unvested options and restricted stock units that were assumed as part of our acquisition of PlanGrid, Inc. and the BuildingConnected, Inc. 2013 Stock Plan ("BuildingConnected 2013 Plan"), which is available to employees who held outstanding unvested options that were assumed as part of our acquisition of BuildingConnected, Inc. Additionally, there is one terminated plan with options outstanding.</w:t>
      </w:r>
    </w:p>
    <w:p>
      <w:pPr>
        <w:spacing w:after="0" w:line="18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Since the 2012 Stock Plan was adopted by stockholders in January 2012, Autodesk has received stockholder approval to increase the number of shares subject to the plan by 36.1 million shares. The 2012 Employee Plan replaced the 2008 Employee Stock Plan, as amended ("2008 Plan"), and no further equity awards may be granted under the 2008 Plan. The 2012 Employee Plan reserves up to 57.3 million shares which includes 51.3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2019, 45.0 million shares subject to options or restricted stock awards have been granted under the 2012 Employee Plan. Options and restricted stock that were granted under the 2012 Employee Plan vest over periods ranging from immediately upon grant to over a three year period and options expire 10 years from the date of grant. The 2012 Employee Plan will expire on June 30, 2022. At January 31, 2019, 18.6 million shares were available for future issuance under the 2012 Employee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270510</wp:posOffset>
            </wp:positionV>
            <wp:extent cx="100330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2012 Directors' Plan was approved by Autodesk's stockholders and became effective on January 6, 2012. The 2012 Directors' Plan replaced the 2010 Outside Directors' Stock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January 31, 2019, 0.9 million shares subject to restricted stock unit awards have been granted under the 2012 Directors' Plan. Restricted stock units that were granted under the 2012 Outside Directors' Plan vest over one to three years from the date of grant. On March 12, 2015, the Board reduced the number of shares reserved for issuance under the 2012 Directors' Plan by 0.9 million shares, so that 1.7 million shares are now reserved for issuance under the 2012 Directors' Plan. The 2012 Directors' Plan will expire on June 30, 2022. At January 31, 2019, 0.8 million shares were available for future issuance under the 2012 Director's Plan.</w:t>
      </w:r>
    </w:p>
    <w:p>
      <w:pPr>
        <w:spacing w:after="0" w:line="16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Pursuant to the PlanGrid acquisition on December 19, 2018, the Company assumed the unvested options and restricted stock units under the PlanGrid 2012 Plan. No further equity awards will be granted under the PlanGrid 2012 Plan. As of January 31, 2019, 0.6 million shares subject to options remain outstanding under the PlanGrid 2012 Plan. Options that were granted under the PlanGrid 2012 Plan vest over a four year period and expire 10 years from the date of grant. The PlanGrid 2012 Plan will expire on June 18, 2022.</w:t>
      </w:r>
    </w:p>
    <w:p>
      <w:pPr>
        <w:spacing w:after="0" w:line="18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Pursuant to the BuildingConnected acquisition on January 23, 2019, the Company assumed the unvested options under the BuildingConnected 2013 Plan. No further equity awards will be granted under the BuildingConnected 2013 Plan. As of January 31, 2019, 0.1 million shares subject to options remain outstanding under the BuildingConnected 2013 Plan. Options that were granted under the BuildingConnected 2013 Plan vest over a four year period and expire 10 years from the date of grant. The BuildingConnected 2013 Plan will expire on May 6, 2023.</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fiscal year ended January 31, 2019 is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060" w:type="dxa"/>
            <w:vAlign w:val="bottom"/>
          </w:tcPr>
          <w:p>
            <w:pPr>
              <w:jc w:val="center"/>
              <w:ind w:right="103"/>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 contractual</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Intrinsic Value (1)</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2018</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40.49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Assumed from acquisitions</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37.64</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Options vested, exercisable and outstanding at January 31, 2019</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23.95</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vested and exercisable at January 31, 2019</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37.10</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6"/>
                <w:szCs w:val="16"/>
                <w:color w:val="auto"/>
                <w:w w:val="93"/>
              </w:rPr>
              <w:t>Options vested and exercisable as of January 31, 2019 and expected to vest thereafter</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23.95</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available for grant at January 31, 2019</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$147.20 per share as of January 31, 2019.</w:t>
      </w:r>
    </w:p>
    <w:p>
      <w:pPr>
        <w:spacing w:after="0" w:line="20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January 31, 2019, compensation cost of $66.5 million related to non-vested stock options is expected to be recognized over a weighted average period of 2.8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003300"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fiscal years ended January 31, 2019, 2018, and 2017:</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2"/>
              </w:rPr>
              <w:t>Fiscal year ended January 31,</w:t>
            </w: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Pre-tax intrinsic value of options exercised (1)</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Weighted average grant date fair value per share of stock options assumed from acquisition</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110.40</w:t>
            </w:r>
          </w:p>
        </w:tc>
        <w:tc>
          <w:tcPr>
            <w:tcW w:w="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vested and exercisable, and outstanding at January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Options Vested and Exercisable</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100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(in</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 price per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(in</w:t>
            </w: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contractual life</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price per share</w:t>
            </w:r>
          </w:p>
        </w:tc>
        <w:tc>
          <w:tcPr>
            <w:tcW w:w="120" w:type="dxa"/>
            <w:vAlign w:val="bottom"/>
          </w:tcPr>
          <w:p>
            <w:pPr>
              <w:spacing w:after="0"/>
              <w:rPr>
                <w:sz w:val="16"/>
                <w:szCs w:val="16"/>
                <w:color w:val="auto"/>
              </w:rPr>
            </w:pPr>
          </w:p>
        </w:tc>
        <w:tc>
          <w:tcPr>
            <w:tcW w:w="100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380"/>
              <w:spacing w:after="0"/>
              <w:rPr>
                <w:sz w:val="20"/>
                <w:szCs w:val="20"/>
                <w:color w:val="auto"/>
              </w:rPr>
            </w:pPr>
            <w:r>
              <w:rPr>
                <w:rFonts w:ascii="Arial" w:cs="Arial" w:eastAsia="Arial" w:hAnsi="Arial"/>
                <w:sz w:val="16"/>
                <w:szCs w:val="16"/>
                <w:color w:val="auto"/>
              </w:rPr>
              <w:t>$2.90 - $16.12</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$19.32 - $20.65</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380"/>
              <w:spacing w:after="0"/>
              <w:rPr>
                <w:sz w:val="20"/>
                <w:szCs w:val="20"/>
                <w:color w:val="auto"/>
              </w:rPr>
            </w:pPr>
            <w:r>
              <w:rPr>
                <w:rFonts w:ascii="Arial" w:cs="Arial" w:eastAsia="Arial" w:hAnsi="Arial"/>
                <w:sz w:val="16"/>
                <w:szCs w:val="16"/>
                <w:color w:val="auto"/>
                <w:w w:val="98"/>
              </w:rPr>
              <w:t>$21.13 - $21.13</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$21.32 - $21.32</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380"/>
              <w:spacing w:after="0"/>
              <w:rPr>
                <w:sz w:val="20"/>
                <w:szCs w:val="20"/>
                <w:color w:val="auto"/>
              </w:rPr>
            </w:pPr>
            <w:r>
              <w:rPr>
                <w:rFonts w:ascii="Arial" w:cs="Arial" w:eastAsia="Arial" w:hAnsi="Arial"/>
                <w:sz w:val="16"/>
                <w:szCs w:val="16"/>
                <w:color w:val="auto"/>
                <w:w w:val="98"/>
              </w:rPr>
              <w:t>$22.17 - $31.88</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$32.58 - $33.92</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380"/>
              <w:spacing w:after="0"/>
              <w:rPr>
                <w:sz w:val="20"/>
                <w:szCs w:val="20"/>
                <w:color w:val="auto"/>
              </w:rPr>
            </w:pPr>
            <w:r>
              <w:rPr>
                <w:rFonts w:ascii="Arial" w:cs="Arial" w:eastAsia="Arial" w:hAnsi="Arial"/>
                <w:sz w:val="16"/>
                <w:szCs w:val="16"/>
                <w:color w:val="auto"/>
                <w:w w:val="98"/>
              </w:rPr>
              <w:t>$36.06 - $36.06</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36.06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$36.44 - $36.44</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380"/>
              <w:spacing w:after="0"/>
              <w:rPr>
                <w:sz w:val="20"/>
                <w:szCs w:val="20"/>
                <w:color w:val="auto"/>
              </w:rPr>
            </w:pPr>
            <w:r>
              <w:rPr>
                <w:rFonts w:ascii="Arial" w:cs="Arial" w:eastAsia="Arial" w:hAnsi="Arial"/>
                <w:sz w:val="16"/>
                <w:szCs w:val="16"/>
                <w:color w:val="auto"/>
                <w:w w:val="98"/>
              </w:rPr>
              <w:t>$38.55 - $38.55</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38.55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38.55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$41.62 - $41.62</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5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156.4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37.10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817.1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1"/>
                <w:szCs w:val="21"/>
                <w:color w:val="auto"/>
              </w:rPr>
            </w:pPr>
          </w:p>
        </w:tc>
        <w:tc>
          <w:tcPr>
            <w:tcW w:w="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23.95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October 2028.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activity for the fiscal year ended January 31,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Unreleased Restricted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restricted stock at January 31, 2018</w:t>
            </w:r>
          </w:p>
        </w:tc>
        <w:tc>
          <w:tcPr>
            <w:tcW w:w="1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5,670.7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62"/>
              <w:spacing w:after="0"/>
              <w:rPr>
                <w:sz w:val="20"/>
                <w:szCs w:val="20"/>
                <w:color w:val="auto"/>
              </w:rPr>
            </w:pPr>
            <w:r>
              <w:rPr>
                <w:rFonts w:ascii="Arial" w:cs="Arial" w:eastAsia="Arial" w:hAnsi="Arial"/>
                <w:sz w:val="16"/>
                <w:szCs w:val="16"/>
                <w:color w:val="auto"/>
              </w:rPr>
              <w:t>2,250.7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144.37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(2,982.0)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(681.9)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94.70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Performance Adjustment (1)</w:t>
            </w:r>
          </w:p>
        </w:tc>
        <w:tc>
          <w:tcPr>
            <w:tcW w:w="1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101.74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6"/>
                <w:szCs w:val="16"/>
                <w:color w:val="auto"/>
              </w:rPr>
              <w:t>Unvested restricted stock at January 31, 2019</w:t>
            </w:r>
          </w:p>
        </w:tc>
        <w:tc>
          <w:tcPr>
            <w:tcW w:w="15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4,287.4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120.07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jc w:val="right"/>
              <w:ind w:right="6919"/>
              <w:spacing w:after="0"/>
              <w:rPr>
                <w:sz w:val="20"/>
                <w:szCs w:val="20"/>
                <w:color w:val="auto"/>
              </w:rPr>
            </w:pPr>
            <w:r>
              <w:rPr>
                <w:rFonts w:ascii="Arial" w:cs="Arial" w:eastAsia="Arial" w:hAnsi="Arial"/>
                <w:sz w:val="18"/>
                <w:szCs w:val="18"/>
                <w:color w:val="auto"/>
                <w:w w:val="89"/>
              </w:rPr>
              <w:t>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40" w:hanging="412"/>
        <w:spacing w:after="0" w:line="263" w:lineRule="auto"/>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2018 performance period. The performance stock units were attained at rates ranging from 90.0% to 117.6% of the target award.</w:t>
      </w:r>
    </w:p>
    <w:p>
      <w:pPr>
        <w:spacing w:after="0" w:line="17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For the restricted stock granted during fiscal years ended January 31, 2019, 2018, and 2017, the weighted average grant date fair values were $144.37, $106.55, and $65.95, respectively. The fair values of the shares vested during fiscal years ended January 31, 2019, 2018, and 2017 were $425.4 million, $399.7 million, and $232.2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141605</wp:posOffset>
            </wp:positionV>
            <wp:extent cx="100330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2019 Form 10-K 87</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During the fiscal year ended January 31, 2019, Autodesk granted 2.1 million restricted stock units.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$189.3 million, $202.1 million, and $173.0 million during fiscal years ended January 31, 2019, 2018, and 2017, respectively. As of January 31, 2019, total compensation cost not yet recognized of $364.5 million related to non-vested awards is expected to be recognized over a weighted average period of 1.76 years. At January 31, 2019, the number of restricted stock units granted but unvested was 3.9 million.</w:t>
      </w:r>
    </w:p>
    <w:p>
      <w:pPr>
        <w:spacing w:after="0" w:line="16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During the fiscal year ended January 31, 2019, Autodesk granted 0.2 million performance stock units for which the ultimate number of shares earned is determined based on the achievement of performance criteria at the end of the stated service and performance period. The performance criteria for the performance stock units are based on Annualized Recurring Revenue ("ARR") and free cash flow per share goals adopted by the Compensation and Human Resources Committee, as well as total stockholder return compared against companies in the S&amp;P Computer Software Select Index or the S&amp;P North American Technology Software Index ("Relative TSR"). These performance stock units vest over a three-year period and have the following vesting schedule:</w:t>
      </w:r>
    </w:p>
    <w:p>
      <w:pPr>
        <w:spacing w:after="0" w:line="193" w:lineRule="exact"/>
        <w:rPr>
          <w:sz w:val="20"/>
          <w:szCs w:val="20"/>
          <w:color w:val="auto"/>
        </w:rPr>
      </w:pPr>
    </w:p>
    <w:p>
      <w:pPr>
        <w:ind w:left="660" w:right="2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2019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70"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Performance stock units are not considered outstanding stock at the time of grant, as the holders of these units are not entitled to any of the rights of a stockholder, including voting rights. Autodesk has determined the grant-date fair value for these awards using the stock price on the date of grant or if the awards are subject to a market condition, a Monte Carlo simulation model. The fair value of the performance stock units is expensed using the accelerated attribution over the vesting period. Autodesk recorded stock-based compensation expense related to performance stock units of $28.6 million, $33.7 million, and $22.9 million during fiscal years ended January 31, 2019, 2018, and 2017 respectively. As of January 31, 2019, total compensation cost not yet recognized of $5.6 million related to unvested performance stock units, is expected to be recognized over a weighted average period of 0.81 years. At January 31, 2019, the number of performance stock units granted but unvested was 0.4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January 31, 2019, a total of 8.1 million shares were available for future issuance. Under the ESPP, the Company issues shares on the first trading day following March 31 and September 30 of each fiscal year. The ESPP does not have an expiration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fiscal years ended January 31, 2019, 2018 and 2017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rPr>
              <w:t>Fiscal year ended January 31,</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Issued shares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r>
      <w:tr>
        <w:trPr>
          <w:trHeight w:val="237"/>
        </w:trPr>
        <w:tc>
          <w:tcPr>
            <w:tcW w:w="7080" w:type="dxa"/>
            <w:vAlign w:val="bottom"/>
          </w:tcPr>
          <w:p>
            <w:pPr>
              <w:ind w:left="20"/>
              <w:spacing w:after="0"/>
              <w:rPr>
                <w:sz w:val="20"/>
                <w:szCs w:val="20"/>
                <w:color w:val="auto"/>
              </w:rPr>
            </w:pPr>
            <w:r>
              <w:rPr>
                <w:rFonts w:ascii="Arial" w:cs="Arial" w:eastAsia="Arial" w:hAnsi="Arial"/>
                <w:sz w:val="16"/>
                <w:szCs w:val="16"/>
                <w:color w:val="auto"/>
              </w:rPr>
              <w:t>Average price of issued shares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1"/>
              <w:spacing w:after="0"/>
              <w:rPr>
                <w:sz w:val="20"/>
                <w:szCs w:val="20"/>
                <w:color w:val="auto"/>
              </w:rPr>
            </w:pPr>
            <w:r>
              <w:rPr>
                <w:rFonts w:ascii="Arial" w:cs="Arial" w:eastAsia="Arial" w:hAnsi="Arial"/>
                <w:sz w:val="16"/>
                <w:szCs w:val="16"/>
                <w:color w:val="auto"/>
                <w:w w:val="94"/>
              </w:rPr>
              <w:t>90.25</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39.03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36.99</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of awards granted under the ESPP</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4"/>
              </w:rPr>
              <w:t>42.75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32.41</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19.20</w:t>
            </w:r>
          </w:p>
        </w:tc>
      </w:tr>
      <w:tr>
        <w:trPr>
          <w:trHeight w:val="33"/>
        </w:trPr>
        <w:tc>
          <w:tcPr>
            <w:tcW w:w="70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00330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Autodesk recorded $27.2 million, $25.7 million, and $25.9 million of compensation expense associated with the ESPP in fiscal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Equity Compensation Plan Information</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summarizes the number of outstanding options and awards granted to employees and directors, as well as the number of securities remaining available for future issuance under these plans as of January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w:t>
            </w:r>
          </w:p>
        </w:tc>
        <w:tc>
          <w:tcPr>
            <w:tcW w:w="3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issued upon exercise or vesting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Weighted-average exercise</w:t>
            </w:r>
          </w:p>
        </w:tc>
        <w:tc>
          <w:tcPr>
            <w:tcW w:w="3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for 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outstanding options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compensation plans (excluding securities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 (in millions)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9"/>
              </w:rPr>
              <w:t>price of outstanding options</w:t>
            </w: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(in millions)</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23.95</w:t>
            </w: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2220"/>
              <w:spacing w:after="0"/>
              <w:rPr>
                <w:sz w:val="20"/>
                <w:szCs w:val="20"/>
                <w:color w:val="auto"/>
              </w:rPr>
            </w:pPr>
            <w:r>
              <w:rPr>
                <w:rFonts w:ascii="Arial" w:cs="Arial" w:eastAsia="Arial" w:hAnsi="Arial"/>
                <w:sz w:val="16"/>
                <w:szCs w:val="16"/>
                <w:color w:val="auto"/>
              </w:rPr>
              <w:t>27.6  (1)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5.1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4"/>
              <w:spacing w:after="0"/>
              <w:rPr>
                <w:sz w:val="20"/>
                <w:szCs w:val="20"/>
                <w:color w:val="auto"/>
              </w:rPr>
            </w:pPr>
            <w:r>
              <w:rPr>
                <w:rFonts w:ascii="Arial" w:cs="Arial" w:eastAsia="Arial" w:hAnsi="Arial"/>
                <w:sz w:val="16"/>
                <w:szCs w:val="16"/>
                <w:color w:val="auto"/>
              </w:rPr>
              <w:t>23.95</w:t>
            </w:r>
          </w:p>
        </w:tc>
        <w:tc>
          <w:tcPr>
            <w:tcW w:w="100" w:type="dxa"/>
            <w:vAlign w:val="bottom"/>
          </w:tcPr>
          <w:p>
            <w:pPr>
              <w:spacing w:after="0"/>
              <w:rPr>
                <w:sz w:val="21"/>
                <w:szCs w:val="21"/>
                <w:color w:val="auto"/>
              </w:rPr>
            </w:pPr>
          </w:p>
        </w:tc>
        <w:tc>
          <w:tcPr>
            <w:tcW w:w="2620" w:type="dxa"/>
            <w:vAlign w:val="bottom"/>
            <w:tcBorders>
              <w:top w:val="single" w:sz="8" w:color="auto"/>
              <w:bottom w:val="single" w:sz="8" w:color="auto"/>
            </w:tcBorders>
          </w:tcPr>
          <w:p>
            <w:pPr>
              <w:ind w:left="2220"/>
              <w:spacing w:after="0"/>
              <w:rPr>
                <w:sz w:val="20"/>
                <w:szCs w:val="20"/>
                <w:color w:val="auto"/>
              </w:rPr>
            </w:pPr>
            <w:r>
              <w:rPr>
                <w:rFonts w:ascii="Arial" w:cs="Arial" w:eastAsia="Arial" w:hAnsi="Arial"/>
                <w:sz w:val="16"/>
                <w:szCs w:val="16"/>
                <w:color w:val="auto"/>
              </w:rPr>
              <w:t>27.6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jc w:val="right"/>
              <w:ind w:right="2362"/>
              <w:spacing w:after="0"/>
              <w:rPr>
                <w:sz w:val="20"/>
                <w:szCs w:val="20"/>
                <w:color w:val="auto"/>
              </w:rPr>
            </w:pPr>
            <w:r>
              <w:rPr>
                <w:rFonts w:ascii="Arial" w:cs="Arial" w:eastAsia="Arial" w:hAnsi="Arial"/>
                <w:sz w:val="18"/>
                <w:szCs w:val="18"/>
                <w:color w:val="auto"/>
                <w:w w:val="88"/>
              </w:rPr>
              <w:t>____________________</w:t>
            </w: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Included in this amount are 8.1 million securities available for future issuance under Autodesk’s ESPP.</w:t>
      </w:r>
    </w:p>
    <w:p>
      <w:pPr>
        <w:spacing w:after="0" w:line="176"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584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State: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93.9</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17"/>
        </w:trPr>
        <w:tc>
          <w:tcPr>
            <w:tcW w:w="6720" w:type="dxa"/>
            <w:vAlign w:val="bottom"/>
          </w:tcPr>
          <w:p>
            <w:pPr>
              <w:spacing w:after="0"/>
              <w:rPr>
                <w:sz w:val="18"/>
                <w:szCs w:val="18"/>
                <w:color w:val="auto"/>
              </w:rPr>
            </w:pP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58.3</w:t>
            </w:r>
          </w:p>
        </w:tc>
      </w:tr>
      <w:tr>
        <w:trPr>
          <w:trHeight w:val="33"/>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Foreign pretax (loss) income was $181.4 million in fiscal 2019, $(76.2) million in fiscal 2018, and $(27.6) million in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443865</wp:posOffset>
            </wp:positionV>
            <wp:extent cx="100330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 at U.S. Federal statutory rate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State income tax benefit, net of the U.S. Federal benefit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income taxed at rates different from the U.S. statutory rate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U.S. valuation allowance</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233.0</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Transition tax</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 in attributes due to ASU 2016-9 adoption</w:t>
            </w:r>
          </w:p>
        </w:tc>
        <w:tc>
          <w:tcPr>
            <w:tcW w:w="9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valuation allowance from ASU 2016-9 adoption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119.4</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Tax effect of non-deductible stock-based compensation</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18.8</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compensation windfall / shortfall</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 tax credit benefit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Closure of income tax audits and changes in uncertain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Tax effect of officer compensation in excess of $1.0 million</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Research and development tax credit carryforwards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170.3</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162.2</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25.9</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accruals not currently deductible for tax</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Purchased technology and capitalized software</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43.4</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Tax loss carryforwards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85.7</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32.4</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valuation allowance</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(797.8)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(634.2)</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72.1</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Indefinite lived intangibles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Net deferred tax assets (liabilities)</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15.1</w:t>
            </w:r>
          </w:p>
        </w:tc>
      </w:tr>
      <w:tr>
        <w:trPr>
          <w:trHeight w:val="33"/>
        </w:trPr>
        <w:tc>
          <w:tcPr>
            <w:tcW w:w="8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Autodesk’s tax expense is primarily driven by tax expense in foreign locations, withholding taxes on payments made to the U.S. from foreign sources, and tax amortization on indefinite-lived intangibles offset by a tax benefit resulting from release of uncertain tax positions upon finalization of IRS examination and release of valuation allowance from acquired deferred tax liabilities.</w:t>
      </w:r>
    </w:p>
    <w:p>
      <w:pPr>
        <w:spacing w:after="0" w:line="18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whether it is more likely than not that some or all of the deferred tax assets will not be realized. In evaluating the need for a valuation allowance, Autodesk considered cumulative losses arising from the Company's business model transition as a significant piece of negative evidence. Consequently, Autodesk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003300"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Form 10-K 90</w:t>
      </w:r>
    </w:p>
    <w:p>
      <w:pPr>
        <w:sectPr>
          <w:pgSz w:w="11900" w:h="16838" w:orient="portrait"/>
          <w:cols w:equalWidth="0" w:num="1">
            <w:col w:w="11400"/>
          </w:cols>
          <w:pgMar w:left="240" w:top="125" w:right="2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that a valuation allowance was required on the accumulated U.S., Canada and Singapore tax attributes. In the current year, the U.S. created incremental deferred tax assets, primarily operating losses, foreign tax and R&amp;D credits, Singapore generated operating losses and Canada generated R&amp;D credits. These U.S. and Singapore deferred tax attributes have been offset by a full valuation allowance. The valuation allowance increased by $163.6 million in fiscal 2019 primarily due to the generation of deferred tax attributes. The valuation allowance decreased by $113.8 million, and increased $352.4 million in fiscal 2018, and 2017, respectively, primarily related to U.S. Tax Act reduction in rate in fiscal 2018 and U.S. and Canadian deferred tax attributes generated in fiscal 2017. As Autodesk continually strives to optimize the overall business model, tax planning strategies may become feasible and prudent allowing the Company to realize many of the deferred tax assets that are offset by a valuation allowance; therefore, Autodesk will continue to evaluate the ability to utilize the net deferred tax assets each quarter, both in the U.S. and in foreign jurisdictions, based on all available evidence, both positive and negative.</w:t>
      </w:r>
    </w:p>
    <w:p>
      <w:pPr>
        <w:spacing w:after="0" w:line="166"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Tax Act was signed into law on December 22, 2017 and provided broad and significant changes to the U.S. corporate income tax regime. In light of our fiscal year-end, the Tax Act reduced the statutory federal corporate rate from 35% to 33.81% for fiscal 2018 and to 21% for fiscal 2019 and forward. The Tax Act also, among many other provisions, imposed a one-time mandatory tax on accumulated earnings of foreign subsidiaries (commonly referred to as the "transition tax"), subjected the deemed intangible income of our foreign subsidiaries to current U.S. taxation (commonly referred to as "GILTI"), provided for a full dividends received deduction upon repatriation of untaxed earnings of our foreign subsidiaries, imposed a minimum taxation (without most tax credits) on modified taxable income, which is generally taxable income without deductions for payments to related foreign companies (commonly referred to as “BEAT”), modified the accelerated depreciation deduction rules, and made updates to the deductibility of certain expenses. We have completed our determination of the accounting implications of the Tax Act on our tax accruals.</w:t>
      </w:r>
    </w:p>
    <w:p>
      <w:pPr>
        <w:spacing w:after="0" w:line="17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We recorded a tax benefit of the Tax Act in our financial statements as of January 31, 2018 of approximately $32.3 million mainly driven by the corporate rate remeasurement of the indefinite-lived intangible deferred tax liability.</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of January 31, 2018, we estimated taxable income associated with offshore earnings of $831.5 million, and as of January 31, 2019, we adjusted the taxable income to $819.6 million to reflect the impact of Treasury Regulations issued in the fourth quarter of fiscal 2019. Transition tax related to adjustments in the offshore earnings resulted in no impact to the effective tax rate as it is primarily offset by net operating losses that are subject to a full valuation allowance. As a result of the transition tax, we recorded a deferred tax asset of approximately $45.1 million for foreign tax credits, which are also subject to a full valuation allowance.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subject to GILTI in fiscal 2019, primarily offset by current year operating losses, resulting in no impact to the effective tax rate.</w:t>
      </w:r>
    </w:p>
    <w:p>
      <w:pPr>
        <w:spacing w:after="0" w:line="22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We anticipate that the U.S. Department of Treasury and other standard-setting bodies will continue to interpret or issue guidance on how provisions of the Tax Act will be applied or otherwise administered. As future guidance is issued, we may make adjustments to amounts that we have previously recorded that may materially impact our financial statements in the period in which the adjustments are made.</w:t>
      </w:r>
    </w:p>
    <w:p>
      <w:pPr>
        <w:spacing w:after="0" w:line="1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Realization of foreign non-current net deferred tax assets of $54.3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 and Autodesk then determines that it is not more likely than not to realize such deferred tax assets.</w:t>
      </w:r>
    </w:p>
    <w:p>
      <w:pPr>
        <w:spacing w:after="0" w:line="187"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As of January 31, 2019, Autodesk had $531.4 million of cumulative federal tax loss carryforwards and $1,465.7 million of cumulative state tax loss carryforwards, which may be available to reduce future income tax liabilities in federal and state jurisdictions. In addition to U.S. federal and state tax loss carryforwards, Ireland, Netherlands, and Singapore jurisdictions incurred federal tax losses totaling $521.8 million, which may be available to reduce future income tax liabilities indefinitely. As discussed above, with the exception of our Irish losses, of $238.8 million, these cumulative assets have full valuation allowance against them on our balance sheet as the Company has determined it is more likely than not that these losses will not be utilized. The pre-fiscal 2019 federal tax loss carryforward will expire beginning fiscal 2021 through fiscal 2038. Federal losses generated in fiscal 2019 do not have an expiration pursuant to the Tax Act and are carried forward indefinitely. The state tax loss carryforward will expire beginning fiscal 2020 through fiscal 2040.</w:t>
      </w:r>
    </w:p>
    <w:p>
      <w:pPr>
        <w:spacing w:after="0" w:line="16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January 31, 2019, Autodesk had $164.9 million of cumulative federal research tax credit carryforwards, $68.8 million of cumulative California state research tax credit carryforwards, and $59.0 million of cumulative Canadian federal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134620</wp:posOffset>
            </wp:positionV>
            <wp:extent cx="100330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credit carryforwards, which may be available to reduce future income tax liabilities in the respective jurisdictions. The federal tax credit carryforwards will expire beginning fiscal 2021 through fiscal 2040, the state credit carryforwards may reduce future California income tax liabilities indefinitely, and the Canadian tax credit carryforwards will expire beginning fiscal 2027 through fiscal 2040. Autodesk also has $242.4 million of cumulative foreign tax credit carryforwards, which may be available to reduce future U. S. tax liabilities. The foreign tax credit will expire beginning fiscal 2020 through fiscal 2030. As discussed above, these cumulative assets have full valuation allowance against them on our balance sheet as the Company has determined it is more likely than not that these losses will not be utilized.</w:t>
      </w:r>
    </w:p>
    <w:p>
      <w:pPr>
        <w:spacing w:after="0" w:line="193"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 No ownership change has occurred through the balance sheet date that would limit a material amount of U.S. federal and state tax attributes.</w:t>
      </w:r>
    </w:p>
    <w:p>
      <w:pPr>
        <w:spacing w:after="0" w:line="14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As of January 31, 2019, the Company had $209.0 million of gross unrecognized tax benefits, of which $190.6 million would reduce our valuation allowance, if recognized. The remaining $18.4 million would impact the effective tax rate.</w:t>
      </w:r>
    </w:p>
    <w:p>
      <w:pPr>
        <w:spacing w:after="0" w:line="17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It is possible that the amount of unrecognized tax benefits will change in the next twelve months; however, an estimate of the range of the possible change cannot be made at this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254.3</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of prior years</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11.9</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for tax positions of prior years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(146.3)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related to the current year</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11.1</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relating to settlements with taxing authorities</w:t>
            </w: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Reductions as a result of lapse of the statute of limitations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end of the fiscal year</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It is the Company's continuing practice to recognize interest and/or penalties related to income tax matters in income tax expense. Autodesk had $3.1 million, $2.8 million, and $2.5 million, net of tax benefit, accrued for interest and penalties related to unrecognized tax benefits as of January 31, 2019, 2018, and 2017, respectively. There was $0.3 million, $0.3 million, and $1.5 million of net expense for interest and penalties related to tax matters recorded through the consolidated statements of operations for the years ended January 31, 2019, 2018, and 2017, respectively.</w:t>
      </w:r>
    </w:p>
    <w:p>
      <w:pPr>
        <w:spacing w:after="0" w:line="17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Autodesk's U.S. and state income tax returns for fiscal year 2003 through fiscal year 2019 remain open to examination due to either net operating loss or credit carryforward. The Internal Revenue Service has examined the Company's U.S. consolidated federal income tax returns for fiscal years 2014 and 2015. This audit was finalized on January 31, 2019 and impacts from the finalization of the audit were recorded in the January 31, 2019 financial statements.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files tax returns in multiple foreign taxing jurisdictions with open tax years ranging from fiscal year 2005 to 2019.</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a result of certain business and employment actions and capital investments undertaken by Autodesk, income earned in certain Europe and Asia Pacific countries is subject to reduced tax rates through fiscal 2019. In fiscal 2019, the Company incurred $11.4 million net benefit ($0.05 basic net income per share) from the tax status of these business arrangements, compared to zero benefit in fiscal 2018, and $27.1 million ($0.12 basic net income per share) in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100330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92</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the fiscal years ended January 31, 2019, and January 31, 2018, Autodesk completed the business combinations described below. The results of operations for the following acquisitions are included in the accompanying Consolidated Statements of Operations since their respective acquisition dates. Pro forma results of operations have been presented for acquisitions that were material to Autodesk's Consolidated Financial Statements. The adoption of ASU No. 2017-01 in the first quarter of fiscal 2019 did not impact the accounting for these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Fiscal 2019 Acquisitions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0696D7"/>
        </w:rPr>
        <w:t>BuildingConnected, Inc.</w:t>
      </w:r>
    </w:p>
    <w:p>
      <w:pPr>
        <w:spacing w:after="0" w:line="225"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On January 23, 2019, Autodesk acquired BuildingConnected, Inc. ("BuildingConnected"). BuildingConnected is a leading provider of construction bid-management software and this acquisition is expected to enable Autodesk to offer a more comprehensive construction workflow.</w:t>
      </w:r>
    </w:p>
    <w:p>
      <w:pPr>
        <w:spacing w:after="0" w:line="147"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The acquisition-date fair value of the consideration transferred totaled $253.2 million, which consisted of $248.1 million of cash, and $5.1 million attributable to the fair value of equity awards related to pre-combination services. Under the terms of the merger agreement, Autodesk was obligated to replace BuilidingConnected's unvested options with 116,279 Autodesk options.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0696D7"/>
        </w:rPr>
        <w:t>PlanGrid, Inc.</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On December 19, 2018, Autodesk acquired PlanGrid, Inc. ("PlanGrid"). PlanGrid is a leading provider of construction productivity software and this acquisition is expected to enable Autodesk to offer a more comprehensive, cloud-based construction platform.</w:t>
      </w:r>
    </w:p>
    <w:p>
      <w:pPr>
        <w:spacing w:after="0" w:line="1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acquisition-date fair value of the consideration transferred totaled $777.6 million, which consisted of $772.4 million of cash and $5.2 million attributed to the fair value of assumed PlanGrid equity awards for pre-combination services. Under the terms of the merger agreement, Autodesk was obligated to replace PlanGrid's unvested options and restricted stock awards with 602,051 Autodesk options and 41,069 Autodesk RSUs. Autodesk entered in to a term loan agreement in the aggregate principal amount of $500.0 million to fund a portion of the purchase. See Note 8, "Borrowing Arrangements" for more information.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0696D7"/>
        </w:rPr>
        <w:t>Assemble Systems, Inc.</w:t>
      </w:r>
    </w:p>
    <w:p>
      <w:pPr>
        <w:spacing w:after="0" w:line="225"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On July 3, 2018, Autodesk acquired Assemble Systems, Inc. ("Assemble Systems"). Assemble Systems is a provider of software solutions that enable construction professionals to influence, query and connect BIM data to key workflows across bid management, estimating, scheduling, site management and finance. Over time, Assemble Systems' software solution will be integrated with Autodesk's BIM 360 project management platform.</w:t>
      </w:r>
    </w:p>
    <w:p>
      <w:pPr>
        <w:spacing w:after="0" w:line="166" w:lineRule="exact"/>
        <w:rPr>
          <w:sz w:val="20"/>
          <w:szCs w:val="20"/>
          <w:color w:val="auto"/>
        </w:rPr>
      </w:pPr>
    </w:p>
    <w:p>
      <w:pPr>
        <w:ind w:right="680" w:firstLine="405"/>
        <w:spacing w:after="0" w:line="342" w:lineRule="auto"/>
        <w:rPr>
          <w:sz w:val="20"/>
          <w:szCs w:val="20"/>
          <w:color w:val="auto"/>
        </w:rPr>
      </w:pPr>
      <w:r>
        <w:rPr>
          <w:rFonts w:ascii="Arial" w:cs="Arial" w:eastAsia="Arial" w:hAnsi="Arial"/>
          <w:sz w:val="16"/>
          <w:szCs w:val="16"/>
          <w:color w:val="auto"/>
        </w:rPr>
        <w:t>The acquisition-date fair value of the consideration transferred totaled $93.6 million, which consisted of $38.2 million of cash, $44.8 million of Autodesk common stock (340,769 shares) and ascribed a value of $10.6 million to Autodesk's existing equity interest in Assemble Systems.</w:t>
      </w:r>
    </w:p>
    <w:p>
      <w:pPr>
        <w:spacing w:after="0" w:line="12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Prior to the acquisition date, Autodesk accounted for its approximate 14% equity interest in Assemble Systems as a cost-method investment. The acquisition-date fair value of Autodesk's existing equity interest was $10.6 million and is included in the measurement of the consideration transferred. Autodesk recognized a gain of $4.6 million as a result of remeasuring its prior equity interest in Assemble Systems held before the business combination using a control premium to calculate a discount for lack of control. The gain is included in “Interest and other expense, net”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Preliminary Purchase Price Allocation</w:t>
      </w:r>
    </w:p>
    <w:p>
      <w:pPr>
        <w:spacing w:after="0" w:line="225"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For the Assemble Systems, PlanGrid, and BuildingConnected acquisitions that were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 There is no amount of goodwill that is deductible for U.S.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135890</wp:posOffset>
            </wp:positionV>
            <wp:extent cx="1003300"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that were completed during the fiscal year ended January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Assemble Systems (1)</w:t>
            </w:r>
          </w:p>
        </w:tc>
        <w:tc>
          <w:tcPr>
            <w:tcW w:w="340" w:type="dxa"/>
            <w:vAlign w:val="bottom"/>
          </w:tcPr>
          <w:p>
            <w:pPr>
              <w:spacing w:after="0"/>
              <w:rPr>
                <w:sz w:val="16"/>
                <w:szCs w:val="16"/>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PlanGrid</w:t>
            </w: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BuildingConnected</w:t>
            </w:r>
          </w:p>
        </w:tc>
        <w:tc>
          <w:tcPr>
            <w:tcW w:w="3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color w:val="auto"/>
                <w:w w:val="96"/>
              </w:rPr>
              <w:t>Customer relationships and other non-current intangible assets</w:t>
            </w:r>
          </w:p>
        </w:tc>
        <w:tc>
          <w:tcPr>
            <w:tcW w:w="16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588.7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206.3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867.0</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16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1,124.4</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line="263" w:lineRule="auto"/>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During Q4 of fiscal 2019, Autodesk recorded a measurement period adjustment related to the valuation of the deferred tax liability associated with the Assemble Systems acquisition. This adjustment increased goodwill and reduced net tangible assets by $0.1 million.</w:t>
      </w:r>
    </w:p>
    <w:p>
      <w:pPr>
        <w:spacing w:after="0" w:line="25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For the three business combinations in fiscal 2019, the determination of estimated fair values of certain assets and liabilities is derived from estimated fair value assessments and assumptions by Autodesk. For PlanGrid and BuildingConnected, Autodesk's estimates and assumptions are subject to change within the measurement period (up to one year from the acquisition date). For the three business combinations in fiscal 2019, the tax impact of the acquisition is also subject to change within the measurement period. Different estimates and assumptions could result in different valuations assigned to the individual assets acquired and liabilities assumed, and the resulting amount of goodwill.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Unaudited Pro Forma Results of Acquirees</w:t>
      </w:r>
    </w:p>
    <w:p>
      <w:pPr>
        <w:spacing w:after="0" w:line="225"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Autodesk has included the financial results of each of the acquirees in the consolidated financial statements from the respective dates of acquisition; the revenues and the results of each of the acquirees, except for PlanGrid, have not been material both individually or in the aggregate to Autodesk's fiscal 2019 and 2018 results.</w:t>
      </w:r>
    </w:p>
    <w:p>
      <w:pPr>
        <w:spacing w:after="0" w:line="181"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The following unaudited pro forma financial information summarizes the combined results of operations for Autodesk and PlanGrid, as though the companies were combined as of the beginning of Autodesk's fiscal year 2018. The unaudited pro forma financial information was as follows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4"/>
                <w:szCs w:val="14"/>
                <w:b w:val="1"/>
                <w:bCs w:val="1"/>
                <w:color w:val="auto"/>
              </w:rPr>
              <w:t>Fiscal Year ended January 31,</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160" w:type="dxa"/>
            <w:vAlign w:val="bottom"/>
            <w:tcBorders>
              <w:bottom w:val="single" w:sz="8" w:color="CCEEFF"/>
            </w:tcBorders>
            <w:shd w:val="clear" w:color="auto" w:fill="CCEEFF"/>
          </w:tcPr>
          <w:p>
            <w:pPr>
              <w:jc w:val="right"/>
              <w:ind w:right="965"/>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2,632.6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Pretax loss</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(724.9)</w:t>
            </w:r>
          </w:p>
        </w:tc>
      </w:tr>
      <w:tr>
        <w:trPr>
          <w:trHeight w:val="33"/>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(734.5)</w:t>
            </w:r>
          </w:p>
        </w:tc>
      </w:tr>
      <w:tr>
        <w:trPr>
          <w:trHeight w:val="33"/>
        </w:trPr>
        <w:tc>
          <w:tcPr>
            <w:tcW w:w="7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color w:val="auto"/>
        </w:rPr>
        <w:t>The pro forma financial information for all periods presented includes the business combination accounting effects from the acquisition of PlanGrid including amortization expense from acquired intangible assets, compensation expense, and the interest expense and debt issuance costs related to the term loan agreement. The historical financial information has been adjusted to give effect to pro forma events that are directly attributable to the business combinations and factually supportable. The pro forma financial information is for informational purposes only and is not indicative of the results of operations that would have been achieved if the acquisition had taken place at the beginning of the Company’s fiscal 2018.</w:t>
      </w:r>
    </w:p>
    <w:p>
      <w:pPr>
        <w:spacing w:after="0" w:line="158"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The pro forma financial information for fiscal 2019 and 2018 combines the historical results of the Company, the adjusted historical results of PlanGrid for fiscal 2019 and 2018 considering the date the Company acquired PlanGrid and the effects of the pro forma adjustments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0330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Fiscal 2018 Acquisitions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fiscal year ended January 31, 2018, Autodesk did not complete any business combinations or technology acquisitions.</w:t>
      </w:r>
    </w:p>
    <w:p>
      <w:pPr>
        <w:spacing w:after="0" w:line="221"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229"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At January 31, 2019, Autodesk had marketable securities totaling $67.6 million, of which $60.3 million related to investments in debt and equity securities that are held in a rabbi trust under non-qualified deferred compensation plans. Of the $60.3 million related to the deferred compensation liability at January 31, 2019, $5.0 million was classified as current and $55.3 million was classified as non-current liabilities. Of the $59.0 million related to the deferred compensation liability at January 31, 2018, $3.4 million was classified as current and $55.6 million was classified as non-current liabilities. The securities are recorded in the Consolidated Balance Sheets under the current portion of "Marketable securities." The current and non-current portions of the liability are recorded in the Consolidated Balance Sheets under “Accrued compensation” and “Long-Term Other liabilities,”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Costs to obtain a contract with a customer</w:t>
      </w:r>
    </w:p>
    <w:p>
      <w:pPr>
        <w:spacing w:after="0" w:line="225"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and "Other assets" on our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reseller partners that are related to contract renewals are not commensurate with commissions earned on the initial contract, and we determined the estimated period of benefit by taking into consideration customer retention data, customer contracts, our technology and other factors. Deferred costs are periodically reviewed for impairment. Amortization expense is included in sales and marketing expenses in the Consolidated Statements of Operations.</w:t>
      </w:r>
    </w:p>
    <w:p>
      <w:pPr>
        <w:spacing w:after="0" w:line="179" w:lineRule="exact"/>
        <w:rPr>
          <w:sz w:val="20"/>
          <w:szCs w:val="20"/>
          <w:color w:val="auto"/>
        </w:rPr>
      </w:pPr>
    </w:p>
    <w:p>
      <w:pPr>
        <w:jc w:val="both"/>
        <w:ind w:right="600" w:firstLine="405"/>
        <w:spacing w:after="0" w:line="286" w:lineRule="auto"/>
        <w:rPr>
          <w:sz w:val="20"/>
          <w:szCs w:val="20"/>
          <w:color w:val="auto"/>
        </w:rPr>
      </w:pPr>
      <w:r>
        <w:rPr>
          <w:rFonts w:ascii="Arial" w:cs="Arial" w:eastAsia="Arial" w:hAnsi="Arial"/>
          <w:sz w:val="17"/>
          <w:szCs w:val="17"/>
          <w:color w:val="auto"/>
        </w:rPr>
        <w:t>The ending balance of assets recognized from costs to obtain a contract with a customer was $93.0 million as of January 31, 2019. Amortization expense related to assets recognized from costs to obtain a contract with a customer was $108.8 million during the fiscal year ended January 31, 2019. Autodesk did not recognize any contract cost impairment losses during the fiscal year ended January 31, 2019.</w:t>
      </w:r>
    </w:p>
    <w:p>
      <w:pPr>
        <w:spacing w:after="0" w:line="162"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29"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On December 17, 2018, Autodesk entered into a credit agreement by and among Autodesk, the lenders from time to time party therto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replaced and terminated Autodesk’s prior $400.0 million revolving credit facility.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2.50:1.0 starting with the fiscal quarter ending January 31, 2019 and increasing to 3.00:1.0 starting with the fiscal quarter ending April 30, 2019, and (2) a maximum leverage ratio of 3.50:1.0 starting with the fiscal quarter ending July 31, 2019 and dropping to 3.00:1.0 in the fiscal quarter ending January 31, 2020. At January 31, 2019,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January 31, 2019, Autodesk had no outstanding borrowings under the credit agreement.</w:t>
      </w:r>
    </w:p>
    <w:p>
      <w:pPr>
        <w:spacing w:after="0" w:line="17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December 17, 2018, Autodesk also entered into a term loan agreement by and among Autodesk, the lenders from time to time party thereto and Citibank, N.A., as agent, which provides for a delayed draw term loan facility in the aggregate principal amount of $500.0 million and was borrowed in full to consummate the PlanGrid acquisition in Note 6</w:t>
      </w:r>
      <w:r>
        <w:rPr>
          <w:rFonts w:ascii="Arial" w:cs="Arial" w:eastAsia="Arial" w:hAnsi="Arial"/>
          <w:sz w:val="16"/>
          <w:szCs w:val="16"/>
          <w:b w:val="1"/>
          <w:bCs w:val="1"/>
          <w:color w:val="auto"/>
        </w:rPr>
        <w:t>, "</w:t>
      </w:r>
      <w:r>
        <w:rPr>
          <w:rFonts w:ascii="Arial" w:cs="Arial" w:eastAsia="Arial" w:hAnsi="Arial"/>
          <w:sz w:val="16"/>
          <w:szCs w:val="16"/>
          <w:color w:val="auto"/>
        </w:rPr>
        <w:t>Acquisitions</w:t>
      </w:r>
      <w:r>
        <w:rPr>
          <w:rFonts w:ascii="Arial" w:cs="Arial" w:eastAsia="Arial" w:hAnsi="Arial"/>
          <w:sz w:val="16"/>
          <w:szCs w:val="16"/>
          <w:b w:val="1"/>
          <w:bCs w:val="1"/>
          <w:color w:val="auto"/>
        </w:rPr>
        <w:t>."</w:t>
      </w:r>
      <w:r>
        <w:rPr>
          <w:rFonts w:ascii="Arial" w:cs="Arial" w:eastAsia="Arial" w:hAnsi="Arial"/>
          <w:sz w:val="16"/>
          <w:szCs w:val="16"/>
          <w:color w:val="auto"/>
        </w:rPr>
        <w:t xml:space="preserve"> The term loan bears interest, at Autodesk's option, at either (i) a floating rate per annum equal to the base rate plus a margin between 0.000% and 0.625%, depending on Autodesk's Public Debt Rating or (ii) a per annum rate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124460</wp:posOffset>
            </wp:positionV>
            <wp:extent cx="100330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rate at which dollar deposits are offered in the London interbank market, plus a margin of between 0.875% and 1.625%, depending on Autodesk's Public Debt Rating. Based on Autodesk's current credit ratings the term loan bears interest at a per annum rate equal to the rate at which dollar deposits are offered in the London interbank market, plus a margin of 1.125% per annum. Interest under the term loan was 3.628% at January 31, 2019. The term loan agreement contains customary covenants that could, among other things, restrict the imposition of liens on Autodesk's assets, and restrict Autodesk’s ability to incur additional indebtedness or make dispositions of assets if Autodesk fails to maintain the financial covenants. The term loan agreement has the same financial covenants as those included in the credit agreement governing its revolving loan facility described above. The term loan will mature on December 2020 and will not be subject to amortization prior to the maturity date.</w:t>
      </w:r>
    </w:p>
    <w:p>
      <w:pPr>
        <w:spacing w:after="0" w:line="17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originally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101.0% of their principal amount, plus accrued and unpaid interest to the date of repurchase. The 2017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2017 Notes was approximately $474.3 million as of January 31, 2019.</w:t>
      </w:r>
    </w:p>
    <w:p>
      <w:pPr>
        <w:spacing w:after="0" w:line="167"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In June 2015, Autodesk issued $450.0 million aggregate principal amount of 3.125% senior notes due June 15, 2020 and $300.0 million aggregate principal amount of 4.375% senior notes due June 15, 2025 (collectively, the “2015 Notes”). Net of a discount of $1.7 million and issuance costs of $6.3 million, Autodesk received net proceeds of $742.0 million from issuance of the 2015 Senior Notes. Both the discount and issuance costs are being amortized to interest expense over the respective terms of the 2015 Notes using the effective interest method. The proceeds of the 2015 Notes are available for general corporate purposes. 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2015 Notes was approximately $754.2 million as of January 31, 2019.</w:t>
      </w:r>
    </w:p>
    <w:p>
      <w:pPr>
        <w:spacing w:after="0" w:line="16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senior notes due December 15, 2017 ("$400.0 million 2012 Notes") and $350.0 million aggregate principal amount of 3.6% senior notes due December 15, 2022 ("$350.0 million 2012 Notes" and collectively with the $400.0 million 2012 Notes,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On July 27, 2017, Autodesk redeemed in full the $400.0 million 2012 Notes.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repayment was $401.8 million. Autodesk did not incur any additional early termination penalties in connection with such redemption. Based on the quoted market price, the fair value of the $350.0 million 2012 Notes was approximately $349.6 million as of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00330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Lease commitments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Autodesk leases office space and computer equipment under non-cancellable operating lease agreements that expire at various dates through 2090. The leases generally provide that Autodesk pay taxes, insurance, and maintenance expenses related to the leased assets. Certain of these lease arrangements contain escalation clauses whereby monthly rent increases over time.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January 31, 2019, the aggregate future minimum lease payments required were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2021</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61.7</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2023</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50.7</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127.0</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410.6</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Less: Sublease income</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related to these operating leases recognized on a straight-line basis over the lease period, was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 expense</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65.3</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Purchase commitments</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2019, were approximately $82.7 million for periods through fiscal 2028. These purchase commitments primarily result from contracts entered into for the acquisition of IT infrastructure, marketing, and software development services, as well as commitments related to our investment agreements with limited liability partnership funds.</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Autodesk has certain royalty commitments associated with the sale and licensing of certain products. Royalty expense is generally based on a dollar amount per unit sold or a percentage of the underlying revenue. Royalty expense, which was recorded under cost of maintenance and subscription revenue and cost of license and other revenue on Autodesk’s Consolidated Statements of Operations, was $6.4 million in fiscal 2019, $15.3 million in fiscal 2018, and $16.2 million in fiscal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281940</wp:posOffset>
            </wp:positionV>
            <wp:extent cx="100330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2019 Form 10-K 97</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Legal Proceedings</w:t>
      </w:r>
    </w:p>
    <w:p>
      <w:pPr>
        <w:spacing w:after="0" w:line="22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Autodesk is involved in a variety of claims, suits, inquiries, investigations, and proceedings in the normal course of business including claims of alleged infringement of intellectual property rights, commercial, employment, tax,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9"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Preferred Stock</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2019,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Common Stock Repurchase Program</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 approximately 2.2 million shares in fiscal 2019 at an average repurchase price of $130.15 per share, 6.9 million shares in fiscal 2018 at an average repurchase price of $100.45 per share, and 9.7 million shares in fiscal 2017 at an average repurchase price of $64.73.</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At January 31, 2019, 17.4 million shares remained available for repurchase under the repurchase program approved by the Board of Directors. The share repurchase program does not have an expiration date and the pace and timing of repurchases will depend on factors such as cash generation from operations, available surplus, the volume of employee stock plan activity, cash requirements for acquisitions, economic and market conditions, stock price and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100330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Interest and Other Expense,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and other expense,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(loss) on foreign currency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(loss) on strategic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9584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2947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2947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29475"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187"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net of taxes,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 for 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Pre-tax losses (gains) reclassified from accumulated other comprehensive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Balances, January 31, 2018</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w w:val="99"/>
              </w:rPr>
              <w:t>Pre-tax gains reclassified from accumulated other comprehensive income</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Reclassifications related to gains and losses on available-for-sale debt securities are included in "Interest and other expense, net". Refer to Note 3, "Financial Instruments" for the amount and location of reclassifications related to derivative instruments. Reclassifications of the defined benefit pension components of net periodic benefit cost are included in "Interest and other expense, net". Refer to Note 15, "Retirement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256540</wp:posOffset>
            </wp:positionV>
            <wp:extent cx="1003300"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2019 Form 10-K 99</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(566.9)</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(582.1)</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Denominator:</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218.9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9"/>
              </w:rPr>
              <w:t>218.9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net loss per share</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loss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vMerge w:val="continue"/>
          </w:tcPr>
          <w:p>
            <w:pPr>
              <w:spacing w:after="0"/>
              <w:rPr>
                <w:sz w:val="17"/>
                <w:szCs w:val="17"/>
                <w:color w:val="auto"/>
              </w:rPr>
            </w:pP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260" w:hanging="412"/>
        <w:spacing w:after="0" w:line="334" w:lineRule="auto"/>
        <w:tabs>
          <w:tab w:leader="none" w:pos="4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effect of dilutive securities of 3.1 million, 4.5 million, and 4.6 million shares for the fiscal years ended January 31, 2019, 2018, and 2017, respectively, have been excluded from the calculation of diluted net loss per share as those shares would have been anti-dilutive due to the net loss incurred during those fiscal years.</w:t>
      </w:r>
    </w:p>
    <w:p>
      <w:pPr>
        <w:spacing w:after="0" w:line="132"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computation of diluted net loss per share does not include shares that are anti-dilutive under the treasury stock method because their exercise prices are higher than the average market value of Autodesk’s stock during the fiscal year. The effect of 0.5 million, 0.5 million, and 0.1 million potentially anti-dilutive shares were excluded from the computation of net loss per share for the fiscal years ended January 31, 2019, 2018, and 2017, respectively.</w:t>
      </w:r>
    </w:p>
    <w:p>
      <w:pPr>
        <w:spacing w:after="0" w:line="14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156"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Pretax Savings Plan</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75% of their pretax salary, subject to limitations mandated by the Internal Revenue Service. Autodesk makes voluntary cash contributions and matches a portion of employee contributions in cash. Autodesk’s contributions were $17.1 million in fiscal 2019, $17.3 million in fiscal 2018, and $16.4 million in fiscal 2017. Autodesk does not allow participants to invest in Autodesk common stock through the 401(k)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Benefit Pension Plans</w:t>
      </w:r>
    </w:p>
    <w:p>
      <w:pPr>
        <w:spacing w:after="0" w:line="22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Autodesk maintains certain defined benefit pension plans to employees primarily located in countries outside of the U.S, particularly the United Kingdom, Switzerland, and Japan. The Company deposits funds for specific plans, consistent with the requirements of local law, with insurance companies, third-party trustees, or into government-managed accounts, and accrues for the unfunded portion of the obligation, where material. Depending on the design of the plan, local customs, and market circumstances, the liabilities of a plan may exceed qualified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003300" cy="2057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Benefit Obligation and Plan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projected benefit obligations and plan assets for the plans described above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w w:val="96"/>
              </w:rPr>
              <w:t>Fiscal year ended January 31,</w:t>
            </w:r>
          </w:p>
        </w:tc>
      </w:tr>
      <w:tr>
        <w:trPr>
          <w:trHeight w:val="264"/>
        </w:trPr>
        <w:tc>
          <w:tcPr>
            <w:tcW w:w="9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projected benefit obligation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146.4</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by plan participants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amendment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Ending projected benefit obligation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158.1</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9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fair value of plan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paid by employer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paid by plan participants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8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fair value of plan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121.1</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Funded status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recognized on the consolidated balance sheets at the end of each period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6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90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76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3"/>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760" w:type="dxa"/>
            <w:vAlign w:val="bottom"/>
          </w:tcPr>
          <w:p>
            <w:pPr>
              <w:spacing w:after="0"/>
              <w:rPr>
                <w:sz w:val="20"/>
                <w:szCs w:val="20"/>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83"/>
              </w:rPr>
              <w:t>16.3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31.7</w:t>
            </w:r>
          </w:p>
        </w:tc>
      </w:tr>
      <w:tr>
        <w:trPr>
          <w:trHeight w:val="33"/>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recognized</w:t>
            </w:r>
          </w:p>
        </w:tc>
        <w:tc>
          <w:tcPr>
            <w:tcW w:w="76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3"/>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68.7</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 worldwide basis, the Company's defined benefit pension plans were 88% funded as of January 31, 2019.</w:t>
      </w:r>
    </w:p>
    <w:p>
      <w:pPr>
        <w:spacing w:after="0" w:line="225"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As of January 31, 2019, the aggregate accumulated benefit obligation was $85.1 million for the defined benefit pension plans compared to $139.5 million as of January 31, 2018. Included in the aggregate data in the following tables are the amounts applicable to the Company's defined benefit pension plans, with accumulated benefit obligations in excess of plan assets, as well as plans with projected benefit obligations in excess of plan assets. Amounts related to such plans at the end of each period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3"/>
                <w:szCs w:val="13"/>
                <w:color w:val="auto"/>
              </w:rPr>
            </w:pPr>
          </w:p>
        </w:tc>
        <w:tc>
          <w:tcPr>
            <w:tcW w:w="18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Fiscal Year Ended January</w:t>
            </w:r>
          </w:p>
        </w:tc>
      </w:tr>
      <w:tr>
        <w:trPr>
          <w:trHeight w:val="192"/>
        </w:trPr>
        <w:tc>
          <w:tcPr>
            <w:tcW w:w="9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9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with accumulated benefit obligations in excess of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Accumulated benefit obligations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75.6</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130.7</w:t>
            </w: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112.1</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Plans with projected benefit obligations in excess of plan assets: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obligations</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158.1</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449580</wp:posOffset>
            </wp:positionV>
            <wp:extent cx="1003300"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2019 Form 10-K 101</w:t>
      </w:r>
    </w:p>
    <w:p>
      <w:pPr>
        <w:sectPr>
          <w:pgSz w:w="11900" w:h="16838" w:orient="portrait"/>
          <w:cols w:equalWidth="0" w:num="1">
            <w:col w:w="11420"/>
          </w:cols>
          <w:pgMar w:left="240" w:top="125" w:right="239" w:bottom="1122"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Benefit Pension Plan Assets</w:t>
      </w:r>
    </w:p>
    <w:p>
      <w:pPr>
        <w:spacing w:after="0" w:line="225"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The investments of the plans are managed by insurance companies or third-party investment managers selected by Autodesk's Trustees, consistent with regulations or market practice of the country where the assets are invested. Investments managed by qualified insurance companies or third-party investment managers under standard contracts follow local regulations, and Autodesk is not actively involved in their investment strategies.</w:t>
      </w:r>
    </w:p>
    <w:p>
      <w:pPr>
        <w:spacing w:after="0" w:line="14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Defined benefit pension plan assets measured at fair value on a recurring basis consisted of the following investment categories at the end of each period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4"/>
                <w:szCs w:val="14"/>
                <w:b w:val="1"/>
                <w:bCs w:val="1"/>
                <w:color w:val="auto"/>
              </w:rPr>
              <w:t>Fiscal Year Ended January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r>
      <w:tr>
        <w:trPr>
          <w:trHeight w:val="264"/>
        </w:trPr>
        <w:tc>
          <w:tcPr>
            <w:tcW w:w="5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23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contracts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53.0</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3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17.0</w:t>
            </w:r>
          </w:p>
        </w:tc>
      </w:tr>
      <w:tr>
        <w:trPr>
          <w:trHeight w:val="33"/>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4"/>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measured at fair value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70.0</w:t>
            </w:r>
          </w:p>
        </w:tc>
      </w:tr>
      <w:tr>
        <w:trPr>
          <w:trHeight w:val="224"/>
        </w:trPr>
        <w:tc>
          <w:tcPr>
            <w:tcW w:w="58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Cash</w:t>
            </w: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0.2</w:t>
            </w:r>
          </w:p>
        </w:tc>
      </w:tr>
      <w:tr>
        <w:trPr>
          <w:trHeight w:val="33"/>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Fund valued using net asset value</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50.9</w:t>
            </w:r>
          </w:p>
        </w:tc>
      </w:tr>
      <w:tr>
        <w:trPr>
          <w:trHeight w:val="244"/>
        </w:trPr>
        <w:tc>
          <w:tcPr>
            <w:tcW w:w="5820" w:type="dxa"/>
            <w:vAlign w:val="bottom"/>
          </w:tcPr>
          <w:p>
            <w:pPr>
              <w:ind w:left="40"/>
              <w:spacing w:after="0"/>
              <w:rPr>
                <w:sz w:val="20"/>
                <w:szCs w:val="20"/>
                <w:color w:val="auto"/>
              </w:rPr>
            </w:pPr>
            <w:r>
              <w:rPr>
                <w:rFonts w:ascii="Arial" w:cs="Arial" w:eastAsia="Arial" w:hAnsi="Arial"/>
                <w:sz w:val="16"/>
                <w:szCs w:val="16"/>
                <w:color w:val="auto"/>
              </w:rPr>
              <w:t>Total pension plan assets at fair value</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121.1</w:t>
            </w:r>
          </w:p>
        </w:tc>
      </w:tr>
      <w:tr>
        <w:trPr>
          <w:trHeight w:val="20"/>
        </w:trPr>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The insurance contracts in the preceding table represent the immediate cash surrender value of assets managed by qualified insurance companies. Autodesk does not have control over the target allocation or visibility of the investment strategies of those investments. Insurance contracts and investments held by insurance companies made up 35% and 44% of total plan assets as of January 31, 2019 and January 31, 2018, respectively.</w:t>
      </w:r>
    </w:p>
    <w:p>
      <w:pPr>
        <w:spacing w:after="0" w:line="14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assets held in the investment fund in the preceding table are invested in a diversified growth fund actively managed by Russell Investments in association with Aon Hewitt. The objective of the fund is to generate capital appreciation on a long-term basis through a diversified portfolio of investments. The fund aims to deliver equity-like returns in the medium to long term with around two-thirds the volatility of equity markets. The fair value of the assets held in the investment fund are priced monthly at net asset value without restrictions on redemption.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Estimated Future Benefit Payments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ind w:left="440"/>
              <w:spacing w:after="0"/>
              <w:rPr>
                <w:sz w:val="20"/>
                <w:szCs w:val="20"/>
                <w:color w:val="auto"/>
              </w:rPr>
            </w:pPr>
            <w:r>
              <w:rPr>
                <w:rFonts w:ascii="Arial" w:cs="Arial" w:eastAsia="Arial" w:hAnsi="Arial"/>
                <w:sz w:val="18"/>
                <w:szCs w:val="18"/>
                <w:color w:val="auto"/>
              </w:rPr>
              <w:t>Estimated benefit payments over the next 10 fiscal years are as follows: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9"/>
        </w:trPr>
        <w:tc>
          <w:tcPr>
            <w:tcW w:w="10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33"/>
        </w:trPr>
        <w:tc>
          <w:tcPr>
            <w:tcW w:w="10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33"/>
        </w:trPr>
        <w:tc>
          <w:tcPr>
            <w:tcW w:w="10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2025-2029</w:t>
            </w:r>
          </w:p>
        </w:tc>
        <w:tc>
          <w:tcPr>
            <w:tcW w:w="1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13.9</w:t>
            </w:r>
          </w:p>
        </w:tc>
      </w:tr>
      <w:tr>
        <w:trPr>
          <w:trHeight w:val="33"/>
        </w:trPr>
        <w:tc>
          <w:tcPr>
            <w:tcW w:w="10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r>
      <w:tr>
        <w:trPr>
          <w:trHeight w:val="20"/>
        </w:trPr>
        <w:tc>
          <w:tcPr>
            <w:tcW w:w="10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Funding Expectations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expected required funding for the plans during fiscal 2020 is approximately $4.6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03300"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Periodic Benefit Cost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periodic pension cost for the defined benefit pension plans for fiscal 2019, 2018, and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6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2017</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 for benefits earned during the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 on projected benefit obligation (1)</w:t>
            </w: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3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 (1)</w:t>
            </w: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 (1)</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loss (1)</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Settlement loss (1)</w:t>
            </w: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 gain (1)</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Net periodic (benefit) cost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180" w:hanging="412"/>
        <w:spacing w:after="0" w:line="263" w:lineRule="auto"/>
        <w:tabs>
          <w:tab w:leader="none" w:pos="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Included in Interest and other expense, net in Autodesk's fiscal 2019 Consolidated Statements of Operations as a result of the adoption of ASU No. 2017-07 in the first quarter of fiscal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Amounts Recorded in OCI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other comprehensive income (loss) for the defined benefit pension plans before taxes for fiscal 2019, 2018, and 2017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6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2017</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 for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(gain) loss for period</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Effect of curtailment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net loss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Amounts Recorded in Accumulated Other Comprehensive Loss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recorded in accumulated other comprehensive loss before taxes at the end of each period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8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credit</w:t>
            </w:r>
          </w:p>
        </w:tc>
        <w:tc>
          <w:tcPr>
            <w:tcW w:w="820" w:type="dxa"/>
            <w:vAlign w:val="bottom"/>
            <w:tcBorders>
              <w:bottom w:val="single" w:sz="8" w:color="CCEEFF"/>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actuarial loss</w:t>
            </w:r>
          </w:p>
        </w:tc>
        <w:tc>
          <w:tcPr>
            <w:tcW w:w="8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34.8</w:t>
            </w:r>
          </w:p>
        </w:tc>
      </w:tr>
      <w:tr>
        <w:trPr>
          <w:trHeight w:val="33"/>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31.7</w:t>
            </w:r>
          </w:p>
        </w:tc>
      </w:tr>
      <w:tr>
        <w:trPr>
          <w:trHeight w:val="20"/>
        </w:trPr>
        <w:tc>
          <w:tcPr>
            <w:tcW w:w="8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Assumptions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costs for the plans for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2.5%</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Expected long-term rate of return on plan assets</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3.3%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3.3%</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8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weighted-average expected long-term rate of return for the plan assets is 3.3%. The weighted-average expected long-term rate of return on plan assets is based on the interest rates guaranteed under the insurance contracts, and the expected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134620</wp:posOffset>
            </wp:positionV>
            <wp:extent cx="1003300"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649" w:gutter="0" w:footer="0" w:header="0"/>
        </w:sectPr>
      </w:pPr>
    </w:p>
    <w:p>
      <w:pPr>
        <w:spacing w:after="0" w:line="200" w:lineRule="exact"/>
        <w:rPr>
          <w:sz w:val="20"/>
          <w:szCs w:val="20"/>
          <w:color w:val="auto"/>
        </w:rPr>
      </w:pPr>
    </w:p>
    <w:p>
      <w:pPr>
        <w:spacing w:after="0" w:line="322"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2019 Form 10-K 103</w:t>
      </w:r>
    </w:p>
    <w:p>
      <w:pPr>
        <w:sectPr>
          <w:pgSz w:w="11900" w:h="16838" w:orient="portrait"/>
          <w:cols w:equalWidth="0" w:num="1">
            <w:col w:w="11420"/>
          </w:cols>
          <w:pgMar w:left="240" w:top="125" w:right="239" w:bottom="649"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return appropriate for each category of assets weighted for the distribution within the diversified investment fund. The assumptions used for the plans are based upon customary rates and practices for the location of the plans. Factors such as asset class allocations, long-term rates of return (actual and expected), and results of periodic asset liability modeling studies are considered when constructing the long-term rate of return assumption for our defined benefit pension plans.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benefit obligations for the plans at the end of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2.7%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2.6%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00" w:lineRule="exact"/>
        <w:rPr>
          <w:sz w:val="20"/>
          <w:szCs w:val="20"/>
          <w:color w:val="auto"/>
        </w:rPr>
      </w:pPr>
    </w:p>
    <w:p>
      <w:pPr>
        <w:spacing w:after="0" w:line="251"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In selecting the appropriate discount rate for the plans, the Company uses country-specific information, adjusted to reflect the duration of the particular plan. The discount rate was based on highly rated long-term bond indexes and yield curves that match the duration of the plan’s benefit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Contribution Plans</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$29.6 million in fiscal 2019, $27.2 million in fiscal 2018, and $26.6 million in fiscal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Cash Balance Plans</w:t>
      </w:r>
    </w:p>
    <w:p>
      <w:pPr>
        <w:spacing w:after="0" w:line="22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Autodesk provides a cash balance plan that insures the risks of disability, death, and longevity, in which the vested pension capital is reinvested and provides a 100% capital and interest guarantee. The weighted-average guaranteed interest crediting rate for cash balance plans was 1.0%, 1.0%, and 1.3% for mandatory retirement savings and 0.3%, 0.3%, and 0.8% for supplementary retirement savings for fiscal 2019,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Other Plans</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7, “Deferred Compensation,” for further discussion.</w:t>
      </w:r>
    </w:p>
    <w:p>
      <w:pPr>
        <w:spacing w:after="0" w:line="177"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exit costs, net</w:t>
      </w:r>
    </w:p>
    <w:p>
      <w:pPr>
        <w:spacing w:after="0" w:line="229"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During the fourth quarter of fiscal year 2018, the Board of Directors approved a world-wide restructuring plan (“Fiscal 2018 Plan”) to support the Company's strategic priorities of completing the subscription transition, digitizing the Company, and re-imagining manufacturing, construction, and production. Through the restructuring, Autodesk seeks to reduce its investments in areas not aligned with its strategic priorities, including in areas related to research and development and go-to-market activities. At the same time, Autodesk plans to further invest in strategic priority areas related to digital infrastructure, customer success, and construction. By re-balancing resources to better align with the Company’s strategic priorities, Autodesk is positioning itself to meet its long-term goals. This world-wide restructuring plan included a reduction in force of approximately 11% of the Company’s workforce, or 1,027 employees, and the consolidation of certain leased facilities. By January 31, 2019, the personnel and facilities related actions included in this restructuring plan were substantially complete.</w:t>
      </w:r>
    </w:p>
    <w:p>
      <w:pPr>
        <w:spacing w:after="0" w:line="19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During Fiscal 2019, restructuring charges under the Fiscal 2018 Plan included $39.2 million in employee termination benefits and $3.2 million in lease termination and other exit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03300"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set forth the restructuring charges and other facility exit costs, net during the fiscal years ended January 31, 2019 and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2018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Employee terminations costs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53.0</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Facility terminations and other exit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(2)</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3560" w:type="dxa"/>
            <w:vAlign w:val="bottom"/>
            <w:gridSpan w:val="2"/>
            <w:vMerge w:val="restart"/>
          </w:tcPr>
          <w:p>
            <w:pPr>
              <w:jc w:val="right"/>
              <w:ind w:right="1679"/>
              <w:spacing w:after="0"/>
              <w:rPr>
                <w:sz w:val="20"/>
                <w:szCs w:val="20"/>
                <w:color w:val="auto"/>
              </w:rPr>
            </w:pPr>
            <w:r>
              <w:rPr>
                <w:rFonts w:ascii="Arial" w:cs="Arial" w:eastAsia="Arial" w:hAnsi="Arial"/>
                <w:sz w:val="18"/>
                <w:szCs w:val="18"/>
                <w:color w:val="auto"/>
                <w:w w:val="88"/>
              </w:rPr>
              <w:t>____________________</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Adjustments primarily relate to the impact of foreign exchange rate changes, settlement of lease contracts, and certain write offs related to fixed assets.</w:t>
      </w:r>
    </w:p>
    <w:p>
      <w:pPr>
        <w:spacing w:after="0" w:line="9"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current portions of the reserve are recorded in the Consolidated Balance Sheets under “Other accrued liabilities.” There was no non-current portion as of January 31, 2019.</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00" w:type="dxa"/>
            <w:vAlign w:val="bottom"/>
          </w:tcPr>
          <w:p>
            <w:pPr>
              <w:spacing w:after="0"/>
              <w:rPr>
                <w:sz w:val="14"/>
                <w:szCs w:val="14"/>
                <w:color w:val="auto"/>
              </w:rPr>
            </w:pPr>
          </w:p>
        </w:tc>
        <w:tc>
          <w:tcPr>
            <w:tcW w:w="1460" w:type="dxa"/>
            <w:vAlign w:val="bottom"/>
          </w:tcPr>
          <w:p>
            <w:pPr>
              <w:jc w:val="right"/>
              <w:ind w:right="41"/>
              <w:spacing w:after="0"/>
              <w:rPr>
                <w:sz w:val="20"/>
                <w:szCs w:val="20"/>
                <w:color w:val="auto"/>
              </w:rPr>
            </w:pPr>
            <w:r>
              <w:rPr>
                <w:rFonts w:ascii="Arial" w:cs="Arial" w:eastAsia="Arial" w:hAnsi="Arial"/>
                <w:sz w:val="14"/>
                <w:szCs w:val="14"/>
                <w:b w:val="1"/>
                <w:bCs w:val="1"/>
                <w:color w:val="auto"/>
                <w:w w:val="90"/>
              </w:rPr>
              <w:t>Balances, January 31,</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2018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Employee terminations costs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Facility terminations and other exit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Fiscal 2017 Plan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termination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Facility terminations and other exit costs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Other facility termination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Facility termination costs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3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5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Current portion (2)</w:t>
            </w: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(2)</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52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33"/>
        </w:trPr>
        <w:tc>
          <w:tcPr>
            <w:tcW w:w="3580" w:type="dxa"/>
            <w:vAlign w:val="bottom"/>
            <w:gridSpan w:val="2"/>
            <w:vMerge w:val="restart"/>
          </w:tcPr>
          <w:p>
            <w:pPr>
              <w:jc w:val="right"/>
              <w:ind w:right="2139"/>
              <w:spacing w:after="0"/>
              <w:rPr>
                <w:sz w:val="20"/>
                <w:szCs w:val="20"/>
                <w:color w:val="auto"/>
              </w:rPr>
            </w:pPr>
            <w:r>
              <w:rPr>
                <w:rFonts w:ascii="Arial" w:cs="Arial" w:eastAsia="Arial" w:hAnsi="Arial"/>
                <w:sz w:val="18"/>
                <w:szCs w:val="18"/>
                <w:color w:val="auto"/>
                <w:w w:val="89"/>
              </w:rPr>
              <w:t>_______________</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Adjustments primarily relate to the accelerated depreciation of fixed assets and the impact of foreign exchange rate changes.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289560</wp:posOffset>
            </wp:positionV>
            <wp:extent cx="1003300"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year 2019 and 2018 is as follows: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2019</w:t>
            </w: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4"/>
                <w:szCs w:val="14"/>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 (1)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2,569.8</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Gross profit (1)</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493.1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588.6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660.3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2,283.9</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(Loss) Income from operations (1)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 income (1)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Basic net (loss) income per share (1) (2)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Diluted net (loss) income per share (1) (2)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(Loss) Income from operations includes the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b w:val="1"/>
                <w:bCs w:val="1"/>
                <w:color w:val="auto"/>
              </w:rPr>
              <w:t>following items: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249.5</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33.5</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CEO transition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Acquisition related costs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16.2</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Restructuring and other exit costs,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r>
      <w:tr>
        <w:trPr>
          <w:trHeight w:val="446"/>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2018</w:t>
            </w: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24"/>
                <w:szCs w:val="24"/>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00"/>
          </w:cols>
          <w:pgMar w:left="240" w:top="125" w:right="259" w:bottom="1440" w:gutter="0" w:footer="0" w:header="0"/>
        </w:sectPr>
      </w:pPr>
    </w:p>
    <w:tbl>
      <w:tblPr>
        <w:tblLayout w:type="fixed"/>
        <w:tblInd w:w="40" w:type="dxa"/>
        <w:tblCellMar>
          <w:top w:w="0" w:type="dxa"/>
          <w:left w:w="0" w:type="dxa"/>
          <w:bottom w:w="0" w:type="dxa"/>
          <w:right w:w="0" w:type="dxa"/>
        </w:tblCellMar>
      </w:tblP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Net revenue</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960" w:type="dxa"/>
            <w:vAlign w:val="bottom"/>
          </w:tcPr>
          <w:p>
            <w:pPr>
              <w:spacing w:after="0"/>
              <w:rPr>
                <w:sz w:val="20"/>
                <w:szCs w:val="20"/>
                <w:color w:val="auto"/>
              </w:rPr>
            </w:pPr>
            <w:r>
              <w:rPr>
                <w:rFonts w:ascii="Arial" w:cs="Arial" w:eastAsia="Arial" w:hAnsi="Arial"/>
                <w:sz w:val="16"/>
                <w:szCs w:val="16"/>
                <w:color w:val="auto"/>
              </w:rPr>
              <w:t>Gross profit</w:t>
            </w:r>
          </w:p>
        </w:tc>
        <w:tc>
          <w:tcPr>
            <w:tcW w:w="660" w:type="dxa"/>
            <w:vAlign w:val="bottom"/>
          </w:tcPr>
          <w:p>
            <w:pPr>
              <w:spacing w:after="0"/>
              <w:rPr>
                <w:sz w:val="22"/>
                <w:szCs w:val="22"/>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6"/>
                <w:szCs w:val="16"/>
                <w:color w:val="auto"/>
              </w:rPr>
              <w:t>Loss from operations</w:t>
            </w:r>
          </w:p>
        </w:tc>
        <w:tc>
          <w:tcPr>
            <w:tcW w:w="660" w:type="dxa"/>
            <w:vAlign w:val="bottom"/>
          </w:tcPr>
          <w:p>
            <w:pPr>
              <w:spacing w:after="0"/>
              <w:rPr>
                <w:sz w:val="23"/>
                <w:szCs w:val="23"/>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6"/>
                <w:szCs w:val="16"/>
                <w:color w:val="auto"/>
              </w:rPr>
              <w:t>(Provision) Benefit for income taxes</w:t>
            </w:r>
          </w:p>
        </w:tc>
        <w:tc>
          <w:tcPr>
            <w:tcW w:w="660" w:type="dxa"/>
            <w:vAlign w:val="bottom"/>
          </w:tcPr>
          <w:p>
            <w:pPr>
              <w:spacing w:after="0"/>
              <w:rPr>
                <w:sz w:val="23"/>
                <w:szCs w:val="23"/>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6"/>
                <w:szCs w:val="16"/>
                <w:color w:val="auto"/>
              </w:rPr>
              <w:t>Net loss</w:t>
            </w:r>
          </w:p>
        </w:tc>
        <w:tc>
          <w:tcPr>
            <w:tcW w:w="660" w:type="dxa"/>
            <w:vAlign w:val="bottom"/>
          </w:tcPr>
          <w:p>
            <w:pPr>
              <w:spacing w:after="0"/>
              <w:rPr>
                <w:sz w:val="23"/>
                <w:szCs w:val="23"/>
                <w:color w:val="auto"/>
              </w:rPr>
            </w:pPr>
          </w:p>
        </w:tc>
      </w:tr>
      <w:tr>
        <w:trPr>
          <w:trHeight w:val="284"/>
        </w:trPr>
        <w:tc>
          <w:tcPr>
            <w:tcW w:w="2960" w:type="dxa"/>
            <w:vAlign w:val="bottom"/>
          </w:tcPr>
          <w:p>
            <w:pPr>
              <w:spacing w:after="0"/>
              <w:rPr>
                <w:sz w:val="20"/>
                <w:szCs w:val="20"/>
                <w:color w:val="auto"/>
              </w:rPr>
            </w:pPr>
            <w:r>
              <w:rPr>
                <w:rFonts w:ascii="Arial" w:cs="Arial" w:eastAsia="Arial" w:hAnsi="Arial"/>
                <w:sz w:val="16"/>
                <w:szCs w:val="16"/>
                <w:color w:val="auto"/>
              </w:rPr>
              <w:t>Basic net loss per share (2)</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960" w:type="dxa"/>
            <w:vAlign w:val="bottom"/>
          </w:tcPr>
          <w:p>
            <w:pPr>
              <w:spacing w:after="0"/>
              <w:rPr>
                <w:sz w:val="20"/>
                <w:szCs w:val="20"/>
                <w:color w:val="auto"/>
              </w:rPr>
            </w:pPr>
            <w:r>
              <w:rPr>
                <w:rFonts w:ascii="Arial" w:cs="Arial" w:eastAsia="Arial" w:hAnsi="Arial"/>
                <w:sz w:val="16"/>
                <w:szCs w:val="16"/>
                <w:color w:val="auto"/>
              </w:rPr>
              <w:t>Diluted net loss per share (2)</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Loss from operations includes the following items:</w:t>
      </w:r>
    </w:p>
    <w:p>
      <w:pPr>
        <w:spacing w:after="0" w:line="113"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right="720"/>
        <w:spacing w:after="0" w:line="352" w:lineRule="auto"/>
        <w:rPr>
          <w:sz w:val="20"/>
          <w:szCs w:val="20"/>
          <w:color w:val="auto"/>
        </w:rPr>
      </w:pPr>
      <w:r>
        <w:rPr>
          <w:rFonts w:ascii="Arial" w:cs="Arial" w:eastAsia="Arial" w:hAnsi="Arial"/>
          <w:sz w:val="16"/>
          <w:szCs w:val="16"/>
          <w:color w:val="auto"/>
        </w:rPr>
        <w:t>Amortization of acquisition related intangibles CEO transition costs</w:t>
      </w:r>
    </w:p>
    <w:p>
      <w:pPr>
        <w:spacing w:after="0" w:line="1"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6"/>
          <w:szCs w:val="16"/>
          <w:color w:val="auto"/>
        </w:rPr>
        <w:t>Restructuring and other exit costs, net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485.7</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501.8</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515.3</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553.8</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2,056.6</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407.5</w:t>
            </w:r>
          </w:p>
        </w:tc>
        <w:tc>
          <w:tcPr>
            <w:tcW w:w="62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427.2</w:t>
            </w:r>
          </w:p>
        </w:tc>
        <w:tc>
          <w:tcPr>
            <w:tcW w:w="6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437.8</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480.7</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1,753.2</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(119.6)</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6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5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(181.9)</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(509.1)</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6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24.8</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(129.6)</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(144.0)</w:t>
            </w:r>
          </w:p>
        </w:tc>
        <w:tc>
          <w:tcPr>
            <w:tcW w:w="6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(119.8)</w:t>
            </w:r>
          </w:p>
        </w:tc>
        <w:tc>
          <w:tcPr>
            <w:tcW w:w="5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(173.5)</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(566.9)</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(0.59)</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(0.55)</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(0.59)</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(0.55)</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54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59.0</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58.8</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65.1</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62.1</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62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6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8.7</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62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6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93.9</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-1864995</wp:posOffset>
            </wp:positionV>
            <wp:extent cx="722947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-1522095</wp:posOffset>
            </wp:positionV>
            <wp:extent cx="722947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-1179195</wp:posOffset>
            </wp:positionV>
            <wp:extent cx="722947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-835660</wp:posOffset>
            </wp:positionV>
            <wp:extent cx="722947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-492760</wp:posOffset>
            </wp:positionV>
            <wp:extent cx="722947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-149860</wp:posOffset>
            </wp:positionV>
            <wp:extent cx="722947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880"/>
          </w:cols>
          <w:pgMar w:left="240" w:top="125" w:right="2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220" w:hanging="412"/>
        <w:spacing w:after="0" w:line="249" w:lineRule="auto"/>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Reflects the impact of the adoption of new accounting standards in fiscal year 2019 related to revenue recognition. See Note 1, "Business and Summary of Significant Accounting Policies, Accounting Standards Adopted", of our consolidated financial statements for additional information.</w:t>
      </w:r>
    </w:p>
    <w:p>
      <w:pPr>
        <w:ind w:left="420" w:right="80" w:hanging="412"/>
        <w:spacing w:after="0" w:line="257" w:lineRule="auto"/>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Net (loss) income per share were computed independently for each of the periods presented; therefore the sum of the net (loss) income per share amount for the quarters may not equal the total for the fiscal year.</w:t>
      </w:r>
    </w:p>
    <w:p>
      <w:pPr>
        <w:spacing w:after="0" w:line="151"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February 2019 and March 2019, Autodesk repaid $75.0 million and $50.0 million, respectively for a total payment of $125.0 million on the $500.0 million Term Loan Agreement entered into in December 2018 in connection with the consummation of the PlanGrid acquisition described in Note 6, "Acquisitions." See Note 8,"Borrowing Arrangements" for more details on the Term Loan Agreement. Autodesk did not incur any early termination penalties in connection with such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1003300"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106</w:t>
      </w:r>
    </w:p>
    <w:p>
      <w:pPr>
        <w:sectPr>
          <w:pgSz w:w="11900" w:h="16838" w:orient="portrait"/>
          <w:cols w:equalWidth="0" w:num="1">
            <w:col w:w="11400"/>
          </w:cols>
          <w:pgMar w:left="240" w:top="125" w:right="25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have audited the accompanying consolidated balance sheets of Autodesk, Inc. (the Company) as of January 31, 2019, and 2018, the related consolidated statements of operations, comprehensive loss, stockholders’ (deficit) equity, and cash flows for each of the three years in the period ended January 31, 2019,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January 31, 2019, and 2018, and the results of its operations and its cash flows for each of the three years in the period ended January 31, 2019, in conformity with U.S. generally accepted accounting principles.</w:t>
      </w:r>
    </w:p>
    <w:p>
      <w:pPr>
        <w:spacing w:after="0" w:line="11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31, 2019, based on criteria established in Internal Control-Integrated Framework issued by the Committee of Sponsoring Organizations of the Treadway Commission (2013 framework) and our report dated March 25, 2019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48" w:lineRule="exact"/>
        <w:rPr>
          <w:sz w:val="20"/>
          <w:szCs w:val="20"/>
          <w:color w:val="auto"/>
        </w:rPr>
      </w:pPr>
    </w:p>
    <w:p>
      <w:pPr>
        <w:jc w:val="both"/>
        <w:ind w:firstLine="405"/>
        <w:spacing w:after="0" w:line="221" w:lineRule="exact"/>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recognizing revenue from contracts with customers and recognizing costs related to obtaining a customer contract in the year ended January 31, 2019 due to the adoption of ASU No. 2014</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400050</wp:posOffset>
            </wp:positionV>
            <wp:extent cx="1003300"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audited Autodesk, Inc.’s internal control over financial reporting as of January 31, 2019, based on criteria established in Internal Control-Integrated Framework issued by the Committee of Sponsoring Organizations of the Treadway Commission (2013 framework) (the COSO criteria). In our opinion, Autodesk, Inc. (the Company) maintained, in all material respects, effective internal control over financial reporting as of January 31, 2019, based on the COSO criteria.</w:t>
      </w:r>
    </w:p>
    <w:p>
      <w:pPr>
        <w:spacing w:after="0" w:line="1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accompanying consolidated balance sheets of the Company as of January 31, 2019, and 2018, the related consolidated statements of operations, comprehensive loss, stockholders’ (deficit) equity, and cash flows for each of the three years in the period ended January 31, 2019, and the related notes and the financial statement schedule listed in the Index at Item 15(a)(2) and our report dated March 25, 2019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03300"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w:t>
      </w:r>
      <w:r>
        <w:rPr>
          <w:sz w:val="20"/>
          <w:szCs w:val="20"/>
          <w:color w:val="auto"/>
        </w:rPr>
        <w:tab/>
      </w:r>
      <w:r>
        <w:rPr>
          <w:rFonts w:ascii="Arial" w:cs="Arial" w:eastAsia="Arial" w:hAnsi="Arial"/>
          <w:sz w:val="18"/>
          <w:szCs w:val="18"/>
          <w:b w:val="1"/>
          <w:bCs w:val="1"/>
          <w:color w:val="0696D7"/>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9A.</w:t>
      </w:r>
      <w:r>
        <w:rPr>
          <w:sz w:val="20"/>
          <w:szCs w:val="20"/>
          <w:color w:val="auto"/>
        </w:rPr>
        <w:tab/>
      </w:r>
      <w:r>
        <w:rPr>
          <w:rFonts w:ascii="Arial" w:cs="Arial" w:eastAsia="Arial" w:hAnsi="Arial"/>
          <w:sz w:val="17"/>
          <w:szCs w:val="17"/>
          <w:b w:val="1"/>
          <w:bCs w:val="1"/>
          <w:color w:val="0696D7"/>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right="40" w:firstLine="8"/>
        <w:spacing w:after="0" w:line="252"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("SEC"),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Annual Report on Form 10-K. Based upon this evaluation, our Chief Executive Officer and Chief Financial Officer have concluded that our disclosure controls and procedures are effective as of January 31,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2019. In making this assessment, our management used the criteria set forth by the Committee of Sponsoring Organizations of the Treadway Commission (“COSO”) in the 2013 Internal Control—Integrated Framework.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8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management has concluded that, as of January 31, 2019, our internal control over financial reporting was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during the three months ended January 31, 2019,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9B.</w:t>
      </w:r>
      <w:r>
        <w:rPr>
          <w:sz w:val="20"/>
          <w:szCs w:val="20"/>
          <w:color w:val="auto"/>
        </w:rPr>
        <w:tab/>
      </w:r>
      <w:r>
        <w:rPr>
          <w:rFonts w:ascii="Arial" w:cs="Arial" w:eastAsia="Arial" w:hAnsi="Arial"/>
          <w:sz w:val="18"/>
          <w:szCs w:val="18"/>
          <w:b w:val="1"/>
          <w:bCs w:val="1"/>
          <w:color w:val="0696D7"/>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306705</wp:posOffset>
            </wp:positionV>
            <wp:extent cx="100330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10.</w:t>
      </w:r>
      <w:r>
        <w:rPr>
          <w:sz w:val="20"/>
          <w:szCs w:val="20"/>
          <w:color w:val="auto"/>
        </w:rPr>
        <w:tab/>
      </w:r>
      <w:r>
        <w:rPr>
          <w:rFonts w:ascii="Arial" w:cs="Arial" w:eastAsia="Arial" w:hAnsi="Arial"/>
          <w:sz w:val="18"/>
          <w:szCs w:val="18"/>
          <w:b w:val="1"/>
          <w:bCs w:val="1"/>
          <w:color w:val="0696D7"/>
        </w:rPr>
        <w:t>DIRECTORS, EXECUTIVE OFFICERS AND CORPORATE GOVERNANCE</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sets forth certain information as of March 25, 2019, regarding our executive officers.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w w:val="90"/>
              </w:rPr>
              <w:t>Age</w:t>
            </w:r>
          </w:p>
        </w:tc>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58"/>
        </w:trPr>
        <w:tc>
          <w:tcPr>
            <w:tcW w:w="2520" w:type="dxa"/>
            <w:vAlign w:val="bottom"/>
            <w:gridSpan w:val="2"/>
          </w:tcPr>
          <w:p>
            <w:pPr>
              <w:spacing w:after="0"/>
              <w:rPr>
                <w:sz w:val="20"/>
                <w:szCs w:val="20"/>
                <w:color w:val="auto"/>
              </w:rPr>
            </w:pPr>
            <w:r>
              <w:rPr>
                <w:rFonts w:ascii="Arial" w:cs="Arial" w:eastAsia="Arial" w:hAnsi="Arial"/>
                <w:sz w:val="16"/>
                <w:szCs w:val="16"/>
                <w:color w:val="auto"/>
              </w:rPr>
              <w:t>Andrew Anagnost</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54</w:t>
            </w:r>
          </w:p>
        </w:tc>
        <w:tc>
          <w:tcPr>
            <w:tcW w:w="760" w:type="dxa"/>
            <w:vAlign w:val="bottom"/>
          </w:tcPr>
          <w:p>
            <w:pPr>
              <w:spacing w:after="0"/>
              <w:rPr>
                <w:sz w:val="22"/>
                <w:szCs w:val="22"/>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R. Scott Herren</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57</w:t>
            </w:r>
          </w:p>
        </w:tc>
        <w:tc>
          <w:tcPr>
            <w:tcW w:w="76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SVP and Chief Financial Officer</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54</w:t>
            </w:r>
          </w:p>
        </w:tc>
        <w:tc>
          <w:tcPr>
            <w:tcW w:w="76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SVP, Worldwide Field Operations</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Pascal W. Di Fronzo</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54</w:t>
            </w:r>
          </w:p>
        </w:tc>
        <w:tc>
          <w:tcPr>
            <w:tcW w:w="76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SVP, Corporate Affairs, Chief Legal Officer &amp; Secretary</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Carmel Galvin</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50</w:t>
            </w:r>
          </w:p>
        </w:tc>
        <w:tc>
          <w:tcPr>
            <w:tcW w:w="76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w w:val="89"/>
              </w:rPr>
              <w:t>SVP, People and Places and Chief Human Resources Officer</w:t>
            </w:r>
          </w:p>
        </w:tc>
      </w:tr>
    </w:tbl>
    <w:p>
      <w:pPr>
        <w:spacing w:after="0" w:line="23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b w:val="1"/>
          <w:bCs w:val="1"/>
          <w:color w:val="auto"/>
        </w:rPr>
        <w:t xml:space="preserve">Andrew Anagnost </w:t>
      </w:r>
      <w:r>
        <w:rPr>
          <w:rFonts w:ascii="Arial" w:cs="Arial" w:eastAsia="Arial" w:hAnsi="Arial"/>
          <w:sz w:val="17"/>
          <w:szCs w:val="17"/>
          <w:color w:val="auto"/>
        </w:rPr>
        <w:t>joined Autodesk in September 1997 and has served as President and Chief Executive Officer since June 2017. Dr. Anagnost served</w:t>
      </w:r>
      <w:r>
        <w:rPr>
          <w:rFonts w:ascii="Arial" w:cs="Arial" w:eastAsia="Arial" w:hAnsi="Arial"/>
          <w:sz w:val="17"/>
          <w:szCs w:val="17"/>
          <w:b w:val="1"/>
          <w:bCs w:val="1"/>
          <w:color w:val="auto"/>
        </w:rPr>
        <w:t xml:space="preserve"> </w:t>
      </w:r>
      <w:r>
        <w:rPr>
          <w:rFonts w:ascii="Arial" w:cs="Arial" w:eastAsia="Arial" w:hAnsi="Arial"/>
          <w:sz w:val="17"/>
          <w:szCs w:val="17"/>
          <w:color w:val="auto"/>
        </w:rPr>
        <w:t>as Co-CEO from February 2017 to June 2017, Chief Marketing Officer from December 2016 to June 2017 and as the Company’s Senior Vice President, Business Strategy &amp; Marketing, from March 2012 to June 2017. From December 2009 to March 2012, Dr. Anagnost was Vice President, Product Suites and Web Services of the Company. Prior to this position, Dr. Anagnost served as Vice President of CAD/CAE products for the manufacturing division of the Company from March 2007 to December 2009. Previously, Dr. Anagnost held other senior management positions at the Company. Prior to joining the Company, Dr. Anagnost held various engineering, sales, marketing and product management positions at Lockheed Aeronautical Systems Company and EXA Corporation. He also served as an NRC post-doctoral fellow at NASA Ames Research Center.</w:t>
      </w:r>
    </w:p>
    <w:p>
      <w:pPr>
        <w:spacing w:after="0" w:line="172"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b w:val="1"/>
          <w:bCs w:val="1"/>
          <w:color w:val="auto"/>
        </w:rPr>
        <w:t xml:space="preserve">R. Scott Herren </w:t>
      </w:r>
      <w:r>
        <w:rPr>
          <w:rFonts w:ascii="Arial" w:cs="Arial" w:eastAsia="Arial" w:hAnsi="Arial"/>
          <w:sz w:val="18"/>
          <w:szCs w:val="18"/>
          <w:color w:val="auto"/>
        </w:rPr>
        <w:t>joined Autodesk in November 2014 and serves as Senior Vice President and Chief Financial Officer. Prior to joining Autodesk, Mr.</w:t>
      </w:r>
      <w:r>
        <w:rPr>
          <w:rFonts w:ascii="Arial" w:cs="Arial" w:eastAsia="Arial" w:hAnsi="Arial"/>
          <w:sz w:val="18"/>
          <w:szCs w:val="18"/>
          <w:b w:val="1"/>
          <w:bCs w:val="1"/>
          <w:color w:val="auto"/>
        </w:rPr>
        <w:t xml:space="preserve"> </w:t>
      </w:r>
      <w:r>
        <w:rPr>
          <w:rFonts w:ascii="Arial" w:cs="Arial" w:eastAsia="Arial" w:hAnsi="Arial"/>
          <w:sz w:val="18"/>
          <w:szCs w:val="18"/>
          <w:color w:val="auto"/>
        </w:rPr>
        <w:t>Herren was the Senior Vice President of Finance for Citrix Systems, Inc. from September 2011 to October 2014 where he led the company’s finance, accounting, tax, treasury, investor relations, real estate, and facilities teams. From March 2000 to September 2011, Mr. Herren held a variety of leadership positions at Citrix including Vice President and Managing Director for EMEA and Vice President and General Manager of the Virtualization Systems Group. Prior to Citrix, Mr. Herren served at FedEx Corporation as Vice President, Financial Planning. Prior to FedEx, he spent 13 years at International Business Machines Corporation in senior financial positions.</w:t>
      </w:r>
    </w:p>
    <w:p>
      <w:pPr>
        <w:spacing w:after="0" w:line="18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7"/>
          <w:szCs w:val="17"/>
          <w:b w:val="1"/>
          <w:bCs w:val="1"/>
          <w:color w:val="auto"/>
        </w:rPr>
        <w:t xml:space="preserve">Steven M. Blum </w:t>
      </w:r>
      <w:r>
        <w:rPr>
          <w:rFonts w:ascii="Arial" w:cs="Arial" w:eastAsia="Arial" w:hAnsi="Arial"/>
          <w:sz w:val="17"/>
          <w:szCs w:val="17"/>
          <w:color w:val="auto"/>
        </w:rPr>
        <w:t>joined Autodesk in January 2003 and has served as Senior Vice President, Worldwide Field Operations since September 2017. Mr.</w:t>
      </w:r>
      <w:r>
        <w:rPr>
          <w:rFonts w:ascii="Arial" w:cs="Arial" w:eastAsia="Arial" w:hAnsi="Arial"/>
          <w:sz w:val="17"/>
          <w:szCs w:val="17"/>
          <w:b w:val="1"/>
          <w:bCs w:val="1"/>
          <w:color w:val="auto"/>
        </w:rPr>
        <w:t xml:space="preserve"> </w:t>
      </w:r>
      <w:r>
        <w:rPr>
          <w:rFonts w:ascii="Arial" w:cs="Arial" w:eastAsia="Arial" w:hAnsi="Arial"/>
          <w:sz w:val="17"/>
          <w:szCs w:val="17"/>
          <w:color w:val="auto"/>
        </w:rPr>
        <w:t>Blum served as Senior Vice President, Worldwide Sales and Services from February 2011 to September 2017. From 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68" w:lineRule="exact"/>
        <w:rPr>
          <w:sz w:val="20"/>
          <w:szCs w:val="20"/>
          <w:color w:val="auto"/>
        </w:rPr>
      </w:pPr>
    </w:p>
    <w:p>
      <w:pPr>
        <w:jc w:val="both"/>
        <w:ind w:right="120" w:firstLine="405"/>
        <w:spacing w:after="0" w:line="303" w:lineRule="auto"/>
        <w:rPr>
          <w:sz w:val="20"/>
          <w:szCs w:val="20"/>
          <w:color w:val="auto"/>
        </w:rPr>
      </w:pPr>
      <w:r>
        <w:rPr>
          <w:rFonts w:ascii="Arial" w:cs="Arial" w:eastAsia="Arial" w:hAnsi="Arial"/>
          <w:sz w:val="16"/>
          <w:szCs w:val="16"/>
          <w:b w:val="1"/>
          <w:bCs w:val="1"/>
          <w:color w:val="auto"/>
        </w:rPr>
        <w:t xml:space="preserve">Pascal W. Di Fronzo </w:t>
      </w:r>
      <w:r>
        <w:rPr>
          <w:rFonts w:ascii="Arial" w:cs="Arial" w:eastAsia="Arial" w:hAnsi="Arial"/>
          <w:sz w:val="16"/>
          <w:szCs w:val="16"/>
          <w:color w:val="auto"/>
        </w:rPr>
        <w:t>joined Autodesk in June 1998 and has served as Senior Vice President, Corporate Affairs, Chief Legal Officer &amp;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2016. Mr. Di Fronzo served as Senior Vice President, General Counsel and Secretary from March 2007 to December 2016. From March 2006 to March 2007, Mr. Di Fronzo served as Vice President, General Counsel and Secretary, and served as Vice President, Assistant General Counsel and Assistant Secretary from March 2005 through March 2006. Previously, Mr. Di Fronzo served in other business and legal capacities in our Legal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003300"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110</w:t>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Prior to joining Autodesk, he advised high technology and emerging growth companies on business and intellectual property transactions and litigation while in private practice.</w:t>
      </w:r>
    </w:p>
    <w:p>
      <w:pPr>
        <w:spacing w:after="0" w:line="166" w:lineRule="exact"/>
        <w:rPr>
          <w:sz w:val="20"/>
          <w:szCs w:val="20"/>
          <w:color w:val="auto"/>
        </w:rPr>
      </w:pPr>
    </w:p>
    <w:p>
      <w:pPr>
        <w:ind w:right="40" w:firstLine="405"/>
        <w:spacing w:after="0" w:line="292" w:lineRule="auto"/>
        <w:rPr>
          <w:sz w:val="20"/>
          <w:szCs w:val="20"/>
          <w:color w:val="auto"/>
        </w:rPr>
      </w:pPr>
      <w:r>
        <w:rPr>
          <w:rFonts w:ascii="Arial" w:cs="Arial" w:eastAsia="Arial" w:hAnsi="Arial"/>
          <w:sz w:val="16"/>
          <w:szCs w:val="16"/>
          <w:b w:val="1"/>
          <w:bCs w:val="1"/>
          <w:color w:val="auto"/>
        </w:rPr>
        <w:t xml:space="preserve">Carmel Galvin </w:t>
      </w:r>
      <w:r>
        <w:rPr>
          <w:rFonts w:ascii="Arial" w:cs="Arial" w:eastAsia="Arial" w:hAnsi="Arial"/>
          <w:sz w:val="16"/>
          <w:szCs w:val="16"/>
          <w:color w:val="auto"/>
        </w:rPr>
        <w:t>joined Autodesk in March 2018 and serves as Senior Vice President, People and Places and Chief Human Resources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(“CHRO”). Prior to joining Autodesk, from April 2016 to February 2018, Ms. Galvin was the Senior Vice President, CHRO for Glassdoor, Inc. where she led all people functions of the company, including human resources planning, learning and development, talent acquisition, employee relations and engagement. From October 2014 to April 2016, Ms. Galvin served as Senior Vice President and CHRO at Advent Software, Inc., where she oversaw the company’s global people strategies and programs. Prior to Advent, she served as Vice President of Talent &amp; Culture Development for Deloitte’s new-venture accelerator, advising a growing portfolio of innovative companies on how to scale and adjust their culture and talent programs. Prior to Deloitte, Ms. Galvin gained 20 years of human resources experience at global companies including Moody’s KMV, Barra Inc., Visa International and IBM (Ireland) Ltd.</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11.</w:t>
      </w:r>
      <w:r>
        <w:rPr>
          <w:sz w:val="20"/>
          <w:szCs w:val="20"/>
          <w:color w:val="auto"/>
        </w:rPr>
        <w:tab/>
      </w:r>
      <w:r>
        <w:rPr>
          <w:rFonts w:ascii="Arial" w:cs="Arial" w:eastAsia="Arial" w:hAnsi="Arial"/>
          <w:sz w:val="18"/>
          <w:szCs w:val="18"/>
          <w:b w:val="1"/>
          <w:bCs w:val="1"/>
          <w:color w:val="0696D7"/>
        </w:rPr>
        <w:t>EXECUTIVE COMPENSATION</w:t>
      </w:r>
    </w:p>
    <w:p>
      <w:pPr>
        <w:spacing w:after="0" w:line="229" w:lineRule="exact"/>
        <w:rPr>
          <w:sz w:val="20"/>
          <w:szCs w:val="20"/>
          <w:color w:val="auto"/>
        </w:rPr>
      </w:pPr>
    </w:p>
    <w:p>
      <w:pPr>
        <w:ind w:right="10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"Corporate Governance" and “Executive Compensation” in our Proxy Statement.</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12.</w:t>
      </w:r>
      <w:r>
        <w:rPr>
          <w:sz w:val="20"/>
          <w:szCs w:val="20"/>
          <w:color w:val="auto"/>
        </w:rPr>
        <w:tab/>
      </w:r>
      <w:r>
        <w:rPr>
          <w:rFonts w:ascii="Arial" w:cs="Arial" w:eastAsia="Arial" w:hAnsi="Arial"/>
          <w:sz w:val="18"/>
          <w:szCs w:val="18"/>
          <w:b w:val="1"/>
          <w:bCs w:val="1"/>
          <w:color w:val="0696D7"/>
        </w:rPr>
        <w:t>SECURITY OWNERSHIP OF CERTAIN BENEFICIAL OWNERS AND MANAGEMENT AND RELATED STOCKHOLDER MATTERS</w:t>
      </w:r>
    </w:p>
    <w:p>
      <w:pPr>
        <w:spacing w:after="0" w:line="16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“Security Ownership of Certain Beneficial Owners and Management” and “Executive Compensation—Equity Compensation Plan Information”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13.</w:t>
      </w:r>
      <w:r>
        <w:rPr>
          <w:sz w:val="20"/>
          <w:szCs w:val="20"/>
          <w:color w:val="auto"/>
        </w:rPr>
        <w:tab/>
      </w:r>
      <w:r>
        <w:rPr>
          <w:rFonts w:ascii="Arial" w:cs="Arial" w:eastAsia="Arial" w:hAnsi="Arial"/>
          <w:sz w:val="18"/>
          <w:szCs w:val="18"/>
          <w:b w:val="1"/>
          <w:bCs w:val="1"/>
          <w:color w:val="0696D7"/>
        </w:rPr>
        <w:t>CERTAIN RELATIONSHIPS AND RELATED TRANSACTIONS, AND DIRECTOR INDEPENDENCE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“Certain Relationships and Related Party Transactions” and “Corporate Governance—Independence of the Board of Directors”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14.</w:t>
      </w:r>
      <w:r>
        <w:rPr>
          <w:sz w:val="20"/>
          <w:szCs w:val="20"/>
          <w:color w:val="auto"/>
        </w:rPr>
        <w:tab/>
      </w:r>
      <w:r>
        <w:rPr>
          <w:rFonts w:ascii="Arial" w:cs="Arial" w:eastAsia="Arial" w:hAnsi="Arial"/>
          <w:sz w:val="17"/>
          <w:szCs w:val="17"/>
          <w:b w:val="1"/>
          <w:bCs w:val="1"/>
          <w:color w:val="0696D7"/>
        </w:rPr>
        <w:t>PRINCIPAL ACCOUNTING FEES AND SERVICES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271780</wp:posOffset>
            </wp:positionV>
            <wp:extent cx="1003300"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111</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15.</w:t>
      </w:r>
      <w:r>
        <w:rPr>
          <w:sz w:val="20"/>
          <w:szCs w:val="20"/>
          <w:color w:val="auto"/>
        </w:rPr>
        <w:tab/>
      </w:r>
      <w:r>
        <w:rPr>
          <w:rFonts w:ascii="Arial" w:cs="Arial" w:eastAsia="Arial" w:hAnsi="Arial"/>
          <w:sz w:val="18"/>
          <w:szCs w:val="18"/>
          <w:b w:val="1"/>
          <w:bCs w:val="1"/>
          <w:color w:val="0696D7"/>
        </w:rPr>
        <w:t>EXHIBITS AND FINANCIAL STATEMENT SCHEDULES</w:t>
      </w:r>
    </w:p>
    <w:p>
      <w:pPr>
        <w:spacing w:after="0" w:line="229" w:lineRule="exact"/>
        <w:rPr>
          <w:sz w:val="20"/>
          <w:szCs w:val="20"/>
          <w:color w:val="auto"/>
        </w:rPr>
      </w:pPr>
    </w:p>
    <w:p>
      <w:pPr>
        <w:ind w:left="840" w:hanging="427"/>
        <w:spacing w:after="0"/>
        <w:tabs>
          <w:tab w:leader="none" w:pos="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00" w:right="480" w:hanging="325"/>
        <w:spacing w:after="0" w:line="264" w:lineRule="auto"/>
        <w:tabs>
          <w:tab w:leader="none" w:pos="900" w:val="left"/>
        </w:tabs>
        <w:numPr>
          <w:ilvl w:val="1"/>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the Report of Ernst &amp; Young LLP,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required by this Item is incorporated by reference herein to the section of this Report in Item 8, entitled “Financial Statements and Supplementary Data.”</w:t>
      </w:r>
    </w:p>
    <w:p>
      <w:pPr>
        <w:spacing w:after="0" w:line="181" w:lineRule="exact"/>
        <w:rPr>
          <w:rFonts w:ascii="Arial" w:cs="Arial" w:eastAsia="Arial" w:hAnsi="Arial"/>
          <w:sz w:val="18"/>
          <w:szCs w:val="18"/>
          <w:i w:val="1"/>
          <w:iCs w:val="1"/>
          <w:color w:val="auto"/>
        </w:rPr>
      </w:pPr>
    </w:p>
    <w:p>
      <w:pPr>
        <w:ind w:left="900" w:right="40" w:hanging="325"/>
        <w:spacing w:after="0" w:line="342" w:lineRule="auto"/>
        <w:tabs>
          <w:tab w:leader="none" w:pos="900" w:val="left"/>
        </w:tabs>
        <w:numPr>
          <w:ilvl w:val="1"/>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2019, 2018,</w:t>
      </w:r>
      <w:r>
        <w:rPr>
          <w:rFonts w:ascii="Arial" w:cs="Arial" w:eastAsia="Arial" w:hAnsi="Arial"/>
          <w:sz w:val="16"/>
          <w:szCs w:val="16"/>
          <w:i w:val="1"/>
          <w:iCs w:val="1"/>
          <w:color w:val="auto"/>
        </w:rPr>
        <w:t xml:space="preserve"> </w:t>
      </w:r>
      <w:r>
        <w:rPr>
          <w:rFonts w:ascii="Arial" w:cs="Arial" w:eastAsia="Arial" w:hAnsi="Arial"/>
          <w:sz w:val="16"/>
          <w:szCs w:val="16"/>
          <w:color w:val="auto"/>
        </w:rPr>
        <w:t>and 2017, is filed as part of this Report and should be read in conjunction with the Consolidated Financial Statements of Autodesk, Inc.:</w:t>
      </w:r>
    </w:p>
    <w:p>
      <w:pPr>
        <w:spacing w:after="0" w:line="124" w:lineRule="exact"/>
        <w:rPr>
          <w:sz w:val="20"/>
          <w:szCs w:val="20"/>
          <w:color w:val="auto"/>
        </w:rPr>
      </w:pPr>
    </w:p>
    <w:p>
      <w:pPr>
        <w:ind w:left="1140"/>
        <w:spacing w:after="0"/>
        <w:tabs>
          <w:tab w:leader="none" w:pos="212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225" w:lineRule="exact"/>
        <w:rPr>
          <w:sz w:val="20"/>
          <w:szCs w:val="20"/>
          <w:color w:val="auto"/>
        </w:rPr>
      </w:pPr>
    </w:p>
    <w:p>
      <w:pPr>
        <w:ind w:left="900" w:right="500"/>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900" w:right="260" w:hanging="325"/>
        <w:spacing w:after="0" w:line="277" w:lineRule="auto"/>
        <w:tabs>
          <w:tab w:leader="none" w:pos="900" w:val="left"/>
        </w:tabs>
        <w:numPr>
          <w:ilvl w:val="1"/>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following the signature page of this Form 10-K.</w:t>
      </w:r>
    </w:p>
    <w:p>
      <w:pPr>
        <w:spacing w:after="0" w:line="170" w:lineRule="exact"/>
        <w:rPr>
          <w:rFonts w:ascii="Arial" w:cs="Arial" w:eastAsia="Arial" w:hAnsi="Arial"/>
          <w:sz w:val="18"/>
          <w:szCs w:val="18"/>
          <w:i w:val="1"/>
          <w:iCs w:val="1"/>
          <w:color w:val="auto"/>
        </w:rPr>
      </w:pPr>
    </w:p>
    <w:p>
      <w:pPr>
        <w:ind w:left="840" w:hanging="427"/>
        <w:spacing w:after="0"/>
        <w:tabs>
          <w:tab w:leader="none" w:pos="8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00" w:right="20"/>
        <w:spacing w:after="0" w:line="277" w:lineRule="auto"/>
        <w:rPr>
          <w:sz w:val="20"/>
          <w:szCs w:val="20"/>
          <w:color w:val="auto"/>
        </w:rPr>
      </w:pPr>
      <w:r>
        <w:rPr>
          <w:rFonts w:ascii="Arial" w:cs="Arial" w:eastAsia="Arial" w:hAnsi="Arial"/>
          <w:sz w:val="18"/>
          <w:szCs w:val="18"/>
          <w:color w:val="auto"/>
        </w:rPr>
        <w:t>We have filed, or incorporated into this Report by reference, the exhibits listed on the accompanying Index to Exhibits immediately following the signature page of this Form 10-K.</w:t>
      </w:r>
    </w:p>
    <w:p>
      <w:pPr>
        <w:spacing w:after="0" w:line="170" w:lineRule="exact"/>
        <w:rPr>
          <w:sz w:val="20"/>
          <w:szCs w:val="20"/>
          <w:color w:val="auto"/>
        </w:rPr>
      </w:pPr>
    </w:p>
    <w:p>
      <w:pPr>
        <w:ind w:left="840" w:hanging="427"/>
        <w:spacing w:after="0"/>
        <w:tabs>
          <w:tab w:leader="none" w:pos="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696D7"/>
        </w:rPr>
        <w:t>ITEM 15(A)(2)  FINANCIAL STATEMENT SCHEDULE II</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tcPr>
          <w:p>
            <w:pPr>
              <w:jc w:val="center"/>
              <w:ind w:right="503"/>
              <w:spacing w:after="0"/>
              <w:rPr>
                <w:sz w:val="20"/>
                <w:szCs w:val="20"/>
                <w:color w:val="auto"/>
              </w:rPr>
            </w:pPr>
            <w:r>
              <w:rPr>
                <w:rFonts w:ascii="Arial" w:cs="Arial" w:eastAsia="Arial" w:hAnsi="Arial"/>
                <w:sz w:val="14"/>
                <w:szCs w:val="14"/>
                <w:b w:val="1"/>
                <w:bCs w:val="1"/>
                <w:color w:val="auto"/>
                <w:w w:val="92"/>
              </w:rPr>
              <w:t>Additions</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2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1"/>
              </w:rPr>
              <w:t>Balance at</w:t>
            </w:r>
          </w:p>
        </w:tc>
        <w:tc>
          <w:tcPr>
            <w:tcW w:w="1980" w:type="dxa"/>
            <w:vAlign w:val="bottom"/>
          </w:tcPr>
          <w:p>
            <w:pPr>
              <w:jc w:val="center"/>
              <w:ind w:right="483"/>
              <w:spacing w:after="0" w:line="149" w:lineRule="exact"/>
              <w:rPr>
                <w:sz w:val="20"/>
                <w:szCs w:val="20"/>
                <w:color w:val="auto"/>
              </w:rPr>
            </w:pPr>
            <w:r>
              <w:rPr>
                <w:rFonts w:ascii="Arial" w:cs="Arial" w:eastAsia="Arial" w:hAnsi="Arial"/>
                <w:sz w:val="14"/>
                <w:szCs w:val="14"/>
                <w:b w:val="1"/>
                <w:bCs w:val="1"/>
                <w:color w:val="auto"/>
                <w:w w:val="94"/>
              </w:rPr>
              <w:t>Charged to</w:t>
            </w:r>
          </w:p>
        </w:tc>
        <w:tc>
          <w:tcPr>
            <w:tcW w:w="1340" w:type="dxa"/>
            <w:vAlign w:val="bottom"/>
            <w:vMerge w:val="restart"/>
          </w:tcPr>
          <w:p>
            <w:pPr>
              <w:jc w:val="center"/>
              <w:ind w:right="402"/>
              <w:spacing w:after="0"/>
              <w:rPr>
                <w:sz w:val="20"/>
                <w:szCs w:val="20"/>
                <w:color w:val="auto"/>
              </w:rPr>
            </w:pPr>
            <w:r>
              <w:rPr>
                <w:rFonts w:ascii="Arial" w:cs="Arial" w:eastAsia="Arial" w:hAnsi="Arial"/>
                <w:sz w:val="14"/>
                <w:szCs w:val="14"/>
                <w:b w:val="1"/>
                <w:bCs w:val="1"/>
                <w:color w:val="auto"/>
                <w:w w:val="91"/>
              </w:rPr>
              <w:t>Deductions</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980" w:type="dxa"/>
            <w:vAlign w:val="bottom"/>
          </w:tcPr>
          <w:p>
            <w:pPr>
              <w:jc w:val="center"/>
              <w:ind w:right="503"/>
              <w:spacing w:after="0" w:line="149" w:lineRule="exact"/>
              <w:rPr>
                <w:sz w:val="20"/>
                <w:szCs w:val="20"/>
                <w:color w:val="auto"/>
              </w:rPr>
            </w:pPr>
            <w:r>
              <w:rPr>
                <w:rFonts w:ascii="Arial" w:cs="Arial" w:eastAsia="Arial" w:hAnsi="Arial"/>
                <w:sz w:val="14"/>
                <w:szCs w:val="14"/>
                <w:b w:val="1"/>
                <w:bCs w:val="1"/>
                <w:color w:val="auto"/>
                <w:w w:val="88"/>
              </w:rPr>
              <w:t>Costs and</w:t>
            </w:r>
          </w:p>
        </w:tc>
        <w:tc>
          <w:tcPr>
            <w:tcW w:w="1340" w:type="dxa"/>
            <w:vAlign w:val="bottom"/>
            <w:vMerge w:val="continue"/>
          </w:tcPr>
          <w:p>
            <w:pPr>
              <w:spacing w:after="0"/>
              <w:rPr>
                <w:sz w:val="12"/>
                <w:szCs w:val="12"/>
                <w:color w:val="auto"/>
              </w:rPr>
            </w:pPr>
          </w:p>
        </w:tc>
        <w:tc>
          <w:tcPr>
            <w:tcW w:w="15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Beginning</w:t>
            </w:r>
          </w:p>
        </w:tc>
        <w:tc>
          <w:tcPr>
            <w:tcW w:w="1980" w:type="dxa"/>
            <w:vAlign w:val="bottom"/>
          </w:tcPr>
          <w:p>
            <w:pPr>
              <w:jc w:val="center"/>
              <w:ind w:right="483"/>
              <w:spacing w:after="0" w:line="149" w:lineRule="exact"/>
              <w:rPr>
                <w:sz w:val="20"/>
                <w:szCs w:val="20"/>
                <w:color w:val="auto"/>
              </w:rPr>
            </w:pPr>
            <w:r>
              <w:rPr>
                <w:rFonts w:ascii="Arial" w:cs="Arial" w:eastAsia="Arial" w:hAnsi="Arial"/>
                <w:sz w:val="14"/>
                <w:szCs w:val="14"/>
                <w:b w:val="1"/>
                <w:bCs w:val="1"/>
                <w:color w:val="auto"/>
                <w:w w:val="88"/>
              </w:rPr>
              <w:t>Expenses or</w:t>
            </w:r>
          </w:p>
        </w:tc>
        <w:tc>
          <w:tcPr>
            <w:tcW w:w="134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88"/>
              </w:rPr>
              <w:t>and</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1820" w:type="dxa"/>
            <w:vAlign w:val="bottom"/>
          </w:tcPr>
          <w:p>
            <w:pPr>
              <w:jc w:val="center"/>
              <w:ind w:right="142"/>
              <w:spacing w:after="0" w:line="158" w:lineRule="exact"/>
              <w:rPr>
                <w:sz w:val="20"/>
                <w:szCs w:val="20"/>
                <w:color w:val="auto"/>
              </w:rPr>
            </w:pPr>
            <w:r>
              <w:rPr>
                <w:rFonts w:ascii="Arial" w:cs="Arial" w:eastAsia="Arial" w:hAnsi="Arial"/>
                <w:sz w:val="14"/>
                <w:szCs w:val="14"/>
                <w:b w:val="1"/>
                <w:bCs w:val="1"/>
                <w:color w:val="auto"/>
                <w:w w:val="92"/>
              </w:rPr>
              <w:t>of Fiscal Year</w:t>
            </w:r>
          </w:p>
        </w:tc>
        <w:tc>
          <w:tcPr>
            <w:tcW w:w="1980" w:type="dxa"/>
            <w:vAlign w:val="bottom"/>
          </w:tcPr>
          <w:p>
            <w:pPr>
              <w:jc w:val="center"/>
              <w:ind w:right="483"/>
              <w:spacing w:after="0" w:line="158" w:lineRule="exact"/>
              <w:rPr>
                <w:sz w:val="20"/>
                <w:szCs w:val="20"/>
                <w:color w:val="auto"/>
              </w:rPr>
            </w:pPr>
            <w:r>
              <w:rPr>
                <w:rFonts w:ascii="Arial" w:cs="Arial" w:eastAsia="Arial" w:hAnsi="Arial"/>
                <w:sz w:val="14"/>
                <w:szCs w:val="14"/>
                <w:b w:val="1"/>
                <w:bCs w:val="1"/>
                <w:color w:val="auto"/>
                <w:w w:val="87"/>
              </w:rPr>
              <w:t>Revenues</w:t>
            </w:r>
          </w:p>
        </w:tc>
        <w:tc>
          <w:tcPr>
            <w:tcW w:w="1340" w:type="dxa"/>
            <w:vAlign w:val="bottom"/>
          </w:tcPr>
          <w:p>
            <w:pPr>
              <w:jc w:val="center"/>
              <w:ind w:right="402"/>
              <w:spacing w:after="0" w:line="158" w:lineRule="exact"/>
              <w:rPr>
                <w:sz w:val="20"/>
                <w:szCs w:val="20"/>
                <w:color w:val="auto"/>
              </w:rPr>
            </w:pPr>
            <w:r>
              <w:rPr>
                <w:rFonts w:ascii="Arial" w:cs="Arial" w:eastAsia="Arial" w:hAnsi="Arial"/>
                <w:sz w:val="14"/>
                <w:szCs w:val="14"/>
                <w:b w:val="1"/>
                <w:bCs w:val="1"/>
                <w:color w:val="auto"/>
                <w:w w:val="97"/>
              </w:rPr>
              <w:t>Write-Offs</w:t>
            </w:r>
          </w:p>
        </w:tc>
        <w:tc>
          <w:tcPr>
            <w:tcW w:w="1560" w:type="dxa"/>
            <w:vAlign w:val="bottom"/>
          </w:tcPr>
          <w:p>
            <w:pPr>
              <w:jc w:val="right"/>
              <w:ind w:right="141"/>
              <w:spacing w:after="0" w:line="158" w:lineRule="exact"/>
              <w:rPr>
                <w:sz w:val="20"/>
                <w:szCs w:val="20"/>
                <w:color w:val="auto"/>
              </w:rPr>
            </w:pPr>
            <w:r>
              <w:rPr>
                <w:rFonts w:ascii="Arial" w:cs="Arial" w:eastAsia="Arial" w:hAnsi="Arial"/>
                <w:sz w:val="14"/>
                <w:szCs w:val="14"/>
                <w:b w:val="1"/>
                <w:bCs w:val="1"/>
                <w:color w:val="auto"/>
              </w:rPr>
              <w:t>End of Fiscal Year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2019</w:t>
            </w:r>
          </w:p>
        </w:tc>
        <w:tc>
          <w:tcPr>
            <w:tcW w:w="18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1820" w:type="dxa"/>
            <w:vAlign w:val="bottom"/>
          </w:tcPr>
          <w:p>
            <w:pPr>
              <w:jc w:val="right"/>
              <w:ind w:right="262"/>
              <w:spacing w:after="0"/>
              <w:rPr>
                <w:sz w:val="20"/>
                <w:szCs w:val="20"/>
                <w:color w:val="auto"/>
              </w:rPr>
            </w:pPr>
            <w:r>
              <w:rPr>
                <w:rFonts w:ascii="Arial" w:cs="Arial" w:eastAsia="Arial" w:hAnsi="Arial"/>
                <w:sz w:val="16"/>
                <w:szCs w:val="16"/>
                <w:color w:val="auto"/>
              </w:rPr>
              <w:t>36.5</w:t>
            </w:r>
          </w:p>
        </w:tc>
        <w:tc>
          <w:tcPr>
            <w:tcW w:w="1980" w:type="dxa"/>
            <w:vAlign w:val="bottom"/>
          </w:tcPr>
          <w:p>
            <w:pPr>
              <w:jc w:val="right"/>
              <w:ind w:right="523"/>
              <w:spacing w:after="0"/>
              <w:rPr>
                <w:sz w:val="20"/>
                <w:szCs w:val="20"/>
                <w:color w:val="auto"/>
              </w:rPr>
            </w:pPr>
            <w:r>
              <w:rPr>
                <w:rFonts w:ascii="Arial" w:cs="Arial" w:eastAsia="Arial" w:hAnsi="Arial"/>
                <w:sz w:val="16"/>
                <w:szCs w:val="16"/>
                <w:color w:val="auto"/>
              </w:rPr>
              <w:t>294.7</w:t>
            </w:r>
          </w:p>
        </w:tc>
        <w:tc>
          <w:tcPr>
            <w:tcW w:w="1340" w:type="dxa"/>
            <w:vAlign w:val="bottom"/>
          </w:tcPr>
          <w:p>
            <w:pPr>
              <w:jc w:val="right"/>
              <w:ind w:right="142"/>
              <w:spacing w:after="0"/>
              <w:rPr>
                <w:sz w:val="20"/>
                <w:szCs w:val="20"/>
                <w:color w:val="auto"/>
              </w:rPr>
            </w:pPr>
            <w:r>
              <w:rPr>
                <w:rFonts w:ascii="Arial" w:cs="Arial" w:eastAsia="Arial" w:hAnsi="Arial"/>
                <w:sz w:val="16"/>
                <w:szCs w:val="16"/>
                <w:color w:val="auto"/>
              </w:rPr>
              <w:t>279.5</w:t>
            </w:r>
          </w:p>
        </w:tc>
        <w:tc>
          <w:tcPr>
            <w:tcW w:w="1560" w:type="dxa"/>
            <w:vAlign w:val="bottom"/>
          </w:tcPr>
          <w:p>
            <w:pPr>
              <w:jc w:val="right"/>
              <w:ind w:right="21"/>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 and other facility exit costs</w:t>
            </w:r>
          </w:p>
        </w:tc>
        <w:tc>
          <w:tcPr>
            <w:tcW w:w="182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rPr>
              <w:t>57.2</w:t>
            </w:r>
          </w:p>
        </w:tc>
        <w:tc>
          <w:tcPr>
            <w:tcW w:w="1980" w:type="dxa"/>
            <w:vAlign w:val="bottom"/>
            <w:tcBorders>
              <w:bottom w:val="single" w:sz="8" w:color="CCEEFF"/>
            </w:tcBorders>
            <w:shd w:val="clear" w:color="auto" w:fill="CCEEFF"/>
          </w:tcPr>
          <w:p>
            <w:pPr>
              <w:jc w:val="right"/>
              <w:ind w:right="523"/>
              <w:spacing w:after="0"/>
              <w:rPr>
                <w:sz w:val="20"/>
                <w:szCs w:val="20"/>
                <w:color w:val="auto"/>
              </w:rPr>
            </w:pPr>
            <w:r>
              <w:rPr>
                <w:rFonts w:ascii="Arial" w:cs="Arial" w:eastAsia="Arial" w:hAnsi="Arial"/>
                <w:sz w:val="16"/>
                <w:szCs w:val="16"/>
                <w:color w:val="auto"/>
              </w:rPr>
              <w:t>41.9</w:t>
            </w:r>
          </w:p>
        </w:tc>
        <w:tc>
          <w:tcPr>
            <w:tcW w:w="1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97.0</w:t>
            </w: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January 31, 2018</w:t>
            </w:r>
          </w:p>
        </w:tc>
        <w:tc>
          <w:tcPr>
            <w:tcW w:w="18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Partner Program reserves (1)</w:t>
            </w:r>
          </w:p>
        </w:tc>
        <w:tc>
          <w:tcPr>
            <w:tcW w:w="182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rPr>
              <w:t>28.1</w:t>
            </w:r>
          </w:p>
        </w:tc>
        <w:tc>
          <w:tcPr>
            <w:tcW w:w="1980" w:type="dxa"/>
            <w:vAlign w:val="bottom"/>
            <w:tcBorders>
              <w:bottom w:val="single" w:sz="8" w:color="CCEEFF"/>
            </w:tcBorders>
            <w:shd w:val="clear" w:color="auto" w:fill="CCEEFF"/>
          </w:tcPr>
          <w:p>
            <w:pPr>
              <w:jc w:val="right"/>
              <w:ind w:right="523"/>
              <w:spacing w:after="0"/>
              <w:rPr>
                <w:sz w:val="20"/>
                <w:szCs w:val="20"/>
                <w:color w:val="auto"/>
              </w:rPr>
            </w:pPr>
            <w:r>
              <w:rPr>
                <w:rFonts w:ascii="Arial" w:cs="Arial" w:eastAsia="Arial" w:hAnsi="Arial"/>
                <w:sz w:val="16"/>
                <w:szCs w:val="16"/>
                <w:color w:val="auto"/>
              </w:rPr>
              <w:t>224.3</w:t>
            </w:r>
          </w:p>
        </w:tc>
        <w:tc>
          <w:tcPr>
            <w:tcW w:w="1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215.9</w:t>
            </w: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Restructuring and other facility exit costs</w:t>
            </w:r>
          </w:p>
        </w:tc>
        <w:tc>
          <w:tcPr>
            <w:tcW w:w="1820" w:type="dxa"/>
            <w:vAlign w:val="bottom"/>
          </w:tcPr>
          <w:p>
            <w:pPr>
              <w:jc w:val="right"/>
              <w:ind w:right="262"/>
              <w:spacing w:after="0"/>
              <w:rPr>
                <w:sz w:val="20"/>
                <w:szCs w:val="20"/>
                <w:color w:val="auto"/>
              </w:rPr>
            </w:pPr>
            <w:r>
              <w:rPr>
                <w:rFonts w:ascii="Arial" w:cs="Arial" w:eastAsia="Arial" w:hAnsi="Arial"/>
                <w:sz w:val="16"/>
                <w:szCs w:val="16"/>
                <w:color w:val="auto"/>
              </w:rPr>
              <w:t>8.4</w:t>
            </w:r>
          </w:p>
        </w:tc>
        <w:tc>
          <w:tcPr>
            <w:tcW w:w="1980" w:type="dxa"/>
            <w:vAlign w:val="bottom"/>
          </w:tcPr>
          <w:p>
            <w:pPr>
              <w:jc w:val="right"/>
              <w:ind w:right="523"/>
              <w:spacing w:after="0"/>
              <w:rPr>
                <w:sz w:val="20"/>
                <w:szCs w:val="20"/>
                <w:color w:val="auto"/>
              </w:rPr>
            </w:pPr>
            <w:r>
              <w:rPr>
                <w:rFonts w:ascii="Arial" w:cs="Arial" w:eastAsia="Arial" w:hAnsi="Arial"/>
                <w:sz w:val="16"/>
                <w:szCs w:val="16"/>
                <w:color w:val="auto"/>
              </w:rPr>
              <w:t>94.1</w:t>
            </w:r>
          </w:p>
        </w:tc>
        <w:tc>
          <w:tcPr>
            <w:tcW w:w="1340" w:type="dxa"/>
            <w:vAlign w:val="bottom"/>
          </w:tcPr>
          <w:p>
            <w:pPr>
              <w:jc w:val="right"/>
              <w:ind w:right="142"/>
              <w:spacing w:after="0"/>
              <w:rPr>
                <w:sz w:val="20"/>
                <w:szCs w:val="20"/>
                <w:color w:val="auto"/>
              </w:rPr>
            </w:pPr>
            <w:r>
              <w:rPr>
                <w:rFonts w:ascii="Arial" w:cs="Arial" w:eastAsia="Arial" w:hAnsi="Arial"/>
                <w:sz w:val="16"/>
                <w:szCs w:val="16"/>
                <w:color w:val="auto"/>
              </w:rPr>
              <w:t>45.3</w:t>
            </w:r>
          </w:p>
        </w:tc>
        <w:tc>
          <w:tcPr>
            <w:tcW w:w="1560" w:type="dxa"/>
            <w:vAlign w:val="bottom"/>
          </w:tcPr>
          <w:p>
            <w:pPr>
              <w:jc w:val="right"/>
              <w:ind w:right="21"/>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2017</w:t>
            </w:r>
          </w:p>
        </w:tc>
        <w:tc>
          <w:tcPr>
            <w:tcW w:w="18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1820" w:type="dxa"/>
            <w:vAlign w:val="bottom"/>
          </w:tcPr>
          <w:p>
            <w:pPr>
              <w:jc w:val="right"/>
              <w:ind w:right="262"/>
              <w:spacing w:after="0"/>
              <w:rPr>
                <w:sz w:val="20"/>
                <w:szCs w:val="20"/>
                <w:color w:val="auto"/>
              </w:rPr>
            </w:pPr>
            <w:r>
              <w:rPr>
                <w:rFonts w:ascii="Arial" w:cs="Arial" w:eastAsia="Arial" w:hAnsi="Arial"/>
                <w:sz w:val="16"/>
                <w:szCs w:val="16"/>
                <w:color w:val="auto"/>
              </w:rPr>
              <w:t>45.2</w:t>
            </w:r>
          </w:p>
        </w:tc>
        <w:tc>
          <w:tcPr>
            <w:tcW w:w="1980" w:type="dxa"/>
            <w:vAlign w:val="bottom"/>
          </w:tcPr>
          <w:p>
            <w:pPr>
              <w:jc w:val="right"/>
              <w:ind w:right="523"/>
              <w:spacing w:after="0"/>
              <w:rPr>
                <w:sz w:val="20"/>
                <w:szCs w:val="20"/>
                <w:color w:val="auto"/>
              </w:rPr>
            </w:pPr>
            <w:r>
              <w:rPr>
                <w:rFonts w:ascii="Arial" w:cs="Arial" w:eastAsia="Arial" w:hAnsi="Arial"/>
                <w:sz w:val="16"/>
                <w:szCs w:val="16"/>
                <w:color w:val="auto"/>
              </w:rPr>
              <w:t>240.3</w:t>
            </w:r>
          </w:p>
        </w:tc>
        <w:tc>
          <w:tcPr>
            <w:tcW w:w="1340" w:type="dxa"/>
            <w:vAlign w:val="bottom"/>
          </w:tcPr>
          <w:p>
            <w:pPr>
              <w:jc w:val="right"/>
              <w:ind w:right="142"/>
              <w:spacing w:after="0"/>
              <w:rPr>
                <w:sz w:val="20"/>
                <w:szCs w:val="20"/>
                <w:color w:val="auto"/>
              </w:rPr>
            </w:pPr>
            <w:r>
              <w:rPr>
                <w:rFonts w:ascii="Arial" w:cs="Arial" w:eastAsia="Arial" w:hAnsi="Arial"/>
                <w:sz w:val="16"/>
                <w:szCs w:val="16"/>
                <w:color w:val="auto"/>
              </w:rPr>
              <w:t>257.4</w:t>
            </w:r>
          </w:p>
        </w:tc>
        <w:tc>
          <w:tcPr>
            <w:tcW w:w="1560" w:type="dxa"/>
            <w:vAlign w:val="bottom"/>
          </w:tcPr>
          <w:p>
            <w:pPr>
              <w:jc w:val="right"/>
              <w:ind w:right="21"/>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 and other facility exit costs</w:t>
            </w:r>
          </w:p>
        </w:tc>
        <w:tc>
          <w:tcPr>
            <w:tcW w:w="182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rPr>
              <w:t>1.3</w:t>
            </w:r>
          </w:p>
        </w:tc>
        <w:tc>
          <w:tcPr>
            <w:tcW w:w="1980" w:type="dxa"/>
            <w:vAlign w:val="bottom"/>
            <w:tcBorders>
              <w:bottom w:val="single" w:sz="8" w:color="CCEEFF"/>
            </w:tcBorders>
            <w:shd w:val="clear" w:color="auto" w:fill="CCEEFF"/>
          </w:tcPr>
          <w:p>
            <w:pPr>
              <w:jc w:val="right"/>
              <w:ind w:right="523"/>
              <w:spacing w:after="0"/>
              <w:rPr>
                <w:sz w:val="20"/>
                <w:szCs w:val="20"/>
                <w:color w:val="auto"/>
              </w:rPr>
            </w:pPr>
            <w:r>
              <w:rPr>
                <w:rFonts w:ascii="Arial" w:cs="Arial" w:eastAsia="Arial" w:hAnsi="Arial"/>
                <w:sz w:val="16"/>
                <w:szCs w:val="16"/>
                <w:color w:val="auto"/>
              </w:rPr>
              <w:t>77.8</w:t>
            </w:r>
          </w:p>
        </w:tc>
        <w:tc>
          <w:tcPr>
            <w:tcW w:w="1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70.7</w:t>
            </w: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0"/>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____________________</w:t>
            </w:r>
          </w:p>
        </w:tc>
        <w:tc>
          <w:tcPr>
            <w:tcW w:w="1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partner program reserves balance impacts "Accounts receivable, net" and "Accounts payable" on the accompanying Consolidated Balance Sheets.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16</w:t>
      </w:r>
      <w:r>
        <w:rPr>
          <w:sz w:val="20"/>
          <w:szCs w:val="20"/>
          <w:color w:val="auto"/>
        </w:rPr>
        <w:tab/>
      </w:r>
      <w:r>
        <w:rPr>
          <w:rFonts w:ascii="Arial" w:cs="Arial" w:eastAsia="Arial" w:hAnsi="Arial"/>
          <w:sz w:val="18"/>
          <w:szCs w:val="18"/>
          <w:b w:val="1"/>
          <w:bCs w:val="1"/>
          <w:color w:val="0696D7"/>
        </w:rPr>
        <w:t>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03300" cy="205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112</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80" w:firstLine="432"/>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AUTODESK, INC.</w:t>
      </w:r>
    </w:p>
    <w:p>
      <w:pPr>
        <w:spacing w:after="0" w:line="54" w:lineRule="exact"/>
        <w:rPr>
          <w:sz w:val="20"/>
          <w:szCs w:val="20"/>
          <w:color w:val="auto"/>
        </w:rPr>
      </w:pPr>
    </w:p>
    <w:p>
      <w:pPr>
        <w:ind w:left="5640"/>
        <w:spacing w:after="0"/>
        <w:tabs>
          <w:tab w:leader="none" w:pos="7720" w:val="left"/>
          <w:tab w:leader="none" w:pos="8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43815</wp:posOffset>
            </wp:positionV>
            <wp:extent cx="32588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6"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77"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609600</wp:posOffset>
            </wp:positionV>
            <wp:extent cx="1003300"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Andrew Anagnost and</w:t>
      </w:r>
      <w:r>
        <w:rPr>
          <w:rFonts w:ascii="Arial" w:cs="Arial" w:eastAsia="Arial" w:hAnsi="Arial"/>
          <w:sz w:val="18"/>
          <w:szCs w:val="18"/>
          <w:b w:val="1"/>
          <w:bCs w:val="1"/>
          <w:color w:val="auto"/>
        </w:rPr>
        <w:t xml:space="preserve"> </w:t>
      </w:r>
      <w:r>
        <w:rPr>
          <w:rFonts w:ascii="Arial" w:cs="Arial" w:eastAsia="Arial" w:hAnsi="Arial"/>
          <w:sz w:val="18"/>
          <w:szCs w:val="18"/>
          <w:color w:val="auto"/>
        </w:rPr>
        <w:t>R. Scott Herren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0" w:lineRule="exact"/>
        <w:rPr>
          <w:sz w:val="20"/>
          <w:szCs w:val="20"/>
          <w:color w:val="auto"/>
        </w:rPr>
      </w:pPr>
    </w:p>
    <w:p>
      <w:pPr>
        <w:ind w:right="160" w:firstLine="432"/>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25, 2019.</w:t>
      </w:r>
    </w:p>
    <w:p>
      <w:pPr>
        <w:spacing w:after="0" w:line="2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2"/>
              </w:rPr>
              <w:t>Signature</w:t>
            </w:r>
          </w:p>
        </w:tc>
        <w:tc>
          <w:tcPr>
            <w:tcW w:w="450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00" w:type="dxa"/>
            <w:vAlign w:val="bottom"/>
            <w:gridSpan w:val="3"/>
          </w:tcPr>
          <w:p>
            <w:pPr>
              <w:jc w:val="center"/>
              <w:ind w:left="220"/>
              <w:spacing w:after="0"/>
              <w:rPr>
                <w:sz w:val="20"/>
                <w:szCs w:val="20"/>
                <w:color w:val="auto"/>
              </w:rPr>
            </w:pPr>
            <w:r>
              <w:rPr>
                <w:rFonts w:ascii="Arial" w:cs="Arial" w:eastAsia="Arial" w:hAnsi="Arial"/>
                <w:sz w:val="16"/>
                <w:szCs w:val="16"/>
                <w:color w:val="auto"/>
                <w:w w:val="93"/>
              </w:rPr>
              <w:t>President and Chief Executive Officer, Director</w:t>
            </w:r>
          </w:p>
        </w:tc>
      </w:tr>
      <w:tr>
        <w:trPr>
          <w:trHeight w:val="230"/>
        </w:trPr>
        <w:tc>
          <w:tcPr>
            <w:tcW w:w="116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/s/</w:t>
            </w:r>
          </w:p>
        </w:tc>
        <w:tc>
          <w:tcPr>
            <w:tcW w:w="3120" w:type="dxa"/>
            <w:vAlign w:val="bottom"/>
            <w:gridSpan w:val="3"/>
          </w:tcPr>
          <w:p>
            <w:pPr>
              <w:jc w:val="right"/>
              <w:ind w:right="1420"/>
              <w:spacing w:after="0"/>
              <w:rPr>
                <w:sz w:val="20"/>
                <w:szCs w:val="20"/>
                <w:color w:val="auto"/>
              </w:rPr>
            </w:pPr>
            <w:r>
              <w:rPr>
                <w:rFonts w:ascii="Arial" w:cs="Arial" w:eastAsia="Arial" w:hAnsi="Arial"/>
                <w:sz w:val="16"/>
                <w:szCs w:val="16"/>
                <w:color w:val="auto"/>
              </w:rPr>
              <w:t>ANDREW ANAGNOST</w:t>
            </w:r>
          </w:p>
        </w:tc>
        <w:tc>
          <w:tcPr>
            <w:tcW w:w="4500" w:type="dxa"/>
            <w:vAlign w:val="bottom"/>
            <w:gridSpan w:val="3"/>
          </w:tcPr>
          <w:p>
            <w:pPr>
              <w:jc w:val="center"/>
              <w:ind w:left="220"/>
              <w:spacing w:after="0"/>
              <w:rPr>
                <w:sz w:val="20"/>
                <w:szCs w:val="20"/>
                <w:color w:val="auto"/>
              </w:rPr>
            </w:pPr>
            <w:r>
              <w:rPr>
                <w:rFonts w:ascii="Arial" w:cs="Arial" w:eastAsia="Arial" w:hAnsi="Arial"/>
                <w:sz w:val="16"/>
                <w:szCs w:val="16"/>
                <w:color w:val="auto"/>
                <w:w w:val="95"/>
              </w:rPr>
              <w:t>(Principal Executive Officer)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60"/>
              <w:spacing w:after="0"/>
              <w:rPr>
                <w:sz w:val="20"/>
                <w:szCs w:val="20"/>
                <w:color w:val="auto"/>
              </w:rPr>
            </w:pPr>
            <w:r>
              <w:rPr>
                <w:rFonts w:ascii="Arial" w:cs="Arial" w:eastAsia="Arial" w:hAnsi="Arial"/>
                <w:sz w:val="16"/>
                <w:szCs w:val="16"/>
                <w:color w:val="auto"/>
                <w:w w:val="93"/>
              </w:rPr>
              <w:t>Andrew Anagnost</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2"/>
              </w:rPr>
              <w:t>Senior Vice President and Chief Financial Officer</w:t>
            </w:r>
          </w:p>
        </w:tc>
      </w:tr>
      <w:tr>
        <w:trPr>
          <w:trHeight w:val="206"/>
        </w:trPr>
        <w:tc>
          <w:tcPr>
            <w:tcW w:w="1160" w:type="dxa"/>
            <w:vAlign w:val="bottom"/>
          </w:tcPr>
          <w:p>
            <w:pPr>
              <w:spacing w:after="0"/>
              <w:rPr>
                <w:sz w:val="17"/>
                <w:szCs w:val="17"/>
                <w:color w:val="auto"/>
              </w:rPr>
            </w:pPr>
          </w:p>
        </w:tc>
        <w:tc>
          <w:tcPr>
            <w:tcW w:w="280" w:type="dxa"/>
            <w:vAlign w:val="bottom"/>
          </w:tcPr>
          <w:p>
            <w:pPr>
              <w:ind w:left="100"/>
              <w:spacing w:after="0"/>
              <w:rPr>
                <w:sz w:val="20"/>
                <w:szCs w:val="20"/>
                <w:color w:val="auto"/>
              </w:rPr>
            </w:pPr>
            <w:r>
              <w:rPr>
                <w:rFonts w:ascii="Arial" w:cs="Arial" w:eastAsia="Arial" w:hAnsi="Arial"/>
                <w:sz w:val="16"/>
                <w:szCs w:val="16"/>
                <w:color w:val="auto"/>
                <w:w w:val="94"/>
              </w:rPr>
              <w:t>/s/</w:t>
            </w:r>
          </w:p>
        </w:tc>
        <w:tc>
          <w:tcPr>
            <w:tcW w:w="3120" w:type="dxa"/>
            <w:vAlign w:val="bottom"/>
            <w:gridSpan w:val="3"/>
          </w:tcPr>
          <w:p>
            <w:pPr>
              <w:jc w:val="center"/>
              <w:ind w:right="1460"/>
              <w:spacing w:after="0"/>
              <w:rPr>
                <w:sz w:val="20"/>
                <w:szCs w:val="20"/>
                <w:color w:val="auto"/>
              </w:rPr>
            </w:pPr>
            <w:r>
              <w:rPr>
                <w:rFonts w:ascii="Arial" w:cs="Arial" w:eastAsia="Arial" w:hAnsi="Arial"/>
                <w:sz w:val="16"/>
                <w:szCs w:val="16"/>
                <w:color w:val="auto"/>
                <w:w w:val="94"/>
              </w:rPr>
              <w:t>R. SCOTT HERREN</w:t>
            </w:r>
          </w:p>
        </w:tc>
        <w:tc>
          <w:tcPr>
            <w:tcW w:w="4500" w:type="dxa"/>
            <w:vAlign w:val="bottom"/>
            <w:gridSpan w:val="3"/>
          </w:tcPr>
          <w:p>
            <w:pPr>
              <w:ind w:left="460"/>
              <w:spacing w:after="0"/>
              <w:rPr>
                <w:sz w:val="20"/>
                <w:szCs w:val="20"/>
                <w:color w:val="auto"/>
              </w:rPr>
            </w:pPr>
            <w:r>
              <w:rPr>
                <w:rFonts w:ascii="Arial" w:cs="Arial" w:eastAsia="Arial" w:hAnsi="Arial"/>
                <w:sz w:val="16"/>
                <w:szCs w:val="16"/>
                <w:color w:val="auto"/>
                <w:w w:val="94"/>
              </w:rPr>
              <w:t>(Principal Financial Officer and Principal Accounting Officer)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w w:val="90"/>
              </w:rPr>
              <w:t>R. Scott Herren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6"/>
              </w:rPr>
              <w:t>Director</w:t>
            </w:r>
          </w:p>
        </w:tc>
      </w:tr>
      <w:tr>
        <w:trPr>
          <w:trHeight w:val="206"/>
        </w:trPr>
        <w:tc>
          <w:tcPr>
            <w:tcW w:w="1160" w:type="dxa"/>
            <w:vAlign w:val="bottom"/>
          </w:tcPr>
          <w:p>
            <w:pPr>
              <w:spacing w:after="0"/>
              <w:rPr>
                <w:sz w:val="17"/>
                <w:szCs w:val="17"/>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/s/  STACY J. SMITH</w:t>
            </w:r>
          </w:p>
        </w:tc>
        <w:tc>
          <w:tcPr>
            <w:tcW w:w="4500" w:type="dxa"/>
            <w:vAlign w:val="bottom"/>
            <w:gridSpan w:val="3"/>
          </w:tcPr>
          <w:p>
            <w:pPr>
              <w:jc w:val="center"/>
              <w:ind w:left="220"/>
              <w:spacing w:after="0"/>
              <w:rPr>
                <w:sz w:val="20"/>
                <w:szCs w:val="20"/>
                <w:color w:val="auto"/>
              </w:rPr>
            </w:pPr>
            <w:r>
              <w:rPr>
                <w:rFonts w:ascii="Arial" w:cs="Arial" w:eastAsia="Arial" w:hAnsi="Arial"/>
                <w:sz w:val="16"/>
                <w:szCs w:val="16"/>
                <w:color w:val="auto"/>
                <w:w w:val="93"/>
              </w:rPr>
              <w:t>(Non-executive Chairman of the Board)</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w w:val="89"/>
              </w:rPr>
              <w:t>Stacy J. Smith</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92"/>
        </w:trPr>
        <w:tc>
          <w:tcPr>
            <w:tcW w:w="1160" w:type="dxa"/>
            <w:vAlign w:val="bottom"/>
          </w:tcPr>
          <w:p>
            <w:pPr>
              <w:ind w:left="920"/>
              <w:spacing w:after="0"/>
              <w:rPr>
                <w:sz w:val="20"/>
                <w:szCs w:val="20"/>
                <w:color w:val="auto"/>
              </w:rPr>
            </w:pPr>
            <w:r>
              <w:rPr>
                <w:rFonts w:ascii="Arial" w:cs="Arial" w:eastAsia="Arial" w:hAnsi="Arial"/>
                <w:sz w:val="16"/>
                <w:szCs w:val="16"/>
                <w:color w:val="auto"/>
              </w:rPr>
              <w:t>/s/</w:t>
            </w:r>
          </w:p>
        </w:tc>
        <w:tc>
          <w:tcPr>
            <w:tcW w:w="3400" w:type="dxa"/>
            <w:vAlign w:val="bottom"/>
            <w:gridSpan w:val="4"/>
          </w:tcPr>
          <w:p>
            <w:pPr>
              <w:jc w:val="center"/>
              <w:ind w:right="1160"/>
              <w:spacing w:after="0"/>
              <w:rPr>
                <w:sz w:val="20"/>
                <w:szCs w:val="20"/>
                <w:color w:val="auto"/>
              </w:rPr>
            </w:pPr>
            <w:r>
              <w:rPr>
                <w:rFonts w:ascii="Arial" w:cs="Arial" w:eastAsia="Arial" w:hAnsi="Arial"/>
                <w:sz w:val="16"/>
                <w:szCs w:val="16"/>
                <w:color w:val="auto"/>
                <w:w w:val="96"/>
              </w:rPr>
              <w:t>CRAWFORD W. BEVERIDGE</w:t>
            </w: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w w:val="94"/>
              </w:rPr>
              <w:t>Crawford W. Beveridge</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ind w:left="120"/>
              <w:spacing w:after="0"/>
              <w:rPr>
                <w:sz w:val="20"/>
                <w:szCs w:val="20"/>
                <w:color w:val="auto"/>
              </w:rPr>
            </w:pPr>
            <w:r>
              <w:rPr>
                <w:rFonts w:ascii="Arial" w:cs="Arial" w:eastAsia="Arial" w:hAnsi="Arial"/>
                <w:sz w:val="16"/>
                <w:szCs w:val="16"/>
                <w:color w:val="auto"/>
                <w:w w:val="82"/>
              </w:rPr>
              <w:t>/s/</w:t>
            </w:r>
          </w:p>
        </w:tc>
        <w:tc>
          <w:tcPr>
            <w:tcW w:w="3120" w:type="dxa"/>
            <w:vAlign w:val="bottom"/>
            <w:gridSpan w:val="3"/>
          </w:tcPr>
          <w:p>
            <w:pPr>
              <w:jc w:val="center"/>
              <w:ind w:right="1500"/>
              <w:spacing w:after="0"/>
              <w:rPr>
                <w:sz w:val="20"/>
                <w:szCs w:val="20"/>
                <w:color w:val="auto"/>
              </w:rPr>
            </w:pPr>
            <w:r>
              <w:rPr>
                <w:rFonts w:ascii="Arial" w:cs="Arial" w:eastAsia="Arial" w:hAnsi="Arial"/>
                <w:sz w:val="16"/>
                <w:szCs w:val="16"/>
                <w:color w:val="auto"/>
              </w:rPr>
              <w:t>KAREN BLASING</w:t>
            </w: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w w:val="92"/>
              </w:rPr>
              <w:t>Karen Blasing</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rPr>
              <w:t>/s/  REID FRENCH</w:t>
            </w: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w w:val="91"/>
              </w:rPr>
              <w:t>Reid French</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/s/</w:t>
            </w:r>
          </w:p>
        </w:tc>
        <w:tc>
          <w:tcPr>
            <w:tcW w:w="3120" w:type="dxa"/>
            <w:vAlign w:val="bottom"/>
            <w:gridSpan w:val="3"/>
          </w:tcPr>
          <w:p>
            <w:pPr>
              <w:jc w:val="center"/>
              <w:ind w:right="1460"/>
              <w:spacing w:after="0"/>
              <w:rPr>
                <w:sz w:val="20"/>
                <w:szCs w:val="20"/>
                <w:color w:val="auto"/>
              </w:rPr>
            </w:pPr>
            <w:r>
              <w:rPr>
                <w:rFonts w:ascii="Arial" w:cs="Arial" w:eastAsia="Arial" w:hAnsi="Arial"/>
                <w:sz w:val="16"/>
                <w:szCs w:val="16"/>
                <w:color w:val="auto"/>
              </w:rPr>
              <w:t>MARY T. MCDOWELL</w:t>
            </w: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w w:val="96"/>
              </w:rPr>
              <w:t>Mary T. McDowell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6"/>
              </w:rPr>
              <w:t>Director</w:t>
            </w:r>
          </w:p>
        </w:tc>
      </w:tr>
      <w:tr>
        <w:trPr>
          <w:trHeight w:val="47"/>
        </w:trPr>
        <w:tc>
          <w:tcPr>
            <w:tcW w:w="1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w w:val="95"/>
              </w:rPr>
              <w:t>Blake J. Irving</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05"/>
        </w:trPr>
        <w:tc>
          <w:tcPr>
            <w:tcW w:w="1440" w:type="dxa"/>
            <w:vAlign w:val="bottom"/>
            <w:gridSpan w:val="2"/>
          </w:tcPr>
          <w:p>
            <w:pPr>
              <w:ind w:left="1120"/>
              <w:spacing w:after="0"/>
              <w:rPr>
                <w:sz w:val="20"/>
                <w:szCs w:val="20"/>
                <w:color w:val="auto"/>
              </w:rPr>
            </w:pPr>
            <w:r>
              <w:rPr>
                <w:rFonts w:ascii="Arial" w:cs="Arial" w:eastAsia="Arial" w:hAnsi="Arial"/>
                <w:sz w:val="16"/>
                <w:szCs w:val="16"/>
                <w:color w:val="auto"/>
              </w:rPr>
              <w:t>/s/</w:t>
            </w:r>
          </w:p>
        </w:tc>
        <w:tc>
          <w:tcPr>
            <w:tcW w:w="3120" w:type="dxa"/>
            <w:vAlign w:val="bottom"/>
            <w:gridSpan w:val="3"/>
          </w:tcPr>
          <w:p>
            <w:pPr>
              <w:jc w:val="right"/>
              <w:ind w:right="1380"/>
              <w:spacing w:after="0"/>
              <w:rPr>
                <w:sz w:val="20"/>
                <w:szCs w:val="20"/>
                <w:color w:val="auto"/>
              </w:rPr>
            </w:pPr>
            <w:r>
              <w:rPr>
                <w:rFonts w:ascii="Arial" w:cs="Arial" w:eastAsia="Arial" w:hAnsi="Arial"/>
                <w:sz w:val="16"/>
                <w:szCs w:val="16"/>
                <w:color w:val="auto"/>
                <w:w w:val="98"/>
              </w:rPr>
              <w:t>STEPHEN D. MILLIGAN</w:t>
            </w: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80"/>
              <w:spacing w:after="0"/>
              <w:rPr>
                <w:sz w:val="20"/>
                <w:szCs w:val="20"/>
                <w:color w:val="auto"/>
              </w:rPr>
            </w:pPr>
            <w:r>
              <w:rPr>
                <w:rFonts w:ascii="Arial" w:cs="Arial" w:eastAsia="Arial" w:hAnsi="Arial"/>
                <w:sz w:val="16"/>
                <w:szCs w:val="16"/>
                <w:color w:val="auto"/>
                <w:w w:val="95"/>
              </w:rPr>
              <w:t>Stephen D. Milligan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92"/>
        </w:trPr>
        <w:tc>
          <w:tcPr>
            <w:tcW w:w="1160" w:type="dxa"/>
            <w:vAlign w:val="bottom"/>
          </w:tcPr>
          <w:p>
            <w:pPr>
              <w:ind w:left="1000"/>
              <w:spacing w:after="0"/>
              <w:rPr>
                <w:sz w:val="20"/>
                <w:szCs w:val="20"/>
                <w:color w:val="auto"/>
              </w:rPr>
            </w:pPr>
            <w:r>
              <w:rPr>
                <w:rFonts w:ascii="Arial" w:cs="Arial" w:eastAsia="Arial" w:hAnsi="Arial"/>
                <w:sz w:val="16"/>
                <w:szCs w:val="16"/>
                <w:color w:val="auto"/>
                <w:w w:val="82"/>
              </w:rPr>
              <w:t>/s/</w:t>
            </w:r>
          </w:p>
        </w:tc>
        <w:tc>
          <w:tcPr>
            <w:tcW w:w="3400" w:type="dxa"/>
            <w:vAlign w:val="bottom"/>
            <w:gridSpan w:val="4"/>
          </w:tcPr>
          <w:p>
            <w:pPr>
              <w:jc w:val="center"/>
              <w:ind w:right="1160"/>
              <w:spacing w:after="0"/>
              <w:rPr>
                <w:sz w:val="20"/>
                <w:szCs w:val="20"/>
                <w:color w:val="auto"/>
              </w:rPr>
            </w:pPr>
            <w:r>
              <w:rPr>
                <w:rFonts w:ascii="Arial" w:cs="Arial" w:eastAsia="Arial" w:hAnsi="Arial"/>
                <w:sz w:val="16"/>
                <w:szCs w:val="16"/>
                <w:color w:val="auto"/>
                <w:w w:val="98"/>
              </w:rPr>
              <w:t>LORRIE M. NORRINGTON</w:t>
            </w: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w w:val="98"/>
              </w:rPr>
              <w:t>Lorrie M. Norrington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6"/>
                <w:szCs w:val="16"/>
                <w:color w:val="auto"/>
                <w:w w:val="94"/>
              </w:rPr>
              <w:t>/s/</w:t>
            </w:r>
          </w:p>
        </w:tc>
        <w:tc>
          <w:tcPr>
            <w:tcW w:w="3120" w:type="dxa"/>
            <w:vAlign w:val="bottom"/>
            <w:gridSpan w:val="3"/>
          </w:tcPr>
          <w:p>
            <w:pPr>
              <w:jc w:val="right"/>
              <w:ind w:right="1420"/>
              <w:spacing w:after="0"/>
              <w:rPr>
                <w:sz w:val="20"/>
                <w:szCs w:val="20"/>
                <w:color w:val="auto"/>
              </w:rPr>
            </w:pPr>
            <w:r>
              <w:rPr>
                <w:rFonts w:ascii="Arial" w:cs="Arial" w:eastAsia="Arial" w:hAnsi="Arial"/>
                <w:sz w:val="16"/>
                <w:szCs w:val="16"/>
                <w:color w:val="auto"/>
              </w:rPr>
              <w:t>ELIZABETH RAFAEL</w:t>
            </w:r>
          </w:p>
        </w:tc>
        <w:tc>
          <w:tcPr>
            <w:tcW w:w="4500" w:type="dxa"/>
            <w:vAlign w:val="bottom"/>
            <w:gridSpan w:val="3"/>
          </w:tcPr>
          <w:p>
            <w:pPr>
              <w:jc w:val="center"/>
              <w:ind w:left="24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3"/>
          </w:tcPr>
          <w:p>
            <w:pPr>
              <w:jc w:val="center"/>
              <w:ind w:right="1440"/>
              <w:spacing w:after="0"/>
              <w:rPr>
                <w:sz w:val="20"/>
                <w:szCs w:val="20"/>
                <w:color w:val="auto"/>
              </w:rPr>
            </w:pPr>
            <w:r>
              <w:rPr>
                <w:rFonts w:ascii="Arial" w:cs="Arial" w:eastAsia="Arial" w:hAnsi="Arial"/>
                <w:sz w:val="16"/>
                <w:szCs w:val="16"/>
                <w:color w:val="auto"/>
                <w:w w:val="92"/>
              </w:rPr>
              <w:t>Elizabeth Rafael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003300"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114</w:t>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20" w:type="dxa"/>
            <w:vAlign w:val="bottom"/>
            <w:gridSpan w:val="20"/>
          </w:tcPr>
          <w:p>
            <w:pPr>
              <w:ind w:left="540"/>
              <w:spacing w:after="0"/>
              <w:rPr>
                <w:sz w:val="20"/>
                <w:szCs w:val="20"/>
                <w:color w:val="auto"/>
              </w:rPr>
            </w:pPr>
            <w:r>
              <w:rPr>
                <w:rFonts w:ascii="Arial" w:cs="Arial" w:eastAsia="Arial" w:hAnsi="Arial"/>
                <w:sz w:val="18"/>
                <w:szCs w:val="18"/>
                <w:b w:val="1"/>
                <w:bCs w:val="1"/>
                <w:color w:val="auto"/>
              </w:rPr>
              <w:t>Index to Exhibits</w:t>
            </w:r>
          </w:p>
        </w:tc>
      </w:tr>
      <w:tr>
        <w:trPr>
          <w:trHeight w:val="486"/>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40" w:type="dxa"/>
            <w:vAlign w:val="bottom"/>
            <w:gridSpan w:val="1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3.1</w:t>
            </w:r>
          </w:p>
        </w:tc>
        <w:tc>
          <w:tcPr>
            <w:tcW w:w="500" w:type="dxa"/>
            <w:vAlign w:val="bottom"/>
          </w:tcPr>
          <w:p>
            <w:pPr>
              <w:spacing w:after="0"/>
              <w:rPr>
                <w:sz w:val="24"/>
                <w:szCs w:val="24"/>
                <w:color w:val="auto"/>
              </w:rPr>
            </w:pPr>
          </w:p>
        </w:tc>
        <w:tc>
          <w:tcPr>
            <w:tcW w:w="9800" w:type="dxa"/>
            <w:vAlign w:val="bottom"/>
            <w:tcBorders>
              <w:bottom w:val="single" w:sz="8" w:color="0000FF"/>
            </w:tcBorders>
            <w:gridSpan w:val="24"/>
          </w:tcPr>
          <w:p>
            <w:pPr>
              <w:spacing w:after="0"/>
              <w:rPr>
                <w:rFonts w:ascii="Arial" w:cs="Arial" w:eastAsia="Arial" w:hAnsi="Arial"/>
                <w:sz w:val="16"/>
                <w:szCs w:val="16"/>
                <w:color w:val="0000FF"/>
                <w:w w:val="92"/>
              </w:rPr>
            </w:pPr>
            <w:hyperlink r:id="rId213">
              <w:r>
                <w:rPr>
                  <w:rFonts w:ascii="Arial" w:cs="Arial" w:eastAsia="Arial" w:hAnsi="Arial"/>
                  <w:sz w:val="16"/>
                  <w:szCs w:val="16"/>
                  <w:color w:val="0000FF"/>
                  <w:w w:val="92"/>
                </w:rPr>
                <w:t>Amended and Restated Certificate of Incorporation of Registrant (incorporated by reference to Exhibit 3.1 filed with the Registrant’s Annual Report on</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0" w:type="dxa"/>
            <w:vAlign w:val="bottom"/>
            <w:gridSpan w:val="24"/>
          </w:tcPr>
          <w:p>
            <w:pPr>
              <w:spacing w:after="0" w:line="183" w:lineRule="exact"/>
              <w:rPr>
                <w:rFonts w:ascii="Arial" w:cs="Arial" w:eastAsia="Arial" w:hAnsi="Arial"/>
                <w:sz w:val="16"/>
                <w:szCs w:val="16"/>
                <w:color w:val="0000FF"/>
              </w:rPr>
            </w:pPr>
            <w:hyperlink r:id="rId213">
              <w:r>
                <w:rPr>
                  <w:rFonts w:ascii="Arial" w:cs="Arial" w:eastAsia="Arial" w:hAnsi="Arial"/>
                  <w:sz w:val="16"/>
                  <w:szCs w:val="16"/>
                  <w:color w:val="0000FF"/>
                </w:rPr>
                <w:t>Form 10-K filed on March 30, 2006)</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3.2</w:t>
            </w:r>
          </w:p>
        </w:tc>
        <w:tc>
          <w:tcPr>
            <w:tcW w:w="500" w:type="dxa"/>
            <w:vAlign w:val="bottom"/>
          </w:tcPr>
          <w:p>
            <w:pPr>
              <w:spacing w:after="0"/>
              <w:rPr>
                <w:sz w:val="24"/>
                <w:szCs w:val="24"/>
                <w:color w:val="auto"/>
              </w:rPr>
            </w:pPr>
          </w:p>
        </w:tc>
        <w:tc>
          <w:tcPr>
            <w:tcW w:w="9760" w:type="dxa"/>
            <w:vAlign w:val="bottom"/>
            <w:tcBorders>
              <w:bottom w:val="single" w:sz="8" w:color="0000FF"/>
            </w:tcBorders>
            <w:gridSpan w:val="22"/>
          </w:tcPr>
          <w:p>
            <w:pPr>
              <w:spacing w:after="0"/>
              <w:rPr>
                <w:rFonts w:ascii="Arial" w:cs="Arial" w:eastAsia="Arial" w:hAnsi="Arial"/>
                <w:sz w:val="16"/>
                <w:szCs w:val="16"/>
                <w:color w:val="0000FF"/>
                <w:w w:val="92"/>
              </w:rPr>
            </w:pPr>
            <w:hyperlink r:id="rId214">
              <w:r>
                <w:rPr>
                  <w:rFonts w:ascii="Arial" w:cs="Arial" w:eastAsia="Arial" w:hAnsi="Arial"/>
                  <w:sz w:val="16"/>
                  <w:szCs w:val="16"/>
                  <w:color w:val="0000FF"/>
                  <w:w w:val="92"/>
                </w:rPr>
                <w:t>Amended and Restated Bylaws of Registrant (incorporated by reference to Exhibit 3.1 filed with the Registrant’s Current Report on Form 8-K filed on</w:t>
              </w:r>
            </w:hyperlink>
          </w:p>
        </w:tc>
        <w:tc>
          <w:tcPr>
            <w:tcW w:w="40" w:type="dxa"/>
            <w:vAlign w:val="bottom"/>
            <w:gridSpan w:val="2"/>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Borders>
              <w:bottom w:val="single" w:sz="8" w:color="0000FF"/>
            </w:tcBorders>
          </w:tcPr>
          <w:p>
            <w:pPr>
              <w:spacing w:after="0" w:line="183" w:lineRule="exact"/>
              <w:rPr>
                <w:rFonts w:ascii="Arial" w:cs="Arial" w:eastAsia="Arial" w:hAnsi="Arial"/>
                <w:sz w:val="16"/>
                <w:szCs w:val="16"/>
                <w:color w:val="0000FF"/>
                <w:w w:val="88"/>
              </w:rPr>
            </w:pPr>
            <w:hyperlink r:id="rId214">
              <w:r>
                <w:rPr>
                  <w:rFonts w:ascii="Arial" w:cs="Arial" w:eastAsia="Arial" w:hAnsi="Arial"/>
                  <w:sz w:val="16"/>
                  <w:szCs w:val="16"/>
                  <w:color w:val="0000FF"/>
                  <w:w w:val="88"/>
                </w:rPr>
                <w:t>June 15, 2018)</w:t>
              </w:r>
            </w:hyperlink>
          </w:p>
        </w:tc>
        <w:tc>
          <w:tcPr>
            <w:tcW w:w="8840" w:type="dxa"/>
            <w:vAlign w:val="bottom"/>
            <w:gridSpan w:val="23"/>
          </w:tcPr>
          <w:p>
            <w:pPr>
              <w:spacing w:after="0"/>
              <w:rPr>
                <w:sz w:val="15"/>
                <w:szCs w:val="15"/>
                <w:color w:val="auto"/>
              </w:rPr>
            </w:pPr>
          </w:p>
        </w:tc>
      </w:tr>
      <w:tr>
        <w:trPr>
          <w:trHeight w:val="358"/>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4.1</w:t>
            </w:r>
          </w:p>
        </w:tc>
        <w:tc>
          <w:tcPr>
            <w:tcW w:w="500" w:type="dxa"/>
            <w:vAlign w:val="bottom"/>
          </w:tcPr>
          <w:p>
            <w:pPr>
              <w:spacing w:after="0"/>
              <w:rPr>
                <w:sz w:val="24"/>
                <w:szCs w:val="24"/>
                <w:color w:val="auto"/>
              </w:rPr>
            </w:pPr>
          </w:p>
        </w:tc>
        <w:tc>
          <w:tcPr>
            <w:tcW w:w="9780" w:type="dxa"/>
            <w:vAlign w:val="bottom"/>
            <w:tcBorders>
              <w:bottom w:val="single" w:sz="8" w:color="0000FF"/>
            </w:tcBorders>
            <w:gridSpan w:val="23"/>
          </w:tcPr>
          <w:p>
            <w:pPr>
              <w:spacing w:after="0"/>
              <w:rPr>
                <w:rFonts w:ascii="Arial" w:cs="Arial" w:eastAsia="Arial" w:hAnsi="Arial"/>
                <w:sz w:val="16"/>
                <w:szCs w:val="16"/>
                <w:color w:val="0000FF"/>
                <w:w w:val="91"/>
              </w:rPr>
            </w:pPr>
            <w:hyperlink r:id="rId215">
              <w:r>
                <w:rPr>
                  <w:rFonts w:ascii="Arial" w:cs="Arial" w:eastAsia="Arial" w:hAnsi="Arial"/>
                  <w:sz w:val="16"/>
                  <w:szCs w:val="16"/>
                  <w:color w:val="0000FF"/>
                  <w:w w:val="91"/>
                </w:rPr>
                <w:t>Indenture dated December 13, 2012, by and between the Registrant and U.S. Bank National Association (incorporated by reference to Exhibit 4.1 filed</w:t>
              </w:r>
            </w:hyperlink>
          </w:p>
        </w:tc>
        <w:tc>
          <w:tcPr>
            <w:tcW w:w="2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14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r:id="rId215">
              <w:r>
                <w:rPr>
                  <w:rFonts w:ascii="Arial" w:cs="Arial" w:eastAsia="Arial" w:hAnsi="Arial"/>
                  <w:sz w:val="16"/>
                  <w:szCs w:val="16"/>
                  <w:color w:val="0000FF"/>
                  <w:w w:val="92"/>
                </w:rPr>
                <w:t>with the Registrant's Current Report on Form 8-K filed on December 13, 2012)</w:t>
              </w:r>
            </w:hyperlink>
          </w:p>
        </w:tc>
        <w:tc>
          <w:tcPr>
            <w:tcW w:w="4660" w:type="dxa"/>
            <w:vAlign w:val="bottom"/>
            <w:gridSpan w:val="18"/>
          </w:tcPr>
          <w:p>
            <w:pPr>
              <w:spacing w:after="0"/>
              <w:rPr>
                <w:sz w:val="15"/>
                <w:szCs w:val="15"/>
                <w:color w:val="auto"/>
              </w:rPr>
            </w:pPr>
          </w:p>
        </w:tc>
      </w:tr>
      <w:tr>
        <w:trPr>
          <w:trHeight w:val="399"/>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4.2</w:t>
            </w:r>
          </w:p>
        </w:tc>
        <w:tc>
          <w:tcPr>
            <w:tcW w:w="5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6"/>
                <w:szCs w:val="16"/>
                <w:color w:val="0000FF"/>
                <w:w w:val="92"/>
              </w:rPr>
            </w:pPr>
            <w:hyperlink r:id="rId216">
              <w:r>
                <w:rPr>
                  <w:rFonts w:ascii="Arial" w:cs="Arial" w:eastAsia="Arial" w:hAnsi="Arial"/>
                  <w:sz w:val="16"/>
                  <w:szCs w:val="16"/>
                  <w:color w:val="0000FF"/>
                  <w:w w:val="92"/>
                </w:rPr>
                <w:t>First Supplemental Indenture (including Form of Notes) dated December 13, 2012, by and between the Registrant and U.S. Bank National Association</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160" w:type="dxa"/>
            <w:vAlign w:val="bottom"/>
            <w:tcBorders>
              <w:top w:val="single" w:sz="8" w:color="0000FF"/>
              <w:bottom w:val="single" w:sz="8" w:color="0000FF"/>
            </w:tcBorders>
            <w:gridSpan w:val="13"/>
          </w:tcPr>
          <w:p>
            <w:pPr>
              <w:spacing w:after="0" w:line="183" w:lineRule="exact"/>
              <w:rPr>
                <w:rFonts w:ascii="Arial" w:cs="Arial" w:eastAsia="Arial" w:hAnsi="Arial"/>
                <w:sz w:val="16"/>
                <w:szCs w:val="16"/>
                <w:color w:val="0000FF"/>
                <w:w w:val="92"/>
              </w:rPr>
            </w:pPr>
            <w:hyperlink r:id="rId216">
              <w:r>
                <w:rPr>
                  <w:rFonts w:ascii="Arial" w:cs="Arial" w:eastAsia="Arial" w:hAnsi="Arial"/>
                  <w:sz w:val="16"/>
                  <w:szCs w:val="16"/>
                  <w:color w:val="0000FF"/>
                  <w:w w:val="92"/>
                </w:rPr>
                <w:t>(incorporated by reference to Exhibit 4.2 filed with the Registrant's Current Report on Form 8-K filed on December 13, 2012)</w:t>
              </w:r>
            </w:hyperlink>
          </w:p>
        </w:tc>
        <w:tc>
          <w:tcPr>
            <w:tcW w:w="1600" w:type="dxa"/>
            <w:vAlign w:val="bottom"/>
            <w:tcBorders>
              <w:top w:val="single" w:sz="8" w:color="0000FF"/>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99"/>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4.3</w:t>
            </w:r>
          </w:p>
        </w:tc>
        <w:tc>
          <w:tcPr>
            <w:tcW w:w="5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6"/>
                <w:szCs w:val="16"/>
                <w:color w:val="0000FF"/>
                <w:w w:val="94"/>
              </w:rPr>
            </w:pPr>
            <w:hyperlink r:id="rId217">
              <w:r>
                <w:rPr>
                  <w:rFonts w:ascii="Arial" w:cs="Arial" w:eastAsia="Arial" w:hAnsi="Arial"/>
                  <w:sz w:val="16"/>
                  <w:szCs w:val="16"/>
                  <w:color w:val="0000FF"/>
                  <w:w w:val="94"/>
                </w:rPr>
                <w:t>Second Supplemental Indenture (including Form of Notes) dated June 5, 2015, by and between the Registrant and U.S. Bank National Association</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tcBorders>
              <w:top w:val="single" w:sz="8" w:color="0000FF"/>
              <w:bottom w:val="single" w:sz="8" w:color="0000FF"/>
            </w:tcBorders>
            <w:gridSpan w:val="12"/>
          </w:tcPr>
          <w:p>
            <w:pPr>
              <w:spacing w:after="0" w:line="183" w:lineRule="exact"/>
              <w:rPr>
                <w:rFonts w:ascii="Arial" w:cs="Arial" w:eastAsia="Arial" w:hAnsi="Arial"/>
                <w:sz w:val="16"/>
                <w:szCs w:val="16"/>
                <w:color w:val="0000FF"/>
                <w:w w:val="92"/>
              </w:rPr>
            </w:pPr>
            <w:hyperlink r:id="rId217">
              <w:r>
                <w:rPr>
                  <w:rFonts w:ascii="Arial" w:cs="Arial" w:eastAsia="Arial" w:hAnsi="Arial"/>
                  <w:sz w:val="16"/>
                  <w:szCs w:val="16"/>
                  <w:color w:val="0000FF"/>
                  <w:w w:val="92"/>
                </w:rPr>
                <w:t>(incorporated by reference to Exhibit 4.1 of the Registrant's Current Report on Form 8-K filed on June 8, 2015)</w:t>
              </w:r>
            </w:hyperlink>
          </w:p>
        </w:tc>
        <w:tc>
          <w:tcPr>
            <w:tcW w:w="2280" w:type="dxa"/>
            <w:vAlign w:val="bottom"/>
            <w:tcBorders>
              <w:top w:val="single" w:sz="8" w:color="0000FF"/>
            </w:tcBorders>
            <w:gridSpan w:val="4"/>
          </w:tcPr>
          <w:p>
            <w:pPr>
              <w:spacing w:after="0"/>
              <w:rPr>
                <w:sz w:val="15"/>
                <w:szCs w:val="15"/>
                <w:color w:val="auto"/>
              </w:rPr>
            </w:pPr>
          </w:p>
        </w:tc>
        <w:tc>
          <w:tcPr>
            <w:tcW w:w="300" w:type="dxa"/>
            <w:vAlign w:val="bottom"/>
            <w:gridSpan w:val="8"/>
          </w:tcPr>
          <w:p>
            <w:pPr>
              <w:spacing w:after="0"/>
              <w:rPr>
                <w:sz w:val="15"/>
                <w:szCs w:val="15"/>
                <w:color w:val="auto"/>
              </w:rPr>
            </w:pPr>
          </w:p>
        </w:tc>
      </w:tr>
      <w:tr>
        <w:trPr>
          <w:trHeight w:val="426"/>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4.4</w:t>
            </w:r>
          </w:p>
        </w:tc>
        <w:tc>
          <w:tcPr>
            <w:tcW w:w="5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6"/>
                <w:szCs w:val="16"/>
                <w:color w:val="0000FF"/>
                <w:w w:val="95"/>
              </w:rPr>
            </w:pPr>
            <w:hyperlink r:id="rId218">
              <w:r>
                <w:rPr>
                  <w:rFonts w:ascii="Arial" w:cs="Arial" w:eastAsia="Arial" w:hAnsi="Arial"/>
                  <w:sz w:val="16"/>
                  <w:szCs w:val="16"/>
                  <w:color w:val="0000FF"/>
                  <w:w w:val="95"/>
                </w:rPr>
                <w:t>Third Supplemental Indenture (including Form of Notes) dated June 8, 2017, by and between the Registrant and U.S. Bank National Association.</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tcBorders>
              <w:top w:val="single" w:sz="8" w:color="0000FF"/>
              <w:bottom w:val="single" w:sz="8" w:color="0000FF"/>
            </w:tcBorders>
            <w:gridSpan w:val="12"/>
          </w:tcPr>
          <w:p>
            <w:pPr>
              <w:spacing w:after="0" w:line="183" w:lineRule="exact"/>
              <w:rPr>
                <w:rFonts w:ascii="Arial" w:cs="Arial" w:eastAsia="Arial" w:hAnsi="Arial"/>
                <w:sz w:val="16"/>
                <w:szCs w:val="16"/>
                <w:color w:val="0000FF"/>
                <w:w w:val="92"/>
              </w:rPr>
            </w:pPr>
            <w:hyperlink r:id="rId218">
              <w:r>
                <w:rPr>
                  <w:rFonts w:ascii="Arial" w:cs="Arial" w:eastAsia="Arial" w:hAnsi="Arial"/>
                  <w:sz w:val="16"/>
                  <w:szCs w:val="16"/>
                  <w:color w:val="0000FF"/>
                  <w:w w:val="92"/>
                </w:rPr>
                <w:t>(incorporated by reference to Exhibit 4.1 of the Registrant's Current Report on Form 8-K filed on June 8, 2017)</w:t>
              </w:r>
            </w:hyperlink>
          </w:p>
        </w:tc>
        <w:tc>
          <w:tcPr>
            <w:tcW w:w="2200" w:type="dxa"/>
            <w:vAlign w:val="bottom"/>
            <w:tcBorders>
              <w:top w:val="single" w:sz="8" w:color="0000FF"/>
            </w:tcBorders>
            <w:gridSpan w:val="3"/>
          </w:tcPr>
          <w:p>
            <w:pPr>
              <w:spacing w:after="0"/>
              <w:rPr>
                <w:sz w:val="15"/>
                <w:szCs w:val="15"/>
                <w:color w:val="auto"/>
              </w:rPr>
            </w:pPr>
          </w:p>
        </w:tc>
        <w:tc>
          <w:tcPr>
            <w:tcW w:w="380" w:type="dxa"/>
            <w:vAlign w:val="bottom"/>
            <w:gridSpan w:val="9"/>
          </w:tcPr>
          <w:p>
            <w:pPr>
              <w:spacing w:after="0"/>
              <w:rPr>
                <w:sz w:val="15"/>
                <w:szCs w:val="15"/>
                <w:color w:val="auto"/>
              </w:rPr>
            </w:pPr>
          </w:p>
        </w:tc>
      </w:tr>
      <w:tr>
        <w:trPr>
          <w:trHeight w:val="426"/>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10.1*</w:t>
            </w:r>
          </w:p>
        </w:tc>
        <w:tc>
          <w:tcPr>
            <w:tcW w:w="500" w:type="dxa"/>
            <w:vAlign w:val="bottom"/>
          </w:tcPr>
          <w:p>
            <w:pPr>
              <w:spacing w:after="0"/>
              <w:rPr>
                <w:sz w:val="24"/>
                <w:szCs w:val="24"/>
                <w:color w:val="auto"/>
              </w:rPr>
            </w:pPr>
          </w:p>
        </w:tc>
        <w:tc>
          <w:tcPr>
            <w:tcW w:w="9640" w:type="dxa"/>
            <w:vAlign w:val="bottom"/>
            <w:tcBorders>
              <w:bottom w:val="single" w:sz="8" w:color="0000FF"/>
            </w:tcBorders>
            <w:gridSpan w:val="18"/>
          </w:tcPr>
          <w:p>
            <w:pPr>
              <w:spacing w:after="0"/>
              <w:rPr>
                <w:rFonts w:ascii="Arial" w:cs="Arial" w:eastAsia="Arial" w:hAnsi="Arial"/>
                <w:sz w:val="16"/>
                <w:szCs w:val="16"/>
                <w:color w:val="0000FF"/>
                <w:w w:val="92"/>
              </w:rPr>
            </w:pPr>
            <w:hyperlink r:id="rId219">
              <w:r>
                <w:rPr>
                  <w:rFonts w:ascii="Arial" w:cs="Arial" w:eastAsia="Arial" w:hAnsi="Arial"/>
                  <w:sz w:val="16"/>
                  <w:szCs w:val="16"/>
                  <w:color w:val="0000FF"/>
                  <w:w w:val="92"/>
                </w:rPr>
                <w:t>Description of Registrant's Performance Stock Unit Program (incorporated by reference to Item 5.02 of the Registrant's Current Report on Form 8-K</w:t>
              </w:r>
            </w:hyperlink>
          </w:p>
        </w:tc>
        <w:tc>
          <w:tcPr>
            <w:tcW w:w="160" w:type="dxa"/>
            <w:vAlign w:val="bottom"/>
            <w:gridSpan w:val="6"/>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r:id="rId219">
              <w:r>
                <w:rPr>
                  <w:rFonts w:ascii="Arial" w:cs="Arial" w:eastAsia="Arial" w:hAnsi="Arial"/>
                  <w:sz w:val="16"/>
                  <w:szCs w:val="16"/>
                  <w:color w:val="0000FF"/>
                  <w:w w:val="92"/>
                </w:rPr>
                <w:t>filed on March 26, 2018)</w:t>
              </w:r>
            </w:hyperlink>
          </w:p>
        </w:tc>
        <w:tc>
          <w:tcPr>
            <w:tcW w:w="8180" w:type="dxa"/>
            <w:vAlign w:val="bottom"/>
            <w:gridSpan w:val="22"/>
          </w:tcPr>
          <w:p>
            <w:pPr>
              <w:spacing w:after="0"/>
              <w:rPr>
                <w:sz w:val="15"/>
                <w:szCs w:val="15"/>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10.2*</w:t>
            </w:r>
          </w:p>
        </w:tc>
        <w:tc>
          <w:tcPr>
            <w:tcW w:w="500" w:type="dxa"/>
            <w:vAlign w:val="bottom"/>
          </w:tcPr>
          <w:p>
            <w:pPr>
              <w:spacing w:after="0"/>
              <w:rPr>
                <w:sz w:val="24"/>
                <w:szCs w:val="24"/>
                <w:color w:val="auto"/>
              </w:rPr>
            </w:pPr>
          </w:p>
        </w:tc>
        <w:tc>
          <w:tcPr>
            <w:tcW w:w="9340" w:type="dxa"/>
            <w:vAlign w:val="bottom"/>
            <w:tcBorders>
              <w:bottom w:val="single" w:sz="8" w:color="0000FF"/>
            </w:tcBorders>
            <w:gridSpan w:val="14"/>
          </w:tcPr>
          <w:p>
            <w:pPr>
              <w:spacing w:after="0"/>
              <w:rPr>
                <w:rFonts w:ascii="Arial" w:cs="Arial" w:eastAsia="Arial" w:hAnsi="Arial"/>
                <w:sz w:val="16"/>
                <w:szCs w:val="16"/>
                <w:color w:val="0000FF"/>
                <w:w w:val="90"/>
              </w:rPr>
            </w:pPr>
            <w:hyperlink r:id="rId220">
              <w:r>
                <w:rPr>
                  <w:rFonts w:ascii="Arial" w:cs="Arial" w:eastAsia="Arial" w:hAnsi="Arial"/>
                  <w:sz w:val="16"/>
                  <w:szCs w:val="16"/>
                  <w:color w:val="0000FF"/>
                  <w:w w:val="90"/>
                </w:rPr>
                <w:t>Registrant’s 1998 Employee Qualified Stock Purchase Plan, as amended and restated effective as of June 12, 2018 (incorporated by reference to</w:t>
              </w:r>
            </w:hyperlink>
          </w:p>
        </w:tc>
        <w:tc>
          <w:tcPr>
            <w:tcW w:w="460" w:type="dxa"/>
            <w:vAlign w:val="bottom"/>
            <w:gridSpan w:val="10"/>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0" w:type="dxa"/>
            <w:vAlign w:val="bottom"/>
            <w:gridSpan w:val="24"/>
          </w:tcPr>
          <w:p>
            <w:pPr>
              <w:spacing w:after="0" w:line="183" w:lineRule="exact"/>
              <w:rPr>
                <w:rFonts w:ascii="Arial" w:cs="Arial" w:eastAsia="Arial" w:hAnsi="Arial"/>
                <w:sz w:val="16"/>
                <w:szCs w:val="16"/>
                <w:color w:val="0000FF"/>
              </w:rPr>
            </w:pPr>
            <w:hyperlink r:id="rId220">
              <w:r>
                <w:rPr>
                  <w:rFonts w:ascii="Arial" w:cs="Arial" w:eastAsia="Arial" w:hAnsi="Arial"/>
                  <w:sz w:val="16"/>
                  <w:szCs w:val="16"/>
                  <w:color w:val="0000FF"/>
                </w:rPr>
                <w:t>Exhibit 10.3 of the Registrant’s Quarterly Report on Form 10-Q filed on August 30, 2018)</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10.3*</w:t>
            </w:r>
          </w:p>
        </w:tc>
        <w:tc>
          <w:tcPr>
            <w:tcW w:w="5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6"/>
                <w:szCs w:val="16"/>
                <w:color w:val="0000FF"/>
                <w:w w:val="91"/>
              </w:rPr>
            </w:pPr>
            <w:hyperlink r:id="rId221">
              <w:r>
                <w:rPr>
                  <w:rFonts w:ascii="Arial" w:cs="Arial" w:eastAsia="Arial" w:hAnsi="Arial"/>
                  <w:sz w:val="16"/>
                  <w:szCs w:val="16"/>
                  <w:color w:val="0000FF"/>
                  <w:w w:val="91"/>
                </w:rPr>
                <w:t>Registrant’s 1998 Employee Qualified Stock Purchase Plan Forms of Subscription Agreement, as amended and restated (incorporated by reference to</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340" w:type="dxa"/>
            <w:vAlign w:val="bottom"/>
            <w:tcBorders>
              <w:top w:val="single" w:sz="8" w:color="0000FF"/>
              <w:bottom w:val="single" w:sz="8" w:color="0000FF"/>
            </w:tcBorders>
            <w:gridSpan w:val="11"/>
          </w:tcPr>
          <w:p>
            <w:pPr>
              <w:spacing w:after="0" w:line="183" w:lineRule="exact"/>
              <w:rPr>
                <w:rFonts w:ascii="Arial" w:cs="Arial" w:eastAsia="Arial" w:hAnsi="Arial"/>
                <w:sz w:val="16"/>
                <w:szCs w:val="16"/>
                <w:color w:val="0000FF"/>
                <w:w w:val="93"/>
              </w:rPr>
            </w:pPr>
            <w:hyperlink r:id="rId221">
              <w:r>
                <w:rPr>
                  <w:rFonts w:ascii="Arial" w:cs="Arial" w:eastAsia="Arial" w:hAnsi="Arial"/>
                  <w:sz w:val="16"/>
                  <w:szCs w:val="16"/>
                  <w:color w:val="0000FF"/>
                  <w:w w:val="93"/>
                </w:rPr>
                <w:t>Exhibit 10.5 filed with the Registrant’s Quarterly Report on Form 10-Q filed on August 30, 2016)</w:t>
              </w:r>
            </w:hyperlink>
          </w:p>
        </w:tc>
        <w:tc>
          <w:tcPr>
            <w:tcW w:w="3340" w:type="dxa"/>
            <w:vAlign w:val="bottom"/>
            <w:tcBorders>
              <w:top w:val="single" w:sz="8" w:color="0000FF"/>
            </w:tcBorders>
            <w:gridSpan w:val="8"/>
          </w:tcPr>
          <w:p>
            <w:pPr>
              <w:spacing w:after="0"/>
              <w:rPr>
                <w:sz w:val="15"/>
                <w:szCs w:val="15"/>
                <w:color w:val="auto"/>
              </w:rPr>
            </w:pPr>
          </w:p>
        </w:tc>
        <w:tc>
          <w:tcPr>
            <w:tcW w:w="120" w:type="dxa"/>
            <w:vAlign w:val="bottom"/>
            <w:gridSpan w:val="5"/>
          </w:tcPr>
          <w:p>
            <w:pPr>
              <w:spacing w:after="0"/>
              <w:rPr>
                <w:sz w:val="15"/>
                <w:szCs w:val="15"/>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10.4*</w:t>
            </w:r>
          </w:p>
        </w:tc>
        <w:tc>
          <w:tcPr>
            <w:tcW w:w="5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6"/>
                <w:szCs w:val="16"/>
                <w:color w:val="0000FF"/>
                <w:w w:val="91"/>
              </w:rPr>
            </w:pPr>
            <w:hyperlink r:id="rId222">
              <w:r>
                <w:rPr>
                  <w:rFonts w:ascii="Arial" w:cs="Arial" w:eastAsia="Arial" w:hAnsi="Arial"/>
                  <w:sz w:val="16"/>
                  <w:szCs w:val="16"/>
                  <w:color w:val="0000FF"/>
                  <w:w w:val="91"/>
                </w:rPr>
                <w:t>Registrant's 2012 Employee Stock Plan, as amended and restated effective as of June 12, 2018 (incorporated by reference to Exhibit 10.2 filed with the</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tcBorders>
              <w:top w:val="single" w:sz="8" w:color="0000FF"/>
              <w:bottom w:val="single" w:sz="8" w:color="0000FF"/>
            </w:tcBorders>
            <w:gridSpan w:val="5"/>
          </w:tcPr>
          <w:p>
            <w:pPr>
              <w:spacing w:after="0" w:line="183" w:lineRule="exact"/>
              <w:rPr>
                <w:rFonts w:ascii="Arial" w:cs="Arial" w:eastAsia="Arial" w:hAnsi="Arial"/>
                <w:sz w:val="16"/>
                <w:szCs w:val="16"/>
                <w:color w:val="0000FF"/>
                <w:w w:val="91"/>
              </w:rPr>
            </w:pPr>
            <w:hyperlink r:id="rId222">
              <w:r>
                <w:rPr>
                  <w:rFonts w:ascii="Arial" w:cs="Arial" w:eastAsia="Arial" w:hAnsi="Arial"/>
                  <w:sz w:val="16"/>
                  <w:szCs w:val="16"/>
                  <w:color w:val="0000FF"/>
                  <w:w w:val="91"/>
                </w:rPr>
                <w:t>Registrant's Quarterly Report on Form 10-Q filed on August 30, 2018)</w:t>
              </w:r>
            </w:hyperlink>
          </w:p>
        </w:tc>
        <w:tc>
          <w:tcPr>
            <w:tcW w:w="522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10.5*</w:t>
            </w:r>
          </w:p>
        </w:tc>
        <w:tc>
          <w:tcPr>
            <w:tcW w:w="5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6"/>
                <w:szCs w:val="16"/>
                <w:color w:val="0000FF"/>
                <w:w w:val="91"/>
              </w:rPr>
            </w:pPr>
            <w:hyperlink r:id="rId223">
              <w:r>
                <w:rPr>
                  <w:rFonts w:ascii="Arial" w:cs="Arial" w:eastAsia="Arial" w:hAnsi="Arial"/>
                  <w:sz w:val="16"/>
                  <w:szCs w:val="16"/>
                  <w:color w:val="0000FF"/>
                  <w:w w:val="91"/>
                </w:rPr>
                <w:t>Registrant's 2012 Employee Stock Plan Form of Restricted Stock Unit Agreement, as amended and restated (incorporated by reference to Exhibit 10.2</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8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3"/>
              </w:rPr>
            </w:pPr>
            <w:hyperlink r:id="rId223">
              <w:r>
                <w:rPr>
                  <w:rFonts w:ascii="Arial" w:cs="Arial" w:eastAsia="Arial" w:hAnsi="Arial"/>
                  <w:sz w:val="16"/>
                  <w:szCs w:val="16"/>
                  <w:color w:val="0000FF"/>
                  <w:w w:val="93"/>
                </w:rPr>
                <w:t>filed with the Registrant's Quarterly Report on Form 10-Q filed on August 30, 2016)</w:t>
              </w:r>
            </w:hyperlink>
          </w:p>
        </w:tc>
        <w:tc>
          <w:tcPr>
            <w:tcW w:w="4260" w:type="dxa"/>
            <w:vAlign w:val="bottom"/>
            <w:tcBorders>
              <w:top w:val="single" w:sz="8" w:color="0000FF"/>
            </w:tcBorders>
            <w:gridSpan w:val="1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10.6*</w:t>
            </w:r>
          </w:p>
        </w:tc>
        <w:tc>
          <w:tcPr>
            <w:tcW w:w="5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6"/>
                <w:szCs w:val="16"/>
                <w:color w:val="0000FF"/>
                <w:w w:val="92"/>
              </w:rPr>
            </w:pPr>
            <w:hyperlink r:id="rId224">
              <w:r>
                <w:rPr>
                  <w:rFonts w:ascii="Arial" w:cs="Arial" w:eastAsia="Arial" w:hAnsi="Arial"/>
                  <w:sz w:val="16"/>
                  <w:szCs w:val="16"/>
                  <w:color w:val="0000FF"/>
                  <w:w w:val="92"/>
                </w:rPr>
                <w:t>Registrant's 2012 Employee Stock Plan Form of Severance Restricted Stock Unit Agreement, as amended and restated (incorporated by reference to</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0" w:type="dxa"/>
            <w:vAlign w:val="bottom"/>
            <w:tcBorders>
              <w:top w:val="single" w:sz="8" w:color="0000FF"/>
            </w:tcBorders>
            <w:gridSpan w:val="17"/>
          </w:tcPr>
          <w:p>
            <w:pPr>
              <w:spacing w:after="0" w:line="183" w:lineRule="exact"/>
              <w:rPr>
                <w:rFonts w:ascii="Arial" w:cs="Arial" w:eastAsia="Arial" w:hAnsi="Arial"/>
                <w:sz w:val="16"/>
                <w:szCs w:val="16"/>
                <w:color w:val="0000FF"/>
              </w:rPr>
            </w:pPr>
            <w:hyperlink r:id="rId224">
              <w:r>
                <w:rPr>
                  <w:rFonts w:ascii="Arial" w:cs="Arial" w:eastAsia="Arial" w:hAnsi="Arial"/>
                  <w:sz w:val="16"/>
                  <w:szCs w:val="16"/>
                  <w:color w:val="0000FF"/>
                </w:rPr>
                <w:t>Exhibit 10.3 filed with the Registrant's Quarterly Report on Form 10-Q filed on August 30, 2016)</w:t>
              </w:r>
            </w:hyperlink>
          </w:p>
        </w:tc>
        <w:tc>
          <w:tcPr>
            <w:tcW w:w="200" w:type="dxa"/>
            <w:vAlign w:val="bottom"/>
            <w:gridSpan w:val="7"/>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5"/>
            <w:shd w:val="clear" w:color="auto" w:fill="0000FF"/>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10.7*</w:t>
            </w:r>
          </w:p>
        </w:tc>
        <w:tc>
          <w:tcPr>
            <w:tcW w:w="5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6"/>
                <w:szCs w:val="16"/>
                <w:color w:val="0000FF"/>
                <w:w w:val="92"/>
              </w:rPr>
            </w:pPr>
            <w:hyperlink r:id="rId225">
              <w:r>
                <w:rPr>
                  <w:rFonts w:ascii="Arial" w:cs="Arial" w:eastAsia="Arial" w:hAnsi="Arial"/>
                  <w:sz w:val="16"/>
                  <w:szCs w:val="16"/>
                  <w:color w:val="0000FF"/>
                  <w:w w:val="92"/>
                </w:rPr>
                <w:t>Registrant's 2012 Employee Stock Plan Form of Stock Option Agreement (incorporated by reference to Exhibit 10.2 filed with the Registrant's Current</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tcBorders>
              <w:top w:val="single" w:sz="8" w:color="0000FF"/>
            </w:tcBorders>
            <w:gridSpan w:val="23"/>
          </w:tcPr>
          <w:p>
            <w:pPr>
              <w:spacing w:after="0" w:line="183" w:lineRule="exact"/>
              <w:rPr>
                <w:rFonts w:ascii="Arial" w:cs="Arial" w:eastAsia="Arial" w:hAnsi="Arial"/>
                <w:sz w:val="16"/>
                <w:szCs w:val="16"/>
                <w:color w:val="0000FF"/>
              </w:rPr>
            </w:pPr>
            <w:hyperlink r:id="rId225">
              <w:r>
                <w:rPr>
                  <w:rFonts w:ascii="Arial" w:cs="Arial" w:eastAsia="Arial" w:hAnsi="Arial"/>
                  <w:sz w:val="16"/>
                  <w:szCs w:val="16"/>
                  <w:color w:val="0000FF"/>
                </w:rPr>
                <w:t>Report on Form 8-K filed on March 13, 2012)</w:t>
              </w:r>
            </w:hyperlink>
          </w:p>
        </w:tc>
        <w:tc>
          <w:tcPr>
            <w:tcW w:w="2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4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10.8*</w:t>
            </w:r>
          </w:p>
        </w:tc>
        <w:tc>
          <w:tcPr>
            <w:tcW w:w="5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6"/>
                <w:szCs w:val="16"/>
                <w:color w:val="0000FF"/>
                <w:w w:val="93"/>
              </w:rPr>
            </w:pPr>
            <w:hyperlink r:id="rId226">
              <w:r>
                <w:rPr>
                  <w:rFonts w:ascii="Arial" w:cs="Arial" w:eastAsia="Arial" w:hAnsi="Arial"/>
                  <w:sz w:val="16"/>
                  <w:szCs w:val="16"/>
                  <w:color w:val="0000FF"/>
                  <w:w w:val="93"/>
                </w:rPr>
                <w:t>Registrant's 2012 Employee Stock Plan Form of Stock Option Agreement (non-U.S. Employees) (incorporated by reference to Exhibit 10.4 filed with</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00" w:type="dxa"/>
            <w:vAlign w:val="bottom"/>
            <w:tcBorders>
              <w:top w:val="single" w:sz="8" w:color="0000FF"/>
            </w:tcBorders>
            <w:gridSpan w:val="20"/>
          </w:tcPr>
          <w:p>
            <w:pPr>
              <w:spacing w:after="0" w:line="183" w:lineRule="exact"/>
              <w:rPr>
                <w:rFonts w:ascii="Arial" w:cs="Arial" w:eastAsia="Arial" w:hAnsi="Arial"/>
                <w:sz w:val="16"/>
                <w:szCs w:val="16"/>
                <w:color w:val="0000FF"/>
              </w:rPr>
            </w:pPr>
            <w:hyperlink r:id="rId226">
              <w:r>
                <w:rPr>
                  <w:rFonts w:ascii="Arial" w:cs="Arial" w:eastAsia="Arial" w:hAnsi="Arial"/>
                  <w:sz w:val="16"/>
                  <w:szCs w:val="16"/>
                  <w:color w:val="0000FF"/>
                </w:rPr>
                <w:t>the Registrant's Current Report on Form 8-K filed on March 13, 2012)</w:t>
              </w:r>
            </w:hyperlink>
          </w:p>
        </w:tc>
        <w:tc>
          <w:tcPr>
            <w:tcW w:w="100" w:type="dxa"/>
            <w:vAlign w:val="bottom"/>
            <w:gridSpan w:val="4"/>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1149350</wp:posOffset>
            </wp:positionV>
            <wp:extent cx="100330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115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00" w:type="dxa"/>
            <w:vAlign w:val="bottom"/>
            <w:gridSpan w:val="25"/>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500" w:type="dxa"/>
            <w:vAlign w:val="bottom"/>
          </w:tcPr>
          <w:p>
            <w:pPr>
              <w:spacing w:after="0"/>
              <w:rPr>
                <w:sz w:val="18"/>
                <w:szCs w:val="18"/>
                <w:color w:val="auto"/>
              </w:rPr>
            </w:pPr>
          </w:p>
        </w:tc>
        <w:tc>
          <w:tcPr>
            <w:tcW w:w="9580" w:type="dxa"/>
            <w:vAlign w:val="bottom"/>
            <w:tcBorders>
              <w:bottom w:val="single" w:sz="8" w:color="0000FF"/>
            </w:tcBorders>
            <w:gridSpan w:val="25"/>
          </w:tcPr>
          <w:p>
            <w:pPr>
              <w:spacing w:after="0"/>
              <w:rPr>
                <w:rFonts w:ascii="Arial" w:cs="Arial" w:eastAsia="Arial" w:hAnsi="Arial"/>
                <w:sz w:val="16"/>
                <w:szCs w:val="16"/>
                <w:color w:val="0000FF"/>
                <w:w w:val="92"/>
              </w:rPr>
            </w:pPr>
            <w:hyperlink r:id="rId228">
              <w:r>
                <w:rPr>
                  <w:rFonts w:ascii="Arial" w:cs="Arial" w:eastAsia="Arial" w:hAnsi="Arial"/>
                  <w:sz w:val="16"/>
                  <w:szCs w:val="16"/>
                  <w:color w:val="0000FF"/>
                  <w:w w:val="92"/>
                </w:rPr>
                <w:t>PlanGrid, Inc. 2012 Equity Incentive Plan (incorporated by reference to Exhibit 99.1 filed with the Registrant's Registration Statement on Form S-8</w:t>
              </w:r>
            </w:hyperlink>
          </w:p>
        </w:tc>
        <w:tc>
          <w:tcPr>
            <w:tcW w:w="2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3"/>
          </w:tcPr>
          <w:p>
            <w:pPr>
              <w:spacing w:after="0" w:line="183" w:lineRule="exact"/>
              <w:rPr>
                <w:rFonts w:ascii="Arial" w:cs="Arial" w:eastAsia="Arial" w:hAnsi="Arial"/>
                <w:sz w:val="16"/>
                <w:szCs w:val="16"/>
                <w:color w:val="0000FF"/>
              </w:rPr>
            </w:pPr>
            <w:hyperlink r:id="rId228">
              <w:r>
                <w:rPr>
                  <w:rFonts w:ascii="Arial" w:cs="Arial" w:eastAsia="Arial" w:hAnsi="Arial"/>
                  <w:sz w:val="16"/>
                  <w:szCs w:val="16"/>
                  <w:color w:val="0000FF"/>
                </w:rPr>
                <w:t>filed on December 21, 2018)</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500" w:type="dxa"/>
            <w:vAlign w:val="bottom"/>
          </w:tcPr>
          <w:p>
            <w:pPr>
              <w:spacing w:after="0"/>
              <w:rPr>
                <w:sz w:val="24"/>
                <w:szCs w:val="24"/>
                <w:color w:val="auto"/>
              </w:rPr>
            </w:pPr>
          </w:p>
        </w:tc>
        <w:tc>
          <w:tcPr>
            <w:tcW w:w="9540" w:type="dxa"/>
            <w:vAlign w:val="bottom"/>
            <w:tcBorders>
              <w:bottom w:val="single" w:sz="8" w:color="0000FF"/>
            </w:tcBorders>
            <w:gridSpan w:val="23"/>
          </w:tcPr>
          <w:p>
            <w:pPr>
              <w:spacing w:after="0"/>
              <w:rPr>
                <w:rFonts w:ascii="Arial" w:cs="Arial" w:eastAsia="Arial" w:hAnsi="Arial"/>
                <w:sz w:val="16"/>
                <w:szCs w:val="16"/>
                <w:color w:val="0000FF"/>
                <w:w w:val="92"/>
              </w:rPr>
            </w:pPr>
            <w:hyperlink r:id="rId229">
              <w:r>
                <w:rPr>
                  <w:rFonts w:ascii="Arial" w:cs="Arial" w:eastAsia="Arial" w:hAnsi="Arial"/>
                  <w:sz w:val="16"/>
                  <w:szCs w:val="16"/>
                  <w:color w:val="0000FF"/>
                  <w:w w:val="92"/>
                </w:rPr>
                <w:t>Amended and Restated BuildingConnected, Inc. 2013 Stock Plan (incorporated by reference to Exhibit 99.1 filed with the Registrant's Registration</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3"/>
          </w:tcPr>
          <w:p>
            <w:pPr>
              <w:spacing w:after="0" w:line="183" w:lineRule="exact"/>
              <w:rPr>
                <w:rFonts w:ascii="Arial" w:cs="Arial" w:eastAsia="Arial" w:hAnsi="Arial"/>
                <w:sz w:val="16"/>
                <w:szCs w:val="16"/>
                <w:color w:val="0000FF"/>
              </w:rPr>
            </w:pPr>
            <w:hyperlink r:id="rId229">
              <w:r>
                <w:rPr>
                  <w:rFonts w:ascii="Arial" w:cs="Arial" w:eastAsia="Arial" w:hAnsi="Arial"/>
                  <w:sz w:val="16"/>
                  <w:szCs w:val="16"/>
                  <w:color w:val="0000FF"/>
                </w:rPr>
                <w:t>Statement on Form S-8 filed on January 24, 2019)</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500" w:type="dxa"/>
            <w:vAlign w:val="bottom"/>
          </w:tcPr>
          <w:p>
            <w:pPr>
              <w:spacing w:after="0"/>
              <w:rPr>
                <w:sz w:val="24"/>
                <w:szCs w:val="24"/>
                <w:color w:val="auto"/>
              </w:rPr>
            </w:pPr>
          </w:p>
        </w:tc>
        <w:tc>
          <w:tcPr>
            <w:tcW w:w="9820" w:type="dxa"/>
            <w:vAlign w:val="bottom"/>
            <w:tcBorders>
              <w:bottom w:val="single" w:sz="8" w:color="0000FF"/>
            </w:tcBorders>
            <w:gridSpan w:val="33"/>
          </w:tcPr>
          <w:p>
            <w:pPr>
              <w:spacing w:after="0"/>
              <w:rPr>
                <w:rFonts w:ascii="Arial" w:cs="Arial" w:eastAsia="Arial" w:hAnsi="Arial"/>
                <w:sz w:val="16"/>
                <w:szCs w:val="16"/>
                <w:color w:val="0000FF"/>
                <w:w w:val="91"/>
              </w:rPr>
            </w:pPr>
            <w:hyperlink r:id="rId230">
              <w:r>
                <w:rPr>
                  <w:rFonts w:ascii="Arial" w:cs="Arial" w:eastAsia="Arial" w:hAnsi="Arial"/>
                  <w:sz w:val="16"/>
                  <w:szCs w:val="16"/>
                  <w:color w:val="0000FF"/>
                  <w:w w:val="91"/>
                </w:rPr>
                <w:t>Registrant's 2012 Outside Directors' Stock Plan, as amended and restated (incorporated by reference to Exhibit 10.18 filed with the Registrant’s Annual</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3"/>
          </w:tcPr>
          <w:p>
            <w:pPr>
              <w:spacing w:after="0" w:line="183" w:lineRule="exact"/>
              <w:rPr>
                <w:rFonts w:ascii="Arial" w:cs="Arial" w:eastAsia="Arial" w:hAnsi="Arial"/>
                <w:sz w:val="16"/>
                <w:szCs w:val="16"/>
                <w:color w:val="0000FF"/>
              </w:rPr>
            </w:pPr>
            <w:hyperlink r:id="rId230">
              <w:r>
                <w:rPr>
                  <w:rFonts w:ascii="Arial" w:cs="Arial" w:eastAsia="Arial" w:hAnsi="Arial"/>
                  <w:sz w:val="16"/>
                  <w:szCs w:val="16"/>
                  <w:color w:val="0000FF"/>
                </w:rPr>
                <w:t>Report on Form 10-K filed on March 21, 2017)</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500" w:type="dxa"/>
            <w:vAlign w:val="bottom"/>
          </w:tcPr>
          <w:p>
            <w:pPr>
              <w:spacing w:after="0"/>
              <w:rPr>
                <w:sz w:val="24"/>
                <w:szCs w:val="24"/>
                <w:color w:val="auto"/>
              </w:rPr>
            </w:pPr>
          </w:p>
        </w:tc>
        <w:tc>
          <w:tcPr>
            <w:tcW w:w="9520" w:type="dxa"/>
            <w:vAlign w:val="bottom"/>
            <w:tcBorders>
              <w:bottom w:val="single" w:sz="8" w:color="0000FF"/>
            </w:tcBorders>
            <w:gridSpan w:val="22"/>
          </w:tcPr>
          <w:p>
            <w:pPr>
              <w:spacing w:after="0"/>
              <w:rPr>
                <w:rFonts w:ascii="Arial" w:cs="Arial" w:eastAsia="Arial" w:hAnsi="Arial"/>
                <w:sz w:val="16"/>
                <w:szCs w:val="16"/>
                <w:color w:val="0000FF"/>
                <w:w w:val="92"/>
              </w:rPr>
            </w:pPr>
            <w:hyperlink r:id="rId231">
              <w:r>
                <w:rPr>
                  <w:rFonts w:ascii="Arial" w:cs="Arial" w:eastAsia="Arial" w:hAnsi="Arial"/>
                  <w:sz w:val="16"/>
                  <w:szCs w:val="16"/>
                  <w:color w:val="0000FF"/>
                  <w:w w:val="92"/>
                </w:rPr>
                <w:t>Registrant's 2012 Outside Directors' Stock Plan Form of Restricted Stock Unit Agreement (incorporated by reference to Exhibit 10.5 filed with the</w:t>
              </w:r>
            </w:hyperlink>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3"/>
          </w:tcPr>
          <w:p>
            <w:pPr>
              <w:spacing w:after="0" w:line="183" w:lineRule="exact"/>
              <w:rPr>
                <w:rFonts w:ascii="Arial" w:cs="Arial" w:eastAsia="Arial" w:hAnsi="Arial"/>
                <w:sz w:val="16"/>
                <w:szCs w:val="16"/>
                <w:color w:val="0000FF"/>
              </w:rPr>
            </w:pPr>
            <w:hyperlink r:id="rId231">
              <w:r>
                <w:rPr>
                  <w:rFonts w:ascii="Arial" w:cs="Arial" w:eastAsia="Arial" w:hAnsi="Arial"/>
                  <w:sz w:val="16"/>
                  <w:szCs w:val="16"/>
                  <w:color w:val="0000FF"/>
                </w:rPr>
                <w:t>Registrant's Current Report on Form 8-K filed on March 13, 2012)</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500" w:type="dxa"/>
            <w:vAlign w:val="bottom"/>
          </w:tcPr>
          <w:p>
            <w:pPr>
              <w:spacing w:after="0"/>
              <w:rPr>
                <w:sz w:val="24"/>
                <w:szCs w:val="24"/>
                <w:color w:val="auto"/>
              </w:rPr>
            </w:pPr>
          </w:p>
        </w:tc>
        <w:tc>
          <w:tcPr>
            <w:tcW w:w="9660" w:type="dxa"/>
            <w:vAlign w:val="bottom"/>
            <w:tcBorders>
              <w:bottom w:val="single" w:sz="8" w:color="0000FF"/>
            </w:tcBorders>
            <w:gridSpan w:val="28"/>
          </w:tcPr>
          <w:p>
            <w:pPr>
              <w:spacing w:after="0"/>
              <w:rPr>
                <w:rFonts w:ascii="Arial" w:cs="Arial" w:eastAsia="Arial" w:hAnsi="Arial"/>
                <w:sz w:val="16"/>
                <w:szCs w:val="16"/>
                <w:color w:val="0000FF"/>
                <w:w w:val="91"/>
              </w:rPr>
            </w:pPr>
            <w:hyperlink r:id="rId232">
              <w:r>
                <w:rPr>
                  <w:rFonts w:ascii="Arial" w:cs="Arial" w:eastAsia="Arial" w:hAnsi="Arial"/>
                  <w:sz w:val="16"/>
                  <w:szCs w:val="16"/>
                  <w:color w:val="0000FF"/>
                  <w:w w:val="91"/>
                </w:rPr>
                <w:t>Registrant’s Executive Incentive Plan, as amended and restated (incorporated by reference to Exhibit 10.23 filed with the Registrant’s Annual Report</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3"/>
          </w:tcPr>
          <w:p>
            <w:pPr>
              <w:spacing w:after="0" w:line="183" w:lineRule="exact"/>
              <w:rPr>
                <w:rFonts w:ascii="Arial" w:cs="Arial" w:eastAsia="Arial" w:hAnsi="Arial"/>
                <w:sz w:val="16"/>
                <w:szCs w:val="16"/>
                <w:color w:val="0000FF"/>
              </w:rPr>
            </w:pPr>
            <w:hyperlink r:id="rId232">
              <w:r>
                <w:rPr>
                  <w:rFonts w:ascii="Arial" w:cs="Arial" w:eastAsia="Arial" w:hAnsi="Arial"/>
                  <w:sz w:val="16"/>
                  <w:szCs w:val="16"/>
                  <w:color w:val="0000FF"/>
                </w:rPr>
                <w:t>on Form 10-K filed on March 23, 2016)</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500" w:type="dxa"/>
            <w:vAlign w:val="bottom"/>
          </w:tcPr>
          <w:p>
            <w:pPr>
              <w:spacing w:after="0"/>
              <w:rPr>
                <w:sz w:val="24"/>
                <w:szCs w:val="24"/>
                <w:color w:val="auto"/>
              </w:rPr>
            </w:pPr>
          </w:p>
        </w:tc>
        <w:tc>
          <w:tcPr>
            <w:tcW w:w="9700" w:type="dxa"/>
            <w:vAlign w:val="bottom"/>
            <w:tcBorders>
              <w:bottom w:val="single" w:sz="8" w:color="0000FF"/>
            </w:tcBorders>
            <w:gridSpan w:val="29"/>
          </w:tcPr>
          <w:p>
            <w:pPr>
              <w:spacing w:after="0"/>
              <w:rPr>
                <w:rFonts w:ascii="Arial" w:cs="Arial" w:eastAsia="Arial" w:hAnsi="Arial"/>
                <w:sz w:val="16"/>
                <w:szCs w:val="16"/>
                <w:color w:val="0000FF"/>
                <w:w w:val="90"/>
              </w:rPr>
            </w:pPr>
            <w:hyperlink r:id="rId233">
              <w:r>
                <w:rPr>
                  <w:rFonts w:ascii="Arial" w:cs="Arial" w:eastAsia="Arial" w:hAnsi="Arial"/>
                  <w:sz w:val="16"/>
                  <w:szCs w:val="16"/>
                  <w:color w:val="0000FF"/>
                  <w:w w:val="90"/>
                </w:rPr>
                <w:t>Registrant’s 2005 Non-Qualified Deferred Compensation Plan, as amended and restated, effective as of January 1, 2010 (incorporated by reference to</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60" w:type="dxa"/>
            <w:vAlign w:val="bottom"/>
            <w:tcBorders>
              <w:bottom w:val="single" w:sz="8" w:color="0000FF"/>
            </w:tcBorders>
            <w:gridSpan w:val="15"/>
          </w:tcPr>
          <w:p>
            <w:pPr>
              <w:spacing w:after="0" w:line="183" w:lineRule="exact"/>
              <w:rPr>
                <w:rFonts w:ascii="Arial" w:cs="Arial" w:eastAsia="Arial" w:hAnsi="Arial"/>
                <w:sz w:val="16"/>
                <w:szCs w:val="16"/>
                <w:color w:val="0000FF"/>
                <w:w w:val="93"/>
              </w:rPr>
            </w:pPr>
            <w:hyperlink r:id="rId233">
              <w:r>
                <w:rPr>
                  <w:rFonts w:ascii="Arial" w:cs="Arial" w:eastAsia="Arial" w:hAnsi="Arial"/>
                  <w:sz w:val="16"/>
                  <w:szCs w:val="16"/>
                  <w:color w:val="0000FF"/>
                  <w:w w:val="93"/>
                </w:rPr>
                <w:t>Exhibit 10.1 filed with the Registrant’s Quarterly Report on Form 10-Q filed on December 8, 2009)</w:t>
              </w:r>
            </w:hyperlink>
          </w:p>
        </w:tc>
        <w:tc>
          <w:tcPr>
            <w:tcW w:w="336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500" w:type="dxa"/>
            <w:vAlign w:val="bottom"/>
          </w:tcPr>
          <w:p>
            <w:pPr>
              <w:spacing w:after="0"/>
              <w:rPr>
                <w:sz w:val="24"/>
                <w:szCs w:val="24"/>
                <w:color w:val="auto"/>
              </w:rPr>
            </w:pPr>
          </w:p>
        </w:tc>
        <w:tc>
          <w:tcPr>
            <w:tcW w:w="9760" w:type="dxa"/>
            <w:vAlign w:val="bottom"/>
            <w:tcBorders>
              <w:bottom w:val="single" w:sz="8" w:color="0000FF"/>
            </w:tcBorders>
            <w:gridSpan w:val="31"/>
          </w:tcPr>
          <w:p>
            <w:pPr>
              <w:spacing w:after="0"/>
              <w:rPr>
                <w:rFonts w:ascii="Arial" w:cs="Arial" w:eastAsia="Arial" w:hAnsi="Arial"/>
                <w:sz w:val="16"/>
                <w:szCs w:val="16"/>
                <w:color w:val="0000FF"/>
                <w:w w:val="91"/>
              </w:rPr>
            </w:pPr>
            <w:hyperlink r:id="rId219">
              <w:r>
                <w:rPr>
                  <w:rFonts w:ascii="Arial" w:cs="Arial" w:eastAsia="Arial" w:hAnsi="Arial"/>
                  <w:sz w:val="16"/>
                  <w:szCs w:val="16"/>
                  <w:color w:val="0000FF"/>
                  <w:w w:val="91"/>
                </w:rPr>
                <w:t>Participants, target awards and payout formulas for fiscal year 2019 under the Registrant's Executive Incentive Plan (incorporated by reference to Item</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3"/>
          </w:tcPr>
          <w:p>
            <w:pPr>
              <w:spacing w:after="0" w:line="183" w:lineRule="exact"/>
              <w:rPr>
                <w:rFonts w:ascii="Arial" w:cs="Arial" w:eastAsia="Arial" w:hAnsi="Arial"/>
                <w:sz w:val="16"/>
                <w:szCs w:val="16"/>
                <w:color w:val="0000FF"/>
              </w:rPr>
            </w:pPr>
            <w:hyperlink r:id="rId219">
              <w:r>
                <w:rPr>
                  <w:rFonts w:ascii="Arial" w:cs="Arial" w:eastAsia="Arial" w:hAnsi="Arial"/>
                  <w:sz w:val="16"/>
                  <w:szCs w:val="16"/>
                  <w:color w:val="0000FF"/>
                </w:rPr>
                <w:t>5.</w:t>
              </w:r>
              <w:r>
                <w:rPr>
                  <w:rFonts w:ascii="Arial" w:cs="Arial" w:eastAsia="Arial" w:hAnsi="Arial"/>
                  <w:sz w:val="16"/>
                  <w:szCs w:val="16"/>
                  <w:u w:val="single" w:color="auto"/>
                  <w:color w:val="0000FF"/>
                </w:rPr>
                <w:t>02</w:t>
              </w:r>
              <w:r>
                <w:rPr>
                  <w:rFonts w:ascii="Arial" w:cs="Arial" w:eastAsia="Arial" w:hAnsi="Arial"/>
                  <w:sz w:val="16"/>
                  <w:szCs w:val="16"/>
                  <w:color w:val="0000FF"/>
                </w:rPr>
                <w:t xml:space="preserve"> of the Registrant's Current Report on Form 8-K filed on March 26, 2018)</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500" w:type="dxa"/>
            <w:vAlign w:val="bottom"/>
          </w:tcPr>
          <w:p>
            <w:pPr>
              <w:spacing w:after="0"/>
              <w:rPr>
                <w:sz w:val="24"/>
                <w:szCs w:val="24"/>
                <w:color w:val="auto"/>
              </w:rPr>
            </w:pPr>
          </w:p>
        </w:tc>
        <w:tc>
          <w:tcPr>
            <w:tcW w:w="9820" w:type="dxa"/>
            <w:vAlign w:val="bottom"/>
            <w:gridSpan w:val="33"/>
          </w:tcPr>
          <w:p>
            <w:pPr>
              <w:spacing w:after="0"/>
              <w:rPr>
                <w:rFonts w:ascii="Arial" w:cs="Arial" w:eastAsia="Arial" w:hAnsi="Arial"/>
                <w:sz w:val="16"/>
                <w:szCs w:val="16"/>
                <w:color w:val="0000FF"/>
                <w:w w:val="93"/>
              </w:rPr>
            </w:pPr>
            <w:hyperlink r:id="rId234">
              <w:r>
                <w:rPr>
                  <w:rFonts w:ascii="Arial" w:cs="Arial" w:eastAsia="Arial" w:hAnsi="Arial"/>
                  <w:sz w:val="16"/>
                  <w:szCs w:val="16"/>
                  <w:color w:val="0000FF"/>
                  <w:w w:val="93"/>
                </w:rPr>
                <w:t>Executive Change in Control Program, as amended and restated (incorporated by reference to Exhibit 10.1 filed with the Registrant’s Current Report</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4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234">
              <w:r>
                <w:rPr>
                  <w:rFonts w:ascii="Arial" w:cs="Arial" w:eastAsia="Arial" w:hAnsi="Arial"/>
                  <w:sz w:val="16"/>
                  <w:szCs w:val="16"/>
                  <w:color w:val="0000FF"/>
                </w:rPr>
                <w:t>on Form 8-K filed on December 21, 2016)</w:t>
              </w:r>
            </w:hyperlink>
          </w:p>
        </w:tc>
        <w:tc>
          <w:tcPr>
            <w:tcW w:w="1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500" w:type="dxa"/>
            <w:vAlign w:val="bottom"/>
          </w:tcPr>
          <w:p>
            <w:pPr>
              <w:spacing w:after="0"/>
              <w:rPr>
                <w:sz w:val="24"/>
                <w:szCs w:val="24"/>
                <w:color w:val="auto"/>
              </w:rPr>
            </w:pPr>
          </w:p>
        </w:tc>
        <w:tc>
          <w:tcPr>
            <w:tcW w:w="9820" w:type="dxa"/>
            <w:vAlign w:val="bottom"/>
            <w:gridSpan w:val="33"/>
          </w:tcPr>
          <w:p>
            <w:pPr>
              <w:spacing w:after="0"/>
              <w:rPr>
                <w:sz w:val="20"/>
                <w:szCs w:val="20"/>
                <w:color w:val="auto"/>
              </w:rPr>
            </w:pPr>
            <w:r>
              <w:rPr>
                <w:rFonts w:ascii="Arial" w:cs="Arial" w:eastAsia="Arial" w:hAnsi="Arial"/>
                <w:sz w:val="16"/>
                <w:szCs w:val="16"/>
                <w:color w:val="0000FF"/>
              </w:rPr>
              <w:t>Sub-Plan of the Autodesk, Inc. 1998 Employee Qualified Stock Purchase Plan, as amended and restated (filed herewith)</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30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500" w:type="dxa"/>
            <w:vAlign w:val="bottom"/>
          </w:tcPr>
          <w:p>
            <w:pPr>
              <w:spacing w:after="0"/>
              <w:rPr>
                <w:sz w:val="24"/>
                <w:szCs w:val="24"/>
                <w:color w:val="auto"/>
              </w:rPr>
            </w:pPr>
          </w:p>
        </w:tc>
        <w:tc>
          <w:tcPr>
            <w:tcW w:w="9820" w:type="dxa"/>
            <w:vAlign w:val="bottom"/>
            <w:gridSpan w:val="33"/>
          </w:tcPr>
          <w:p>
            <w:pPr>
              <w:spacing w:after="0"/>
              <w:rPr>
                <w:rFonts w:ascii="Arial" w:cs="Arial" w:eastAsia="Arial" w:hAnsi="Arial"/>
                <w:sz w:val="16"/>
                <w:szCs w:val="16"/>
                <w:color w:val="0000FF"/>
                <w:w w:val="94"/>
              </w:rPr>
            </w:pPr>
            <w:hyperlink r:id="rId235">
              <w:r>
                <w:rPr>
                  <w:rFonts w:ascii="Arial" w:cs="Arial" w:eastAsia="Arial" w:hAnsi="Arial"/>
                  <w:sz w:val="16"/>
                  <w:szCs w:val="16"/>
                  <w:color w:val="0000FF"/>
                  <w:w w:val="94"/>
                </w:rPr>
                <w:t>Form of Indemnification Agreement executed by the Registrant and each of its officers and directors (incorporated by reference to Exhibit 10.8 filed</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2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235">
              <w:r>
                <w:rPr>
                  <w:rFonts w:ascii="Arial" w:cs="Arial" w:eastAsia="Arial" w:hAnsi="Arial"/>
                  <w:sz w:val="16"/>
                  <w:szCs w:val="16"/>
                  <w:color w:val="0000FF"/>
                </w:rPr>
                <w:t>with the Registrant’s Annual Report on Form 10-K filed on March 31, 2005)</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300" w:type="dxa"/>
            <w:vAlign w:val="bottom"/>
            <w:gridSpan w:val="8"/>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500" w:type="dxa"/>
            <w:vAlign w:val="bottom"/>
          </w:tcPr>
          <w:p>
            <w:pPr>
              <w:spacing w:after="0"/>
              <w:rPr>
                <w:sz w:val="24"/>
                <w:szCs w:val="24"/>
                <w:color w:val="auto"/>
              </w:rPr>
            </w:pPr>
          </w:p>
        </w:tc>
        <w:tc>
          <w:tcPr>
            <w:tcW w:w="9820" w:type="dxa"/>
            <w:vAlign w:val="bottom"/>
            <w:gridSpan w:val="33"/>
          </w:tcPr>
          <w:p>
            <w:pPr>
              <w:spacing w:after="0"/>
              <w:rPr>
                <w:rFonts w:ascii="Arial" w:cs="Arial" w:eastAsia="Arial" w:hAnsi="Arial"/>
                <w:sz w:val="16"/>
                <w:szCs w:val="16"/>
                <w:color w:val="0000FF"/>
                <w:w w:val="93"/>
              </w:rPr>
            </w:pPr>
            <w:hyperlink r:id="rId236">
              <w:r>
                <w:rPr>
                  <w:rFonts w:ascii="Arial" w:cs="Arial" w:eastAsia="Arial" w:hAnsi="Arial"/>
                  <w:sz w:val="16"/>
                  <w:szCs w:val="16"/>
                  <w:color w:val="0000FF"/>
                  <w:w w:val="93"/>
                </w:rPr>
                <w:t>Employment Agreement, dated as of June 19, 2017, by and between the Registrant and Andrew Anagnost (incorporated by reference to Exhibit 10.1</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120" w:type="dxa"/>
            <w:vAlign w:val="bottom"/>
            <w:tcBorders>
              <w:top w:val="single" w:sz="8" w:color="0000FF"/>
              <w:bottom w:val="single" w:sz="8" w:color="0000FF"/>
            </w:tcBorders>
            <w:gridSpan w:val="12"/>
          </w:tcPr>
          <w:p>
            <w:pPr>
              <w:spacing w:after="0" w:line="183" w:lineRule="exact"/>
              <w:rPr>
                <w:rFonts w:ascii="Arial" w:cs="Arial" w:eastAsia="Arial" w:hAnsi="Arial"/>
                <w:sz w:val="16"/>
                <w:szCs w:val="16"/>
                <w:color w:val="0000FF"/>
                <w:w w:val="92"/>
              </w:rPr>
            </w:pPr>
            <w:hyperlink r:id="rId236">
              <w:r>
                <w:rPr>
                  <w:rFonts w:ascii="Arial" w:cs="Arial" w:eastAsia="Arial" w:hAnsi="Arial"/>
                  <w:sz w:val="16"/>
                  <w:szCs w:val="16"/>
                  <w:color w:val="0000FF"/>
                  <w:w w:val="92"/>
                </w:rPr>
                <w:t>filed with the Registrant’s Current Report on Form 8-K filed on June 19, 2017)</w:t>
              </w:r>
            </w:hyperlink>
          </w:p>
        </w:tc>
        <w:tc>
          <w:tcPr>
            <w:tcW w:w="4500" w:type="dxa"/>
            <w:vAlign w:val="bottom"/>
            <w:tcBorders>
              <w:top w:val="single" w:sz="8" w:color="0000FF"/>
            </w:tcBorders>
            <w:gridSpan w:val="14"/>
          </w:tcPr>
          <w:p>
            <w:pPr>
              <w:spacing w:after="0"/>
              <w:rPr>
                <w:sz w:val="15"/>
                <w:szCs w:val="15"/>
                <w:color w:val="auto"/>
              </w:rPr>
            </w:pPr>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500" w:type="dxa"/>
            <w:vAlign w:val="bottom"/>
          </w:tcPr>
          <w:p>
            <w:pPr>
              <w:spacing w:after="0"/>
              <w:rPr>
                <w:sz w:val="24"/>
                <w:szCs w:val="24"/>
                <w:color w:val="auto"/>
              </w:rPr>
            </w:pPr>
          </w:p>
        </w:tc>
        <w:tc>
          <w:tcPr>
            <w:tcW w:w="9820" w:type="dxa"/>
            <w:vAlign w:val="bottom"/>
            <w:gridSpan w:val="33"/>
          </w:tcPr>
          <w:p>
            <w:pPr>
              <w:spacing w:after="0"/>
              <w:rPr>
                <w:rFonts w:ascii="Arial" w:cs="Arial" w:eastAsia="Arial" w:hAnsi="Arial"/>
                <w:sz w:val="16"/>
                <w:szCs w:val="16"/>
                <w:color w:val="0000FF"/>
                <w:w w:val="93"/>
              </w:rPr>
            </w:pPr>
            <w:hyperlink r:id="rId237">
              <w:r>
                <w:rPr>
                  <w:rFonts w:ascii="Arial" w:cs="Arial" w:eastAsia="Arial" w:hAnsi="Arial"/>
                  <w:sz w:val="16"/>
                  <w:szCs w:val="16"/>
                  <w:color w:val="0000FF"/>
                  <w:w w:val="93"/>
                </w:rPr>
                <w:t>Registrant’s Severance Plan dated August 27, 2018 (incorporated by reference to Exhibit 99.1 filed with the Registrant’s Current Report on Form 8-K</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00" w:type="dxa"/>
            <w:vAlign w:val="bottom"/>
            <w:tcBorders>
              <w:top w:val="single" w:sz="8" w:color="0000FF"/>
            </w:tcBorders>
            <w:gridSpan w:val="29"/>
          </w:tcPr>
          <w:p>
            <w:pPr>
              <w:spacing w:after="0" w:line="183" w:lineRule="exact"/>
              <w:rPr>
                <w:rFonts w:ascii="Arial" w:cs="Arial" w:eastAsia="Arial" w:hAnsi="Arial"/>
                <w:sz w:val="16"/>
                <w:szCs w:val="16"/>
                <w:color w:val="0000FF"/>
              </w:rPr>
            </w:pPr>
            <w:hyperlink r:id="rId237">
              <w:r>
                <w:rPr>
                  <w:rFonts w:ascii="Arial" w:cs="Arial" w:eastAsia="Arial" w:hAnsi="Arial"/>
                  <w:sz w:val="16"/>
                  <w:szCs w:val="16"/>
                  <w:color w:val="0000FF"/>
                </w:rPr>
                <w:t>filed on August 30, 2018)</w:t>
              </w:r>
            </w:hyperlink>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5"/>
              </w:rPr>
              <w:t>10.21*</w:t>
            </w: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560" w:type="dxa"/>
            <w:vAlign w:val="bottom"/>
            <w:gridSpan w:val="1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80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1"/>
              </w:rPr>
              <w:t>Registrant's 2012 Employee Stock Plan Form of Retirement Restricted Stock Unit Agreement, as amended and restated (filed herewith)</w:t>
            </w:r>
          </w:p>
        </w:tc>
        <w:tc>
          <w:tcPr>
            <w:tcW w:w="10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500" w:type="dxa"/>
            <w:vAlign w:val="bottom"/>
          </w:tcPr>
          <w:p>
            <w:pPr>
              <w:spacing w:after="0"/>
              <w:rPr>
                <w:sz w:val="24"/>
                <w:szCs w:val="24"/>
                <w:color w:val="auto"/>
              </w:rPr>
            </w:pPr>
          </w:p>
        </w:tc>
        <w:tc>
          <w:tcPr>
            <w:tcW w:w="9820" w:type="dxa"/>
            <w:vAlign w:val="bottom"/>
            <w:tcBorders>
              <w:bottom w:val="single" w:sz="8" w:color="0000FF"/>
            </w:tcBorders>
            <w:gridSpan w:val="33"/>
          </w:tcPr>
          <w:p>
            <w:pPr>
              <w:spacing w:after="0"/>
              <w:rPr>
                <w:rFonts w:ascii="Arial" w:cs="Arial" w:eastAsia="Arial" w:hAnsi="Arial"/>
                <w:sz w:val="16"/>
                <w:szCs w:val="16"/>
                <w:color w:val="0000FF"/>
                <w:w w:val="91"/>
              </w:rPr>
            </w:pPr>
            <w:hyperlink r:id="rId238">
              <w:r>
                <w:rPr>
                  <w:rFonts w:ascii="Arial" w:cs="Arial" w:eastAsia="Arial" w:hAnsi="Arial"/>
                  <w:sz w:val="16"/>
                  <w:szCs w:val="16"/>
                  <w:color w:val="0000FF"/>
                  <w:w w:val="91"/>
                </w:rPr>
                <w:t>Office Lease between Registrant and the J.H.S. Trust for 111 McInnis Parkway, San Rafael, CA, as amended (incorporated by reference to Exhibit 10.1</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0" w:type="dxa"/>
            <w:vAlign w:val="bottom"/>
            <w:tcBorders>
              <w:bottom w:val="single" w:sz="8" w:color="0000FF"/>
            </w:tcBorders>
            <w:gridSpan w:val="16"/>
          </w:tcPr>
          <w:p>
            <w:pPr>
              <w:spacing w:after="0" w:line="183" w:lineRule="exact"/>
              <w:rPr>
                <w:rFonts w:ascii="Arial" w:cs="Arial" w:eastAsia="Arial" w:hAnsi="Arial"/>
                <w:sz w:val="16"/>
                <w:szCs w:val="16"/>
                <w:color w:val="0000FF"/>
                <w:w w:val="92"/>
              </w:rPr>
            </w:pPr>
            <w:hyperlink r:id="rId238">
              <w:r>
                <w:rPr>
                  <w:rFonts w:ascii="Arial" w:cs="Arial" w:eastAsia="Arial" w:hAnsi="Arial"/>
                  <w:sz w:val="16"/>
                  <w:szCs w:val="16"/>
                  <w:color w:val="0000FF"/>
                  <w:w w:val="92"/>
                </w:rPr>
                <w:t>filed with the Registrant’s Quarterly Report on Form 10-Q for the fiscal quarter ended October 31, 2004)</w:t>
              </w:r>
            </w:hyperlink>
          </w:p>
        </w:tc>
        <w:tc>
          <w:tcPr>
            <w:tcW w:w="302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500" w:type="dxa"/>
            <w:vAlign w:val="bottom"/>
          </w:tcPr>
          <w:p>
            <w:pPr>
              <w:spacing w:after="0"/>
              <w:rPr>
                <w:sz w:val="24"/>
                <w:szCs w:val="24"/>
                <w:color w:val="auto"/>
              </w:rPr>
            </w:pPr>
          </w:p>
        </w:tc>
        <w:tc>
          <w:tcPr>
            <w:tcW w:w="9720" w:type="dxa"/>
            <w:vAlign w:val="bottom"/>
            <w:tcBorders>
              <w:bottom w:val="single" w:sz="8" w:color="0000FF"/>
            </w:tcBorders>
            <w:gridSpan w:val="30"/>
          </w:tcPr>
          <w:p>
            <w:pPr>
              <w:spacing w:after="0"/>
              <w:rPr>
                <w:rFonts w:ascii="Arial" w:cs="Arial" w:eastAsia="Arial" w:hAnsi="Arial"/>
                <w:sz w:val="16"/>
                <w:szCs w:val="16"/>
                <w:color w:val="0000FF"/>
                <w:w w:val="91"/>
              </w:rPr>
            </w:pPr>
            <w:hyperlink r:id="rId239">
              <w:r>
                <w:rPr>
                  <w:rFonts w:ascii="Arial" w:cs="Arial" w:eastAsia="Arial" w:hAnsi="Arial"/>
                  <w:sz w:val="16"/>
                  <w:szCs w:val="16"/>
                  <w:color w:val="0000FF"/>
                  <w:w w:val="91"/>
                </w:rPr>
                <w:t>Fourth Amendment to Lease between Registrant and the J.H.S. Holdings L.P. for 111 McInnis Parkway, San Rafael, CA (incorporated by reference to</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3"/>
          </w:tcPr>
          <w:p>
            <w:pPr>
              <w:spacing w:after="0" w:line="183" w:lineRule="exact"/>
              <w:rPr>
                <w:rFonts w:ascii="Arial" w:cs="Arial" w:eastAsia="Arial" w:hAnsi="Arial"/>
                <w:sz w:val="16"/>
                <w:szCs w:val="16"/>
                <w:color w:val="0000FF"/>
              </w:rPr>
            </w:pPr>
            <w:hyperlink r:id="rId239">
              <w:r>
                <w:rPr>
                  <w:rFonts w:ascii="Arial" w:cs="Arial" w:eastAsia="Arial" w:hAnsi="Arial"/>
                  <w:sz w:val="16"/>
                  <w:szCs w:val="16"/>
                  <w:color w:val="0000FF"/>
                </w:rPr>
                <w:t>Exhibit 10.30 filed with the Registrant’s Annual Report on Form 10-K filed on March 19, 2010)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880" w:type="dxa"/>
            <w:vAlign w:val="bottom"/>
            <w:gridSpan w:val="13"/>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10.24</w:t>
            </w:r>
          </w:p>
        </w:tc>
        <w:tc>
          <w:tcPr>
            <w:tcW w:w="500" w:type="dxa"/>
            <w:vAlign w:val="bottom"/>
          </w:tcPr>
          <w:p>
            <w:pPr>
              <w:spacing w:after="0"/>
              <w:rPr>
                <w:sz w:val="24"/>
                <w:szCs w:val="24"/>
                <w:color w:val="auto"/>
              </w:rPr>
            </w:pPr>
          </w:p>
        </w:tc>
        <w:tc>
          <w:tcPr>
            <w:tcW w:w="9820" w:type="dxa"/>
            <w:vAlign w:val="bottom"/>
            <w:gridSpan w:val="33"/>
          </w:tcPr>
          <w:p>
            <w:pPr>
              <w:spacing w:after="0"/>
              <w:rPr>
                <w:rFonts w:ascii="Arial" w:cs="Arial" w:eastAsia="Arial" w:hAnsi="Arial"/>
                <w:sz w:val="16"/>
                <w:szCs w:val="16"/>
                <w:color w:val="0000FF"/>
                <w:w w:val="93"/>
              </w:rPr>
            </w:pPr>
            <w:hyperlink r:id="rId240">
              <w:r>
                <w:rPr>
                  <w:rFonts w:ascii="Arial" w:cs="Arial" w:eastAsia="Arial" w:hAnsi="Arial"/>
                  <w:sz w:val="16"/>
                  <w:szCs w:val="16"/>
                  <w:color w:val="0000FF"/>
                  <w:w w:val="93"/>
                </w:rPr>
                <w:t>Amended and Restated Credit Agreement, dated December 17, 2018, by and among the Registrant, the lenders from time to time party thereto and</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900" w:type="dxa"/>
            <w:vAlign w:val="bottom"/>
            <w:gridSpan w:val="17"/>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0" w:type="dxa"/>
            <w:vAlign w:val="bottom"/>
            <w:tcBorders>
              <w:bottom w:val="single" w:sz="8" w:color="0000FF"/>
            </w:tcBorders>
            <w:gridSpan w:val="32"/>
          </w:tcPr>
          <w:p>
            <w:pPr>
              <w:spacing w:after="0" w:line="183" w:lineRule="exact"/>
              <w:rPr>
                <w:rFonts w:ascii="Arial" w:cs="Arial" w:eastAsia="Arial" w:hAnsi="Arial"/>
                <w:sz w:val="16"/>
                <w:szCs w:val="16"/>
                <w:color w:val="0000FF"/>
                <w:w w:val="92"/>
              </w:rPr>
            </w:pPr>
            <w:hyperlink r:id="rId240">
              <w:r>
                <w:rPr>
                  <w:rFonts w:ascii="Arial" w:cs="Arial" w:eastAsia="Arial" w:hAnsi="Arial"/>
                  <w:sz w:val="16"/>
                  <w:szCs w:val="16"/>
                  <w:color w:val="0000FF"/>
                  <w:w w:val="92"/>
                </w:rPr>
                <w:t>Citibank, N.A. as agent (incorporated by reference to Exhibit 10.1 filed with the Registrant's Current Report on Form 8-K filed on December 20, 2018)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10.25</w:t>
            </w:r>
          </w:p>
        </w:tc>
        <w:tc>
          <w:tcPr>
            <w:tcW w:w="500" w:type="dxa"/>
            <w:vAlign w:val="bottom"/>
          </w:tcPr>
          <w:p>
            <w:pPr>
              <w:spacing w:after="0"/>
              <w:rPr>
                <w:sz w:val="24"/>
                <w:szCs w:val="24"/>
                <w:color w:val="auto"/>
              </w:rPr>
            </w:pPr>
          </w:p>
        </w:tc>
        <w:tc>
          <w:tcPr>
            <w:tcW w:w="9820" w:type="dxa"/>
            <w:vAlign w:val="bottom"/>
            <w:tcBorders>
              <w:bottom w:val="single" w:sz="8" w:color="0000FF"/>
            </w:tcBorders>
            <w:gridSpan w:val="33"/>
          </w:tcPr>
          <w:p>
            <w:pPr>
              <w:spacing w:after="0"/>
              <w:rPr>
                <w:rFonts w:ascii="Arial" w:cs="Arial" w:eastAsia="Arial" w:hAnsi="Arial"/>
                <w:sz w:val="16"/>
                <w:szCs w:val="16"/>
                <w:color w:val="0000FF"/>
                <w:w w:val="91"/>
              </w:rPr>
            </w:pPr>
            <w:hyperlink r:id="rId241">
              <w:r>
                <w:rPr>
                  <w:rFonts w:ascii="Arial" w:cs="Arial" w:eastAsia="Arial" w:hAnsi="Arial"/>
                  <w:sz w:val="16"/>
                  <w:szCs w:val="16"/>
                  <w:color w:val="0000FF"/>
                  <w:w w:val="91"/>
                </w:rPr>
                <w:t>Term Loan Agreement, dated December 17, 2018, by and among the Registrant, the lenders from time to time party thereto and Citibank, N.A. as agent</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40" w:type="dxa"/>
            <w:vAlign w:val="bottom"/>
            <w:tcBorders>
              <w:bottom w:val="single" w:sz="8" w:color="0000FF"/>
            </w:tcBorders>
            <w:gridSpan w:val="18"/>
          </w:tcPr>
          <w:p>
            <w:pPr>
              <w:spacing w:after="0" w:line="183" w:lineRule="exact"/>
              <w:rPr>
                <w:rFonts w:ascii="Arial" w:cs="Arial" w:eastAsia="Arial" w:hAnsi="Arial"/>
                <w:sz w:val="16"/>
                <w:szCs w:val="16"/>
                <w:color w:val="0000FF"/>
                <w:w w:val="92"/>
              </w:rPr>
            </w:pPr>
            <w:hyperlink r:id="rId241">
              <w:r>
                <w:rPr>
                  <w:rFonts w:ascii="Arial" w:cs="Arial" w:eastAsia="Arial" w:hAnsi="Arial"/>
                  <w:sz w:val="16"/>
                  <w:szCs w:val="16"/>
                  <w:color w:val="0000FF"/>
                  <w:w w:val="92"/>
                </w:rPr>
                <w:t>(incorporated by reference to Exhibit 10.2 filed with the Registrant's Current Report on Form 8-K filed on December 20, 2018)</w:t>
              </w:r>
            </w:hyperlink>
          </w:p>
        </w:tc>
        <w:tc>
          <w:tcPr>
            <w:tcW w:w="15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500" w:type="dxa"/>
            <w:vAlign w:val="bottom"/>
          </w:tcPr>
          <w:p>
            <w:pPr>
              <w:spacing w:after="0"/>
              <w:rPr>
                <w:sz w:val="24"/>
                <w:szCs w:val="24"/>
                <w:color w:val="auto"/>
              </w:rPr>
            </w:pPr>
          </w:p>
        </w:tc>
        <w:tc>
          <w:tcPr>
            <w:tcW w:w="9820" w:type="dxa"/>
            <w:vAlign w:val="bottom"/>
            <w:gridSpan w:val="33"/>
          </w:tcPr>
          <w:p>
            <w:pPr>
              <w:spacing w:after="0"/>
              <w:rPr>
                <w:rFonts w:ascii="Arial" w:cs="Arial" w:eastAsia="Arial" w:hAnsi="Arial"/>
                <w:sz w:val="16"/>
                <w:szCs w:val="16"/>
                <w:color w:val="0000FF"/>
                <w:w w:val="99"/>
              </w:rPr>
            </w:pPr>
            <w:hyperlink r:id="rId242">
              <w:r>
                <w:rPr>
                  <w:rFonts w:ascii="Arial" w:cs="Arial" w:eastAsia="Arial" w:hAnsi="Arial"/>
                  <w:sz w:val="16"/>
                  <w:szCs w:val="16"/>
                  <w:color w:val="0000FF"/>
                  <w:w w:val="99"/>
                </w:rPr>
                <w:t>Agreement and Plan of Merger, dated as of November 20, 2018, by and among the Registrant, Araujo Acquisition Corp., PlanGrid, Inc. and</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720" w:type="dxa"/>
            <w:vAlign w:val="bottom"/>
            <w:gridSpan w:val="19"/>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3"/>
          </w:tcPr>
          <w:p>
            <w:pPr>
              <w:spacing w:after="0" w:line="183" w:lineRule="exact"/>
              <w:rPr>
                <w:rFonts w:ascii="Arial" w:cs="Arial" w:eastAsia="Arial" w:hAnsi="Arial"/>
                <w:sz w:val="16"/>
                <w:szCs w:val="16"/>
                <w:color w:val="0000FF"/>
                <w:w w:val="95"/>
              </w:rPr>
            </w:pPr>
            <w:hyperlink r:id="rId242">
              <w:r>
                <w:rPr>
                  <w:rFonts w:ascii="Arial" w:cs="Arial" w:eastAsia="Arial" w:hAnsi="Arial"/>
                  <w:sz w:val="16"/>
                  <w:szCs w:val="16"/>
                  <w:color w:val="0000FF"/>
                  <w:w w:val="95"/>
                </w:rPr>
                <w:t>Shareholder Representative Services LLC (incorporated by reference to Exhibit 2.1 filed with the Registrant’s Current Report on Form 8-K filed on</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0"/>
              </w:rPr>
            </w:pPr>
            <w:hyperlink r:id="rId242">
              <w:r>
                <w:rPr>
                  <w:rFonts w:ascii="Arial" w:cs="Arial" w:eastAsia="Arial" w:hAnsi="Arial"/>
                  <w:sz w:val="16"/>
                  <w:szCs w:val="16"/>
                  <w:color w:val="0000FF"/>
                  <w:w w:val="90"/>
                </w:rPr>
                <w:t>November 20, 2018)</w:t>
              </w:r>
            </w:hyperlink>
          </w:p>
        </w:tc>
        <w:tc>
          <w:tcPr>
            <w:tcW w:w="8220" w:type="dxa"/>
            <w:vAlign w:val="bottom"/>
            <w:tcBorders>
              <w:top w:val="single" w:sz="8" w:color="0000FF"/>
            </w:tcBorders>
            <w:gridSpan w:val="23"/>
          </w:tcPr>
          <w:p>
            <w:pPr>
              <w:spacing w:after="0"/>
              <w:rPr>
                <w:sz w:val="15"/>
                <w:szCs w:val="15"/>
                <w:color w:val="auto"/>
              </w:rPr>
            </w:pPr>
          </w:p>
        </w:tc>
        <w:tc>
          <w:tcPr>
            <w:tcW w:w="2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1003300"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Form 10-K 116</w:t>
      </w:r>
    </w:p>
    <w:p>
      <w:pPr>
        <w:sectPr>
          <w:pgSz w:w="11900" w:h="16838" w:orient="portrait"/>
          <w:cols w:equalWidth="0" w:num="1">
            <w:col w:w="11360"/>
          </w:cols>
          <w:pgMar w:left="240" w:top="125" w:right="2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0" w:type="dxa"/>
            <w:vAlign w:val="bottom"/>
            <w:gridSpan w:val="7"/>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700" w:type="dxa"/>
            <w:vAlign w:val="bottom"/>
            <w:tcBorders>
              <w:top w:val="single" w:sz="8" w:color="auto"/>
            </w:tcBorders>
          </w:tcPr>
          <w:p>
            <w:pPr>
              <w:jc w:val="center"/>
              <w:ind w:left="60"/>
              <w:spacing w:after="0"/>
              <w:rPr>
                <w:sz w:val="20"/>
                <w:szCs w:val="20"/>
                <w:color w:val="auto"/>
              </w:rPr>
            </w:pPr>
            <w:r>
              <w:rPr>
                <w:rFonts w:ascii="Arial" w:cs="Arial" w:eastAsia="Arial" w:hAnsi="Arial"/>
                <w:sz w:val="16"/>
                <w:szCs w:val="16"/>
                <w:color w:val="auto"/>
                <w:w w:val="89"/>
              </w:rPr>
              <w:t>21.1</w:t>
            </w:r>
          </w:p>
        </w:tc>
        <w:tc>
          <w:tcPr>
            <w:tcW w:w="50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Arial" w:cs="Arial" w:eastAsia="Arial" w:hAnsi="Arial"/>
                <w:sz w:val="16"/>
                <w:szCs w:val="16"/>
                <w:color w:val="0000FF"/>
              </w:rPr>
              <w:t>List of Subsidiaries (filed herewith)</w:t>
            </w:r>
          </w:p>
        </w:tc>
        <w:tc>
          <w:tcPr>
            <w:tcW w:w="720" w:type="dxa"/>
            <w:vAlign w:val="bottom"/>
            <w:tcBorders>
              <w:top w:val="single" w:sz="8" w:color="auto"/>
            </w:tcBorders>
            <w:gridSpan w:val="2"/>
          </w:tcPr>
          <w:p>
            <w:pPr>
              <w:spacing w:after="0"/>
              <w:rPr>
                <w:sz w:val="24"/>
                <w:szCs w:val="24"/>
                <w:color w:val="auto"/>
              </w:rPr>
            </w:pPr>
          </w:p>
        </w:tc>
        <w:tc>
          <w:tcPr>
            <w:tcW w:w="4220" w:type="dxa"/>
            <w:vAlign w:val="bottom"/>
            <w:gridSpan w:val="4"/>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5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23.1</w:t>
            </w:r>
          </w:p>
        </w:tc>
        <w:tc>
          <w:tcPr>
            <w:tcW w:w="500" w:type="dxa"/>
            <w:vAlign w:val="bottom"/>
          </w:tcPr>
          <w:p>
            <w:pPr>
              <w:spacing w:after="0"/>
              <w:rPr>
                <w:sz w:val="24"/>
                <w:szCs w:val="24"/>
                <w:color w:val="auto"/>
              </w:rPr>
            </w:pPr>
          </w:p>
        </w:tc>
        <w:tc>
          <w:tcPr>
            <w:tcW w:w="9500" w:type="dxa"/>
            <w:vAlign w:val="bottom"/>
            <w:gridSpan w:val="9"/>
          </w:tcPr>
          <w:p>
            <w:pPr>
              <w:spacing w:after="0"/>
              <w:rPr>
                <w:sz w:val="20"/>
                <w:szCs w:val="20"/>
                <w:color w:val="auto"/>
              </w:rPr>
            </w:pPr>
            <w:r>
              <w:rPr>
                <w:rFonts w:ascii="Arial" w:cs="Arial" w:eastAsia="Arial" w:hAnsi="Arial"/>
                <w:sz w:val="16"/>
                <w:szCs w:val="16"/>
                <w:color w:val="0000FF"/>
              </w:rPr>
              <w:t>Consent of Independent Registered Public Accounting Firm (Ernst &amp; Young LLP) (filed herewith)</w:t>
            </w:r>
          </w:p>
        </w:tc>
      </w:tr>
      <w:tr>
        <w:trPr>
          <w:trHeight w:val="35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24.1</w:t>
            </w:r>
          </w:p>
        </w:tc>
        <w:tc>
          <w:tcPr>
            <w:tcW w:w="500" w:type="dxa"/>
            <w:vAlign w:val="bottom"/>
          </w:tcPr>
          <w:p>
            <w:pPr>
              <w:spacing w:after="0"/>
              <w:rPr>
                <w:sz w:val="24"/>
                <w:szCs w:val="24"/>
                <w:color w:val="auto"/>
              </w:rPr>
            </w:pPr>
          </w:p>
        </w:tc>
        <w:tc>
          <w:tcPr>
            <w:tcW w:w="6380" w:type="dxa"/>
            <w:vAlign w:val="bottom"/>
            <w:tcBorders>
              <w:top w:val="single" w:sz="8" w:color="0000FF"/>
            </w:tcBorders>
            <w:gridSpan w:val="6"/>
          </w:tcPr>
          <w:p>
            <w:pPr>
              <w:spacing w:after="0"/>
              <w:rPr>
                <w:rFonts w:ascii="Arial" w:cs="Arial" w:eastAsia="Arial" w:hAnsi="Arial"/>
                <w:sz w:val="16"/>
                <w:szCs w:val="16"/>
                <w:color w:val="0000EE"/>
              </w:rPr>
            </w:pPr>
            <w:hyperlink w:anchor="page114">
              <w:r>
                <w:rPr>
                  <w:rFonts w:ascii="Arial" w:cs="Arial" w:eastAsia="Arial" w:hAnsi="Arial"/>
                  <w:sz w:val="16"/>
                  <w:szCs w:val="16"/>
                  <w:color w:val="0000EE"/>
                </w:rPr>
                <w:t>Power of Attorney (contained in the signature page to this Annual Report)</w:t>
              </w:r>
            </w:hyperlink>
          </w:p>
        </w:tc>
        <w:tc>
          <w:tcPr>
            <w:tcW w:w="3120" w:type="dxa"/>
            <w:vAlign w:val="bottom"/>
            <w:gridSpan w:val="3"/>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5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31.1</w:t>
            </w:r>
          </w:p>
        </w:tc>
        <w:tc>
          <w:tcPr>
            <w:tcW w:w="500" w:type="dxa"/>
            <w:vAlign w:val="bottom"/>
          </w:tcPr>
          <w:p>
            <w:pPr>
              <w:spacing w:after="0"/>
              <w:rPr>
                <w:sz w:val="24"/>
                <w:szCs w:val="24"/>
                <w:color w:val="auto"/>
              </w:rPr>
            </w:pPr>
          </w:p>
        </w:tc>
        <w:tc>
          <w:tcPr>
            <w:tcW w:w="9500" w:type="dxa"/>
            <w:vAlign w:val="bottom"/>
            <w:gridSpan w:val="9"/>
          </w:tcPr>
          <w:p>
            <w:pPr>
              <w:spacing w:after="0"/>
              <w:rPr>
                <w:sz w:val="20"/>
                <w:szCs w:val="20"/>
                <w:color w:val="auto"/>
              </w:rPr>
            </w:pPr>
            <w:r>
              <w:rPr>
                <w:rFonts w:ascii="Arial" w:cs="Arial" w:eastAsia="Arial" w:hAnsi="Arial"/>
                <w:sz w:val="16"/>
                <w:szCs w:val="16"/>
                <w:color w:val="0000FF"/>
              </w:rPr>
              <w:t>Certification of Chief Executive Officer pursuant to Rule 13a-14(a) of the Securities Exchange Act of 1934 (filed herewith)</w:t>
            </w:r>
          </w:p>
        </w:tc>
      </w:tr>
      <w:tr>
        <w:trPr>
          <w:trHeight w:val="372"/>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31.2</w:t>
            </w:r>
          </w:p>
        </w:tc>
        <w:tc>
          <w:tcPr>
            <w:tcW w:w="500" w:type="dxa"/>
            <w:vAlign w:val="bottom"/>
          </w:tcPr>
          <w:p>
            <w:pPr>
              <w:spacing w:after="0"/>
              <w:rPr>
                <w:sz w:val="24"/>
                <w:szCs w:val="24"/>
                <w:color w:val="auto"/>
              </w:rPr>
            </w:pPr>
          </w:p>
        </w:tc>
        <w:tc>
          <w:tcPr>
            <w:tcW w:w="800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0000FF"/>
                <w:w w:val="93"/>
              </w:rPr>
              <w:t>Certification of Chief Financial Officer pursuant to Rule 13a-14(a) of the Securities Exchange Act of 1934 (filed herewith)</w:t>
            </w:r>
          </w:p>
        </w:tc>
        <w:tc>
          <w:tcPr>
            <w:tcW w:w="1500" w:type="dxa"/>
            <w:vAlign w:val="bottom"/>
          </w:tcPr>
          <w:p>
            <w:pPr>
              <w:spacing w:after="0"/>
              <w:rPr>
                <w:sz w:val="24"/>
                <w:szCs w:val="24"/>
                <w:color w:val="auto"/>
              </w:rPr>
            </w:pPr>
          </w:p>
        </w:tc>
      </w:tr>
      <w:tr>
        <w:trPr>
          <w:trHeight w:val="20"/>
        </w:trPr>
        <w:tc>
          <w:tcPr>
            <w:tcW w:w="1200" w:type="dxa"/>
            <w:vAlign w:val="bottom"/>
            <w:gridSpan w:val="2"/>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5060" w:type="dxa"/>
            <w:vAlign w:val="bottom"/>
            <w:gridSpan w:val="5"/>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399"/>
        </w:trPr>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32.1†</w:t>
            </w:r>
          </w:p>
        </w:tc>
        <w:tc>
          <w:tcPr>
            <w:tcW w:w="95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2"/>
              </w:rPr>
              <w:t>Certification of Chief Executive Officer and Chief Financial Officer pursuant to 18 U.S.C. Section 1350, as adopted pursuant to Section 906 of the</w:t>
            </w: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00" w:type="dxa"/>
            <w:vAlign w:val="bottom"/>
            <w:tcBorders>
              <w:bottom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93"/>
              </w:rPr>
              <w:t>Sarbanes-Oxley Act of 2002 (filed herewith)</w:t>
            </w:r>
          </w:p>
        </w:tc>
        <w:tc>
          <w:tcPr>
            <w:tcW w:w="6600" w:type="dxa"/>
            <w:vAlign w:val="bottom"/>
            <w:gridSpan w:val="7"/>
          </w:tcPr>
          <w:p>
            <w:pPr>
              <w:spacing w:after="0"/>
              <w:rPr>
                <w:sz w:val="15"/>
                <w:szCs w:val="15"/>
                <w:color w:val="auto"/>
              </w:rPr>
            </w:pPr>
          </w:p>
        </w:tc>
      </w:tr>
    </w:tbl>
    <w:p>
      <w:pPr>
        <w:spacing w:after="0" w:line="193"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6"/>
          <w:szCs w:val="16"/>
          <w:color w:val="auto"/>
        </w:rPr>
        <w:t>101.INS ††</w:t>
      </w:r>
      <w:r>
        <w:rPr>
          <w:sz w:val="20"/>
          <w:szCs w:val="20"/>
          <w:color w:val="auto"/>
        </w:rPr>
        <w:tab/>
      </w:r>
      <w:r>
        <w:rPr>
          <w:rFonts w:ascii="Arial" w:cs="Arial" w:eastAsia="Arial" w:hAnsi="Arial"/>
          <w:sz w:val="14"/>
          <w:szCs w:val="14"/>
          <w:color w:val="auto"/>
        </w:rPr>
        <w:t>XBRL Instance Document</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4"/>
          <w:szCs w:val="14"/>
          <w:color w:val="auto"/>
        </w:rPr>
        <w:t>XBRL Taxonomy Extension Schema</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4"/>
          <w:szCs w:val="14"/>
          <w:color w:val="auto"/>
        </w:rPr>
        <w:t>XBRL Taxonomy Extension Calculation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XBRL Taxonomy Extension Definition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XBRL Taxonomy Extension Label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4"/>
          <w:szCs w:val="14"/>
          <w:color w:val="auto"/>
        </w:rPr>
        <w:t>XBRL Taxonomy Extension Presentation Linkbase</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9" w:lineRule="exact"/>
        <w:rPr>
          <w:sz w:val="20"/>
          <w:szCs w:val="20"/>
          <w:color w:val="auto"/>
        </w:rPr>
      </w:pPr>
    </w:p>
    <w:p>
      <w:pPr>
        <w:ind w:left="420" w:hanging="412"/>
        <w:spacing w:after="0"/>
        <w:tabs>
          <w:tab w:leader="none" w:pos="4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w:t>
      </w:r>
    </w:p>
    <w:p>
      <w:pPr>
        <w:spacing w:after="0" w:line="28" w:lineRule="exact"/>
        <w:rPr>
          <w:sz w:val="20"/>
          <w:szCs w:val="20"/>
          <w:color w:val="auto"/>
        </w:rPr>
      </w:pPr>
    </w:p>
    <w:p>
      <w:pPr>
        <w:ind w:left="420" w:right="120"/>
        <w:spacing w:after="0" w:line="246" w:lineRule="auto"/>
        <w:rPr>
          <w:sz w:val="20"/>
          <w:szCs w:val="20"/>
          <w:color w:val="auto"/>
        </w:rPr>
      </w:pPr>
      <w:r>
        <w:rPr>
          <w:rFonts w:ascii="Arial" w:cs="Arial" w:eastAsia="Arial" w:hAnsi="Arial"/>
          <w:sz w:val="16"/>
          <w:szCs w:val="16"/>
          <w:color w:val="auto"/>
        </w:rPr>
        <w:t>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spacing w:after="0" w:line="1" w:lineRule="exact"/>
        <w:rPr>
          <w:sz w:val="20"/>
          <w:szCs w:val="20"/>
          <w:color w:val="auto"/>
        </w:rPr>
      </w:pPr>
    </w:p>
    <w:p>
      <w:pPr>
        <w:ind w:left="420" w:hanging="412"/>
        <w:spacing w:after="0"/>
        <w:tabs>
          <w:tab w:leader="none" w:pos="4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429260</wp:posOffset>
            </wp:positionV>
            <wp:extent cx="1003300"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2019 Form 10-K 117</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10.17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AUTODESK,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EMPLOYEE STOCK PURCHASE PLAN</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(as amended and restated effective June 14, 2017)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(Sub-Plan of the Autodesk, Inc. 1998 Employee Qualified Stock Purchase Plan, as amended and restated)</w:t>
      </w:r>
    </w:p>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following constitute the provisions of the International Employee Stock Purchase Plan, as amended and restated (herein called the “Sub-Plan”) of Autodesk, Inc. (herein called the “Company”), a sub-plan of the Autodesk, Inc. 1998 Employee Qualified Stock Purchase Plan, as amended and restated (herein called the “US Plan”).</w:t>
      </w:r>
    </w:p>
    <w:p>
      <w:pPr>
        <w:spacing w:after="0" w:line="200" w:lineRule="exact"/>
        <w:rPr>
          <w:sz w:val="20"/>
          <w:szCs w:val="20"/>
          <w:color w:val="auto"/>
        </w:rPr>
      </w:pPr>
    </w:p>
    <w:p>
      <w:pPr>
        <w:spacing w:after="0" w:line="202" w:lineRule="exact"/>
        <w:rPr>
          <w:sz w:val="20"/>
          <w:szCs w:val="20"/>
          <w:color w:val="auto"/>
        </w:rPr>
      </w:pPr>
    </w:p>
    <w:p>
      <w:pPr>
        <w:ind w:right="380" w:firstLine="648"/>
        <w:spacing w:after="0" w:line="302"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Purpose</w:t>
      </w:r>
      <w:r>
        <w:rPr>
          <w:rFonts w:ascii="Arial" w:cs="Arial" w:eastAsia="Arial" w:hAnsi="Arial"/>
          <w:sz w:val="19"/>
          <w:szCs w:val="19"/>
          <w:color w:val="auto"/>
        </w:rPr>
        <w:t>. The Sub-Plan is intended to provide eligible Employees of the Company’s Affiliates the opportunity to acquire a proprietary interest in the Company through the purchase of shares of the Company’s common stock at periodic intervals with their accumulated payroll deductions or other approved contributions. The Sub-Plan is not intended to qualify as an employee stock purchase plan under Section 423 (b) of the U.S. Internal Revenue Code of 1986, as amended.</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provisions of this Sub-Plan shall be governed by the U.S. Plan, except as otherwise provided herein.</w:t>
      </w:r>
    </w:p>
    <w:p>
      <w:pPr>
        <w:spacing w:after="0" w:line="200" w:lineRule="exact"/>
        <w:rPr>
          <w:sz w:val="20"/>
          <w:szCs w:val="20"/>
          <w:color w:val="auto"/>
        </w:rPr>
      </w:pPr>
    </w:p>
    <w:p>
      <w:pPr>
        <w:spacing w:after="0" w:line="236" w:lineRule="exact"/>
        <w:rPr>
          <w:sz w:val="20"/>
          <w:szCs w:val="20"/>
          <w:color w:val="auto"/>
        </w:rPr>
      </w:pPr>
    </w:p>
    <w:p>
      <w:pPr>
        <w:ind w:left="1000" w:hanging="344"/>
        <w:spacing w:after="0"/>
        <w:tabs>
          <w:tab w:leader="none" w:pos="100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All definitions in the Sub-Plan shall be interpreted in accordance with the U.S. Plan except as otherwise provided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00" w:lineRule="exact"/>
        <w:rPr>
          <w:sz w:val="20"/>
          <w:szCs w:val="20"/>
          <w:color w:val="auto"/>
        </w:rPr>
      </w:pPr>
    </w:p>
    <w:p>
      <w:pPr>
        <w:spacing w:after="0" w:line="218" w:lineRule="exact"/>
        <w:rPr>
          <w:sz w:val="20"/>
          <w:szCs w:val="20"/>
          <w:color w:val="auto"/>
        </w:rPr>
      </w:pPr>
    </w:p>
    <w:p>
      <w:pPr>
        <w:ind w:right="520" w:firstLine="1305"/>
        <w:spacing w:after="0" w:line="320" w:lineRule="auto"/>
        <w:tabs>
          <w:tab w:leader="none" w:pos="1716" w:val="left"/>
        </w:tabs>
        <w:numPr>
          <w:ilvl w:val="1"/>
          <w:numId w:val="90"/>
        </w:numPr>
        <w:rPr>
          <w:rFonts w:ascii="Arial" w:cs="Arial" w:eastAsia="Arial" w:hAnsi="Arial"/>
          <w:sz w:val="19"/>
          <w:szCs w:val="19"/>
          <w:color w:val="auto"/>
        </w:rPr>
      </w:pPr>
      <w:r>
        <w:rPr>
          <w:rFonts w:ascii="Arial" w:cs="Arial" w:eastAsia="Arial" w:hAnsi="Arial"/>
          <w:sz w:val="19"/>
          <w:szCs w:val="19"/>
          <w:color w:val="auto"/>
        </w:rPr>
        <w:t>“Affiliate”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341" w:lineRule="exact"/>
        <w:rPr>
          <w:rFonts w:ascii="Arial" w:cs="Arial" w:eastAsia="Arial" w:hAnsi="Arial"/>
          <w:sz w:val="19"/>
          <w:szCs w:val="19"/>
          <w:color w:val="auto"/>
        </w:rPr>
      </w:pPr>
    </w:p>
    <w:p>
      <w:pPr>
        <w:ind w:left="1740" w:hanging="435"/>
        <w:spacing w:after="0"/>
        <w:tabs>
          <w:tab w:leader="none" w:pos="1740" w:val="left"/>
        </w:tabs>
        <w:numPr>
          <w:ilvl w:val="1"/>
          <w:numId w:val="90"/>
        </w:numPr>
        <w:rPr>
          <w:rFonts w:ascii="Arial" w:cs="Arial" w:eastAsia="Arial" w:hAnsi="Arial"/>
          <w:sz w:val="22"/>
          <w:szCs w:val="22"/>
          <w:color w:val="auto"/>
        </w:rPr>
      </w:pPr>
      <w:r>
        <w:rPr>
          <w:rFonts w:ascii="Arial" w:cs="Arial" w:eastAsia="Arial" w:hAnsi="Arial"/>
          <w:sz w:val="22"/>
          <w:szCs w:val="22"/>
          <w:color w:val="auto"/>
        </w:rPr>
        <w:t>“Employee” shall mean any person employed by an Affiliate.</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780" w:firstLine="1305"/>
        <w:spacing w:after="0" w:line="276" w:lineRule="auto"/>
        <w:tabs>
          <w:tab w:leader="none" w:pos="1716" w:val="left"/>
        </w:tabs>
        <w:numPr>
          <w:ilvl w:val="1"/>
          <w:numId w:val="90"/>
        </w:numPr>
        <w:rPr>
          <w:rFonts w:ascii="Arial" w:cs="Arial" w:eastAsia="Arial" w:hAnsi="Arial"/>
          <w:sz w:val="22"/>
          <w:szCs w:val="22"/>
          <w:color w:val="auto"/>
        </w:rPr>
      </w:pPr>
      <w:r>
        <w:rPr>
          <w:rFonts w:ascii="Arial" w:cs="Arial" w:eastAsia="Arial" w:hAnsi="Arial"/>
          <w:sz w:val="22"/>
          <w:szCs w:val="22"/>
          <w:color w:val="auto"/>
        </w:rPr>
        <w:t>“Participant” means any Employee who meets the eligibility and participation requirements set forth in Sections 3 and 4, below.</w:t>
      </w:r>
    </w:p>
    <w:p>
      <w:pPr>
        <w:spacing w:after="0" w:line="377" w:lineRule="exact"/>
        <w:rPr>
          <w:rFonts w:ascii="Arial" w:cs="Arial" w:eastAsia="Arial" w:hAnsi="Arial"/>
          <w:sz w:val="22"/>
          <w:szCs w:val="22"/>
          <w:color w:val="auto"/>
        </w:rPr>
      </w:pPr>
    </w:p>
    <w:p>
      <w:pPr>
        <w:ind w:firstLine="656"/>
        <w:spacing w:after="0" w:line="254" w:lineRule="auto"/>
        <w:tabs>
          <w:tab w:leader="none" w:pos="99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Each individual who is (a) an Employee as of the date specified by the Committee for the applicable Offering Period, and (b) employed by an Affiliate (or legal extension of an Affiliate, such as a branch office) operating in one of the countries listed on the attached Schedule A (which Schedule A may be amended form time to time by the Board or a committee thereof), shall be eligible to participate in the Sub-Plan for that Offering Period.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5" w:right="239" w:bottom="1440" w:gutter="0" w:footer="0" w:header="0"/>
        </w:sectPr>
      </w:pPr>
    </w:p>
    <w:bookmarkStart w:id="118" w:name="page119"/>
    <w:bookmarkEnd w:id="118"/>
    <w:p>
      <w:pPr>
        <w:ind w:left="980" w:hanging="344"/>
        <w:spacing w:after="0"/>
        <w:tabs>
          <w:tab w:leader="none" w:pos="98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0" w:right="40" w:firstLine="1305"/>
        <w:spacing w:after="0" w:line="251" w:lineRule="auto"/>
        <w:tabs>
          <w:tab w:leader="none" w:pos="1696"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 eligible Employee may become a Participant in the Plan by completing a subscription agreement authorizing payroll deductions or other approved contributions on the form provided by the Company and filing it online via the employee portal or with the Company’s payroll office within the period specified by the Committee for the applicable Offering Period, unless a later or earlier time for filing the subscription agreement is set by the Board for all eligible Employees with respect to a given offering.</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20" w:firstLine="1305"/>
        <w:spacing w:after="0" w:line="307" w:lineRule="auto"/>
        <w:tabs>
          <w:tab w:leader="none" w:pos="1708" w:val="left"/>
        </w:tabs>
        <w:numPr>
          <w:ilvl w:val="1"/>
          <w:numId w:val="92"/>
        </w:numPr>
        <w:rPr>
          <w:rFonts w:ascii="Arial" w:cs="Arial" w:eastAsia="Arial" w:hAnsi="Arial"/>
          <w:sz w:val="19"/>
          <w:szCs w:val="19"/>
          <w:color w:val="auto"/>
        </w:rPr>
      </w:pPr>
      <w:r>
        <w:rPr>
          <w:rFonts w:ascii="Arial" w:cs="Arial" w:eastAsia="Arial" w:hAnsi="Arial"/>
          <w:sz w:val="19"/>
          <w:szCs w:val="19"/>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of the U.S. Plan, unless sooner terminated by the participant as provided in Section 11 of the U.S. Plan.</w:t>
      </w:r>
    </w:p>
    <w:p>
      <w:pPr>
        <w:spacing w:after="0" w:line="354" w:lineRule="exact"/>
        <w:rPr>
          <w:rFonts w:ascii="Arial" w:cs="Arial" w:eastAsia="Arial" w:hAnsi="Arial"/>
          <w:sz w:val="19"/>
          <w:szCs w:val="19"/>
          <w:color w:val="auto"/>
        </w:rPr>
      </w:pPr>
    </w:p>
    <w:p>
      <w:pPr>
        <w:ind w:left="980" w:hanging="344"/>
        <w:spacing w:after="0"/>
        <w:tabs>
          <w:tab w:leader="none" w:pos="98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Payroll Deductions and Other Approved Contributions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20" w:right="180" w:firstLine="1305"/>
        <w:spacing w:after="0" w:line="260" w:lineRule="auto"/>
        <w:tabs>
          <w:tab w:leader="none" w:pos="1696" w:val="left"/>
        </w:tabs>
        <w:numPr>
          <w:ilvl w:val="1"/>
          <w:numId w:val="92"/>
        </w:numPr>
        <w:rPr>
          <w:rFonts w:ascii="Arial" w:cs="Arial" w:eastAsia="Arial" w:hAnsi="Arial"/>
          <w:sz w:val="22"/>
          <w:szCs w:val="22"/>
          <w:color w:val="auto"/>
        </w:rPr>
      </w:pPr>
      <w:r>
        <w:rPr>
          <w:rFonts w:ascii="Arial" w:cs="Arial" w:eastAsia="Arial" w:hAnsi="Arial"/>
          <w:sz w:val="22"/>
          <w:szCs w:val="22"/>
          <w:color w:val="auto"/>
        </w:rPr>
        <w:t>Except to the extent otherwise determined by the Board, payroll deductions shall be made in accordance with Section 6 of the U.S. Plan. The Board may, at its discretion, approve other methods of contributions including, without limitation, check, cash or standing order of the Participant’s individual bank account.</w:t>
      </w:r>
    </w:p>
    <w:p>
      <w:pPr>
        <w:spacing w:after="0" w:line="393" w:lineRule="exact"/>
        <w:rPr>
          <w:rFonts w:ascii="Arial" w:cs="Arial" w:eastAsia="Arial" w:hAnsi="Arial"/>
          <w:sz w:val="22"/>
          <w:szCs w:val="22"/>
          <w:color w:val="auto"/>
        </w:rPr>
      </w:pPr>
    </w:p>
    <w:p>
      <w:pPr>
        <w:ind w:left="-20" w:right="80" w:firstLine="1305"/>
        <w:spacing w:after="0" w:line="300" w:lineRule="auto"/>
        <w:tabs>
          <w:tab w:leader="none" w:pos="1708"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amounts so collected shall be credited to the participant’s individual book account under the Sub-Plan, initially in the currency in which paid by the Affiliate until converted into U.S. Dollars. Accordingly, all purchases of Common Stock under the Sub-Plan are to be made with the U.S. Dollars into which the payroll deductions for the Offering Period or other approved contributions have been converted. The amounts collected from a participant may be commingled with the general assets of the Company or the Affiliate and may be used for general corporate purposes, except as otherwise required by local law.</w:t>
      </w:r>
    </w:p>
    <w:p>
      <w:pPr>
        <w:spacing w:after="0" w:line="363" w:lineRule="exact"/>
        <w:rPr>
          <w:rFonts w:ascii="Arial" w:cs="Arial" w:eastAsia="Arial" w:hAnsi="Arial"/>
          <w:sz w:val="19"/>
          <w:szCs w:val="19"/>
          <w:color w:val="auto"/>
        </w:rPr>
      </w:pPr>
    </w:p>
    <w:p>
      <w:pPr>
        <w:ind w:left="-20" w:firstLine="1305"/>
        <w:spacing w:after="0" w:line="248" w:lineRule="auto"/>
        <w:tabs>
          <w:tab w:leader="none" w:pos="1696" w:val="left"/>
        </w:tabs>
        <w:numPr>
          <w:ilvl w:val="1"/>
          <w:numId w:val="92"/>
        </w:numPr>
        <w:rPr>
          <w:rFonts w:ascii="Arial" w:cs="Arial" w:eastAsia="Arial" w:hAnsi="Arial"/>
          <w:sz w:val="22"/>
          <w:szCs w:val="22"/>
          <w:color w:val="auto"/>
        </w:rPr>
      </w:pPr>
      <w:r>
        <w:rPr>
          <w:rFonts w:ascii="Arial" w:cs="Arial" w:eastAsia="Arial" w:hAnsi="Arial"/>
          <w:sz w:val="22"/>
          <w:szCs w:val="22"/>
          <w:color w:val="auto"/>
        </w:rPr>
        <w:t>For purposes of determining the number of shares purchasable by a participant, the payroll deductions or other approved contributions credited to each participant’s book account during each Exercise Period shall be converted into U.S. Dollars on the Exercise Date for that Exercise Period on the basis of the exchange rate in effect on such date. The Board shall have the absolute discretion to determine the applicable exchange rate to be in effect for each Exercise Date by any reasonable method (including, without limitation, the exchange rate actually used by the Company for its intra-Company financial transactions for the month of such transfer). Any changes or fluctuations in the exchange rate at which the payroll deductions or other approved contributions collected on the participant’s behalf are converted into U.S. Dollars on each Exercise Date shall be borne solely by the participant.</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20" w:right="260" w:firstLine="656"/>
        <w:spacing w:after="0" w:line="276" w:lineRule="auto"/>
        <w:tabs>
          <w:tab w:leader="none" w:pos="97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grant of the option and the purchase price of the option shall be in accordance with Section 7 of the U.S.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60" w:top="847" w:right="259" w:bottom="1440" w:gutter="0" w:footer="0" w:header="0"/>
        </w:sectPr>
      </w:pPr>
    </w:p>
    <w:bookmarkStart w:id="119" w:name="page120"/>
    <w:bookmarkEnd w:id="119"/>
    <w:p>
      <w:pPr>
        <w:ind w:left="1000" w:hanging="344"/>
        <w:spacing w:after="0"/>
        <w:tabs>
          <w:tab w:leader="none" w:pos="100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The exercise of the option shall be in accordance with Section 8 of the U.S. Plan.</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000" w:hanging="344"/>
        <w:spacing w:after="0"/>
        <w:tabs>
          <w:tab w:leader="none" w:pos="100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Withdrawal; Termination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300" w:firstLine="1305"/>
        <w:spacing w:after="0" w:line="250" w:lineRule="auto"/>
        <w:tabs>
          <w:tab w:leader="none" w:pos="1716" w:val="left"/>
        </w:tabs>
        <w:numPr>
          <w:ilvl w:val="1"/>
          <w:numId w:val="93"/>
        </w:numPr>
        <w:rPr>
          <w:rFonts w:ascii="Arial" w:cs="Arial" w:eastAsia="Arial" w:hAnsi="Arial"/>
          <w:sz w:val="22"/>
          <w:szCs w:val="22"/>
          <w:color w:val="auto"/>
        </w:rPr>
      </w:pPr>
      <w:r>
        <w:rPr>
          <w:rFonts w:ascii="Arial" w:cs="Arial" w:eastAsia="Arial" w:hAnsi="Arial"/>
          <w:sz w:val="22"/>
          <w:szCs w:val="22"/>
          <w:color w:val="auto"/>
        </w:rPr>
        <w:t>A Participant may withdraw all but not less than all the payroll deductions or other approved contributions credited to his or her account under the Sub-Plan at any time prior to the Exercise Date of the Offering Period by giving written notice to the Company. All of the Participant’s payroll deductions or other approved contributions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200" w:firstLine="1305"/>
        <w:spacing w:after="0" w:line="254" w:lineRule="auto"/>
        <w:tabs>
          <w:tab w:leader="none" w:pos="1728" w:val="left"/>
        </w:tabs>
        <w:numPr>
          <w:ilvl w:val="1"/>
          <w:numId w:val="93"/>
        </w:numPr>
        <w:rPr>
          <w:rFonts w:ascii="Arial" w:cs="Arial" w:eastAsia="Arial" w:hAnsi="Arial"/>
          <w:sz w:val="22"/>
          <w:szCs w:val="22"/>
          <w:color w:val="auto"/>
        </w:rPr>
      </w:pPr>
      <w:r>
        <w:rPr>
          <w:rFonts w:ascii="Arial" w:cs="Arial" w:eastAsia="Arial" w:hAnsi="Arial"/>
          <w:sz w:val="22"/>
          <w:szCs w:val="22"/>
          <w:color w:val="auto"/>
        </w:rPr>
        <w:t>Upon termination of the participant’s Continuous Status as an Employee prior to the Exercise Date for any reason, including retirement or death, the payroll deductions or other approved contributions credited to his or her account will be returned to the participant’s or, in the case the of Participant’s death, to the person or persons entitled thereto under Section 15 of the U.S. Plan, and his or her option will be automatically terminated.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firstLine="1305"/>
        <w:spacing w:after="0" w:line="276" w:lineRule="auto"/>
        <w:tabs>
          <w:tab w:leader="none" w:pos="1716" w:val="left"/>
        </w:tabs>
        <w:numPr>
          <w:ilvl w:val="1"/>
          <w:numId w:val="93"/>
        </w:numPr>
        <w:rPr>
          <w:rFonts w:ascii="Arial" w:cs="Arial" w:eastAsia="Arial" w:hAnsi="Arial"/>
          <w:sz w:val="22"/>
          <w:szCs w:val="22"/>
          <w:color w:val="auto"/>
        </w:rPr>
      </w:pPr>
      <w:r>
        <w:rPr>
          <w:rFonts w:ascii="Arial" w:cs="Arial" w:eastAsia="Arial" w:hAnsi="Arial"/>
          <w:sz w:val="22"/>
          <w:szCs w:val="22"/>
          <w:color w:val="auto"/>
        </w:rPr>
        <w:t>A Participant’s withdrawal from an offering will not have any effect upon his or her eligibility to participate in a succeeding offering or in any similar plan which may hereafter be adopted by the Company.</w:t>
      </w:r>
    </w:p>
    <w:p>
      <w:pPr>
        <w:spacing w:after="0" w:line="377" w:lineRule="exact"/>
        <w:rPr>
          <w:rFonts w:ascii="Arial" w:cs="Arial" w:eastAsia="Arial" w:hAnsi="Arial"/>
          <w:sz w:val="22"/>
          <w:szCs w:val="22"/>
          <w:color w:val="auto"/>
        </w:rPr>
      </w:pPr>
    </w:p>
    <w:p>
      <w:pPr>
        <w:ind w:left="1000" w:hanging="344"/>
        <w:spacing w:after="0"/>
        <w:tabs>
          <w:tab w:leader="none" w:pos="100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Transfer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305"/>
        <w:spacing w:after="0" w:line="248" w:lineRule="auto"/>
        <w:tabs>
          <w:tab w:leader="none" w:pos="1716" w:val="left"/>
        </w:tabs>
        <w:numPr>
          <w:ilvl w:val="1"/>
          <w:numId w:val="93"/>
        </w:numPr>
        <w:rPr>
          <w:rFonts w:ascii="Arial" w:cs="Arial" w:eastAsia="Arial" w:hAnsi="Arial"/>
          <w:sz w:val="22"/>
          <w:szCs w:val="22"/>
          <w:color w:val="auto"/>
        </w:rPr>
      </w:pPr>
      <w:r>
        <w:rPr>
          <w:rFonts w:ascii="Arial" w:cs="Arial" w:eastAsia="Arial" w:hAnsi="Arial"/>
          <w:sz w:val="22"/>
          <w:szCs w:val="22"/>
          <w:color w:val="auto"/>
        </w:rPr>
        <w:t>In the event that a Participant who is an Employee of an Affiliate is transferred and becomes an employee of the Company during an Offering Period under the Sub-Plan, such individual may, subject to the terms and eligibility of the U.S. Plan, become a participant under the U.S. Plan for the duration of the Offering Period in effect at that time. Unless otherwise required under local law, any payroll deductions or other approved contributions may continue to be held by the Affiliate former employer of the Participant for the remainder of the Offering Period. At the next Exercise date, all payroll deductions and other approved contributions made by or to the Company or the Affiliate shall be aggregated for the purchase of shares subject to the terms and limitations of the U.S. Plan.</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ind w:right="60" w:firstLine="1305"/>
        <w:spacing w:after="0" w:line="264" w:lineRule="auto"/>
        <w:tabs>
          <w:tab w:leader="none" w:pos="1728" w:val="left"/>
        </w:tabs>
        <w:numPr>
          <w:ilvl w:val="1"/>
          <w:numId w:val="93"/>
        </w:numPr>
        <w:rPr>
          <w:rFonts w:ascii="Arial" w:cs="Arial" w:eastAsia="Arial" w:hAnsi="Arial"/>
          <w:sz w:val="21"/>
          <w:szCs w:val="21"/>
          <w:color w:val="auto"/>
        </w:rPr>
      </w:pPr>
      <w:r>
        <w:rPr>
          <w:rFonts w:ascii="Arial" w:cs="Arial" w:eastAsia="Arial" w:hAnsi="Arial"/>
          <w:sz w:val="21"/>
          <w:szCs w:val="21"/>
          <w:color w:val="auto"/>
        </w:rPr>
        <w:t>In the event that an employee of the Company who is a participant in the U.S. Plan is transferred and becomes an Employee of an Affiliate during an Offering Period in effect under the U.S. Plan, such individual may become a participant under the Sub-Plan for the duration of the Offering Period in effect at that time. Unless otherwise required under local law, any payroll deductions may continue to be held by the Company for the remainder of the Offering Period. At the next Exercise date, all payroll deductions and other approved contributions made by or to the Company or Affiliate may be aggregated for the purchase of shares subject to the terms and limitations of the Sub-Plan.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120" w:name="page121"/>
    <w:bookmarkEnd w:id="120"/>
    <w:p>
      <w:pPr>
        <w:ind w:right="100" w:firstLine="656"/>
        <w:spacing w:after="0" w:line="276" w:lineRule="auto"/>
        <w:tabs>
          <w:tab w:leader="none" w:pos="109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shall accrue on the payroll deductions or other approved contributions of a Participant in the Sub-Plan, unless required by Applicable Law, as determined by the Company.</w:t>
      </w:r>
    </w:p>
    <w:p>
      <w:pPr>
        <w:spacing w:after="0" w:line="377" w:lineRule="exact"/>
        <w:rPr>
          <w:rFonts w:ascii="Arial" w:cs="Arial" w:eastAsia="Arial" w:hAnsi="Arial"/>
          <w:sz w:val="22"/>
          <w:szCs w:val="22"/>
          <w:color w:val="auto"/>
        </w:rPr>
      </w:pPr>
    </w:p>
    <w:p>
      <w:pPr>
        <w:ind w:left="1100" w:hanging="444"/>
        <w:spacing w:after="0"/>
        <w:tabs>
          <w:tab w:leader="none" w:pos="11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305"/>
        <w:spacing w:after="0" w:line="260" w:lineRule="auto"/>
        <w:tabs>
          <w:tab w:leader="none" w:pos="1716"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shares of the Company’s Common Stock purchasable by Participants under the Sub-Plan shall be made available from shares reserved under the U.S. Plan and any shares issued under the Sub-Plan will reduce, on a share-for-share basis, the number of shares of Stock available for subsequent issuance under the U.S. Plan.</w:t>
      </w:r>
    </w:p>
    <w:p>
      <w:pPr>
        <w:spacing w:after="0" w:line="393" w:lineRule="exact"/>
        <w:rPr>
          <w:rFonts w:ascii="Arial" w:cs="Arial" w:eastAsia="Arial" w:hAnsi="Arial"/>
          <w:sz w:val="22"/>
          <w:szCs w:val="22"/>
          <w:color w:val="auto"/>
        </w:rPr>
      </w:pPr>
    </w:p>
    <w:p>
      <w:pPr>
        <w:ind w:left="1740" w:hanging="435"/>
        <w:spacing w:after="0"/>
        <w:tabs>
          <w:tab w:leader="none" w:pos="1740"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Participant will have no interest or voting right in shares covered by his or her option until such option has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been exercised.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80" w:firstLine="1305"/>
        <w:spacing w:after="0" w:line="276" w:lineRule="auto"/>
        <w:tabs>
          <w:tab w:leader="none" w:pos="1716" w:val="left"/>
        </w:tabs>
        <w:numPr>
          <w:ilvl w:val="1"/>
          <w:numId w:val="94"/>
        </w:numPr>
        <w:rPr>
          <w:rFonts w:ascii="Arial" w:cs="Arial" w:eastAsia="Arial" w:hAnsi="Arial"/>
          <w:sz w:val="22"/>
          <w:szCs w:val="22"/>
          <w:color w:val="auto"/>
        </w:rPr>
      </w:pPr>
      <w:r>
        <w:rPr>
          <w:rFonts w:ascii="Arial" w:cs="Arial" w:eastAsia="Arial" w:hAnsi="Arial"/>
          <w:sz w:val="22"/>
          <w:szCs w:val="22"/>
          <w:color w:val="auto"/>
        </w:rPr>
        <w:t>Shares to be delivered to a Participant under the Sub-Plan will be registered in the name of the Participant or in the name of the Participant and his or her spouse.</w:t>
      </w:r>
    </w:p>
    <w:p>
      <w:pPr>
        <w:spacing w:after="0" w:line="377" w:lineRule="exact"/>
        <w:rPr>
          <w:rFonts w:ascii="Arial" w:cs="Arial" w:eastAsia="Arial" w:hAnsi="Arial"/>
          <w:sz w:val="22"/>
          <w:szCs w:val="22"/>
          <w:color w:val="auto"/>
        </w:rPr>
      </w:pPr>
    </w:p>
    <w:p>
      <w:pPr>
        <w:ind w:firstLine="656"/>
        <w:spacing w:after="0" w:line="247" w:lineRule="auto"/>
        <w:tabs>
          <w:tab w:leader="none" w:pos="109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Sub-Plan shall be administered in accordance with Section 14 of the U.S. Plan. The Board may adopt rules or procedures relating to the operation and administration of the Sub-Plan to accommodate the specific requirements of the law and procedures of applicable jurisdictions. Without limiting the generality of the foregoing, the Board is specifically authorized to adopt rules and procedures regarding handling of payroll deductions or other approved contributions, payment of interest, conversion of local currency, payroll tax, withholding procedures and handling of stock certificates that vary with local requirements. The Board may also adopt rules, procedures or sub-plans applicable to particular Affiliates or jurisdictions. The rules of such sub-plans may take precedence over other provisions of this Sub-Plan, with the exception of Section 11 of the Sub-Plan, but unless otherwise superseded by the terms of such sub-plan, the provisions of the Sub-Plan shall govern the operation of such sub-plan.</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firstLine="656"/>
        <w:spacing w:after="0" w:line="294" w:lineRule="auto"/>
        <w:tabs>
          <w:tab w:leader="none" w:pos="109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Neither payroll deductions nor other funds credited to a Participant’s account nor any rights with regard to the exercise of an option or to receive shares under the Sub-Plan may be assigned, transferred, pledged or otherwise disposed of in any way (other than by will, the laws of descent and distribution or as provided in Section 15 of the U.S. Plan) by the Participant. Any such attempt at assignment, transfer, pledge or other disposition shall be without effect, except that the Company may treat such act as an election to withdraw funds in accordance with Section 11 of the U.S. Plan. In order to comply with local law (including, without limitation, local securities and applicable exchange laws), the Company may require a Participant to retain the shares purchased on his or her behalf in a Company account or an account of a designated broker until the sale of such shares.</w:t>
      </w:r>
    </w:p>
    <w:p>
      <w:pPr>
        <w:spacing w:after="0" w:line="368" w:lineRule="exact"/>
        <w:rPr>
          <w:rFonts w:ascii="Arial" w:cs="Arial" w:eastAsia="Arial" w:hAnsi="Arial"/>
          <w:sz w:val="19"/>
          <w:szCs w:val="19"/>
          <w:color w:val="auto"/>
        </w:rPr>
      </w:pPr>
    </w:p>
    <w:p>
      <w:pPr>
        <w:ind w:right="60" w:firstLine="656"/>
        <w:spacing w:after="0" w:line="260" w:lineRule="auto"/>
        <w:tabs>
          <w:tab w:leader="none" w:pos="109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Use of Funds</w:t>
      </w:r>
      <w:r>
        <w:rPr>
          <w:rFonts w:ascii="Arial" w:cs="Arial" w:eastAsia="Arial" w:hAnsi="Arial"/>
          <w:sz w:val="22"/>
          <w:szCs w:val="22"/>
          <w:color w:val="auto"/>
        </w:rPr>
        <w:t>. All payroll deductions or other approved contributions received or held by the Company under the Sub-Plan may be used by the Company for any corporate purpose, and the Company shall not be obligated to segregate such payroll deductions or other approved contributions unless required by local law.</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847" w:right="259" w:bottom="1440" w:gutter="0" w:footer="0" w:header="0"/>
        </w:sectPr>
      </w:pPr>
    </w:p>
    <w:bookmarkStart w:id="121" w:name="page122"/>
    <w:bookmarkEnd w:id="121"/>
    <w:p>
      <w:pPr>
        <w:jc w:val="both"/>
        <w:ind w:right="40" w:firstLine="656"/>
        <w:spacing w:after="0" w:line="254" w:lineRule="auto"/>
        <w:tabs>
          <w:tab w:leader="none" w:pos="1098"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Reports</w:t>
      </w:r>
      <w:r>
        <w:rPr>
          <w:rFonts w:ascii="Arial" w:cs="Arial" w:eastAsia="Arial" w:hAnsi="Arial"/>
          <w:sz w:val="22"/>
          <w:szCs w:val="22"/>
          <w:color w:val="auto"/>
        </w:rPr>
        <w:t>. Individual accounts will be maintained for each Participant in the Sub-Plan. Statements of account will be given to participating Employees annually promptly following the Exercise Date, which statements will set forth the amounts of payroll deductions or other approved contributions, the per share purchase price, the number of shares purchased and the remaining cash balance refunded or to be refunded, if any.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140" w:firstLine="656"/>
        <w:spacing w:after="0" w:line="320" w:lineRule="auto"/>
        <w:tabs>
          <w:tab w:leader="none" w:pos="1098"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Amendment or Termination</w:t>
      </w:r>
      <w:r>
        <w:rPr>
          <w:rFonts w:ascii="Arial" w:cs="Arial" w:eastAsia="Arial" w:hAnsi="Arial"/>
          <w:sz w:val="19"/>
          <w:szCs w:val="19"/>
          <w:color w:val="auto"/>
        </w:rPr>
        <w:t>. The Board of Directors of the Company or its Committee appointed pursuant to the U.S. Plan may at any time terminate or amend the Sub-Plan. No such termination can affect options previously granted, nor may an amendment make any change in any option theretofore granted which adversely affects the rights of any participant.</w:t>
      </w:r>
    </w:p>
    <w:p>
      <w:pPr>
        <w:spacing w:after="0" w:line="342" w:lineRule="exact"/>
        <w:rPr>
          <w:sz w:val="20"/>
          <w:szCs w:val="20"/>
          <w:color w:val="auto"/>
        </w:rPr>
      </w:pPr>
    </w:p>
    <w:p>
      <w:pPr>
        <w:ind w:right="80" w:firstLine="1297"/>
        <w:spacing w:after="0" w:line="259" w:lineRule="auto"/>
        <w:rPr>
          <w:sz w:val="20"/>
          <w:szCs w:val="20"/>
          <w:color w:val="auto"/>
        </w:rPr>
      </w:pPr>
      <w:r>
        <w:rPr>
          <w:rFonts w:ascii="Arial" w:cs="Arial" w:eastAsia="Arial" w:hAnsi="Arial"/>
          <w:sz w:val="21"/>
          <w:szCs w:val="21"/>
          <w:color w:val="auto"/>
        </w:rPr>
        <w:t>Notwithstanding any provision of the U.S. Plan or this Sub-Plan to the contrary, in order to comply with the laws in other countries in which the Company and its Subsidiaries operate or have participants, the Company, by action of its duly authorized officers, in their sole discretion, shall have the power and authority at any time to establish “offering document” and similar addendums to this Sub-Plan to modify administrative procedures and other terms and procedures, to the extent such actions may be necessary or advisable and take any action that it deems advisable to obtain approval or comply with any necessary local governmental regulatory exemptions or approvals. Notwithstanding the foregoing, no action may be taken hereunder that would violate the Exchange Act, the Code, any securities law or governing statute or any other applicable law or cause the U.S. Plan not to comply with Section 423 of the Code.</w:t>
      </w:r>
    </w:p>
    <w:p>
      <w:pPr>
        <w:spacing w:after="0" w:line="400" w:lineRule="exact"/>
        <w:rPr>
          <w:sz w:val="20"/>
          <w:szCs w:val="20"/>
          <w:color w:val="auto"/>
        </w:rPr>
      </w:pPr>
    </w:p>
    <w:p>
      <w:pPr>
        <w:ind w:right="340" w:firstLine="656"/>
        <w:spacing w:after="0" w:line="260" w:lineRule="auto"/>
        <w:tabs>
          <w:tab w:leader="none" w:pos="1098"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Sub-Plan shall be deemed to have been duly given when received in the form specified by the Company at the location, or by the person, designated by the Company for the receipt thereof.</w:t>
      </w:r>
    </w:p>
    <w:p>
      <w:pPr>
        <w:spacing w:after="0" w:line="393" w:lineRule="exact"/>
        <w:rPr>
          <w:rFonts w:ascii="Arial" w:cs="Arial" w:eastAsia="Arial" w:hAnsi="Arial"/>
          <w:sz w:val="22"/>
          <w:szCs w:val="22"/>
          <w:color w:val="auto"/>
        </w:rPr>
      </w:pPr>
    </w:p>
    <w:p>
      <w:pPr>
        <w:ind w:firstLine="656"/>
        <w:spacing w:after="0" w:line="300" w:lineRule="auto"/>
        <w:tabs>
          <w:tab w:leader="none" w:pos="1098"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Except to the extent that provisions of this Plan are governed by applicable provisions of the Code or any other substantive provision of United States federal law, this Plan shall be construed in accordance with the laws of the State of California, without giving effect to the conflict of laws principles thereof. Should any provision of this Sub-Plan be determined by a court of competent jurisdiction to be unlawful or unenforceable for a country, such determination shall in no way affect the application of that provision in any other country, or any of the remaining provisions of the Sub-Plan.</w:t>
      </w:r>
    </w:p>
    <w:p>
      <w:pPr>
        <w:spacing w:after="0" w:line="363" w:lineRule="exact"/>
        <w:rPr>
          <w:rFonts w:ascii="Arial" w:cs="Arial" w:eastAsia="Arial" w:hAnsi="Arial"/>
          <w:sz w:val="19"/>
          <w:szCs w:val="19"/>
          <w:color w:val="auto"/>
        </w:rPr>
      </w:pPr>
    </w:p>
    <w:p>
      <w:pPr>
        <w:ind w:right="140" w:firstLine="656"/>
        <w:spacing w:after="0" w:line="254" w:lineRule="auto"/>
        <w:tabs>
          <w:tab w:leader="none" w:pos="1098"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Sub-Plan is or becomes or is deemed to be invalid, illegal, or unenforceable for any reason in any jurisdiction or as to any Employee, such invalidity, illegality or unenforceability will not affect the remaining parts of the Sub-Plan, and the Sub-Plan will be construed and enforced as to such jurisdiction or Employee as if the invalid, illegal or unenforceable provision had not been included.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122" w:name="page123"/>
    <w:bookmarkEnd w:id="122"/>
    <w:p>
      <w:pPr>
        <w:ind w:left="5200"/>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ind w:left="2840"/>
        <w:spacing w:after="0" w:line="256" w:lineRule="auto"/>
        <w:rPr>
          <w:sz w:val="20"/>
          <w:szCs w:val="20"/>
          <w:color w:val="auto"/>
        </w:rPr>
      </w:pPr>
      <w:r>
        <w:rPr>
          <w:rFonts w:ascii="Arial" w:cs="Arial" w:eastAsia="Arial" w:hAnsi="Arial"/>
          <w:sz w:val="22"/>
          <w:szCs w:val="22"/>
          <w:b w:val="1"/>
          <w:bCs w:val="1"/>
          <w:color w:val="auto"/>
        </w:rPr>
        <w:t>Countries with Eligible Employees of Affiliates Participating in the International Employee Stock Purchase Plan (as of December 13, 2018)</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Argentina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rPr>
          <w:sz w:val="20"/>
          <w:szCs w:val="20"/>
          <w:color w:val="auto"/>
        </w:rPr>
      </w:pPr>
      <w:r>
        <w:rPr>
          <w:rFonts w:ascii="Arial" w:cs="Arial" w:eastAsia="Arial" w:hAnsi="Arial"/>
          <w:sz w:val="20"/>
          <w:szCs w:val="20"/>
          <w:color w:val="auto"/>
        </w:rPr>
        <w:t>Austria</w:t>
      </w:r>
    </w:p>
    <w:p>
      <w:pPr>
        <w:spacing w:after="0"/>
        <w:rPr>
          <w:sz w:val="20"/>
          <w:szCs w:val="20"/>
          <w:color w:val="auto"/>
        </w:rPr>
      </w:pPr>
      <w:r>
        <w:rPr>
          <w:rFonts w:ascii="Arial" w:cs="Arial" w:eastAsia="Arial" w:hAnsi="Arial"/>
          <w:sz w:val="20"/>
          <w:szCs w:val="20"/>
          <w:color w:val="auto"/>
        </w:rPr>
        <w:t>Belgium</w:t>
      </w:r>
    </w:p>
    <w:p>
      <w:pPr>
        <w:spacing w:after="0"/>
        <w:rPr>
          <w:sz w:val="20"/>
          <w:szCs w:val="20"/>
          <w:color w:val="auto"/>
        </w:rPr>
      </w:pPr>
      <w:r>
        <w:rPr>
          <w:rFonts w:ascii="Arial" w:cs="Arial" w:eastAsia="Arial" w:hAnsi="Arial"/>
          <w:sz w:val="20"/>
          <w:szCs w:val="20"/>
          <w:color w:val="auto"/>
        </w:rPr>
        <w:t>Brazil</w:t>
      </w:r>
    </w:p>
    <w:p>
      <w:pPr>
        <w:spacing w:after="0"/>
        <w:rPr>
          <w:sz w:val="20"/>
          <w:szCs w:val="20"/>
          <w:color w:val="auto"/>
        </w:rPr>
      </w:pPr>
      <w:r>
        <w:rPr>
          <w:rFonts w:ascii="Arial" w:cs="Arial" w:eastAsia="Arial" w:hAnsi="Arial"/>
          <w:sz w:val="20"/>
          <w:szCs w:val="20"/>
          <w:color w:val="auto"/>
        </w:rPr>
        <w:t>Canada</w:t>
      </w:r>
    </w:p>
    <w:p>
      <w:pPr>
        <w:spacing w:after="0"/>
        <w:rPr>
          <w:sz w:val="20"/>
          <w:szCs w:val="20"/>
          <w:color w:val="auto"/>
        </w:rPr>
      </w:pPr>
      <w:r>
        <w:rPr>
          <w:rFonts w:ascii="Arial" w:cs="Arial" w:eastAsia="Arial" w:hAnsi="Arial"/>
          <w:sz w:val="20"/>
          <w:szCs w:val="20"/>
          <w:color w:val="auto"/>
        </w:rPr>
        <w:t>China</w:t>
      </w:r>
    </w:p>
    <w:p>
      <w:pPr>
        <w:spacing w:after="0"/>
        <w:rPr>
          <w:sz w:val="20"/>
          <w:szCs w:val="20"/>
          <w:color w:val="auto"/>
        </w:rPr>
      </w:pPr>
      <w:r>
        <w:rPr>
          <w:rFonts w:ascii="Arial" w:cs="Arial" w:eastAsia="Arial" w:hAnsi="Arial"/>
          <w:sz w:val="20"/>
          <w:szCs w:val="20"/>
          <w:color w:val="auto"/>
        </w:rPr>
        <w:t>Colombia</w:t>
      </w:r>
    </w:p>
    <w:p>
      <w:pPr>
        <w:spacing w:after="0"/>
        <w:rPr>
          <w:sz w:val="20"/>
          <w:szCs w:val="20"/>
          <w:color w:val="auto"/>
        </w:rPr>
      </w:pPr>
      <w:r>
        <w:rPr>
          <w:rFonts w:ascii="Arial" w:cs="Arial" w:eastAsia="Arial" w:hAnsi="Arial"/>
          <w:sz w:val="20"/>
          <w:szCs w:val="20"/>
          <w:color w:val="auto"/>
        </w:rPr>
        <w:t>Czech Republic</w:t>
      </w:r>
    </w:p>
    <w:p>
      <w:pPr>
        <w:spacing w:after="0"/>
        <w:rPr>
          <w:sz w:val="20"/>
          <w:szCs w:val="20"/>
          <w:color w:val="auto"/>
        </w:rPr>
      </w:pPr>
      <w:r>
        <w:rPr>
          <w:rFonts w:ascii="Arial" w:cs="Arial" w:eastAsia="Arial" w:hAnsi="Arial"/>
          <w:sz w:val="20"/>
          <w:szCs w:val="20"/>
          <w:color w:val="auto"/>
        </w:rPr>
        <w:t>Denmark</w:t>
      </w:r>
    </w:p>
    <w:p>
      <w:pPr>
        <w:spacing w:after="0"/>
        <w:rPr>
          <w:sz w:val="20"/>
          <w:szCs w:val="20"/>
          <w:color w:val="auto"/>
        </w:rPr>
      </w:pPr>
      <w:r>
        <w:rPr>
          <w:rFonts w:ascii="Arial" w:cs="Arial" w:eastAsia="Arial" w:hAnsi="Arial"/>
          <w:sz w:val="20"/>
          <w:szCs w:val="20"/>
          <w:color w:val="auto"/>
        </w:rPr>
        <w:t>Finland</w:t>
      </w:r>
    </w:p>
    <w:p>
      <w:pPr>
        <w:spacing w:after="0"/>
        <w:rPr>
          <w:sz w:val="20"/>
          <w:szCs w:val="20"/>
          <w:color w:val="auto"/>
        </w:rPr>
      </w:pPr>
      <w:r>
        <w:rPr>
          <w:rFonts w:ascii="Arial" w:cs="Arial" w:eastAsia="Arial" w:hAnsi="Arial"/>
          <w:sz w:val="20"/>
          <w:szCs w:val="20"/>
          <w:color w:val="auto"/>
        </w:rPr>
        <w:t>France</w:t>
      </w:r>
    </w:p>
    <w:p>
      <w:pPr>
        <w:spacing w:after="0"/>
        <w:rPr>
          <w:sz w:val="20"/>
          <w:szCs w:val="20"/>
          <w:color w:val="auto"/>
        </w:rPr>
      </w:pPr>
      <w:r>
        <w:rPr>
          <w:rFonts w:ascii="Arial" w:cs="Arial" w:eastAsia="Arial" w:hAnsi="Arial"/>
          <w:sz w:val="20"/>
          <w:szCs w:val="20"/>
          <w:color w:val="auto"/>
        </w:rPr>
        <w:t>Germany</w:t>
      </w:r>
    </w:p>
    <w:p>
      <w:pPr>
        <w:spacing w:after="0"/>
        <w:rPr>
          <w:sz w:val="20"/>
          <w:szCs w:val="20"/>
          <w:color w:val="auto"/>
        </w:rPr>
      </w:pPr>
      <w:r>
        <w:rPr>
          <w:rFonts w:ascii="Arial" w:cs="Arial" w:eastAsia="Arial" w:hAnsi="Arial"/>
          <w:sz w:val="20"/>
          <w:szCs w:val="20"/>
          <w:color w:val="auto"/>
        </w:rPr>
        <w:t>Greece</w:t>
      </w:r>
    </w:p>
    <w:p>
      <w:pPr>
        <w:spacing w:after="0"/>
        <w:rPr>
          <w:sz w:val="20"/>
          <w:szCs w:val="20"/>
          <w:color w:val="auto"/>
        </w:rPr>
      </w:pPr>
      <w:r>
        <w:rPr>
          <w:rFonts w:ascii="Arial" w:cs="Arial" w:eastAsia="Arial" w:hAnsi="Arial"/>
          <w:sz w:val="20"/>
          <w:szCs w:val="20"/>
          <w:color w:val="auto"/>
        </w:rPr>
        <w:t>Hong Kong</w:t>
      </w:r>
    </w:p>
    <w:p>
      <w:pPr>
        <w:spacing w:after="0"/>
        <w:rPr>
          <w:sz w:val="20"/>
          <w:szCs w:val="20"/>
          <w:color w:val="auto"/>
        </w:rPr>
      </w:pPr>
      <w:r>
        <w:rPr>
          <w:rFonts w:ascii="Arial" w:cs="Arial" w:eastAsia="Arial" w:hAnsi="Arial"/>
          <w:sz w:val="20"/>
          <w:szCs w:val="20"/>
          <w:color w:val="auto"/>
        </w:rPr>
        <w:t>Hungary</w:t>
      </w:r>
    </w:p>
    <w:p>
      <w:pPr>
        <w:spacing w:after="0"/>
        <w:rPr>
          <w:sz w:val="20"/>
          <w:szCs w:val="20"/>
          <w:color w:val="auto"/>
        </w:rPr>
      </w:pPr>
      <w:r>
        <w:rPr>
          <w:rFonts w:ascii="Arial" w:cs="Arial" w:eastAsia="Arial" w:hAnsi="Arial"/>
          <w:sz w:val="20"/>
          <w:szCs w:val="20"/>
          <w:color w:val="auto"/>
        </w:rPr>
        <w:t>India</w:t>
      </w:r>
    </w:p>
    <w:p>
      <w:pPr>
        <w:spacing w:after="0"/>
        <w:rPr>
          <w:sz w:val="20"/>
          <w:szCs w:val="20"/>
          <w:color w:val="auto"/>
        </w:rPr>
      </w:pPr>
      <w:r>
        <w:rPr>
          <w:rFonts w:ascii="Arial" w:cs="Arial" w:eastAsia="Arial" w:hAnsi="Arial"/>
          <w:sz w:val="20"/>
          <w:szCs w:val="20"/>
          <w:color w:val="auto"/>
        </w:rPr>
        <w:t>Indonesia</w:t>
      </w:r>
    </w:p>
    <w:p>
      <w:pPr>
        <w:spacing w:after="0"/>
        <w:rPr>
          <w:sz w:val="20"/>
          <w:szCs w:val="20"/>
          <w:color w:val="auto"/>
        </w:rPr>
      </w:pPr>
      <w:r>
        <w:rPr>
          <w:rFonts w:ascii="Arial" w:cs="Arial" w:eastAsia="Arial" w:hAnsi="Arial"/>
          <w:sz w:val="20"/>
          <w:szCs w:val="20"/>
          <w:color w:val="auto"/>
        </w:rPr>
        <w:t>Ireland</w:t>
      </w:r>
    </w:p>
    <w:p>
      <w:pPr>
        <w:spacing w:after="0"/>
        <w:rPr>
          <w:sz w:val="20"/>
          <w:szCs w:val="20"/>
          <w:color w:val="auto"/>
        </w:rPr>
      </w:pPr>
      <w:r>
        <w:rPr>
          <w:rFonts w:ascii="Arial" w:cs="Arial" w:eastAsia="Arial" w:hAnsi="Arial"/>
          <w:sz w:val="20"/>
          <w:szCs w:val="20"/>
          <w:color w:val="auto"/>
        </w:rPr>
        <w:t>Israel</w:t>
      </w:r>
    </w:p>
    <w:p>
      <w:pPr>
        <w:spacing w:after="0"/>
        <w:rPr>
          <w:sz w:val="20"/>
          <w:szCs w:val="20"/>
          <w:color w:val="auto"/>
        </w:rPr>
      </w:pPr>
      <w:r>
        <w:rPr>
          <w:rFonts w:ascii="Arial" w:cs="Arial" w:eastAsia="Arial" w:hAnsi="Arial"/>
          <w:sz w:val="20"/>
          <w:szCs w:val="20"/>
          <w:color w:val="auto"/>
        </w:rPr>
        <w:t>Italy</w:t>
      </w:r>
    </w:p>
    <w:p>
      <w:pPr>
        <w:spacing w:after="0"/>
        <w:rPr>
          <w:sz w:val="20"/>
          <w:szCs w:val="20"/>
          <w:color w:val="auto"/>
        </w:rPr>
      </w:pPr>
      <w:r>
        <w:rPr>
          <w:rFonts w:ascii="Arial" w:cs="Arial" w:eastAsia="Arial" w:hAnsi="Arial"/>
          <w:sz w:val="20"/>
          <w:szCs w:val="20"/>
          <w:color w:val="auto"/>
        </w:rPr>
        <w:t>Japan</w:t>
      </w:r>
    </w:p>
    <w:p>
      <w:pPr>
        <w:spacing w:after="0"/>
        <w:rPr>
          <w:sz w:val="20"/>
          <w:szCs w:val="20"/>
          <w:color w:val="auto"/>
        </w:rPr>
      </w:pPr>
      <w:r>
        <w:rPr>
          <w:rFonts w:ascii="Arial" w:cs="Arial" w:eastAsia="Arial" w:hAnsi="Arial"/>
          <w:sz w:val="20"/>
          <w:szCs w:val="20"/>
          <w:color w:val="auto"/>
        </w:rPr>
        <w:t>Jordan</w:t>
      </w:r>
    </w:p>
    <w:p>
      <w:pPr>
        <w:spacing w:after="0"/>
        <w:rPr>
          <w:sz w:val="20"/>
          <w:szCs w:val="20"/>
          <w:color w:val="auto"/>
        </w:rPr>
      </w:pPr>
      <w:r>
        <w:rPr>
          <w:rFonts w:ascii="Arial" w:cs="Arial" w:eastAsia="Arial" w:hAnsi="Arial"/>
          <w:sz w:val="20"/>
          <w:szCs w:val="20"/>
          <w:color w:val="auto"/>
        </w:rPr>
        <w:t>Malaysia</w:t>
      </w:r>
    </w:p>
    <w:p>
      <w:pPr>
        <w:spacing w:after="0"/>
        <w:rPr>
          <w:sz w:val="20"/>
          <w:szCs w:val="20"/>
          <w:color w:val="auto"/>
        </w:rPr>
      </w:pPr>
      <w:r>
        <w:rPr>
          <w:rFonts w:ascii="Arial" w:cs="Arial" w:eastAsia="Arial" w:hAnsi="Arial"/>
          <w:sz w:val="20"/>
          <w:szCs w:val="20"/>
          <w:color w:val="auto"/>
        </w:rPr>
        <w:t>Mexico</w:t>
      </w:r>
    </w:p>
    <w:p>
      <w:pPr>
        <w:spacing w:after="0"/>
        <w:rPr>
          <w:sz w:val="20"/>
          <w:szCs w:val="20"/>
          <w:color w:val="auto"/>
        </w:rPr>
      </w:pPr>
      <w:r>
        <w:rPr>
          <w:rFonts w:ascii="Arial" w:cs="Arial" w:eastAsia="Arial" w:hAnsi="Arial"/>
          <w:sz w:val="20"/>
          <w:szCs w:val="20"/>
          <w:color w:val="auto"/>
        </w:rPr>
        <w:t>Netherlands</w:t>
      </w:r>
    </w:p>
    <w:p>
      <w:pPr>
        <w:spacing w:after="0"/>
        <w:rPr>
          <w:sz w:val="20"/>
          <w:szCs w:val="20"/>
          <w:color w:val="auto"/>
        </w:rPr>
      </w:pPr>
      <w:r>
        <w:rPr>
          <w:rFonts w:ascii="Arial" w:cs="Arial" w:eastAsia="Arial" w:hAnsi="Arial"/>
          <w:sz w:val="20"/>
          <w:szCs w:val="20"/>
          <w:color w:val="auto"/>
        </w:rPr>
        <w:t>New Zealand</w:t>
      </w:r>
    </w:p>
    <w:p>
      <w:pPr>
        <w:spacing w:after="0"/>
        <w:rPr>
          <w:sz w:val="20"/>
          <w:szCs w:val="20"/>
          <w:color w:val="auto"/>
        </w:rPr>
      </w:pPr>
      <w:r>
        <w:rPr>
          <w:rFonts w:ascii="Arial" w:cs="Arial" w:eastAsia="Arial" w:hAnsi="Arial"/>
          <w:sz w:val="20"/>
          <w:szCs w:val="20"/>
          <w:color w:val="auto"/>
        </w:rPr>
        <w:t>Norway</w:t>
      </w:r>
    </w:p>
    <w:p>
      <w:pPr>
        <w:spacing w:after="0"/>
        <w:rPr>
          <w:sz w:val="20"/>
          <w:szCs w:val="20"/>
          <w:color w:val="auto"/>
        </w:rPr>
      </w:pPr>
      <w:r>
        <w:rPr>
          <w:rFonts w:ascii="Arial" w:cs="Arial" w:eastAsia="Arial" w:hAnsi="Arial"/>
          <w:sz w:val="20"/>
          <w:szCs w:val="20"/>
          <w:color w:val="auto"/>
        </w:rPr>
        <w:t>Philippines</w:t>
      </w:r>
    </w:p>
    <w:p>
      <w:pPr>
        <w:spacing w:after="0"/>
        <w:rPr>
          <w:sz w:val="20"/>
          <w:szCs w:val="20"/>
          <w:color w:val="auto"/>
        </w:rPr>
      </w:pPr>
      <w:r>
        <w:rPr>
          <w:rFonts w:ascii="Arial" w:cs="Arial" w:eastAsia="Arial" w:hAnsi="Arial"/>
          <w:sz w:val="20"/>
          <w:szCs w:val="20"/>
          <w:color w:val="auto"/>
        </w:rPr>
        <w:t>Poland</w:t>
      </w:r>
    </w:p>
    <w:p>
      <w:pPr>
        <w:spacing w:after="0"/>
        <w:rPr>
          <w:sz w:val="20"/>
          <w:szCs w:val="20"/>
          <w:color w:val="auto"/>
        </w:rPr>
      </w:pPr>
      <w:r>
        <w:rPr>
          <w:rFonts w:ascii="Arial" w:cs="Arial" w:eastAsia="Arial" w:hAnsi="Arial"/>
          <w:sz w:val="20"/>
          <w:szCs w:val="20"/>
          <w:color w:val="auto"/>
        </w:rPr>
        <w:t>Portugal</w:t>
      </w:r>
    </w:p>
    <w:p>
      <w:pPr>
        <w:spacing w:after="0"/>
        <w:rPr>
          <w:sz w:val="20"/>
          <w:szCs w:val="20"/>
          <w:color w:val="auto"/>
        </w:rPr>
      </w:pPr>
      <w:r>
        <w:rPr>
          <w:rFonts w:ascii="Arial" w:cs="Arial" w:eastAsia="Arial" w:hAnsi="Arial"/>
          <w:sz w:val="20"/>
          <w:szCs w:val="20"/>
          <w:color w:val="auto"/>
        </w:rPr>
        <w:t>Qatar</w:t>
      </w:r>
    </w:p>
    <w:p>
      <w:pPr>
        <w:spacing w:after="0"/>
        <w:rPr>
          <w:sz w:val="20"/>
          <w:szCs w:val="20"/>
          <w:color w:val="auto"/>
        </w:rPr>
      </w:pPr>
      <w:r>
        <w:rPr>
          <w:rFonts w:ascii="Arial" w:cs="Arial" w:eastAsia="Arial" w:hAnsi="Arial"/>
          <w:sz w:val="20"/>
          <w:szCs w:val="20"/>
          <w:color w:val="auto"/>
        </w:rPr>
        <w:t>Romania</w:t>
      </w:r>
    </w:p>
    <w:p>
      <w:pPr>
        <w:spacing w:after="0"/>
        <w:rPr>
          <w:sz w:val="20"/>
          <w:szCs w:val="20"/>
          <w:color w:val="auto"/>
        </w:rPr>
      </w:pPr>
      <w:r>
        <w:rPr>
          <w:rFonts w:ascii="Arial" w:cs="Arial" w:eastAsia="Arial" w:hAnsi="Arial"/>
          <w:sz w:val="20"/>
          <w:szCs w:val="20"/>
          <w:color w:val="auto"/>
        </w:rPr>
        <w:t>Singapore</w:t>
      </w:r>
    </w:p>
    <w:p>
      <w:pPr>
        <w:spacing w:after="0"/>
        <w:rPr>
          <w:sz w:val="20"/>
          <w:szCs w:val="20"/>
          <w:color w:val="auto"/>
        </w:rPr>
      </w:pPr>
      <w:r>
        <w:rPr>
          <w:rFonts w:ascii="Arial" w:cs="Arial" w:eastAsia="Arial" w:hAnsi="Arial"/>
          <w:sz w:val="20"/>
          <w:szCs w:val="20"/>
          <w:color w:val="auto"/>
        </w:rPr>
        <w:t>South Korea</w:t>
      </w:r>
    </w:p>
    <w:p>
      <w:pPr>
        <w:spacing w:after="0"/>
        <w:rPr>
          <w:sz w:val="20"/>
          <w:szCs w:val="20"/>
          <w:color w:val="auto"/>
        </w:rPr>
      </w:pPr>
      <w:r>
        <w:rPr>
          <w:rFonts w:ascii="Arial" w:cs="Arial" w:eastAsia="Arial" w:hAnsi="Arial"/>
          <w:sz w:val="20"/>
          <w:szCs w:val="20"/>
          <w:color w:val="auto"/>
        </w:rPr>
        <w:t>Spain</w:t>
      </w:r>
    </w:p>
    <w:p>
      <w:pPr>
        <w:spacing w:after="0"/>
        <w:rPr>
          <w:sz w:val="20"/>
          <w:szCs w:val="20"/>
          <w:color w:val="auto"/>
        </w:rPr>
      </w:pPr>
      <w:r>
        <w:rPr>
          <w:rFonts w:ascii="Arial" w:cs="Arial" w:eastAsia="Arial" w:hAnsi="Arial"/>
          <w:sz w:val="20"/>
          <w:szCs w:val="20"/>
          <w:color w:val="auto"/>
        </w:rPr>
        <w:t>Sweden</w:t>
      </w:r>
    </w:p>
    <w:p>
      <w:pPr>
        <w:spacing w:after="0"/>
        <w:rPr>
          <w:sz w:val="20"/>
          <w:szCs w:val="20"/>
          <w:color w:val="auto"/>
        </w:rPr>
      </w:pPr>
      <w:r>
        <w:rPr>
          <w:rFonts w:ascii="Arial" w:cs="Arial" w:eastAsia="Arial" w:hAnsi="Arial"/>
          <w:sz w:val="20"/>
          <w:szCs w:val="20"/>
          <w:color w:val="auto"/>
        </w:rPr>
        <w:t>Switzerland</w:t>
      </w:r>
    </w:p>
    <w:p>
      <w:pPr>
        <w:spacing w:after="0"/>
        <w:rPr>
          <w:sz w:val="20"/>
          <w:szCs w:val="20"/>
          <w:color w:val="auto"/>
        </w:rPr>
      </w:pPr>
      <w:r>
        <w:rPr>
          <w:rFonts w:ascii="Arial" w:cs="Arial" w:eastAsia="Arial" w:hAnsi="Arial"/>
          <w:sz w:val="20"/>
          <w:szCs w:val="20"/>
          <w:color w:val="auto"/>
        </w:rPr>
        <w:t>Taiwan</w:t>
      </w:r>
    </w:p>
    <w:p>
      <w:pPr>
        <w:spacing w:after="0"/>
        <w:rPr>
          <w:sz w:val="20"/>
          <w:szCs w:val="20"/>
          <w:color w:val="auto"/>
        </w:rPr>
      </w:pPr>
      <w:r>
        <w:rPr>
          <w:rFonts w:ascii="Arial" w:cs="Arial" w:eastAsia="Arial" w:hAnsi="Arial"/>
          <w:sz w:val="20"/>
          <w:szCs w:val="20"/>
          <w:color w:val="auto"/>
        </w:rPr>
        <w:t>Thailand</w:t>
      </w:r>
    </w:p>
    <w:p>
      <w:pPr>
        <w:spacing w:after="0"/>
        <w:rPr>
          <w:sz w:val="20"/>
          <w:szCs w:val="20"/>
          <w:color w:val="auto"/>
        </w:rPr>
      </w:pPr>
      <w:r>
        <w:rPr>
          <w:rFonts w:ascii="Arial" w:cs="Arial" w:eastAsia="Arial" w:hAnsi="Arial"/>
          <w:sz w:val="20"/>
          <w:szCs w:val="20"/>
          <w:color w:val="auto"/>
        </w:rPr>
        <w:t>Turkey</w:t>
      </w:r>
    </w:p>
    <w:p>
      <w:pPr>
        <w:spacing w:after="0"/>
        <w:rPr>
          <w:sz w:val="20"/>
          <w:szCs w:val="20"/>
          <w:color w:val="auto"/>
        </w:rPr>
      </w:pPr>
      <w:r>
        <w:rPr>
          <w:rFonts w:ascii="Arial" w:cs="Arial" w:eastAsia="Arial" w:hAnsi="Arial"/>
          <w:sz w:val="20"/>
          <w:szCs w:val="20"/>
          <w:color w:val="auto"/>
        </w:rPr>
        <w:t>United Arab Emirates</w:t>
      </w:r>
    </w:p>
    <w:p>
      <w:pPr>
        <w:spacing w:after="0"/>
        <w:rPr>
          <w:sz w:val="20"/>
          <w:szCs w:val="20"/>
          <w:color w:val="auto"/>
        </w:rPr>
      </w:pPr>
      <w:r>
        <w:rPr>
          <w:rFonts w:ascii="Arial" w:cs="Arial" w:eastAsia="Arial" w:hAnsi="Arial"/>
          <w:sz w:val="20"/>
          <w:szCs w:val="20"/>
          <w:color w:val="auto"/>
        </w:rPr>
        <w:t>United Kingdom</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841"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10.21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AUTODESK,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EMPLOYEE STOCK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OF RESTRICTED STOCK UNITS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(Settled in Shares)</w:t>
      </w:r>
    </w:p>
    <w:p>
      <w:pPr>
        <w:spacing w:after="0" w:line="222" w:lineRule="exact"/>
        <w:rPr>
          <w:sz w:val="20"/>
          <w:szCs w:val="20"/>
          <w:color w:val="auto"/>
        </w:rPr>
      </w:pPr>
    </w:p>
    <w:p>
      <w:pPr>
        <w:jc w:val="both"/>
        <w:ind w:firstLine="656"/>
        <w:spacing w:after="0" w:line="243" w:lineRule="auto"/>
        <w:tabs>
          <w:tab w:leader="none" w:pos="1035"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the Employee (“Participant”) named in the Notice of Grant of Restricted Stock Units (the “Notice of Grant”) under the Autodesk, Inc. 2012 Employee Stock Plan (the “Plan”) the number of Restricted Stock Units indicated on the Notice of Grant, subject to all of the terms and conditions in this Agreement (as defined in the Notice of Grant and Plan) and the Plan, which is incorporated herein by reference. When shares of the Company’s Common Stock (“Shares”) are issued to Participant in settlement of the Restricted Stock Units, par value shall be deemed paid by Participant for each Restricted Stock Unit by past services rendered by Participant, and shall be subject to the appropriate tax withholdings. Unless otherwise defined herein, capitalized terms used herein shall have the meanings ascribed to them in the Plan.</w:t>
      </w:r>
    </w:p>
    <w:p>
      <w:pPr>
        <w:spacing w:after="0" w:line="193" w:lineRule="exact"/>
        <w:rPr>
          <w:rFonts w:ascii="Arial" w:cs="Arial" w:eastAsia="Arial" w:hAnsi="Arial"/>
          <w:sz w:val="20"/>
          <w:szCs w:val="20"/>
          <w:color w:val="auto"/>
        </w:rPr>
      </w:pPr>
    </w:p>
    <w:p>
      <w:pPr>
        <w:jc w:val="both"/>
        <w:ind w:firstLine="656"/>
        <w:spacing w:after="0" w:line="263" w:lineRule="auto"/>
        <w:tabs>
          <w:tab w:leader="none" w:pos="99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Company’s Obligation to Settle</w:t>
      </w:r>
      <w:r>
        <w:rPr>
          <w:rFonts w:ascii="Arial" w:cs="Arial" w:eastAsia="Arial" w:hAnsi="Arial"/>
          <w:sz w:val="19"/>
          <w:szCs w:val="19"/>
          <w:color w:val="auto"/>
        </w:rPr>
        <w:t>. Unless and until the Restricted Stock Units shall have vested in the manner set forth in Sections 3, 4 or 8 of this Agreement or Section 13 of the Plan, Participant shall have no right to settlement of any such Restricted Stock Units. Prior to actual settlement of any vested Restricted Stock Units, such Restricted Stock Units shall represent an unsecured obligation of the Company. Settlement of any vested Restricted Stock Units will be made in whole Shares only.</w:t>
      </w:r>
    </w:p>
    <w:p>
      <w:pPr>
        <w:spacing w:after="0" w:line="176" w:lineRule="exact"/>
        <w:rPr>
          <w:rFonts w:ascii="Arial" w:cs="Arial" w:eastAsia="Arial" w:hAnsi="Arial"/>
          <w:sz w:val="19"/>
          <w:szCs w:val="19"/>
          <w:color w:val="auto"/>
        </w:rPr>
      </w:pPr>
    </w:p>
    <w:p>
      <w:pPr>
        <w:jc w:val="both"/>
        <w:ind w:firstLine="656"/>
        <w:spacing w:after="0" w:line="244" w:lineRule="auto"/>
        <w:tabs>
          <w:tab w:leader="none" w:pos="995"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provided in Section 4 of this Agreement and Section 13 of the Plan, and subject to Sections 5 and 8 of this Agreement, the Restricted Stock Units awarded by this Agreement shall vest in accordance with the vesting provisions set forth in the Notice of Grant. Except as set forth in Section 8 of this Agreement, Restricted Stock Units scheduled to vest on a certain date or upon the occurrence of a certain condition shall vest in accordance with the provisions of this Agreement only if Participant is an Employee from the Date of Grant until the date such vesting occurs.</w:t>
      </w:r>
    </w:p>
    <w:p>
      <w:pPr>
        <w:spacing w:after="0" w:line="194" w:lineRule="exact"/>
        <w:rPr>
          <w:rFonts w:ascii="Arial" w:cs="Arial" w:eastAsia="Arial" w:hAnsi="Arial"/>
          <w:sz w:val="20"/>
          <w:szCs w:val="20"/>
          <w:color w:val="auto"/>
        </w:rPr>
      </w:pPr>
    </w:p>
    <w:p>
      <w:pPr>
        <w:jc w:val="both"/>
        <w:ind w:firstLine="656"/>
        <w:spacing w:after="0" w:line="254" w:lineRule="auto"/>
        <w:tabs>
          <w:tab w:leader="none" w:pos="103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Administrator Discretion</w:t>
      </w:r>
      <w:r>
        <w:rPr>
          <w:rFonts w:ascii="Arial" w:cs="Arial" w:eastAsia="Arial" w:hAnsi="Arial"/>
          <w:sz w:val="19"/>
          <w:szCs w:val="19"/>
          <w:color w:val="auto"/>
        </w:rPr>
        <w:t>. Except to the extent doing so would result in the imposition of additional taxes under Section 409A of the Code, the Administrator, in its discretion, may accelerate the vesting of the balance, or some lesser portion of the balance, of the unvested Restricted Stock Units at any time, subject to the terms of the Plan. If so accelerated, the balance, or such lesser portion of the balance as applicable, of the Restricted Stock Units shall be considered as having vested as of the date specified by the Administrator. Notwithstanding anything in the Plan or this Agreement to the contrary, if the vesting of any portion of the balance of the Restricted Stock Units is accelerated in connection with Participant’s “separation from service” within the meaning of Section 409A of the Code (as determined by the Company), other than due to death, and if (x) Participant is a “specified employee” within the meaning of Section 409A of the Code at the time of such termination and (y) the settlement of such accelerated Restricted Stock Units shall result in the imposition of additional tax under Section 409A of the Code if issued to Participant on or within the six (6) month period following Participant’s termination as an Employee, then the settlement of such accelerated Restricted Stock Units shall not be made until the earlier of (A) six (6) months and one (1) day following the date of Participant’s termination as an Employee or (B) Participant’s death. It is the intent of this Agreement to comply with or be exempt from the requirements of Section 409A of the Code so that none of the Restricted Stock Units provided under this Agreement or Shares issuable thereunder shall be subject to the additional tax imposed under Section 409A of the Code, and any ambiguities herein shall be interpreted to so comply.</w:t>
      </w:r>
    </w:p>
    <w:p>
      <w:pPr>
        <w:spacing w:after="0" w:line="193" w:lineRule="exact"/>
        <w:rPr>
          <w:rFonts w:ascii="Arial" w:cs="Arial" w:eastAsia="Arial" w:hAnsi="Arial"/>
          <w:sz w:val="19"/>
          <w:szCs w:val="19"/>
          <w:color w:val="auto"/>
        </w:rPr>
      </w:pPr>
    </w:p>
    <w:p>
      <w:pPr>
        <w:ind w:left="1000" w:hanging="344"/>
        <w:spacing w:after="0"/>
        <w:tabs>
          <w:tab w:leader="none" w:pos="100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Forfeiture upon Termination of Status as an Employee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91" w:lineRule="auto"/>
        <w:tabs>
          <w:tab w:leader="none" w:pos="1582"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Subject to Section 7, Section 8 and Section 5(b), the balance of the Restricted Stock Units that have not vested as of the time of Participant’s termination as an Employee for any or no reason shall be forfeited and automatically transferred to and reacquired by the Company at no cost to the Company, and Participant’s right to acquire any Shares hereunder shall immediately terminate.</w:t>
      </w:r>
    </w:p>
    <w:p>
      <w:pPr>
        <w:spacing w:after="0" w:line="151" w:lineRule="exact"/>
        <w:rPr>
          <w:rFonts w:ascii="Arial" w:cs="Arial" w:eastAsia="Arial" w:hAnsi="Arial"/>
          <w:sz w:val="18"/>
          <w:szCs w:val="18"/>
          <w:color w:val="auto"/>
        </w:rPr>
      </w:pPr>
    </w:p>
    <w:p>
      <w:pPr>
        <w:jc w:val="both"/>
        <w:ind w:firstLine="1305"/>
        <w:spacing w:after="0" w:line="258" w:lineRule="auto"/>
        <w:tabs>
          <w:tab w:leader="none" w:pos="1577" w:val="left"/>
        </w:tabs>
        <w:numPr>
          <w:ilvl w:val="1"/>
          <w:numId w:val="97"/>
        </w:numPr>
        <w:rPr>
          <w:rFonts w:ascii="Arial" w:cs="Arial" w:eastAsia="Arial" w:hAnsi="Arial"/>
          <w:sz w:val="19"/>
          <w:szCs w:val="19"/>
          <w:color w:val="auto"/>
        </w:rPr>
      </w:pPr>
      <w:r>
        <w:rPr>
          <w:rFonts w:ascii="Arial" w:cs="Arial" w:eastAsia="Arial" w:hAnsi="Arial"/>
          <w:sz w:val="19"/>
          <w:szCs w:val="19"/>
          <w:color w:val="auto"/>
        </w:rPr>
        <w:t>Notwithstanding Section 5(a), if Participant is subject to the Company’s Executive Change in Control Program on his or her Termination Date (defined below), upon any termination without Cause (defined below) or for Good Reason (defined below) following a Change of Control (defined below), unvested Restricted Stock Units with vesting schedules subject only to Participant’s continuous service as an Employee (“Time-Based RSUs”) shall vest in full as of such termination, and unvested Restricted Stock Units which are not Time-Based RSUs (“Performance-Based RSUs”) shall vest at the “target” level set forth in the Notice of Grant as of such termination. For purposes of this Section 5(b), “Cause”, “Change of Control”, “Good Reason” and “Termination Date” shall have the meaning set forth in the version of the Company’s Executive Change in Control Program, as in effect on the Termination Date.</w:t>
      </w:r>
    </w:p>
    <w:p>
      <w:pPr>
        <w:spacing w:after="0" w:line="179" w:lineRule="exact"/>
        <w:rPr>
          <w:rFonts w:ascii="Arial" w:cs="Arial" w:eastAsia="Arial" w:hAnsi="Arial"/>
          <w:sz w:val="19"/>
          <w:szCs w:val="19"/>
          <w:color w:val="auto"/>
        </w:rPr>
      </w:pPr>
    </w:p>
    <w:p>
      <w:pPr>
        <w:jc w:val="both"/>
        <w:ind w:firstLine="656"/>
        <w:spacing w:after="0" w:line="234" w:lineRule="auto"/>
        <w:tabs>
          <w:tab w:leader="none" w:pos="1035"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Distribution after Vesting</w:t>
      </w:r>
      <w:r>
        <w:rPr>
          <w:rFonts w:ascii="Arial" w:cs="Arial" w:eastAsia="Arial" w:hAnsi="Arial"/>
          <w:sz w:val="20"/>
          <w:szCs w:val="20"/>
          <w:color w:val="auto"/>
        </w:rPr>
        <w:t>. Unless otherwise specified in the country-specific provisions in Exhibit B, 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9 and the other provisions of this Agreement, but, subject to Applicable Law, in no event later than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 the end of (i) the Company’s fiscal year in which the Restricted Stock Units vest or (ii) the calendar year in which the Restricted Stock Units vest, whichever is later. Any Restricted Stock Units that vest in accordance with Section 4 will be settled at the time(s) provided in Section 4, subject to Section 9 and the other provisions of this Agreement.</w:t>
      </w:r>
    </w:p>
    <w:p>
      <w:pPr>
        <w:spacing w:after="0" w:line="211" w:lineRule="exact"/>
        <w:rPr>
          <w:rFonts w:ascii="Arial" w:cs="Arial" w:eastAsia="Arial" w:hAnsi="Arial"/>
          <w:sz w:val="20"/>
          <w:szCs w:val="20"/>
          <w:color w:val="auto"/>
        </w:rPr>
      </w:pPr>
    </w:p>
    <w:p>
      <w:pPr>
        <w:ind w:left="1000" w:hanging="344"/>
        <w:spacing w:after="0"/>
        <w:tabs>
          <w:tab w:leader="none" w:pos="100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Disability or Death of Participant</w:t>
      </w:r>
      <w:r>
        <w:rPr>
          <w:rFonts w:ascii="Arial" w:cs="Arial" w:eastAsia="Arial" w:hAnsi="Arial"/>
          <w:sz w:val="20"/>
          <w:szCs w:val="20"/>
          <w:color w:val="auto"/>
        </w:rPr>
        <w:t>.</w:t>
      </w:r>
    </w:p>
    <w:p>
      <w:pPr>
        <w:spacing w:after="0" w:line="229" w:lineRule="exact"/>
        <w:rPr>
          <w:sz w:val="20"/>
          <w:szCs w:val="20"/>
          <w:color w:val="auto"/>
        </w:rPr>
      </w:pPr>
    </w:p>
    <w:p>
      <w:pPr>
        <w:ind w:firstLine="656"/>
        <w:spacing w:after="0" w:line="287" w:lineRule="auto"/>
        <w:tabs>
          <w:tab w:leader="none" w:pos="11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Subject to Section 7(c), if Participant ceases to be an Employee by reason of his or her Disability during the term of this Award, all unvested Time-Based RSUs shall vest in full as of the date of such cessation of employment due to such Disability.</w:t>
      </w:r>
    </w:p>
    <w:p>
      <w:pPr>
        <w:sectPr>
          <w:pgSz w:w="11900" w:h="16838" w:orient="portrait"/>
          <w:cols w:equalWidth="0" w:num="1">
            <w:col w:w="11420"/>
          </w:cols>
          <w:pgMar w:left="240" w:top="115" w:right="239" w:bottom="0" w:gutter="0" w:footer="0" w:header="0"/>
        </w:sectPr>
      </w:pPr>
    </w:p>
    <w:bookmarkStart w:id="124" w:name="page125"/>
    <w:bookmarkEnd w:id="124"/>
    <w:p>
      <w:pPr>
        <w:jc w:val="both"/>
        <w:ind w:firstLine="656"/>
        <w:spacing w:after="0" w:line="243" w:lineRule="auto"/>
        <w:tabs>
          <w:tab w:leader="none" w:pos="1083" w:val="left"/>
        </w:tabs>
        <w:numPr>
          <w:ilvl w:val="0"/>
          <w:numId w:val="99"/>
        </w:numPr>
        <w:rPr>
          <w:rFonts w:ascii="Arial" w:cs="Arial" w:eastAsia="Arial" w:hAnsi="Arial"/>
          <w:sz w:val="20"/>
          <w:szCs w:val="20"/>
          <w:color w:val="auto"/>
        </w:rPr>
      </w:pPr>
      <w:r>
        <w:rPr>
          <w:rFonts w:ascii="Arial" w:cs="Arial" w:eastAsia="Arial" w:hAnsi="Arial"/>
          <w:sz w:val="20"/>
          <w:szCs w:val="20"/>
          <w:color w:val="auto"/>
        </w:rPr>
        <w:t>Subject to Section 7(c), in the event of the death of Participant during the term of this Award and while an Employee, all unvested Restricted Stock Units that are Time-Based RSUs shall vest in full as of the date of death. Upon such death, any distribution or delivery to be made to Participant under this Agreement shall be made to Participant’s designated beneficiary, provided such beneficiary has been designated prior to Participant’s death in a form acceptable to the Administrator or, if no such beneficiary has been designated or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06" w:lineRule="exact"/>
        <w:rPr>
          <w:rFonts w:ascii="Arial" w:cs="Arial" w:eastAsia="Arial" w:hAnsi="Arial"/>
          <w:sz w:val="20"/>
          <w:szCs w:val="20"/>
          <w:color w:val="auto"/>
        </w:rPr>
      </w:pPr>
    </w:p>
    <w:p>
      <w:pPr>
        <w:jc w:val="both"/>
        <w:ind w:firstLine="656"/>
        <w:spacing w:after="0" w:line="250" w:lineRule="auto"/>
        <w:tabs>
          <w:tab w:leader="none" w:pos="931" w:val="left"/>
        </w:tabs>
        <w:numPr>
          <w:ilvl w:val="0"/>
          <w:numId w:val="99"/>
        </w:numPr>
        <w:rPr>
          <w:rFonts w:ascii="Arial" w:cs="Arial" w:eastAsia="Arial" w:hAnsi="Arial"/>
          <w:sz w:val="20"/>
          <w:szCs w:val="20"/>
          <w:color w:val="auto"/>
        </w:rPr>
      </w:pPr>
      <w:r>
        <w:rPr>
          <w:rFonts w:ascii="Arial" w:cs="Arial" w:eastAsia="Arial" w:hAnsi="Arial"/>
          <w:sz w:val="20"/>
          <w:szCs w:val="20"/>
          <w:color w:val="auto"/>
        </w:rPr>
        <w:t>Notwithstanding anything in Sections 7(a) or 7(b), if Participant ceases to be an Employee by reason of his or her Disability or death during the term of this Award, unvested Performance-Based RSUs, shall vest at the “target” level set forth in the Notice of Grant on the date of cessation as an Employee or death.</w:t>
      </w:r>
    </w:p>
    <w:p>
      <w:pPr>
        <w:spacing w:after="0" w:line="200" w:lineRule="exact"/>
        <w:rPr>
          <w:sz w:val="20"/>
          <w:szCs w:val="20"/>
          <w:color w:val="auto"/>
        </w:rPr>
      </w:pPr>
    </w:p>
    <w:p>
      <w:pPr>
        <w:ind w:left="1000" w:hanging="344"/>
        <w:spacing w:after="0"/>
        <w:tabs>
          <w:tab w:leader="none" w:pos="100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Retirement of Participant</w:t>
      </w:r>
    </w:p>
    <w:p>
      <w:pPr>
        <w:spacing w:after="0" w:line="229" w:lineRule="exact"/>
        <w:rPr>
          <w:sz w:val="20"/>
          <w:szCs w:val="20"/>
          <w:color w:val="auto"/>
        </w:rPr>
      </w:pPr>
    </w:p>
    <w:p>
      <w:pPr>
        <w:jc w:val="both"/>
        <w:ind w:firstLine="656"/>
        <w:spacing w:after="0" w:line="244" w:lineRule="auto"/>
        <w:tabs>
          <w:tab w:leader="none" w:pos="1133"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In the event of Participant’s Qualified Retirement (as defined below), shares subject to time-based RSUs that would otherwise vest within twelve (12) months following his or her Qualified Retirement shall fully accelerate and become vested with respect to one hundred percent (100%) of the shares of Company common stock subject thereto as of the date of Participant’s Qualified Retirement. Any Company time-based RSUs that remain unvested after application of this Section 8 shall immediately be forfeited and cancelled for no additional consideration upon the Participant’s Qualified Retirement.</w:t>
      </w:r>
    </w:p>
    <w:p>
      <w:pPr>
        <w:spacing w:after="0" w:line="208" w:lineRule="exact"/>
        <w:rPr>
          <w:rFonts w:ascii="Arial" w:cs="Arial" w:eastAsia="Arial" w:hAnsi="Arial"/>
          <w:sz w:val="20"/>
          <w:szCs w:val="20"/>
          <w:color w:val="auto"/>
        </w:rPr>
      </w:pPr>
    </w:p>
    <w:p>
      <w:pPr>
        <w:jc w:val="both"/>
        <w:ind w:firstLine="656"/>
        <w:spacing w:after="0" w:line="242" w:lineRule="auto"/>
        <w:tabs>
          <w:tab w:leader="none" w:pos="110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In the event of a Participant’s Qualified Retirement, shares subject to performance-based RSUs that would otherwise vest within twelve (12) months following his or her Qualified Retirement shall continue to vest as if Participant had remained continuously employed by the Company through the vest date (as defined in the Notice of Grant) next following the Participant’s Qualified Retirement, based on the extent, if any, that the underlying performance criteria with respect to such awards are satisfied for the applicable performance period (and the remainder of such performance-based RSUs that do not become vested pursuant to this Section 8(b), if any, shall be forfeited and cancelled for no additional consideration).</w:t>
      </w:r>
    </w:p>
    <w:p>
      <w:pPr>
        <w:spacing w:after="0" w:line="2" w:lineRule="exact"/>
        <w:rPr>
          <w:rFonts w:ascii="Arial" w:cs="Arial" w:eastAsia="Arial" w:hAnsi="Arial"/>
          <w:sz w:val="20"/>
          <w:szCs w:val="20"/>
          <w:color w:val="auto"/>
        </w:rPr>
      </w:pPr>
    </w:p>
    <w:p>
      <w:pPr>
        <w:jc w:val="both"/>
        <w:ind w:firstLine="656"/>
        <w:spacing w:after="0" w:line="255" w:lineRule="auto"/>
        <w:tabs>
          <w:tab w:leader="none" w:pos="11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For the purposes of this Plan, “Qualified Retirement,” shall be defined as a voluntary termination of employment by Participant, which meets either of the following requirements: (i) Participant’s combined total age plus years of continuous employment with the Company is equal to or greater than 75 or (ii) Participant is at least 55 years of age and completes at least 10 years of continuous employment with the Company. Unless waived by the Administrator, in order for such voluntary termination to be deemed a Qualified Retirement, Participant shall properly deliver written notice of his or her intent to resign employment with the Company in a Qualified Retirement at least 3 months prior to the effective date of such Qualified Retirement.</w:t>
      </w:r>
    </w:p>
    <w:p>
      <w:pPr>
        <w:spacing w:after="0" w:line="198" w:lineRule="exact"/>
        <w:rPr>
          <w:sz w:val="20"/>
          <w:szCs w:val="20"/>
          <w:color w:val="auto"/>
        </w:rPr>
      </w:pPr>
    </w:p>
    <w:p>
      <w:pPr>
        <w:jc w:val="both"/>
        <w:ind w:firstLine="656"/>
        <w:spacing w:after="0" w:line="271" w:lineRule="auto"/>
        <w:tabs>
          <w:tab w:leader="none" w:pos="118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Employer.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 the subsequent sale of Shares acquired pursuant to such settlement and the receipt of any dividends; and (2)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71"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this regard, Participant authorizes the Company and/or the Employer, or their respective agents, at their discretion, to satisfy any obligations with regard to withholding of Tax-Related Items by one or a combination of the following:</w:t>
      </w:r>
    </w:p>
    <w:p>
      <w:pPr>
        <w:spacing w:after="0" w:line="177" w:lineRule="exact"/>
        <w:rPr>
          <w:sz w:val="20"/>
          <w:szCs w:val="20"/>
          <w:color w:val="auto"/>
        </w:rPr>
      </w:pPr>
    </w:p>
    <w:p>
      <w:pPr>
        <w:ind w:left="1300" w:hanging="320"/>
        <w:spacing w:after="0" w:line="260" w:lineRule="auto"/>
        <w:tabs>
          <w:tab w:leader="none" w:pos="13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withholding from Participant’s wages or other cash compensation paid to Participant by the Company and/or the Employer, including withholding from cash from Participant’s brokerage account designated by the Company; or</w:t>
      </w:r>
    </w:p>
    <w:p>
      <w:pPr>
        <w:spacing w:after="0" w:line="176" w:lineRule="exact"/>
        <w:rPr>
          <w:rFonts w:ascii="Arial" w:cs="Arial" w:eastAsia="Arial" w:hAnsi="Arial"/>
          <w:sz w:val="20"/>
          <w:szCs w:val="20"/>
          <w:color w:val="auto"/>
        </w:rPr>
      </w:pPr>
    </w:p>
    <w:p>
      <w:pPr>
        <w:jc w:val="both"/>
        <w:ind w:left="1300" w:hanging="320"/>
        <w:spacing w:after="0" w:line="386" w:lineRule="auto"/>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withholding from proceeds of the sale of Shares acquired upon vesting/settlement of the Restricted Stock Units either through a voluntary sale or through a mandatory sale arranged by the Company (on Participant’s behalf pursuant to this authorization); or</w:t>
      </w:r>
    </w:p>
    <w:p>
      <w:pPr>
        <w:spacing w:after="0" w:line="83" w:lineRule="exact"/>
        <w:rPr>
          <w:rFonts w:ascii="Arial" w:cs="Arial" w:eastAsia="Arial" w:hAnsi="Arial"/>
          <w:sz w:val="16"/>
          <w:szCs w:val="16"/>
          <w:color w:val="auto"/>
        </w:rPr>
      </w:pPr>
    </w:p>
    <w:p>
      <w:pPr>
        <w:ind w:left="1300" w:hanging="320"/>
        <w:spacing w:after="0"/>
        <w:tabs>
          <w:tab w:leader="none" w:pos="13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withholding in Shares to be issued upon settlement of the Restricted Stock Units.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 may withhold or account for Tax-Related Items by using rates up to, but not exceeding, the maximum tax rates in Participant’s jurisdiction on the date the amount of Tax-Related Items to be withheld is to be determined. Participant may receive a refund in cash of any amount withheld that exceeds the amount remitted to the applicable tax authorities and will have no entitlement to the Common Stock equivalent or to any interest on such over-withheld amount.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(i) through (iii) above, if Participant is subject to Section 17 of the Exchange Act, any obligation to withhold Tax-Related Items will be satisfied under (iii), unless otherwise determined by the Board or Compensation Committee.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ectPr>
          <w:pgSz w:w="11900" w:h="16838" w:orient="portrait"/>
          <w:cols w:equalWidth="0" w:num="1">
            <w:col w:w="11420"/>
          </w:cols>
          <w:pgMar w:left="240" w:top="352" w:right="239" w:bottom="0" w:gutter="0" w:footer="0" w:header="0"/>
        </w:sectPr>
      </w:pPr>
    </w:p>
    <w:bookmarkStart w:id="125" w:name="page126"/>
    <w:bookmarkEnd w:id="125"/>
    <w:p>
      <w:pPr>
        <w:jc w:val="both"/>
        <w:ind w:firstLine="656"/>
        <w:spacing w:after="0" w:line="244" w:lineRule="auto"/>
        <w:tabs>
          <w:tab w:leader="none" w:pos="1121"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Subject to Applicable Law, neither Participant nor any person claiming under or through Participant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Participant. After such issuance, recordation and delivery, Participant shall have all the rights of a stockholder of the Company with respect to voting such Shares and receipt of dividends and distributions on such Shares, subject to Applicable Law.</w:t>
      </w:r>
    </w:p>
    <w:p>
      <w:pPr>
        <w:spacing w:after="0" w:line="191" w:lineRule="exact"/>
        <w:rPr>
          <w:rFonts w:ascii="Arial" w:cs="Arial" w:eastAsia="Arial" w:hAnsi="Arial"/>
          <w:sz w:val="20"/>
          <w:szCs w:val="20"/>
          <w:color w:val="auto"/>
        </w:rPr>
      </w:pPr>
    </w:p>
    <w:p>
      <w:pPr>
        <w:jc w:val="both"/>
        <w:ind w:firstLine="656"/>
        <w:spacing w:after="0" w:line="241" w:lineRule="auto"/>
        <w:tabs>
          <w:tab w:leader="none" w:pos="110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Employment</w:t>
      </w:r>
      <w:r>
        <w:rPr>
          <w:rFonts w:ascii="Arial" w:cs="Arial" w:eastAsia="Arial" w:hAnsi="Arial"/>
          <w:sz w:val="20"/>
          <w:szCs w:val="20"/>
          <w:color w:val="auto"/>
        </w:rPr>
        <w:t>. PARTICIPANT ACKNOWLEDGES AND AGREES THAT THE VESTING OF THE RESTRICTED STOCK UNITS PURSUANT TO THE VESTING SCHEDULE HEREOF IS EARNED ONLY BY CONTINUING AS AN EMPLOYEE AT THE WILL OF THE COMPANY (OR THE EMPLOYER) AND NOT THROUGH THE ACT OF BEING HIRED, BEING GRANTED THIS AWARD OF RESTRICTED STOCK UNITS OR, AS APPLICABLE, ACQUIRING SHARES HEREUNDER. PARTICIPANT FURTHER ACKNOWLEDGES AND AGREES THAT THIS AGREEMENT, THE TRANSACTIONS CONTEMPLATED HEREUNDER AND THE VESTING SCHEDULE SET FORTH HEREIN DO NOT CONSTITUTE AN EXPRESS OR IMPLIED PROMISE OF CONTINUED ENGAGEMENT AS AN EMPLOYEE FOR THE VESTING PERIOD, FOR ANY PERIOD, OR AT ALL, AND SHALL NOT INTERFERE IN ANY WAY WITH PARTICIPANT’S RIGHT OR THE RIGHT OF THE COMPANY (OR SUBSIDIARY EMPLOYING PARTICIPANT) TO TERMINATE PARTICIPANT’S RELATIONSHIP AS AN EMPLOYEE AT ANY TIME, WITH OR WITHOUT CAUSE.</w:t>
      </w:r>
    </w:p>
    <w:p>
      <w:pPr>
        <w:spacing w:after="0" w:line="202" w:lineRule="exact"/>
        <w:rPr>
          <w:rFonts w:ascii="Arial" w:cs="Arial" w:eastAsia="Arial" w:hAnsi="Arial"/>
          <w:sz w:val="20"/>
          <w:szCs w:val="20"/>
          <w:color w:val="auto"/>
        </w:rPr>
      </w:pPr>
    </w:p>
    <w:p>
      <w:pPr>
        <w:jc w:val="both"/>
        <w:ind w:firstLine="656"/>
        <w:spacing w:after="0" w:line="250" w:lineRule="auto"/>
        <w:tabs>
          <w:tab w:leader="none" w:pos="1161"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xml:space="preserve">. Unless otherwise specified in Exhibit B, any notice to be given to the Company under the terms of this Agreement will be addressed to the Company at Autodesk, Inc., c/o Stock Administrator, </w:t>
      </w:r>
      <w:r>
        <w:rPr>
          <w:rFonts w:ascii="Arial" w:cs="Arial" w:eastAsia="Arial" w:hAnsi="Arial"/>
          <w:sz w:val="20"/>
          <w:szCs w:val="20"/>
          <w:b w:val="1"/>
          <w:bCs w:val="1"/>
          <w:color w:val="auto"/>
        </w:rPr>
        <w:t>111 McInnis Parkway, San Rafael, CA 94903</w:t>
      </w:r>
      <w:r>
        <w:rPr>
          <w:rFonts w:ascii="Arial" w:cs="Arial" w:eastAsia="Arial" w:hAnsi="Arial"/>
          <w:sz w:val="20"/>
          <w:szCs w:val="20"/>
          <w:color w:val="auto"/>
        </w:rPr>
        <w:t xml:space="preserve"> </w:t>
      </w:r>
      <w:r>
        <w:rPr>
          <w:rFonts w:ascii="Arial" w:cs="Arial" w:eastAsia="Arial" w:hAnsi="Arial"/>
          <w:sz w:val="20"/>
          <w:szCs w:val="20"/>
          <w:b w:val="1"/>
          <w:bCs w:val="1"/>
          <w:color w:val="auto"/>
        </w:rPr>
        <w:t>U.S.A.</w:t>
      </w:r>
      <w:r>
        <w:rPr>
          <w:rFonts w:ascii="Arial" w:cs="Arial" w:eastAsia="Arial" w:hAnsi="Arial"/>
          <w:sz w:val="20"/>
          <w:szCs w:val="20"/>
          <w:color w:val="auto"/>
        </w:rPr>
        <w:t>, or at such other address as the Company may hereafter designate in writing.</w:t>
      </w:r>
    </w:p>
    <w:p>
      <w:pPr>
        <w:spacing w:after="0" w:line="186" w:lineRule="exact"/>
        <w:rPr>
          <w:rFonts w:ascii="Arial" w:cs="Arial" w:eastAsia="Arial" w:hAnsi="Arial"/>
          <w:sz w:val="20"/>
          <w:szCs w:val="20"/>
          <w:color w:val="auto"/>
        </w:rPr>
      </w:pPr>
    </w:p>
    <w:p>
      <w:pPr>
        <w:jc w:val="both"/>
        <w:ind w:firstLine="656"/>
        <w:spacing w:after="0" w:line="260" w:lineRule="auto"/>
        <w:tabs>
          <w:tab w:leader="none" w:pos="1121"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Grant is Not Transferable</w:t>
      </w:r>
      <w:r>
        <w:rPr>
          <w:rFonts w:ascii="Arial" w:cs="Arial" w:eastAsia="Arial" w:hAnsi="Arial"/>
          <w:sz w:val="19"/>
          <w:szCs w:val="19"/>
          <w:color w:val="auto"/>
        </w:rPr>
        <w:t>. Except to the limited extent provided in Section 7, this Award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shall become null and void.</w:t>
      </w:r>
    </w:p>
    <w:p>
      <w:pPr>
        <w:spacing w:after="0" w:line="180" w:lineRule="exact"/>
        <w:rPr>
          <w:rFonts w:ascii="Arial" w:cs="Arial" w:eastAsia="Arial" w:hAnsi="Arial"/>
          <w:sz w:val="19"/>
          <w:szCs w:val="19"/>
          <w:color w:val="auto"/>
        </w:rPr>
      </w:pPr>
    </w:p>
    <w:p>
      <w:pPr>
        <w:ind w:firstLine="656"/>
        <w:spacing w:after="0" w:line="287" w:lineRule="auto"/>
        <w:tabs>
          <w:tab w:leader="none" w:pos="1094"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52" w:lineRule="exact"/>
        <w:rPr>
          <w:rFonts w:ascii="Arial" w:cs="Arial" w:eastAsia="Arial" w:hAnsi="Arial"/>
          <w:sz w:val="19"/>
          <w:szCs w:val="19"/>
          <w:color w:val="auto"/>
        </w:rPr>
      </w:pPr>
    </w:p>
    <w:p>
      <w:pPr>
        <w:jc w:val="both"/>
        <w:ind w:firstLine="656"/>
        <w:spacing w:after="0" w:line="257" w:lineRule="auto"/>
        <w:tabs>
          <w:tab w:leader="none" w:pos="1121"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The Company shall not be required to issue any certificate or certificates for Shares (in book entry form or otherwise) hereunder prior to fulfillment of all the following conditions: (a) the admission of such Shares to listing on all stock exchanges on which such class of stock is then listed; (b) the completion of any registration or other qualification of such Shares under any Applicable Law or under the rulings or regulations of the U.S. Securities and Exchange Commission or any other governmental regulatory body, which the Administrator shall, in its absolute discretion, deem necessary or advisable; (c) the obtaining of any approval or other clearance from any governmental agency, which the Administrator shall, in its absolute discretion, determine to be necessary or advisable; and (d) the lapse of such reasonable period of time following the date of vesting of the Restricted Stock Units as the Administrator may establish from time to time for reasons of administrative convenience.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If at any time the Company shall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shall not occur unless and until such listing, registration, qualification, consent or approval shall have been effected or obtained free of any conditions not acceptable to the Company. Participant’s sale of Shares may be subject to any market blackout period that may be imposed by the Company and must comply with the Company’s insider trading policies and any other applicable securities laws.</w:t>
      </w:r>
    </w:p>
    <w:p>
      <w:pPr>
        <w:spacing w:after="0" w:line="179" w:lineRule="exact"/>
        <w:rPr>
          <w:sz w:val="20"/>
          <w:szCs w:val="20"/>
          <w:color w:val="auto"/>
        </w:rPr>
      </w:pPr>
    </w:p>
    <w:p>
      <w:pPr>
        <w:jc w:val="both"/>
        <w:ind w:firstLine="656"/>
        <w:spacing w:after="0" w:line="250" w:lineRule="auto"/>
        <w:tabs>
          <w:tab w:leader="none" w:pos="1107"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Agreement is subject to all terms and provisions of the Plan. Subject to the express exception in Section 4 of this Agreement, in the event of a conflict between one or more provisions of this Agreement and one or more provisions of the Plan, the provisions of the Plan shall govern.</w:t>
      </w:r>
    </w:p>
    <w:p>
      <w:pPr>
        <w:spacing w:after="0" w:line="186" w:lineRule="exact"/>
        <w:rPr>
          <w:rFonts w:ascii="Arial" w:cs="Arial" w:eastAsia="Arial" w:hAnsi="Arial"/>
          <w:sz w:val="20"/>
          <w:szCs w:val="20"/>
          <w:color w:val="auto"/>
        </w:rPr>
      </w:pPr>
    </w:p>
    <w:p>
      <w:pPr>
        <w:jc w:val="both"/>
        <w:ind w:firstLine="656"/>
        <w:spacing w:after="0" w:line="276" w:lineRule="auto"/>
        <w:tabs>
          <w:tab w:leader="none" w:pos="109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Administrator Authority</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shall be final and binding upon Participant, the Company and all other interested persons. The Administrator shall not be personally liable for any action, determination or interpretation made in good faith with respect to the Plan or this Agreement. The Administrator shall, in its absolute discretion, determine when such conditions have been fulfilled.</w:t>
      </w:r>
    </w:p>
    <w:p>
      <w:pPr>
        <w:spacing w:after="0" w:line="165" w:lineRule="exact"/>
        <w:rPr>
          <w:rFonts w:ascii="Arial" w:cs="Arial" w:eastAsia="Arial" w:hAnsi="Arial"/>
          <w:sz w:val="18"/>
          <w:szCs w:val="18"/>
          <w:color w:val="auto"/>
        </w:rPr>
      </w:pPr>
    </w:p>
    <w:p>
      <w:pPr>
        <w:jc w:val="both"/>
        <w:ind w:firstLine="656"/>
        <w:spacing w:after="0" w:line="244" w:lineRule="auto"/>
        <w:tabs>
          <w:tab w:leader="none" w:pos="1121"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94" w:lineRule="exact"/>
        <w:rPr>
          <w:rFonts w:ascii="Arial" w:cs="Arial" w:eastAsia="Arial" w:hAnsi="Arial"/>
          <w:sz w:val="20"/>
          <w:szCs w:val="20"/>
          <w:color w:val="auto"/>
        </w:rPr>
      </w:pPr>
    </w:p>
    <w:p>
      <w:pPr>
        <w:ind w:right="20" w:firstLine="656"/>
        <w:spacing w:after="0" w:line="260" w:lineRule="auto"/>
        <w:tabs>
          <w:tab w:leader="none" w:pos="1134"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Agreement.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48"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ectPr>
          <w:pgSz w:w="11900" w:h="16838" w:orient="portrait"/>
          <w:cols w:equalWidth="0" w:num="1">
            <w:col w:w="11420"/>
          </w:cols>
          <w:pgMar w:left="240" w:top="121" w:right="239" w:bottom="198" w:gutter="0" w:footer="0" w:header="0"/>
        </w:sectPr>
      </w:pPr>
    </w:p>
    <w:bookmarkStart w:id="126" w:name="page127"/>
    <w:bookmarkEnd w:id="126"/>
    <w:p>
      <w:pPr>
        <w:jc w:val="both"/>
        <w:ind w:firstLine="656"/>
        <w:spacing w:after="0" w:line="274" w:lineRule="auto"/>
        <w:tabs>
          <w:tab w:leader="none" w:pos="117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Modifications to the Agreement</w:t>
      </w:r>
      <w:r>
        <w:rPr>
          <w:rFonts w:ascii="Arial" w:cs="Arial" w:eastAsia="Arial" w:hAnsi="Arial"/>
          <w:sz w:val="18"/>
          <w:szCs w:val="18"/>
          <w:color w:val="auto"/>
        </w:rPr>
        <w:t>. This Agreement, the Plan and the Notice of Grant constitute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Section 409A of the Code or to otherwise avoid imposition of any additional tax or income recognition under Section 409A of the Code prior to the actual issuance of Shares pursuant to this Award of Restricted Stock Units.</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13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51" w:lineRule="exact"/>
        <w:rPr>
          <w:rFonts w:ascii="Arial" w:cs="Arial" w:eastAsia="Arial" w:hAnsi="Arial"/>
          <w:sz w:val="18"/>
          <w:szCs w:val="18"/>
          <w:color w:val="auto"/>
        </w:rPr>
      </w:pPr>
    </w:p>
    <w:p>
      <w:pPr>
        <w:jc w:val="both"/>
        <w:ind w:firstLine="656"/>
        <w:spacing w:after="0" w:line="278" w:lineRule="auto"/>
        <w:tabs>
          <w:tab w:leader="none" w:pos="113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Award and the provisions of this Agreement shall be governed by, and subject to, the laws of the State of California, without giving effect to the conflict of law principles thereof. For purposes of litigating any dispute that arises under this Award of Restricted Stock Units or this Agreement, the parties hereby submit to and consent to the sole and exclusive jurisdiction of the State of California, and agree that such litigation shall be conducted in the courts of </w:t>
      </w:r>
      <w:r>
        <w:rPr>
          <w:rFonts w:ascii="Arial" w:cs="Arial" w:eastAsia="Arial" w:hAnsi="Arial"/>
          <w:sz w:val="18"/>
          <w:szCs w:val="18"/>
          <w:b w:val="1"/>
          <w:bCs w:val="1"/>
          <w:color w:val="auto"/>
        </w:rPr>
        <w:t>Marin County, California</w:t>
      </w:r>
      <w:r>
        <w:rPr>
          <w:rFonts w:ascii="Arial" w:cs="Arial" w:eastAsia="Arial" w:hAnsi="Arial"/>
          <w:sz w:val="18"/>
          <w:szCs w:val="18"/>
          <w:color w:val="auto"/>
        </w:rPr>
        <w:t>, or the federal courts for the United States for the Northern District of California, and no other courts, where this Award of Restricted Stock Units is made and/or to be performed.</w:t>
      </w:r>
    </w:p>
    <w:p>
      <w:pPr>
        <w:spacing w:after="0" w:line="165" w:lineRule="exact"/>
        <w:rPr>
          <w:rFonts w:ascii="Arial" w:cs="Arial" w:eastAsia="Arial" w:hAnsi="Arial"/>
          <w:sz w:val="18"/>
          <w:szCs w:val="18"/>
          <w:color w:val="auto"/>
        </w:rPr>
      </w:pPr>
    </w:p>
    <w:p>
      <w:pPr>
        <w:jc w:val="both"/>
        <w:ind w:firstLine="656"/>
        <w:spacing w:after="0" w:line="282" w:lineRule="auto"/>
        <w:tabs>
          <w:tab w:leader="none" w:pos="112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xml:space="preserve">. </w:t>
      </w:r>
      <w:r>
        <w:rPr>
          <w:rFonts w:ascii="Arial" w:cs="Arial" w:eastAsia="Arial" w:hAnsi="Arial"/>
          <w:sz w:val="16"/>
          <w:szCs w:val="16"/>
          <w:color w:val="auto"/>
        </w:rPr>
        <w:t>B</w:t>
      </w:r>
      <w:r>
        <w:rPr>
          <w:rFonts w:ascii="Arial" w:cs="Arial" w:eastAsia="Arial" w:hAnsi="Arial"/>
          <w:sz w:val="18"/>
          <w:szCs w:val="18"/>
          <w:color w:val="auto"/>
        </w:rPr>
        <w:t>y electing to accept this Agreement, Participant acknowledges that he or she is sufficiently proficient in English, or has consulted with an advisor who is sufficiently proficient in English so as to allow Participant, to understand the terms and conditions of this Agreement. Further,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Arial" w:cs="Arial" w:eastAsia="Arial" w:hAnsi="Arial"/>
          <w:sz w:val="18"/>
          <w:szCs w:val="18"/>
          <w:color w:val="auto"/>
        </w:rPr>
      </w:pPr>
    </w:p>
    <w:p>
      <w:pPr>
        <w:ind w:left="1100" w:hanging="444"/>
        <w:spacing w:after="0"/>
        <w:tabs>
          <w:tab w:leader="none" w:pos="110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this Restricted Stock Unit Award, Participant acknowledges that:</w:t>
      </w:r>
    </w:p>
    <w:p>
      <w:pPr>
        <w:spacing w:after="0" w:line="229" w:lineRule="exact"/>
        <w:rPr>
          <w:sz w:val="20"/>
          <w:szCs w:val="20"/>
          <w:color w:val="auto"/>
        </w:rPr>
      </w:pPr>
    </w:p>
    <w:p>
      <w:pPr>
        <w:jc w:val="both"/>
        <w:ind w:firstLine="656"/>
        <w:spacing w:after="0" w:line="260" w:lineRule="auto"/>
        <w:tabs>
          <w:tab w:leader="none" w:pos="108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Any notice period mandated under Applicable Laws shall not be treated as continuous service for the purpose of determining the vesting of the Restricted Stock Unit Award; and Participant’s right to receive Shares in settlement of the Restricted Stock Unit Award after termination of service, if any, will be measured by the date of termination of Participant’s service and will not be extended by any notice period mandated under Applicable Laws. Subject to the foregoing and the provisions of the Plan, the Company, in its sole discretion, shall determine whether Participant’s service has terminated and the effective date of such termination.</w:t>
      </w:r>
    </w:p>
    <w:p>
      <w:pPr>
        <w:spacing w:after="0" w:line="194" w:lineRule="exact"/>
        <w:rPr>
          <w:rFonts w:ascii="Arial" w:cs="Arial" w:eastAsia="Arial" w:hAnsi="Arial"/>
          <w:sz w:val="19"/>
          <w:szCs w:val="19"/>
          <w:color w:val="auto"/>
        </w:rPr>
      </w:pPr>
    </w:p>
    <w:p>
      <w:pPr>
        <w:ind w:right="20" w:firstLine="656"/>
        <w:spacing w:after="0" w:line="260" w:lineRule="auto"/>
        <w:tabs>
          <w:tab w:leader="none" w:pos="11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90" w:lineRule="exact"/>
        <w:rPr>
          <w:rFonts w:ascii="Arial" w:cs="Arial" w:eastAsia="Arial" w:hAnsi="Arial"/>
          <w:sz w:val="20"/>
          <w:szCs w:val="20"/>
          <w:color w:val="auto"/>
        </w:rPr>
      </w:pPr>
    </w:p>
    <w:p>
      <w:pPr>
        <w:jc w:val="both"/>
        <w:ind w:right="20" w:firstLine="656"/>
        <w:spacing w:after="0" w:line="250" w:lineRule="auto"/>
        <w:tabs>
          <w:tab w:leader="none" w:pos="108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grant of this Restricted Stock Unit Award is an exceptional, voluntary and occasional one-time benefit which does not create any contractual or other right to receive future grants of Restricted Stock Units, or benefits in lieu of Restricted Stock Units. All decisions with respect to future Restricted Stock Unit grants, if any, will be at the sole discretion of the Company.</w:t>
      </w:r>
    </w:p>
    <w:p>
      <w:pPr>
        <w:spacing w:after="0" w:line="199" w:lineRule="exact"/>
        <w:rPr>
          <w:rFonts w:ascii="Arial" w:cs="Arial" w:eastAsia="Arial" w:hAnsi="Arial"/>
          <w:sz w:val="20"/>
          <w:szCs w:val="20"/>
          <w:color w:val="auto"/>
        </w:rPr>
      </w:pPr>
    </w:p>
    <w:p>
      <w:pPr>
        <w:ind w:left="1080" w:hanging="424"/>
        <w:spacing w:after="0"/>
        <w:tabs>
          <w:tab w:leader="none" w:pos="108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Participant’s participation in the Plan shall not create a right to continued service with the Company (or any Subsidiary).</w:t>
      </w:r>
    </w:p>
    <w:p>
      <w:pPr>
        <w:spacing w:after="0" w:line="240" w:lineRule="exact"/>
        <w:rPr>
          <w:rFonts w:ascii="Arial" w:cs="Arial" w:eastAsia="Arial" w:hAnsi="Arial"/>
          <w:sz w:val="19"/>
          <w:szCs w:val="19"/>
          <w:color w:val="auto"/>
        </w:rPr>
      </w:pPr>
    </w:p>
    <w:p>
      <w:pPr>
        <w:ind w:left="1080" w:hanging="424"/>
        <w:spacing w:after="0"/>
        <w:tabs>
          <w:tab w:leader="none" w:pos="10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29" w:lineRule="exact"/>
        <w:rPr>
          <w:rFonts w:ascii="Arial" w:cs="Arial" w:eastAsia="Arial" w:hAnsi="Arial"/>
          <w:sz w:val="20"/>
          <w:szCs w:val="20"/>
          <w:color w:val="auto"/>
        </w:rPr>
      </w:pPr>
    </w:p>
    <w:p>
      <w:pPr>
        <w:jc w:val="both"/>
        <w:ind w:firstLine="656"/>
        <w:spacing w:after="0" w:line="244" w:lineRule="auto"/>
        <w:tabs>
          <w:tab w:leader="none" w:pos="110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Restricted Stock Unit Award is an extraordinary item that does not constitute compensation of any kind for service of any kind rendered to the Company (or any Subsidiary), and which is outside the scope of Participant’s employment contract, if any. Additionally, unless otherwise agreed with the Company, the Restricted Stock Units and the Shares subject to the Restricted Stock Units, and the income and value of same, are not granted as consideration for, or in connection with, the service Participant may provide as an officer or a director of a subsidiary of the Company.</w:t>
      </w:r>
    </w:p>
    <w:p>
      <w:pPr>
        <w:spacing w:after="0" w:line="208" w:lineRule="exact"/>
        <w:rPr>
          <w:rFonts w:ascii="Arial" w:cs="Arial" w:eastAsia="Arial" w:hAnsi="Arial"/>
          <w:sz w:val="20"/>
          <w:szCs w:val="20"/>
          <w:color w:val="auto"/>
        </w:rPr>
      </w:pPr>
    </w:p>
    <w:p>
      <w:pPr>
        <w:jc w:val="both"/>
        <w:ind w:firstLine="656"/>
        <w:spacing w:after="0" w:line="246" w:lineRule="auto"/>
        <w:tabs>
          <w:tab w:leader="none" w:pos="113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Restricted Stock Unit Award is not part of normal or expected compensation or salary for any purpose, including, but not limited to, calculating any severance payments, resignation, termination, redundancy, end-of-service payments, bonuses, long-service awards, pension or retirement benefits or similar payments. This applies to any payment even in those jurisdictions requiring such payments upon termination of employment.</w:t>
      </w:r>
    </w:p>
    <w:p>
      <w:pPr>
        <w:spacing w:after="0" w:line="205" w:lineRule="exact"/>
        <w:rPr>
          <w:rFonts w:ascii="Arial" w:cs="Arial" w:eastAsia="Arial" w:hAnsi="Arial"/>
          <w:sz w:val="20"/>
          <w:szCs w:val="20"/>
          <w:color w:val="auto"/>
        </w:rPr>
      </w:pPr>
    </w:p>
    <w:p>
      <w:pPr>
        <w:ind w:firstLine="656"/>
        <w:spacing w:after="0" w:line="287" w:lineRule="auto"/>
        <w:tabs>
          <w:tab w:leader="none" w:pos="110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Restricted Stock Unit Award will not be interpreted to form an employment contract or relationship with the Company; and furthermore the Restricted Stock Unit Award will not be interpreted to form an employment contract with any Subsidiary.</w:t>
      </w:r>
    </w:p>
    <w:p>
      <w:pPr>
        <w:spacing w:after="0" w:line="166" w:lineRule="exact"/>
        <w:rPr>
          <w:rFonts w:ascii="Arial" w:cs="Arial" w:eastAsia="Arial" w:hAnsi="Arial"/>
          <w:sz w:val="19"/>
          <w:szCs w:val="19"/>
          <w:color w:val="auto"/>
        </w:rPr>
      </w:pPr>
    </w:p>
    <w:p>
      <w:pPr>
        <w:ind w:firstLine="656"/>
        <w:spacing w:after="0" w:line="260" w:lineRule="auto"/>
        <w:tabs>
          <w:tab w:leader="none" w:pos="107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If Participant obtains Shares upon settlement of the Restricted Stock Unit Award, the value of those Shares may increase or decrease.</w:t>
      </w:r>
    </w:p>
    <w:p>
      <w:pPr>
        <w:spacing w:after="0" w:line="190" w:lineRule="exact"/>
        <w:rPr>
          <w:rFonts w:ascii="Arial" w:cs="Arial" w:eastAsia="Arial" w:hAnsi="Arial"/>
          <w:sz w:val="20"/>
          <w:szCs w:val="20"/>
          <w:color w:val="auto"/>
        </w:rPr>
      </w:pPr>
    </w:p>
    <w:p>
      <w:pPr>
        <w:ind w:left="1100" w:hanging="444"/>
        <w:spacing w:after="0"/>
        <w:tabs>
          <w:tab w:leader="none" w:pos="11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This Restricted Stock Unit Award has been granted to Participant in Participant’s status as an Employee of the Company or its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Subsidiaries.</w:t>
      </w:r>
    </w:p>
    <w:p>
      <w:pPr>
        <w:spacing w:after="0" w:line="213"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There shall be no additional obligations for any Subsidiary employing Participant as a result of this Restricted Stock Unit Award.</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decisions with respect to future Restricted Stock Units or other grants, if any, will be at the sole discretion of the Company.</w:t>
      </w:r>
    </w:p>
    <w:p>
      <w:pPr>
        <w:spacing w:after="0" w:line="252" w:lineRule="exact"/>
        <w:rPr>
          <w:rFonts w:ascii="Arial" w:cs="Arial" w:eastAsia="Arial" w:hAnsi="Arial"/>
          <w:sz w:val="18"/>
          <w:szCs w:val="18"/>
          <w:color w:val="auto"/>
        </w:rPr>
      </w:pPr>
    </w:p>
    <w:p>
      <w:pPr>
        <w:ind w:right="20" w:firstLine="656"/>
        <w:spacing w:after="0" w:line="260" w:lineRule="auto"/>
        <w:tabs>
          <w:tab w:leader="none" w:pos="123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Restricted Stock Unit and the Shares subject to the Restricted Stock Units, and the income and value of same, are not intended to replace any pension rights or compensation.</w:t>
      </w:r>
    </w:p>
    <w:p>
      <w:pPr>
        <w:spacing w:after="0" w:line="190" w:lineRule="exact"/>
        <w:rPr>
          <w:rFonts w:ascii="Arial" w:cs="Arial" w:eastAsia="Arial" w:hAnsi="Arial"/>
          <w:sz w:val="20"/>
          <w:szCs w:val="20"/>
          <w:color w:val="auto"/>
        </w:rPr>
      </w:pPr>
    </w:p>
    <w:p>
      <w:pPr>
        <w:ind w:left="1080" w:hanging="424"/>
        <w:spacing w:after="0"/>
        <w:tabs>
          <w:tab w:leader="none" w:pos="10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following provisions apply only if Participant is providing services outside the United States:</w:t>
      </w:r>
    </w:p>
    <w:p>
      <w:pPr>
        <w:sectPr>
          <w:pgSz w:w="11900" w:h="16838" w:orient="portrait"/>
          <w:cols w:equalWidth="0" w:num="1">
            <w:col w:w="11420"/>
          </w:cols>
          <w:pgMar w:left="240" w:top="122" w:right="239" w:bottom="133" w:gutter="0" w:footer="0" w:header="0"/>
        </w:sectPr>
      </w:pPr>
    </w:p>
    <w:bookmarkStart w:id="127" w:name="page128"/>
    <w:bookmarkEnd w:id="127"/>
    <w:p>
      <w:pPr>
        <w:spacing w:after="0" w:line="43" w:lineRule="exact"/>
        <w:rPr>
          <w:sz w:val="20"/>
          <w:szCs w:val="20"/>
          <w:color w:val="auto"/>
        </w:rPr>
      </w:pPr>
    </w:p>
    <w:p>
      <w:pPr>
        <w:ind w:left="660" w:firstLine="645"/>
        <w:spacing w:after="0" w:line="262" w:lineRule="auto"/>
        <w:tabs>
          <w:tab w:leader="none" w:pos="182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are not part of normal or expected compensation or salary for any purpose;</w:t>
      </w:r>
    </w:p>
    <w:p>
      <w:pPr>
        <w:spacing w:after="0" w:line="187" w:lineRule="exact"/>
        <w:rPr>
          <w:rFonts w:ascii="Arial" w:cs="Arial" w:eastAsia="Arial" w:hAnsi="Arial"/>
          <w:sz w:val="20"/>
          <w:szCs w:val="20"/>
          <w:color w:val="auto"/>
        </w:rPr>
      </w:pPr>
    </w:p>
    <w:p>
      <w:pPr>
        <w:jc w:val="both"/>
        <w:ind w:left="660" w:firstLine="645"/>
        <w:spacing w:after="0" w:line="246" w:lineRule="auto"/>
        <w:tabs>
          <w:tab w:leader="none" w:pos="186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neither the Company, the Employer nor any other Subsidiary of the Company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205" w:lineRule="exact"/>
        <w:rPr>
          <w:rFonts w:ascii="Arial" w:cs="Arial" w:eastAsia="Arial" w:hAnsi="Arial"/>
          <w:sz w:val="20"/>
          <w:szCs w:val="20"/>
          <w:color w:val="auto"/>
        </w:rPr>
      </w:pPr>
    </w:p>
    <w:p>
      <w:pPr>
        <w:jc w:val="both"/>
        <w:ind w:left="660" w:firstLine="645"/>
        <w:spacing w:after="0" w:line="260" w:lineRule="auto"/>
        <w:tabs>
          <w:tab w:leader="none" w:pos="186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Restricted Stock Units resulting from the termination of Participant’s employment or other service relationship (for any reason whatsoever, whether or not later found to be invalid or in breach of employment laws in the jurisdiction where Participant is employed or the terms of Participant’s employment agreement, if any), and in consideration of the grant of the Restricted Stock Units, Participant agrees not to institute any claim against the Company, the Employer or any of the other Subsidiaries or affiliates of the Company.</w:t>
      </w:r>
    </w:p>
    <w:p>
      <w:pPr>
        <w:spacing w:after="0" w:line="200" w:lineRule="exact"/>
        <w:rPr>
          <w:sz w:val="20"/>
          <w:szCs w:val="20"/>
          <w:color w:val="auto"/>
        </w:rPr>
      </w:pPr>
    </w:p>
    <w:p>
      <w:pPr>
        <w:spacing w:after="0" w:line="218" w:lineRule="exact"/>
        <w:rPr>
          <w:sz w:val="20"/>
          <w:szCs w:val="20"/>
          <w:color w:val="auto"/>
        </w:rPr>
      </w:pPr>
    </w:p>
    <w:p>
      <w:pPr>
        <w:ind w:left="1100" w:hanging="444"/>
        <w:spacing w:after="0"/>
        <w:tabs>
          <w:tab w:leader="none" w:pos="1100" w:val="left"/>
        </w:tabs>
        <w:numPr>
          <w:ilvl w:val="0"/>
          <w:numId w:val="109"/>
        </w:numPr>
        <w:rPr>
          <w:rFonts w:ascii="Arial" w:cs="Arial" w:eastAsia="Arial" w:hAnsi="Arial"/>
          <w:sz w:val="20"/>
          <w:szCs w:val="20"/>
          <w:color w:val="auto"/>
        </w:rPr>
      </w:pPr>
      <w:r>
        <w:rPr>
          <w:rFonts w:ascii="Arial" w:cs="Arial" w:eastAsia="Arial" w:hAnsi="Arial"/>
          <w:sz w:val="20"/>
          <w:szCs w:val="20"/>
          <w:b w:val="1"/>
          <w:bCs w:val="1"/>
          <w:u w:val="single" w:color="auto"/>
          <w:color w:val="auto"/>
        </w:rPr>
        <w:t>Data Privacy Information and Consent</w:t>
      </w:r>
      <w:r>
        <w:rPr>
          <w:rFonts w:ascii="Arial" w:cs="Arial" w:eastAsia="Arial" w:hAnsi="Arial"/>
          <w:sz w:val="20"/>
          <w:szCs w:val="20"/>
          <w:color w:val="auto"/>
        </w:rPr>
        <w:t>.</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The Company is located at 111 McInnis Parkway, San Rafael, CA 94903 U.S.A. and grants Restricted Stock Units to Employees of the Company and its Subsidiaries and affiliates, at its sole discretion. If Participant would like to participate in the Plan, he or she should review the following information about the Company’s data processing practices and declare his or her consent.</w:t>
      </w:r>
    </w:p>
    <w:p>
      <w:pPr>
        <w:spacing w:after="0" w:line="152" w:lineRule="exact"/>
        <w:rPr>
          <w:sz w:val="20"/>
          <w:szCs w:val="20"/>
          <w:color w:val="auto"/>
        </w:rPr>
      </w:pPr>
    </w:p>
    <w:p>
      <w:pPr>
        <w:jc w:val="both"/>
        <w:ind w:firstLine="656"/>
        <w:spacing w:after="0" w:line="260" w:lineRule="auto"/>
        <w:tabs>
          <w:tab w:leader="none" w:pos="1098" w:val="left"/>
        </w:tabs>
        <w:numPr>
          <w:ilvl w:val="1"/>
          <w:numId w:val="110"/>
        </w:numPr>
        <w:rPr>
          <w:rFonts w:ascii="Arial" w:cs="Arial" w:eastAsia="Arial" w:hAnsi="Arial"/>
          <w:sz w:val="15"/>
          <w:szCs w:val="15"/>
          <w:b w:val="1"/>
          <w:bCs w:val="1"/>
          <w:color w:val="auto"/>
        </w:rPr>
      </w:pPr>
      <w:r>
        <w:rPr>
          <w:rFonts w:ascii="Arial" w:cs="Arial" w:eastAsia="Arial" w:hAnsi="Arial"/>
          <w:sz w:val="19"/>
          <w:szCs w:val="19"/>
          <w:b w:val="1"/>
          <w:bCs w:val="1"/>
          <w:i w:val="1"/>
          <w:iCs w:val="1"/>
          <w:u w:val="single" w:color="auto"/>
          <w:color w:val="auto"/>
        </w:rPr>
        <w:t>Data Collection and Usage</w:t>
      </w:r>
      <w:r>
        <w:rPr>
          <w:rFonts w:ascii="Arial" w:cs="Arial" w:eastAsia="Arial" w:hAnsi="Arial"/>
          <w:sz w:val="19"/>
          <w:szCs w:val="19"/>
          <w:b w:val="1"/>
          <w:bCs w:val="1"/>
          <w:i w:val="1"/>
          <w:iCs w:val="1"/>
          <w:color w:val="auto"/>
        </w:rPr>
        <w:t>. The Company collects, processes and uses personal data of Employees, including name, home address, email address and telephone number, date of birth, social insurance, passport or other identification number, salary, citizenship, job title, any Shares or directorships held in the Company, and details of all Restricted Stock Units canceled, vested, or outstanding in Participant’s favor, which the Company receives from Participant or the Employer. If the Company offers Participant a grant of Restricted Stock Units under the Plan, then the Company will collect his or her personal data for purposes of allocating shares and implementing, administering and managing the Plan. The Company’s legal basis for the processing of Participant’s personal data will be his or her consent.</w:t>
      </w:r>
    </w:p>
    <w:p>
      <w:pPr>
        <w:spacing w:after="0" w:line="179" w:lineRule="exact"/>
        <w:rPr>
          <w:rFonts w:ascii="Arial" w:cs="Arial" w:eastAsia="Arial" w:hAnsi="Arial"/>
          <w:sz w:val="15"/>
          <w:szCs w:val="15"/>
          <w:b w:val="1"/>
          <w:bCs w:val="1"/>
          <w:color w:val="auto"/>
        </w:rPr>
      </w:pPr>
    </w:p>
    <w:p>
      <w:pPr>
        <w:jc w:val="both"/>
        <w:ind w:firstLine="656"/>
        <w:spacing w:after="0" w:line="262" w:lineRule="auto"/>
        <w:tabs>
          <w:tab w:leader="none" w:pos="1148" w:val="left"/>
        </w:tabs>
        <w:numPr>
          <w:ilvl w:val="1"/>
          <w:numId w:val="110"/>
        </w:numPr>
        <w:rPr>
          <w:rFonts w:ascii="Arial" w:cs="Arial" w:eastAsia="Arial" w:hAnsi="Arial"/>
          <w:sz w:val="15"/>
          <w:szCs w:val="15"/>
          <w:b w:val="1"/>
          <w:bCs w:val="1"/>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The Company transfers Employee data to E*TRADE Financial Corporate Services, Inc. (“E*TRADE”) an independent service provider based in the United States which assists the Company with the implementation, administration and management of the Plan. In the future, the Company may select a different service provider and share Participant’s data with another company that serves in a similar manner. The Company’s service provider will open an account for Participant to receive and trade Shares. Participant will be asked to agree on separate terms and data processing practices with the service provider, which is a condition of Participant’s ability to participate in the Plan.</w:t>
      </w:r>
    </w:p>
    <w:p>
      <w:pPr>
        <w:spacing w:after="0" w:line="176" w:lineRule="exact"/>
        <w:rPr>
          <w:rFonts w:ascii="Arial" w:cs="Arial" w:eastAsia="Arial" w:hAnsi="Arial"/>
          <w:sz w:val="15"/>
          <w:szCs w:val="15"/>
          <w:b w:val="1"/>
          <w:bCs w:val="1"/>
          <w:color w:val="auto"/>
        </w:rPr>
      </w:pPr>
    </w:p>
    <w:p>
      <w:pPr>
        <w:jc w:val="both"/>
        <w:ind w:firstLine="656"/>
        <w:spacing w:after="0" w:line="325" w:lineRule="auto"/>
        <w:tabs>
          <w:tab w:leader="none" w:pos="1049" w:val="left"/>
        </w:tabs>
        <w:numPr>
          <w:ilvl w:val="1"/>
          <w:numId w:val="110"/>
        </w:numPr>
        <w:rPr>
          <w:rFonts w:ascii="Arial" w:cs="Arial" w:eastAsia="Arial" w:hAnsi="Arial"/>
          <w:sz w:val="14"/>
          <w:szCs w:val="14"/>
          <w:b w:val="1"/>
          <w:b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The Company and its service providers are based in the United States. If Participant is outside the United States, he or she should note that his or her country has enacted data privacy laws that are different from the United States. For example, the European Commission has issued a limited adequacy finding with respect to the United States that applies only to the extent companies register for the EU-U.S. Privacy Shield program, which is open to companies subject to Federal Trade Commission jurisdiction. The Company is Privacy Shield certified, and any transfer of your data from the EU to the U.S. is covered under this regime.</w:t>
      </w:r>
    </w:p>
    <w:p>
      <w:pPr>
        <w:spacing w:after="0" w:line="131" w:lineRule="exact"/>
        <w:rPr>
          <w:rFonts w:ascii="Arial" w:cs="Arial" w:eastAsia="Arial" w:hAnsi="Arial"/>
          <w:sz w:val="14"/>
          <w:szCs w:val="14"/>
          <w:b w:val="1"/>
          <w:bCs w:val="1"/>
          <w:color w:val="auto"/>
        </w:rPr>
      </w:pPr>
    </w:p>
    <w:p>
      <w:pPr>
        <w:jc w:val="both"/>
        <w:ind w:firstLine="656"/>
        <w:spacing w:after="0" w:line="248" w:lineRule="auto"/>
        <w:tabs>
          <w:tab w:leader="none" w:pos="1067" w:val="left"/>
        </w:tabs>
        <w:numPr>
          <w:ilvl w:val="1"/>
          <w:numId w:val="110"/>
        </w:numPr>
        <w:rPr>
          <w:rFonts w:ascii="Arial" w:cs="Arial" w:eastAsia="Arial" w:hAnsi="Arial"/>
          <w:sz w:val="16"/>
          <w:szCs w:val="16"/>
          <w:b w:val="1"/>
          <w:bCs w:val="1"/>
          <w:color w:val="auto"/>
        </w:rPr>
      </w:pPr>
      <w:r>
        <w:rPr>
          <w:rFonts w:ascii="Arial" w:cs="Arial" w:eastAsia="Arial" w:hAnsi="Arial"/>
          <w:sz w:val="20"/>
          <w:szCs w:val="20"/>
          <w:b w:val="1"/>
          <w:bCs w:val="1"/>
          <w:i w:val="1"/>
          <w:iCs w:val="1"/>
          <w:u w:val="single" w:color="auto"/>
          <w:color w:val="auto"/>
        </w:rPr>
        <w:t>Data Retention</w:t>
      </w:r>
      <w:r>
        <w:rPr>
          <w:rFonts w:ascii="Arial" w:cs="Arial" w:eastAsia="Arial" w:hAnsi="Arial"/>
          <w:sz w:val="20"/>
          <w:szCs w:val="20"/>
          <w:b w:val="1"/>
          <w:bCs w:val="1"/>
          <w:i w:val="1"/>
          <w:iCs w:val="1"/>
          <w:color w:val="auto"/>
        </w:rPr>
        <w:t>. The Company will use Participant’s personal data only as long as is necessary to implement, administer and manage his or her participation in the Plan or as required to comply with legal or regulatory obligations, including under tax and security laws. When the Company no longer needs Participant’s personal data, the Company will remove it from its systems. The Company may keep data longer to satisfy legal or regulatory obligations, and the Company’s legal basis would be compliance with the relevant laws or regulations.</w:t>
      </w:r>
    </w:p>
    <w:p>
      <w:pPr>
        <w:spacing w:after="0" w:line="189" w:lineRule="exact"/>
        <w:rPr>
          <w:rFonts w:ascii="Arial" w:cs="Arial" w:eastAsia="Arial" w:hAnsi="Arial"/>
          <w:sz w:val="16"/>
          <w:szCs w:val="16"/>
          <w:b w:val="1"/>
          <w:bCs w:val="1"/>
          <w:color w:val="auto"/>
        </w:rPr>
      </w:pPr>
    </w:p>
    <w:p>
      <w:pPr>
        <w:jc w:val="both"/>
        <w:ind w:firstLine="656"/>
        <w:spacing w:after="0" w:line="288" w:lineRule="auto"/>
        <w:tabs>
          <w:tab w:leader="none" w:pos="1022" w:val="left"/>
        </w:tabs>
        <w:numPr>
          <w:ilvl w:val="1"/>
          <w:numId w:val="110"/>
        </w:numPr>
        <w:rPr>
          <w:rFonts w:ascii="Arial" w:cs="Arial" w:eastAsia="Arial" w:hAnsi="Arial"/>
          <w:sz w:val="14"/>
          <w:szCs w:val="14"/>
          <w:b w:val="1"/>
          <w:bCs w:val="1"/>
          <w:color w:val="auto"/>
        </w:rPr>
      </w:pPr>
      <w:r>
        <w:rPr>
          <w:rFonts w:ascii="Arial" w:cs="Arial" w:eastAsia="Arial" w:hAnsi="Arial"/>
          <w:sz w:val="18"/>
          <w:szCs w:val="18"/>
          <w:b w:val="1"/>
          <w:bCs w:val="1"/>
          <w:i w:val="1"/>
          <w:iCs w:val="1"/>
          <w:u w:val="single" w:color="auto"/>
          <w:color w:val="auto"/>
        </w:rPr>
        <w:t>Voluntariness and Consequences of Consent Denial or Withdrawal</w:t>
      </w:r>
      <w:r>
        <w:rPr>
          <w:rFonts w:ascii="Arial" w:cs="Arial" w:eastAsia="Arial" w:hAnsi="Arial"/>
          <w:sz w:val="18"/>
          <w:szCs w:val="18"/>
          <w:b w:val="1"/>
          <w:bCs w:val="1"/>
          <w:i w:val="1"/>
          <w:iCs w:val="1"/>
          <w:color w:val="auto"/>
        </w:rPr>
        <w:t>. Participant’s participation in the Plan and his or her grant of consent is purely voluntary. Participant may deny or withdraw his or her consent at any time. If Participant does not consent, or if he or she withdraws his or her consent, Participant cannot participate in the Plan. This would not affect Participant’s salary as an Employee or his or her career; Participant would merely forfeit the opportunities associated with the Plan.</w:t>
      </w:r>
    </w:p>
    <w:p>
      <w:pPr>
        <w:spacing w:after="0" w:line="154" w:lineRule="exact"/>
        <w:rPr>
          <w:rFonts w:ascii="Arial" w:cs="Arial" w:eastAsia="Arial" w:hAnsi="Arial"/>
          <w:sz w:val="14"/>
          <w:szCs w:val="14"/>
          <w:b w:val="1"/>
          <w:bCs w:val="1"/>
          <w:color w:val="auto"/>
        </w:rPr>
      </w:pPr>
    </w:p>
    <w:p>
      <w:pPr>
        <w:jc w:val="both"/>
        <w:ind w:left="660" w:hanging="328"/>
        <w:spacing w:after="0" w:line="259" w:lineRule="auto"/>
        <w:tabs>
          <w:tab w:leader="none" w:pos="660" w:val="left"/>
        </w:tabs>
        <w:numPr>
          <w:ilvl w:val="0"/>
          <w:numId w:val="111"/>
        </w:numPr>
        <w:rPr>
          <w:rFonts w:ascii="Arial" w:cs="Arial" w:eastAsia="Arial" w:hAnsi="Arial"/>
          <w:sz w:val="15"/>
          <w:szCs w:val="15"/>
          <w:b w:val="1"/>
          <w:bCs w:val="1"/>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has a number of rights under data privacy laws in his or her country. Depending on where Participant is based, his or her rights may include the right to (a) to request access or copies of personal data the Company’s processes, (b) rectification of incorrect data, (c) deletion of data, (d) restrictions on processing, (e) portability of data, (f) to lodge complaints with competent authorities in his or her country, and/or (g) a list with the names and addresses of any potential recipients of his or her personal data. To receive clarification regarding Participant’s rights or to exercise his or her rights please contact privacy.questions@autodesk.com.</w:t>
      </w:r>
    </w:p>
    <w:p>
      <w:pPr>
        <w:spacing w:after="0" w:line="178"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6"/>
          <w:szCs w:val="16"/>
          <w:b w:val="1"/>
          <w:bCs w:val="1"/>
          <w:i w:val="1"/>
          <w:iCs w:val="1"/>
          <w:color w:val="auto"/>
        </w:rPr>
        <w:t>If Participant agrees with the data processing practices as described in this notice, he or she should declare his or her consent by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clicking “Accept” on the E*TRADE award acceptance page.</w:t>
      </w:r>
    </w:p>
    <w:p>
      <w:pPr>
        <w:spacing w:after="0" w:line="213" w:lineRule="exact"/>
        <w:rPr>
          <w:sz w:val="20"/>
          <w:szCs w:val="20"/>
          <w:color w:val="auto"/>
        </w:rPr>
      </w:pPr>
    </w:p>
    <w:p>
      <w:pPr>
        <w:jc w:val="both"/>
        <w:ind w:firstLine="656"/>
        <w:spacing w:after="0" w:line="246" w:lineRule="auto"/>
        <w:tabs>
          <w:tab w:leader="none" w:pos="1175"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Currency Exchange Risk</w:t>
      </w:r>
      <w:r>
        <w:rPr>
          <w:rFonts w:ascii="Arial" w:cs="Arial" w:eastAsia="Arial" w:hAnsi="Arial"/>
          <w:sz w:val="20"/>
          <w:szCs w:val="20"/>
          <w:color w:val="auto"/>
        </w:rPr>
        <w:t>. Participant agrees and acknowledges that Participant shall bear any and all risk associated with the exchange or fluctuation of currency associated with the Award, including without limitation the settlement of the Award or sale of the Shares (the “Currency Exchange Risk”). Participant waives and releases the Company and its Subsidiaries from any potential claims arising out of the Currency Exchange Risk.</w:t>
      </w:r>
    </w:p>
    <w:p>
      <w:pPr>
        <w:spacing w:after="0" w:line="205" w:lineRule="exact"/>
        <w:rPr>
          <w:rFonts w:ascii="Arial" w:cs="Arial" w:eastAsia="Arial" w:hAnsi="Arial"/>
          <w:sz w:val="20"/>
          <w:szCs w:val="20"/>
          <w:color w:val="auto"/>
        </w:rPr>
      </w:pPr>
    </w:p>
    <w:p>
      <w:pPr>
        <w:jc w:val="both"/>
        <w:ind w:firstLine="656"/>
        <w:spacing w:after="0" w:line="282" w:lineRule="auto"/>
        <w:tabs>
          <w:tab w:leader="none" w:pos="120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Notwithstanding any provisions in this Agreement, the Restricted Stock Units shall be subject to any applicable country-specific provisions set forth in Exhibit B to this Agreement for Participant’s country. Moreover, if Participant relocates to one of the countries included in Exhibit B, the provisions for such country will apply to Participant, to the extent the Company determines that the application of such provisions is necessary or advisable for legal or administrative reasons. Exhibit B constitutes part of this Agreement.</w:t>
      </w:r>
    </w:p>
    <w:p>
      <w:pPr>
        <w:sectPr>
          <w:pgSz w:w="11900" w:h="16881" w:orient="portrait"/>
          <w:cols w:equalWidth="0" w:num="1">
            <w:col w:w="11420"/>
          </w:cols>
          <w:pgMar w:left="240" w:top="121" w:right="239" w:bottom="0" w:gutter="0" w:footer="0" w:header="0"/>
        </w:sectPr>
      </w:pPr>
    </w:p>
    <w:bookmarkStart w:id="128" w:name="page129"/>
    <w:bookmarkEnd w:id="128"/>
    <w:p>
      <w:pPr>
        <w:jc w:val="both"/>
        <w:ind w:firstLine="656"/>
        <w:spacing w:after="0" w:line="246" w:lineRule="auto"/>
        <w:tabs>
          <w:tab w:leader="none" w:pos="1094"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Participant’s participation in the Plan, on the Restricted Stock Unit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134"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Participant’s participation in the Plan, or Participant’s acquisition or sale of the underlying Shares. Participant understands and agrees that Participant should consult with his or her own personal tax, legal and financial advisors regarding his or her participation in the Plan before taking any action related to the Plan.</w:t>
      </w:r>
    </w:p>
    <w:p>
      <w:pPr>
        <w:spacing w:after="0" w:line="191" w:lineRule="exact"/>
        <w:rPr>
          <w:rFonts w:ascii="Arial" w:cs="Arial" w:eastAsia="Arial" w:hAnsi="Arial"/>
          <w:sz w:val="20"/>
          <w:szCs w:val="20"/>
          <w:color w:val="auto"/>
        </w:rPr>
      </w:pPr>
    </w:p>
    <w:p>
      <w:pPr>
        <w:ind w:firstLine="656"/>
        <w:spacing w:after="0" w:line="316" w:lineRule="auto"/>
        <w:tabs>
          <w:tab w:leader="none" w:pos="110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Participant acknowledge that a waiver by the Company of breach of any provision of this Agreement shall not operate or be construed as a waiver of any other provision of this Agreement, or of any subsequent breach by Participant or any other Participant.</w:t>
      </w:r>
    </w:p>
    <w:p>
      <w:pPr>
        <w:spacing w:after="0" w:line="130" w:lineRule="exact"/>
        <w:rPr>
          <w:rFonts w:ascii="Arial" w:cs="Arial" w:eastAsia="Arial" w:hAnsi="Arial"/>
          <w:sz w:val="18"/>
          <w:szCs w:val="18"/>
          <w:color w:val="auto"/>
        </w:rPr>
      </w:pPr>
    </w:p>
    <w:p>
      <w:pPr>
        <w:jc w:val="both"/>
        <w:ind w:firstLine="656"/>
        <w:spacing w:after="0" w:line="271" w:lineRule="auto"/>
        <w:tabs>
          <w:tab w:leader="none" w:pos="110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Insider-Trading/Market-Abuse Laws</w:t>
      </w:r>
      <w:r>
        <w:rPr>
          <w:rFonts w:ascii="Arial" w:cs="Arial" w:eastAsia="Arial" w:hAnsi="Arial"/>
          <w:sz w:val="18"/>
          <w:szCs w:val="18"/>
          <w:color w:val="auto"/>
        </w:rPr>
        <w:t>. Participant may be subject to insider trading restrictions and/or market abuse laws based on the exchange on which the Shares are listed and in applicable jurisdictions including the United States and Participant’s country or his or her broker’s country, if different, which may affect Participant’s ability to accept, acquire, sell or otherwise dispose of Shares, rights to Shares (e.g., Restricted Stock Units) or rights linked to the value of Shares during such times as Participant is considered to have “inside information” regarding the Company (as defined by the laws in applicable jurisdictions). Local insider trading laws and regulations may prohibit the cancellation or amendment of orders Participant placed before he or she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Autodesk, Inc. Insider Trading Policy. Participant is responsible for complying with any applicable restrictions, and should speak to Participant’s personal legal advisor and/or the Company’s Legal Department for further details regarding any applicable insider-trading and/or market-abuse laws in Participant’s country.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094"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Foreign Asset/Account Reporting Requirements and Exchange Controls</w:t>
      </w:r>
      <w:r>
        <w:rPr>
          <w:rFonts w:ascii="Arial" w:cs="Arial" w:eastAsia="Arial" w:hAnsi="Arial"/>
          <w:sz w:val="19"/>
          <w:szCs w:val="19"/>
          <w:color w:val="auto"/>
        </w:rPr>
        <w:t>. Participant acknowledges that Participant’s country may have certain foreign asset and/or foreign account reporting requirements and exchange controls which may affect Participant’s ability to acquire or hold Shares purchased under the Plan or cash received from participating in the Plan (including from any dividends paid on shares acquired under the Plan)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Participant’s participation in the Plan to Participant’s country through a designated bank or broker within a certain time after receipt. Participant acknowledges that it is Participant’s responsibility to be compliant with such regulations, and Participant is advised to consult Participant’s personal legal advisor for any details.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COUNTRY-SPECIFIC PROVISIONS 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OF RESTRICTED STOCK UNITS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 AUTODESK, INC.</w:t>
      </w:r>
    </w:p>
    <w:p>
      <w:pPr>
        <w:jc w:val="center"/>
        <w:spacing w:after="0"/>
        <w:rPr>
          <w:sz w:val="20"/>
          <w:szCs w:val="20"/>
          <w:color w:val="auto"/>
        </w:rPr>
      </w:pPr>
      <w:r>
        <w:rPr>
          <w:rFonts w:ascii="Arial" w:cs="Arial" w:eastAsia="Arial" w:hAnsi="Arial"/>
          <w:sz w:val="20"/>
          <w:szCs w:val="20"/>
          <w:b w:val="1"/>
          <w:bCs w:val="1"/>
          <w:color w:val="auto"/>
        </w:rPr>
        <w:t>2012 EMPLOYEE STOCK PLAN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Appendix includes additional terms and conditions that govern the Restricted Stock Units granted to Participant under the Autodesk, Inc. (the “Company”) 2012 Equity Incentive Plan (the “Plan”) if Participant works and/or resides in one of the countries listed below. Capitalized terms used but not defined in this Exhibit B have the meanings set forth in the Plan, the Notice of Restricted Stock Unit Grant (the “Notice”) and/or the Terms and Conditions of Restricted Stock Unit Agreement (the “Agreement”).</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Participant is a citizen or resident of a country other than the one in which Participant is currently working and/or residing, is considered a resident of another country for local law purposes or transfers employer and/or residency between countries after the Date of Grant, the Company shall, in its sole discretion, determine to what extent the terms and conditions contained herein shall apply to Participant under these circumstances.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Exhibit B also includes information regarding securities laws, exchange controls and certain other issues of which Participant should be aware with respect to his or her participation in the Plan. The information is based on the securities laws, exchange controls and other laws in effect in the respective countries as of January 2018. Such laws are often complex and change frequently. As a result, the Company strongly recommends Participant not rely on the information in this Exhibit B as the only source of information relating to the consequences of Participant’s participation in the Plan because the information may be out of date at the time the Restricted Stock Units vest, or Participant sells the Shares acquired upon vesting of the Restricted Stock Units under the Plan.</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Participant’s country(ies) may apply to his or her situation.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Finally, if Participant is a citizen or resident of a country other than the one in which he or she is currently working and/or residing, transfers after the Date of Grant or is considered a resident of another country for local law purposes, the information contained herein may not apply in the same manner.</w:t>
      </w:r>
    </w:p>
    <w:p>
      <w:pPr>
        <w:sectPr>
          <w:pgSz w:w="11900" w:h="16838" w:orient="portrait"/>
          <w:cols w:equalWidth="0" w:num="1">
            <w:col w:w="11420"/>
          </w:cols>
          <w:pgMar w:left="240" w:top="352" w:right="239" w:bottom="0"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color w:val="auto"/>
        </w:rPr>
        <w:t>ARGENTINA</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 Law Acknowledgement</w:t>
      </w:r>
      <w:r>
        <w:rPr>
          <w:rFonts w:ascii="Arial" w:cs="Arial" w:eastAsia="Arial" w:hAnsi="Arial"/>
          <w:sz w:val="20"/>
          <w:szCs w:val="20"/>
          <w:color w:val="auto"/>
        </w:rPr>
        <w:t>. This provision supplements Section 25 of the Agreement.</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accepting the Award, Participant acknowledges and agrees that the grant of Restricted Stock Units is made by the Company (not the Employer) in its sole discretion and the value of the Restricted Stock Units or any Shares acquired under the Plan shall not constitute salary or wages for any purpose under Argentine labor law, including, but not limited to, the calculation of (i) any labor benefits including, without limitation, vacation pay, compensation in lieu of notice, annual bonus, disability, and leave of absence payments, etc., or (ii) any termination or severance indemnities or similar payments.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If, notwithstanding the foregoing, any benefits under the Plan are considered as salary or wages for any purpose under Argentine labor law, Participant acknowledges and agrees that such benefits shall not accrue more frequently than on each Restricted Stock Units vesting date. Participant further acknowledges and agrees the Restricted Stock Units are an extraordinary benefit, which for labor law purposes (e.g. thirteenth month salary, Christmas bonuses, or similar payments) are valued at the fair market value of the Shares on the date of vesting, when the Shares are delivered to the Participant. A portion of such value may be deducted, to be taken into account for thirteenth month salary purposes as of the month in which the vesting occurs if required under local law.</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Neither the Restricted Stock Units nor the underlying Shares are publicly offered or listed on any stock exchange in Argentina. The offer is private and not subject to the supervision of any Argentine governmental authority.</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is an Argentine resident, Participant must comply with any and all Argentine currency exchange restrictions, approvals and reporting requirements in connection with this Award. Argentine residents should consult with their personal advisor to confirm what will be required (if anything) as the exchange control rules and regulations are subject to change without notice.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AUSTRALIA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Form of Settlement</w:t>
      </w:r>
      <w:r>
        <w:rPr>
          <w:rFonts w:ascii="Arial" w:cs="Arial" w:eastAsia="Arial" w:hAnsi="Arial"/>
          <w:sz w:val="20"/>
          <w:szCs w:val="20"/>
          <w:color w:val="auto"/>
        </w:rPr>
        <w:t>. Notwithstanding Section 2 or any other provision of this Agreement, (a) the Restricted Stock Units may not be settled in cash; and (b) the vesting of Restricted Stock Units may be accelerated by the Administrator only upon the death or total permanent disablement of Participant, and to the extent permitted by Applicable Law.</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A Participant will cease to be an employee for the purposes of the Plan (incorporating this Agreement) if he or she is no longer an “Employee” as defined in the Plan, or Participant is no longer employed by any of the following: (a) Participant’s employer in the employment in respect of which Participant acquired the Restricted Stock Units; (b) a holding company (within the meaning of the </w:t>
      </w:r>
      <w:r>
        <w:rPr>
          <w:rFonts w:ascii="Arial" w:cs="Arial" w:eastAsia="Arial" w:hAnsi="Arial"/>
          <w:sz w:val="20"/>
          <w:szCs w:val="20"/>
          <w:i w:val="1"/>
          <w:iCs w:val="1"/>
          <w:color w:val="auto"/>
        </w:rPr>
        <w:t>Corporations Act 2001</w:t>
      </w:r>
      <w:r>
        <w:rPr>
          <w:rFonts w:ascii="Arial" w:cs="Arial" w:eastAsia="Arial" w:hAnsi="Arial"/>
          <w:sz w:val="20"/>
          <w:szCs w:val="20"/>
          <w:color w:val="auto"/>
        </w:rPr>
        <w:t xml:space="preserve"> (Cth)) of Participant’s employer in the employment in respect of which Participant acquired the Restricted Stock Units; (c) a subsidiary (within the meaning of the </w:t>
      </w:r>
      <w:r>
        <w:rPr>
          <w:rFonts w:ascii="Arial" w:cs="Arial" w:eastAsia="Arial" w:hAnsi="Arial"/>
          <w:sz w:val="20"/>
          <w:szCs w:val="20"/>
          <w:i w:val="1"/>
          <w:iCs w:val="1"/>
          <w:color w:val="auto"/>
        </w:rPr>
        <w:t>Income Tax Assessment Act 1997</w:t>
      </w:r>
      <w:r>
        <w:rPr>
          <w:rFonts w:ascii="Arial" w:cs="Arial" w:eastAsia="Arial" w:hAnsi="Arial"/>
          <w:sz w:val="20"/>
          <w:szCs w:val="20"/>
          <w:color w:val="auto"/>
        </w:rPr>
        <w:t xml:space="preserve"> (Cth)) of Participant’s employer in the employment in respect of which Participant acquired the Restricted Stock Units; or (d) a subsidiary (within the meaning of the </w:t>
      </w:r>
      <w:r>
        <w:rPr>
          <w:rFonts w:ascii="Arial" w:cs="Arial" w:eastAsia="Arial" w:hAnsi="Arial"/>
          <w:sz w:val="20"/>
          <w:szCs w:val="20"/>
          <w:i w:val="1"/>
          <w:iCs w:val="1"/>
          <w:color w:val="auto"/>
        </w:rPr>
        <w:t>Income Tax Assessment Act 1997</w:t>
      </w:r>
      <w:r>
        <w:rPr>
          <w:rFonts w:ascii="Arial" w:cs="Arial" w:eastAsia="Arial" w:hAnsi="Arial"/>
          <w:sz w:val="20"/>
          <w:szCs w:val="20"/>
          <w:color w:val="auto"/>
        </w:rPr>
        <w:t xml:space="preserve"> (Cth) of a holding company (within the meaning of the </w:t>
      </w:r>
      <w:r>
        <w:rPr>
          <w:rFonts w:ascii="Arial" w:cs="Arial" w:eastAsia="Arial" w:hAnsi="Arial"/>
          <w:sz w:val="20"/>
          <w:szCs w:val="20"/>
          <w:i w:val="1"/>
          <w:iCs w:val="1"/>
          <w:color w:val="auto"/>
        </w:rPr>
        <w:t>Corporations Act 2001</w:t>
      </w:r>
      <w:r>
        <w:rPr>
          <w:rFonts w:ascii="Arial" w:cs="Arial" w:eastAsia="Arial" w:hAnsi="Arial"/>
          <w:sz w:val="20"/>
          <w:szCs w:val="20"/>
          <w:color w:val="auto"/>
        </w:rPr>
        <w:t xml:space="preserve"> (Cth)) of Participant’s employer in the employment in respect of which Participant acquired the Restricted Stock Units.</w:t>
      </w:r>
    </w:p>
    <w:p>
      <w:pPr>
        <w:spacing w:after="0" w:line="21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Tax Information</w:t>
      </w:r>
      <w:r>
        <w:rPr>
          <w:rFonts w:ascii="Arial" w:cs="Arial" w:eastAsia="Arial" w:hAnsi="Arial"/>
          <w:sz w:val="20"/>
          <w:szCs w:val="20"/>
          <w:color w:val="auto"/>
        </w:rPr>
        <w:t>: The Plan is a plan to which Subdivision 83A-C of the Income Tax Assessment Act 1997 (Cth) (the “Act”) applies (subject to the conditions in that Act).</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Australia Class Order Exemption</w:t>
      </w:r>
      <w:r>
        <w:rPr>
          <w:rFonts w:ascii="Arial" w:cs="Arial" w:eastAsia="Arial" w:hAnsi="Arial"/>
          <w:sz w:val="18"/>
          <w:szCs w:val="18"/>
          <w:color w:val="auto"/>
        </w:rPr>
        <w:t>. The offering of the Plan in Australia is intended to qualify for exemption from the prospectus requirements under a Class Order issued by the Australian Securities and Investments Commission. Participant’s right to purchase Shares is subject to the terms and conditions set forth in the Australia Offer Document, the Plan and the Agreement, including this Exhibit B.</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Participant is an Australian resident, exchange control reporting is required for cash transactions exceeding A$10,000 and for international fund transfers. If an Australian bank is assisting with the transaction, the bank will file the report on Participant’s behalf. If there is no Australian bank involved in the transfer, Participant will be required to file the report.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Participant holds Shares obtained through the Plan outside Austria, Participant may be required to submit reports to the Austrian National Bank as follows: (i) on a quarterly basis if the value of the Shares as of any given quarter meets or exceeds €30,000,000; and (ii) on an annual basis if the value of the Shares as of December 31 meets or exceeds €5,000,000. The quarterly reporting date is as of the last day of the respective quarter; the deadline for filing the quarterly report is the fifteenth day of the month following the end of the respective quarter. The deadline for filing the annual report is January 31 of the following year.</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addition, when the Shares are sold or a dividend is received, Participant may be required to comply with certain exchange control obligations if the cash proceeds from the sale are held outside Austria. If the transaction volume of all accounts abroad meets or exceeds €10,000,000, the movements and balances of all accounts must be reported monthly, as of the last day of the month, on or before the fifteenth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ectPr>
          <w:pgSz w:w="11900" w:h="16838" w:orient="portrait"/>
          <w:cols w:equalWidth="0" w:num="1">
            <w:col w:w="11420"/>
          </w:cols>
          <w:pgMar w:left="240" w:top="116" w:right="239" w:bottom="0" w:gutter="0" w:footer="0" w:header="0"/>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BELGIUM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Compliance with Law</w:t>
      </w:r>
      <w:r>
        <w:rPr>
          <w:rFonts w:ascii="Arial" w:cs="Arial" w:eastAsia="Arial" w:hAnsi="Arial"/>
          <w:sz w:val="20"/>
          <w:szCs w:val="20"/>
          <w:color w:val="auto"/>
        </w:rPr>
        <w:t>. In accepting the Award, Participant agrees to comply with all applicable Brazilian laws and to report and pay any and all applicable Tax-Related Items associated with the vesting of the Restricted Stock Units and issuance or sale of Shares acquired under the Plan or the receipt of dividends.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Labor Law Acknowledgement</w:t>
      </w:r>
      <w:r>
        <w:rPr>
          <w:rFonts w:ascii="Arial" w:cs="Arial" w:eastAsia="Arial" w:hAnsi="Arial"/>
          <w:sz w:val="20"/>
          <w:szCs w:val="20"/>
          <w:color w:val="auto"/>
        </w:rPr>
        <w:t>. In accepting the Award, Participant agrees that he or she is (i) making an investment decision, (ii) the Shares will be issued to Participant only if the vesting conditions are met, and (iii) the value of the underlying Shares is not fixed and may increase or decrease in value over the vesting period without compensation to Participant.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is a resident or domiciled in Brazil, he or she will be required to submit annually a declaration of assets and rights (including Shares issued upon settlement of the Restricted Stock Units) held outside Brazil to the Central Bank of Brazil if the aggregate value of such assets and rights held abroad is equal to or exceeds a threshold that is established annually by the Central Bank. Further, if Participant is a resident or domiciled in Brazil, and transfers funds into Brazil (e.g., proceeds from the sale of Shares), he or she is required to transfer such funds through a duly authorized bank and provide any requested supporting documents to the bank. By accepting the Award, Participant acknowledges that it is his or her responsibility to comply with the Brazilian exchange control laws, and neither the Company nor the Employer will be liable for any fines or penalties resulting from his or her failure to comply with applicable exchange control laws. Participant should consult with his or her personal legal advisor to ensure compliance with applicable Brazilian regulations.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Form of Settlement</w:t>
      </w:r>
      <w:r>
        <w:rPr>
          <w:rFonts w:ascii="Arial" w:cs="Arial" w:eastAsia="Arial" w:hAnsi="Arial"/>
          <w:sz w:val="19"/>
          <w:szCs w:val="19"/>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Distribution after Vesting</w:t>
      </w:r>
      <w:r>
        <w:rPr>
          <w:rFonts w:ascii="Arial" w:cs="Arial" w:eastAsia="Arial" w:hAnsi="Arial"/>
          <w:sz w:val="20"/>
          <w:szCs w:val="20"/>
          <w:i w:val="1"/>
          <w:iCs w:val="1"/>
          <w:color w:val="auto"/>
        </w:rPr>
        <w:t>.</w:t>
      </w:r>
      <w:r>
        <w:rPr>
          <w:rFonts w:ascii="Arial" w:cs="Arial" w:eastAsia="Arial" w:hAnsi="Arial"/>
          <w:sz w:val="20"/>
          <w:szCs w:val="20"/>
          <w:color w:val="auto"/>
        </w:rPr>
        <w:t xml:space="preserve"> Section 6 of the Agreement shall be deleted in its entirety and replaced with the following language: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9 and the other provisions of the Agreement. Any Restricted Stock Units that vest in accordance with Section 4 will be settled at the time(s) provided in Section 4, subject to Section 9 and the other provisions of the Agreement.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Vesting/Termination</w:t>
      </w:r>
      <w:r>
        <w:rPr>
          <w:rFonts w:ascii="Arial" w:cs="Arial" w:eastAsia="Arial" w:hAnsi="Arial"/>
          <w:sz w:val="20"/>
          <w:szCs w:val="20"/>
          <w:color w:val="auto"/>
        </w:rPr>
        <w:t>. The following provision supplements Section 5 and replaces 24(a) of the Agreement: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For purposes of the Agreement, in the event Participant ceases his or her employment or service relationship with the Company or Employer (for any reason whatsoever and whether or not later found to be invalid or in breach of local labor laws), Participant’s right to vest in the Restricted Stock Units will terminate as of the date that is the earlier of: (a) the date Participant’s employment is terminated; (b) the date Participant receives notice of termination of employment from the Company or Employer, or (c) the date Participant is no longer actively employed or actively providing services to the Company or Employer, regardless of any notice period or period of pay in lieu of such notice required under local law (including, but not limited to statutory law, regulatory law and/or common law). The Administrator shall have the exclusive discretion to determine when Participant is no longer actively providing services (including whether Participant may still be considered actively employed or actively providing services while on a leave of absence).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terms and conditions will apply if Participant is a resident of Quebec</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The following provision supplements section 26 of the Agreement:</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any Parent or Subsidiary and any stock plan service provider that may be selected by the Company to assist with the Plan to disclose and discuss the Plan with their respective advisors. Participant further authorizes the Company and any Parent or Subsidiary to record such information and to keep such information in Participant’s employee file.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Participant is permitted to sell Shares acquired through the Plan through the designated broker appointed under the Plan, if any, provided the resale of Shares acquired under the Plan takes place outside Canada through the facilities of a stock exchange on which the Shares are listed on the Nasdaq Global Select Market.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CHINA</w:t>
      </w:r>
    </w:p>
    <w:p>
      <w:pPr>
        <w:sectPr>
          <w:pgSz w:w="11900" w:h="16838" w:orient="portrait"/>
          <w:cols w:equalWidth="0" w:num="1">
            <w:col w:w="11420"/>
          </w:cols>
          <w:pgMar w:left="240" w:top="115" w:right="239" w:bottom="0" w:gutter="0" w:footer="0" w:header="0"/>
        </w:sectPr>
      </w:pP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The following terms and conditions apply if Participant is subject to exchange control restrictions and regulations in China, including the requirements imposed by the State Administration of Foreign Exchange (“SAFE”) as determined by the Company in its sole discretion.</w:t>
      </w:r>
    </w:p>
    <w:p>
      <w:pPr>
        <w:sectPr>
          <w:pgSz w:w="11900" w:h="16838" w:orient="portrait"/>
          <w:cols w:equalWidth="0" w:num="1">
            <w:col w:w="11420"/>
          </w:cols>
          <w:pgMar w:left="240" w:top="115" w:right="239" w:bottom="0" w:gutter="0" w:footer="0" w:header="0"/>
          <w:type w:val="continuous"/>
        </w:sectPr>
      </w:pPr>
    </w:p>
    <w:bookmarkStart w:id="131" w:name="page132"/>
    <w:bookmarkEnd w:id="131"/>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u w:val="single" w:color="auto"/>
          <w:color w:val="auto"/>
        </w:rPr>
        <w:t>Sale Requirement</w:t>
      </w:r>
      <w:r>
        <w:rPr>
          <w:rFonts w:ascii="Arial" w:cs="Arial" w:eastAsia="Arial" w:hAnsi="Arial"/>
          <w:sz w:val="19"/>
          <w:szCs w:val="19"/>
          <w:color w:val="auto"/>
        </w:rPr>
        <w:t>. Notwithstanding any provisions concerning the conversion of Restricted Stock Units and issuance of Shares set forth in this Agreement and the Plan, due to exchange control laws in China, Participant agrees that the Company reserves the right to require the immediate sale of any Shares issued upon settlement of the Restricted Stock Units. Participant understands and agrees that any such immediate sale of Shares will occur as soon as is practical following settlement of the Restricted Stock Units. Alternatively, if the Shares are not immediately sold upon settlement of the Restricted Stock Units, the Company will require the sale of any Shares Participant may then hold within six (6) months (or such other period as may be required under applicable legal or exchange control requirements) following the termination of Participant’s employment with the Company including its Subsidiaries.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Participant agrees that the Company is authorized to instruct such designated broker as may be selected by the Company to assist with the sale of the Shares on Participant’s behalf pursuant to this authorization, and Participant expressly authorizes such broker to complete the sale of such Shares. Participant also agrees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he or she shall not be permitted to exercise any influence over how, when or whether the sales occur. Upon the sale of the Shares, Participant will receive the cash proceeds from the sale, less any applicable Tax-Related Items, brokerage fees or commissions, in accordance with applicable exchange control laws and regulations.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Participant acknowledges that such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Participant may be more or less than the market value of the Shares on the settlement date (which is the amount relevant to determining his or her liability for Tax-Related Items). Participant understands and agrees that the Company is not responsible for the amount of any loss that he or she may incur and that the Company assumes no liability for any fluctuations in the Share price and/or any applicable exchange rate.</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Designated Broker Account</w:t>
      </w:r>
      <w:r>
        <w:rPr>
          <w:rFonts w:ascii="Arial" w:cs="Arial" w:eastAsia="Arial" w:hAnsi="Arial"/>
          <w:sz w:val="20"/>
          <w:szCs w:val="20"/>
          <w:color w:val="auto"/>
        </w:rPr>
        <w:t>. If Shares issued upon the settlement of the Restricted Stock Units are not immediately sold, Participant acknowledges that he or she is required to maintain the Shares in an account as may be selected by the Company until the Shares are sold through such Company-designated broker (as further detailed below).</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Requirements</w:t>
      </w:r>
      <w:r>
        <w:rPr>
          <w:rFonts w:ascii="Arial" w:cs="Arial" w:eastAsia="Arial" w:hAnsi="Arial"/>
          <w:sz w:val="20"/>
          <w:szCs w:val="20"/>
          <w:color w:val="auto"/>
        </w:rPr>
        <w:t>. Participant understands and agrees that, pursuant to local exchange control requirements, he or she will be required to immediately repatriate the cash proceeds from the sale of Shares and any cash dividends paid on such Shares to China. Participant further understands that, under local law, such repatriation of his or her cash proceeds may need to be effectuated through a special exchange control account established by the Company, the Employer or any other parent or Subsidiary, and Participant hereby consents and agrees that any proceeds from the sale of Shares or any cash dividends paid on such Shares may be transferred to such special account prior to being delivered to him or her.</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proceeds may be paid to Participant in US dollars or local currency at the Company’s discretion. In the event the proceeds are paid to Participant in US dollars, he or she understands that he or she will be required to set up a US dollar bank account in China and provide the bank account details to his or her Employer and/or the Company so that the proceeds may be deposited into this account. If the proceeds are paid to Participant in local currency, the Company is under no obligation to secure any particular exchange conversion rate and/or conversion date and the Company may face delays in converting the proceeds to local currency due to exchange control restrictions. Participant agrees to bear any currency fluctuation risk between the time the Shares are sold or dividends are received and the time the proceeds are distributed through any such special exchange account. Participant further agrees to comply with any other requirements that may be imposed by the Company in the future in order to facilitate compliance with exchange control requirements in China.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 Law Acknowledgement</w:t>
      </w:r>
      <w:r>
        <w:rPr>
          <w:rFonts w:ascii="Arial" w:cs="Arial" w:eastAsia="Arial" w:hAnsi="Arial"/>
          <w:sz w:val="20"/>
          <w:szCs w:val="20"/>
          <w:color w:val="auto"/>
        </w:rPr>
        <w:t>. This provision supplements Section 25 of the Agreement:</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Participant expressly acknowledges that, pursuant to Article 15 of Law 50/1990 (Article 128 of the Colombian Labor Code), the Restricted Stock Units and any payments Participant receives pursuant to the Restricted Stock Units are wholly discretionary and are a benefit of an extraordinary nature that do not exclusively depend on Participant’s performance. Accordingly, the Plan, the Restricted Stock Units and related benefits do not constitute a component of Participant’s “salary” for any legal purpose, including for purposes of calculating any and all labor benefits, such as fringe benefits, vacation pay, termination or other indemnities, payroll taxes, social insurance contributions, or any other outstanding employment-related amounts, subject to the limitations provided in Law 1393/2010.</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Investments in assets located outside Colombia (including the Shares) are subject to registration with the Central Bank (</w:t>
      </w:r>
      <w:r>
        <w:rPr>
          <w:rFonts w:ascii="Arial" w:cs="Arial" w:eastAsia="Arial" w:hAnsi="Arial"/>
          <w:sz w:val="19"/>
          <w:szCs w:val="19"/>
          <w:i w:val="1"/>
          <w:iCs w:val="1"/>
          <w:color w:val="auto"/>
        </w:rPr>
        <w:t>Banco de la República</w:t>
      </w:r>
      <w:r>
        <w:rPr>
          <w:rFonts w:ascii="Arial" w:cs="Arial" w:eastAsia="Arial" w:hAnsi="Arial"/>
          <w:sz w:val="19"/>
          <w:szCs w:val="19"/>
          <w:color w:val="auto"/>
        </w:rPr>
        <w:t xml:space="preserve">) if the aggregate value of such investments is US$500,000 or more (as of December 31 of the applicable calendar year). Further, when Shares (or other investments) held abroad are sold, Participant may either choose to keep the resulting sums abroad, or to repatriate them to Colombia. If Participant chooses to repatriate funds to Colombia and has not registered the investment with </w:t>
      </w:r>
      <w:r>
        <w:rPr>
          <w:rFonts w:ascii="Arial" w:cs="Arial" w:eastAsia="Arial" w:hAnsi="Arial"/>
          <w:sz w:val="19"/>
          <w:szCs w:val="19"/>
          <w:i w:val="1"/>
          <w:iCs w:val="1"/>
          <w:color w:val="auto"/>
        </w:rPr>
        <w:t>Banco de la República</w:t>
      </w:r>
      <w:r>
        <w:rPr>
          <w:rFonts w:ascii="Arial" w:cs="Arial" w:eastAsia="Arial" w:hAnsi="Arial"/>
          <w:sz w:val="19"/>
          <w:szCs w:val="19"/>
          <w:color w:val="auto"/>
        </w:rPr>
        <w:t>, Participant will need to file with</w:t>
      </w:r>
      <w:r>
        <w:rPr>
          <w:rFonts w:ascii="Arial" w:cs="Arial" w:eastAsia="Arial" w:hAnsi="Arial"/>
          <w:sz w:val="19"/>
          <w:szCs w:val="19"/>
          <w:i w:val="1"/>
          <w:iCs w:val="1"/>
          <w:color w:val="auto"/>
        </w:rPr>
        <w:t xml:space="preserve"> Banco de la República </w:t>
      </w:r>
      <w:r>
        <w:rPr>
          <w:rFonts w:ascii="Arial" w:cs="Arial" w:eastAsia="Arial" w:hAnsi="Arial"/>
          <w:sz w:val="19"/>
          <w:szCs w:val="19"/>
          <w:color w:val="auto"/>
        </w:rPr>
        <w:t>the appropriate form upon conversion of funds into local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currency, which should be duly completed to reflect the nature of the transaction. If Participant has registered the investment with </w:t>
      </w:r>
      <w:r>
        <w:rPr>
          <w:rFonts w:ascii="Arial" w:cs="Arial" w:eastAsia="Arial" w:hAnsi="Arial"/>
          <w:sz w:val="19"/>
          <w:szCs w:val="19"/>
          <w:i w:val="1"/>
          <w:iCs w:val="1"/>
          <w:color w:val="auto"/>
        </w:rPr>
        <w:t>Banco de la</w:t>
      </w:r>
      <w:r>
        <w:rPr>
          <w:rFonts w:ascii="Arial" w:cs="Arial" w:eastAsia="Arial" w:hAnsi="Arial"/>
          <w:sz w:val="19"/>
          <w:szCs w:val="19"/>
          <w:color w:val="auto"/>
        </w:rPr>
        <w:t xml:space="preserve"> </w:t>
      </w:r>
      <w:r>
        <w:rPr>
          <w:rFonts w:ascii="Arial" w:cs="Arial" w:eastAsia="Arial" w:hAnsi="Arial"/>
          <w:sz w:val="19"/>
          <w:szCs w:val="19"/>
          <w:i w:val="1"/>
          <w:iCs w:val="1"/>
          <w:color w:val="auto"/>
        </w:rPr>
        <w:t>República</w:t>
      </w:r>
      <w:r>
        <w:rPr>
          <w:rFonts w:ascii="Arial" w:cs="Arial" w:eastAsia="Arial" w:hAnsi="Arial"/>
          <w:sz w:val="19"/>
          <w:szCs w:val="19"/>
          <w:color w:val="auto"/>
        </w:rPr>
        <w:t>, then Participant will need to file with</w:t>
      </w:r>
      <w:r>
        <w:rPr>
          <w:rFonts w:ascii="Arial" w:cs="Arial" w:eastAsia="Arial" w:hAnsi="Arial"/>
          <w:sz w:val="19"/>
          <w:szCs w:val="19"/>
          <w:i w:val="1"/>
          <w:iCs w:val="1"/>
          <w:color w:val="auto"/>
        </w:rPr>
        <w:t xml:space="preserve"> Banco de la República </w:t>
      </w:r>
      <w:r>
        <w:rPr>
          <w:rFonts w:ascii="Arial" w:cs="Arial" w:eastAsia="Arial" w:hAnsi="Arial"/>
          <w:sz w:val="19"/>
          <w:szCs w:val="19"/>
          <w:color w:val="auto"/>
        </w:rPr>
        <w:t>the appropriate form upon conversion of funds into local currency,</w:t>
      </w:r>
      <w:r>
        <w:rPr>
          <w:rFonts w:ascii="Arial" w:cs="Arial" w:eastAsia="Arial" w:hAnsi="Arial"/>
          <w:sz w:val="19"/>
          <w:szCs w:val="19"/>
          <w:i w:val="1"/>
          <w:iCs w:val="1"/>
          <w:color w:val="auto"/>
        </w:rPr>
        <w:t xml:space="preserve"> </w:t>
      </w:r>
      <w:r>
        <w:rPr>
          <w:rFonts w:ascii="Arial" w:cs="Arial" w:eastAsia="Arial" w:hAnsi="Arial"/>
          <w:sz w:val="19"/>
          <w:szCs w:val="19"/>
          <w:color w:val="auto"/>
        </w:rPr>
        <w:t>which should be duly completed to reflect the nature of the transaction. Participant should obtain proper legal advice in order to ensure compliance with applicable Colombian regulations.</w:t>
      </w:r>
    </w:p>
    <w:p>
      <w:pPr>
        <w:sectPr>
          <w:pgSz w:w="11900" w:h="16838" w:orient="portrait"/>
          <w:cols w:equalWidth="0" w:num="1">
            <w:col w:w="11420"/>
          </w:cols>
          <w:pgMar w:left="240" w:top="121" w:right="239" w:bottom="170" w:gutter="0" w:footer="0" w:header="0"/>
        </w:sectPr>
      </w:pPr>
    </w:p>
    <w:bookmarkStart w:id="132" w:name="page133"/>
    <w:bookmarkEnd w:id="132"/>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Shares are not and will not be registered with the Colombian registry of publicly traded securities (</w:t>
      </w:r>
      <w:r>
        <w:rPr>
          <w:rFonts w:ascii="Arial" w:cs="Arial" w:eastAsia="Arial" w:hAnsi="Arial"/>
          <w:sz w:val="20"/>
          <w:szCs w:val="20"/>
          <w:i w:val="1"/>
          <w:iCs w:val="1"/>
          <w:color w:val="auto"/>
        </w:rPr>
        <w:t>Registro</w:t>
      </w:r>
      <w:r>
        <w:rPr>
          <w:rFonts w:ascii="Arial" w:cs="Arial" w:eastAsia="Arial" w:hAnsi="Arial"/>
          <w:sz w:val="20"/>
          <w:szCs w:val="20"/>
          <w:color w:val="auto"/>
        </w:rPr>
        <w:t xml:space="preserve"> </w:t>
      </w:r>
      <w:r>
        <w:rPr>
          <w:rFonts w:ascii="Arial" w:cs="Arial" w:eastAsia="Arial" w:hAnsi="Arial"/>
          <w:sz w:val="20"/>
          <w:szCs w:val="20"/>
          <w:i w:val="1"/>
          <w:iCs w:val="1"/>
          <w:color w:val="auto"/>
        </w:rPr>
        <w:t>Nacional de Valores y Emisores</w:t>
      </w:r>
      <w:r>
        <w:rPr>
          <w:rFonts w:ascii="Arial" w:cs="Arial" w:eastAsia="Arial" w:hAnsi="Arial"/>
          <w:sz w:val="20"/>
          <w:szCs w:val="20"/>
          <w:color w:val="auto"/>
        </w:rPr>
        <w:t>) and therefore the Shares may not be offered to the public in Colombia. Nothing in this document should be</w:t>
      </w:r>
      <w:r>
        <w:rPr>
          <w:rFonts w:ascii="Arial" w:cs="Arial" w:eastAsia="Arial" w:hAnsi="Arial"/>
          <w:sz w:val="20"/>
          <w:szCs w:val="20"/>
          <w:i w:val="1"/>
          <w:iCs w:val="1"/>
          <w:color w:val="auto"/>
        </w:rPr>
        <w:t xml:space="preserve"> </w:t>
      </w:r>
      <w:r>
        <w:rPr>
          <w:rFonts w:ascii="Arial" w:cs="Arial" w:eastAsia="Arial" w:hAnsi="Arial"/>
          <w:sz w:val="20"/>
          <w:szCs w:val="20"/>
          <w:color w:val="auto"/>
        </w:rPr>
        <w:t>construed as the making of a public offer of securities in Colombia.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b w:val="1"/>
          <w:bCs w:val="1"/>
          <w:color w:val="auto"/>
        </w:rPr>
        <w:t>.</w:t>
      </w:r>
      <w:r>
        <w:rPr>
          <w:rFonts w:ascii="Arial" w:cs="Arial" w:eastAsia="Arial" w:hAnsi="Arial"/>
          <w:sz w:val="20"/>
          <w:szCs w:val="20"/>
          <w:color w:val="auto"/>
        </w:rPr>
        <w:t xml:space="preserve"> Proceeds from the sale of Shares, any dividends paid on such Shares may be held in a cash account abroad and Participant is no longer required to report the opening and maintenance of a foreign account to the Czech National Bank (the “CNB”), unless the CNB notifies Participant specifically that such reporting is required. Upon request of the CNB, Participant may need to file a notification within fifteen (15) days of the end of the calendar quarter in which Participant acquires Shares. However, because exchange control regulations change frequently and without notice, Participant should consult his or her personal legal advisor prior to vesting to ensure compliance with current regulations.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Danish Stock Option Act</w:t>
      </w:r>
      <w:r>
        <w:rPr>
          <w:rFonts w:ascii="Arial" w:cs="Arial" w:eastAsia="Arial" w:hAnsi="Arial"/>
          <w:sz w:val="18"/>
          <w:szCs w:val="18"/>
          <w:color w:val="auto"/>
        </w:rPr>
        <w:t>. By participating in the Plan, Participant acknowledges that he or she received an Employer Statement translated into Danish, which is being provided to comply with the Danish Stock Option Act. To the extent more favorable to Participant and required to comply with the Stock Option Act, the terms set forth in the Employer Statement will apply to the Participant’s participation in the Plan.</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u w:val="single" w:color="auto"/>
          <w:color w:val="auto"/>
        </w:rPr>
        <w:t>Securities/Tax Reporting Information</w:t>
      </w:r>
      <w:r>
        <w:rPr>
          <w:rFonts w:ascii="Arial" w:cs="Arial" w:eastAsia="Arial" w:hAnsi="Arial"/>
          <w:sz w:val="18"/>
          <w:szCs w:val="18"/>
          <w:color w:val="auto"/>
        </w:rPr>
        <w:t>. Participant understands if he or she holds Shares issued upon settlement of the Restricted Stock Units in a brokerage account with a broker or bank outside Denmark, Participant is required to inform the Danish Customs and Tax Administration about the account. For this purpose, Participant must file a Form V (Erklaering V) with the Danish Tax Administration. A sample of Form V can be found at the following website: www.skat.dk. Prior to submitting the Form V to the Danish Customs and Tax Administration, the form must be signed by a representative of the bank or broker with which the securities are deposited (the “depositary”). By signing the Form V, the depositary is undertaking to submit the required information on an annual basis without further request by the Danish Customs and Tax Administration. However, if the depositary will not agree to sign the Form V, Participant may apply for an exemption from this requirement by completing Section 6 (“Possible exemption from requirement to give promise”) of the Form V. If the application is accepted, Participant will be personally responsible for submitting the required information as an attachment to his or her annual tax return.</w:t>
      </w:r>
    </w:p>
    <w:p>
      <w:pPr>
        <w:spacing w:after="0" w:line="1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It is only necessary to submit a Form V the first time securities are deposited with a depositary outside of Denmark. However, if the securities are transferred to a different depositary or if he or she begins using a new depositary, a new Form V is required.</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Generally, the Form V must be submitted by the depositary no later than February 1 of the year following the calendar year to which the information relates. However, if Participant is responsible for submitting this information (i.e., because he or she has applied for and received an exemption), Participant must submit the required information as an attachment to his or her annual tax return.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addition, if Participant opens a brokerage account (or a deposit account with a U.S. bank) for the purpose of holding cash outside Denmark, Participant is also required to inform the Danish Customs and Tax Administration about this account. To do so, Participant must also file a Form K (Erklaering K) with the Danish Customs and Tax Administration. The Form K must be signed both by Participant and by the applicable broker or bank where the account is held. By signing the Form K, the broker/bank undertakes an obligation, without further request each year and not later than on February 1 of the year following the calendar year to which the information relates, to forward certain information to the Danish Tax Administration concerning the content of the account. In the event that the applicable financial institution (broker or bank) with which the account is held, does not wish to, or, pursuant to the laws of the country in question, is not allowed to assume such obligation to report, Participant acknowledges that he or she is solely responsible for providing certain details regarding the foreign brokerage or bank account to the Danish Customs and Tax Administration as part of his or her annual income tax return. By signing the Form K, Participant authorizes the Danish Customs and Tax Administration to examine the account. A sample of Form K can be found at the following website: www.skat.dk.</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Language Consent</w:t>
      </w:r>
      <w:r>
        <w:rPr>
          <w:rFonts w:ascii="Arial" w:cs="Arial" w:eastAsia="Arial" w:hAnsi="Arial"/>
          <w:sz w:val="20"/>
          <w:szCs w:val="20"/>
          <w:color w:val="auto"/>
        </w:rPr>
        <w:t>. By accepting the Award, Participant confirms having read and understood the Plan and Agreement which were provided in the English language. Participant accepts the terms of those documents accordingly.</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u w:val="single" w:color="auto"/>
          <w:color w:val="auto"/>
        </w:rPr>
        <w:t>Consentement Relatif à la Langue Utilisée</w:t>
      </w:r>
      <w:r>
        <w:rPr>
          <w:rFonts w:ascii="Arial" w:cs="Arial" w:eastAsia="Arial" w:hAnsi="Arial"/>
          <w:sz w:val="19"/>
          <w:szCs w:val="19"/>
          <w:i w:val="1"/>
          <w:iCs w:val="1"/>
          <w:color w:val="auto"/>
        </w:rPr>
        <w:t>. En acceptant l’Attribution, le Participant confirme avoir lu et compris le Plan et le Contrat, qui ont été communiqués en langue anglaise. Le Participant accepte les termes de ces documents en connaissance de cause.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Participant must declare to the customs and excise authorities any cash or securities he or she imports or exports without the use of a financial institution when the value of the cash or securities is equal to or exceeds €10,000.</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GERMANY</w:t>
      </w:r>
    </w:p>
    <w:p>
      <w:pPr>
        <w:sectPr>
          <w:pgSz w:w="11900" w:h="16838" w:orient="portrait"/>
          <w:cols w:equalWidth="0" w:num="1">
            <w:col w:w="11420"/>
          </w:cols>
          <w:pgMar w:left="240" w:top="121" w:right="239" w:bottom="0" w:gutter="0" w:footer="0" w:header="0"/>
        </w:sectPr>
      </w:pPr>
    </w:p>
    <w:bookmarkStart w:id="133" w:name="page134"/>
    <w:bookmarkEnd w:id="133"/>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Cross-border payments in excess of €12,500 must be reported monthly to the German Federal Bank. If Participant makes or receives a cross-border payment in excess of €12,500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acquired under the Plan), he or she must report the payment to the German Federal Bank electronically using the “General Statistics Reporting Portal” available via the Bank’s website (</w:t>
      </w:r>
      <w:r>
        <w:rPr>
          <w:rFonts w:ascii="Arial" w:cs="Arial" w:eastAsia="Arial" w:hAnsi="Arial"/>
          <w:sz w:val="20"/>
          <w:szCs w:val="20"/>
          <w:u w:val="single" w:color="auto"/>
          <w:color w:val="auto"/>
        </w:rPr>
        <w:t>www.bundesbank.de</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Form of Settlement</w:t>
      </w:r>
      <w:r>
        <w:rPr>
          <w:rFonts w:ascii="Arial" w:cs="Arial" w:eastAsia="Arial" w:hAnsi="Arial"/>
          <w:sz w:val="19"/>
          <w:szCs w:val="19"/>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53"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u w:val="single" w:color="auto"/>
          <w:color w:val="auto"/>
        </w:rPr>
        <w:t>Nature of Scheme</w:t>
      </w:r>
      <w:r>
        <w:rPr>
          <w:rFonts w:ascii="Arial" w:cs="Arial" w:eastAsia="Arial" w:hAnsi="Arial"/>
          <w:sz w:val="19"/>
          <w:szCs w:val="19"/>
          <w:color w:val="auto"/>
        </w:rPr>
        <w:t>. Participant acknowledges that the Company specifically intends that the Plan will not be an occupational retirement scheme for purposes of the Occupational Retirement Schemes Ordinance (“ORSO”). Notwithstanding the foregoing, if the Plan is deemed to constitute an occupational retirement scheme for purposes of ORSO, the Restricted Stock Units granted shall be void.</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Securities Law Compliance</w:t>
      </w:r>
      <w:r>
        <w:rPr>
          <w:rFonts w:ascii="Arial" w:cs="Arial" w:eastAsia="Arial" w:hAnsi="Arial"/>
          <w:sz w:val="20"/>
          <w:szCs w:val="20"/>
          <w:color w:val="auto"/>
        </w:rPr>
        <w:t>. Participant acknowledges and agrees that any and all Shares allotted or issued pursuant to the terms and conditions of the Plan are issued to Participant for his/her own account and not with a view to all or any of those Shares being offered for sale to the public. Participant may not sell or offer to sell any Shares issued to him or her within six months following the Date of Grant. By accepting the Restricted Stock Units, Participant acknowledges and agrees that he or she is bound by the provisions of the certificate of incorporation or bylaws of the Company, as amended (including any provisions restricting the sale or transfer of such Shares) and the Plan and that any subsequent sale or transfer of the Shares must be undertaken in accordance with all Applicable Laws and regulations and that no documentation issued by the Company to Participant in respect of the Restricted Stock Units or the Shares may be disseminated or disclosed to any person at any time.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Securities Law Notification</w:t>
      </w:r>
      <w:r>
        <w:rPr>
          <w:rFonts w:ascii="Arial" w:cs="Arial" w:eastAsia="Arial" w:hAnsi="Arial"/>
          <w:sz w:val="20"/>
          <w:szCs w:val="20"/>
          <w:color w:val="auto"/>
        </w:rPr>
        <w:t xml:space="preserve">. </w:t>
      </w:r>
      <w:r>
        <w:rPr>
          <w:rFonts w:ascii="Arial" w:cs="Arial" w:eastAsia="Arial" w:hAnsi="Arial"/>
          <w:sz w:val="20"/>
          <w:szCs w:val="20"/>
          <w:i w:val="1"/>
          <w:iCs w:val="1"/>
          <w:color w:val="auto"/>
        </w:rPr>
        <w:t>WARNING: The contents of this Agreement, the Plan and any other incidental communication materials</w:t>
      </w:r>
      <w:r>
        <w:rPr>
          <w:rFonts w:ascii="Arial" w:cs="Arial" w:eastAsia="Arial" w:hAnsi="Arial"/>
          <w:sz w:val="20"/>
          <w:szCs w:val="20"/>
          <w:color w:val="auto"/>
        </w:rPr>
        <w:t xml:space="preserve"> </w:t>
      </w:r>
      <w:r>
        <w:rPr>
          <w:rFonts w:ascii="Arial" w:cs="Arial" w:eastAsia="Arial" w:hAnsi="Arial"/>
          <w:sz w:val="20"/>
          <w:szCs w:val="20"/>
          <w:i w:val="1"/>
          <w:iCs w:val="1"/>
          <w:color w:val="auto"/>
        </w:rPr>
        <w:t>distributed in connection with the Restricted Stock Units have not been reviewed by any regulatory authority in Hong Kong. Participant is advised to exercise caution in relation to the Award. If Participant is in any doubt about any of the contents of this Agreement, the Plan any other incidental communication materials distributed in connection with the Restricted Stock Units, Participant should obtain independent professional advice.</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The Restricted Stock Units and Shares that may be issued in respect of the Restricted Stock Units have not been offered or sold and will not be offered or sold in Hong Kong by means of any document other than in other circumstances which do not result in the document being a “prospectus” as defined in the Companies Ordinance (Chapter 32 of the Laws of Hong Kong) or which do not constitute an offer to the public within the meaning of that ordinance.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This Agreement and the information contained herein may not be used other than by Participant and may not be reproduced in any form or transferred to any person in Hong Kong. This Award is not an offer for sale to the public in Hong Kong and it is not the intention of the Company that the Restricted Stock Units or the Shares be offered for sale to the public in Hong Kong.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Participant must repatriate any proceeds from the sale of Shares acquired under the Plan and any cash dividends to India and convert the proceeds into local currency within such time as prescribed under applicable Indian exchange control laws as may be amended from time to time. Participant will receive a foreign inward remittance certificate (“FIRC”) from the bank where Participant deposits the foreign currency. Participant should retain the FIRC as evidence of the repatriation of funds in the event the Reserve Bank of India or the Employer requests proof of repatriation. It is Participant’s responsibility to comply with applicable exchange control laws in India.</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u w:val="single" w:color="auto"/>
          <w:color w:val="auto"/>
        </w:rPr>
        <w:t>Language Consent and Information</w:t>
      </w:r>
      <w:r>
        <w:rPr>
          <w:rFonts w:ascii="Arial" w:cs="Arial" w:eastAsia="Arial" w:hAnsi="Arial"/>
          <w:sz w:val="19"/>
          <w:szCs w:val="19"/>
          <w:color w:val="auto"/>
        </w:rPr>
        <w:t xml:space="preserve">. A translation of the documents relating to this grant (i.e., the Plan and the Agreement) into Bahasa Indonesia can be provided to Participant upon request to the Company at </w:t>
      </w:r>
      <w:r>
        <w:rPr>
          <w:rFonts w:ascii="Arial" w:cs="Arial" w:eastAsia="Arial" w:hAnsi="Arial"/>
          <w:sz w:val="20"/>
          <w:szCs w:val="20"/>
          <w:color w:val="auto"/>
        </w:rPr>
        <w:t>Stock.Administrator@autodesk.com.</w:t>
      </w:r>
      <w:r>
        <w:rPr>
          <w:rFonts w:ascii="Arial" w:cs="Arial" w:eastAsia="Arial" w:hAnsi="Arial"/>
          <w:sz w:val="19"/>
          <w:szCs w:val="19"/>
          <w:color w:val="auto"/>
        </w:rPr>
        <w:t xml:space="preserve"> By accepting the grant of Restricted Stock Units, Participant (i) confirms having read and understood the documents relating to this grant (i.e., the Notice of Grant, the Agreement (including Exhibit A and B thereof) and the Plan)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ectPr>
          <w:pgSz w:w="11900" w:h="16838" w:orient="portrait"/>
          <w:cols w:equalWidth="0" w:num="1">
            <w:col w:w="11420"/>
          </w:cols>
          <w:pgMar w:left="240" w:top="121" w:right="239" w:bottom="206"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ectPr>
          <w:pgSz w:w="11900" w:h="16838" w:orient="portrait"/>
          <w:cols w:equalWidth="0" w:num="1">
            <w:col w:w="11420"/>
          </w:cols>
          <w:pgMar w:left="240" w:top="121" w:right="239" w:bottom="206" w:gutter="0" w:footer="0" w:header="0"/>
          <w:type w:val="continuous"/>
        </w:sectPr>
      </w:pPr>
    </w:p>
    <w:bookmarkStart w:id="134" w:name="page135"/>
    <w:bookmarkEnd w:id="134"/>
    <w:p>
      <w:pPr>
        <w:jc w:val="both"/>
        <w:spacing w:after="0" w:line="261"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Indonesian residents remit proceeds from the sale of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Indonesian residents must complete a “Transfer Report Form.” The Transfer Report Form will be provided to the Indonesian residents by the bank through which the transaction is made.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ISRAEL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to Participants who are in Israel on the Date of Grant.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Section 1 of the Agreement shall be supplemented to add the following language at the end thereof:</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References to the Plan will be deemed to include the Sub-Plan for Israeli Participants (the “Sub-Plan”). The Restricted Stock Units are granted as a 102 Capital Gains Track Grant, subject to the terms and conditions of Section 102(b)(2) and 102(b)(3) of the Income Tax Ordinance (New Version) – 1961 (the “ITO”), the Plan and the Trust Agreement (“Trust Agreement”), entered into between the Company and ESOP Management and Trust Services Ltd. (the “Trustee”). References to the issuance of Shares to Participant shall be deemed to include the words “or the Trustee”. References to “Applicable Law” shall be deemed to include Section 102 of the ITO.</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Section 102 Compliance</w:t>
      </w:r>
      <w:r>
        <w:rPr>
          <w:rFonts w:ascii="Arial" w:cs="Arial" w:eastAsia="Arial" w:hAnsi="Arial"/>
          <w:sz w:val="20"/>
          <w:szCs w:val="20"/>
          <w:color w:val="auto"/>
        </w:rPr>
        <w:t>. By accepting this Restricted Stock Unit Award, Participant acknowledges and agrees that: (a) the Award is granted under and governed by the Plan, Sections 102(b)(2) and 102(b)(3) of the ITO and the Rules promulgated in connection therewith, and the Trust Agreement; (b) the Shares issued upon vesting of the Restricted Stock Units will be issued to the Trustee to hold on behalf of Participant, pursuant to the terms of Section 102 of the ITO and the Trust Agreement, and (c) Participant is familiar with the terms and provisions of the ITO, particularly the “Capital Gains Track” described in Sections 102(b)(2) and 102(b)(3) thereof, and will not require the Trustee to release or sell the Restricted Stock Units or Shares during the Required Holding Period (defined in the Sub-Plan), unless permitted to do so by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Distribution after Vesting</w:t>
      </w:r>
      <w:r>
        <w:rPr>
          <w:rFonts w:ascii="Arial" w:cs="Arial" w:eastAsia="Arial" w:hAnsi="Arial"/>
          <w:sz w:val="20"/>
          <w:szCs w:val="20"/>
          <w:color w:val="auto"/>
        </w:rPr>
        <w:t>. Section 6 of the Agreement shall be deleted in its entirety and replaced by the following language:</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Shares will be issued in the name of the Trustee as required by Applicable Law to qualify under Section 102 of the ITO, for the benefit of Participant. Participant shall comply with the ITO, the Rules, and the terms and conditions of the Trust Agreement entered into between the Company and the Trustee. The Trustee will hold the Shares for the Required Holding Period, as set forth in the Sub-Plan. Participant hereby undertakes to release the Trustee from any liability in respect of any action or decision duly taken and bona fide executed in relation to the Plan and the Sub-Plan, or any Shares issued to the Trustee hereunder. Participant hereby confirms that s/he shall execute any and all documents that the Company or the Trustee may reasonably determine to be necessary in order to comply with the ITO and, in particular, the Rules.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Section 9 of the Agreement shall be supplemented by the following language:</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To the extent required by Applicable Law on any date Participant is required to recognize taxable income with respect to the Restricted Stock Units, Participant will be required to pay, and the Trustee and/or the Company will withhold any Tax-Related Items which will enable the Company and/or the Trustee to satisfy its obligation to withhold any Tax-Related Items arising on such date Participant is required to recognize taxable income with respect to the Restricted Stock Units. The Company, in its sole discretion, may, to the extent permitted by Applicable Law, require or otherwise allow the Trustee or the Company to withhold and/or Participant to pay such Tax-Related Items by (i) withholding cash from Participant’s account at the broker designated by the Company for such purpose, (ii) selling of sufficient Shares on the date Participant is required to recognize taxable income with respect to the Restricted Stock Units, (iii) deductions from compensation payable to Participant or (iv) any other method permitted by Applicable Law.</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the event Participant disposes of any Shares issued upon vesting of the Restricted Stock Units prior to the expiration of the Required Holding Period, Participant acknowledges and agrees that such shares will not qualify for 102 Capital Gains Tax Treatment and will be subject to taxation in Israel in accordance with ordinary income tax principles. Further, Participant acknowledges and agrees that Participant will be liable for the Employer’s component of payments to the National Insurance Institute (to the extent such payments by the Employer are required).</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Participant further agrees that the Trustee may act on behalf of the Company or the Employer, as applicable, to satisfy any obligation to withhold Tax-Related Items applicable to Participant in connection with the Units granted under the Sub-Plan.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Section 12 of the Agreement shall be deleted in its entirety and replaced by the following language:</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Any notice to be given to the Company under the terms of this Agreement will be addressed to the Company at Autodesk, Inc., c/o Stock Administrator, </w:t>
      </w:r>
      <w:r>
        <w:rPr>
          <w:rFonts w:ascii="Arial" w:cs="Arial" w:eastAsia="Arial" w:hAnsi="Arial"/>
          <w:sz w:val="19"/>
          <w:szCs w:val="19"/>
          <w:b w:val="1"/>
          <w:bCs w:val="1"/>
          <w:color w:val="auto"/>
        </w:rPr>
        <w:t>111 McInnis Parkway, San Rafael, CA 94903 U.S.A.</w:t>
      </w:r>
      <w:r>
        <w:rPr>
          <w:rFonts w:ascii="Arial" w:cs="Arial" w:eastAsia="Arial" w:hAnsi="Arial"/>
          <w:sz w:val="19"/>
          <w:szCs w:val="19"/>
          <w:color w:val="auto"/>
        </w:rPr>
        <w:t>, or at such other address as the Company may hereafter designate in writing, unless otherwise expressly instructed by the Company or the Trustee with respect to a specific type of notice.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Section 26 of the Agreement shall be supplemented by the following language: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Without derogating from the scope of Section 26 of the Agreement, Participant hereby explicitly consents to the transfer of Data between the Company, the Trustee, and/or a designated Plan broker, including any requisite transfer of such Data outside the Participant’s country and further transfers thereafter as may be required to a broker or other third party.</w:t>
      </w:r>
    </w:p>
    <w:p>
      <w:pPr>
        <w:sectPr>
          <w:pgSz w:w="11900" w:h="16838" w:orient="portrait"/>
          <w:cols w:equalWidth="0" w:num="1">
            <w:col w:w="11420"/>
          </w:cols>
          <w:pgMar w:left="240" w:top="122" w:right="239" w:bottom="63" w:gutter="0" w:footer="0" w:header="0"/>
        </w:sectPr>
      </w:pPr>
    </w:p>
    <w:bookmarkStart w:id="135" w:name="page136"/>
    <w:bookmarkEnd w:id="135"/>
    <w:p>
      <w:pPr>
        <w:spacing w:after="0"/>
        <w:rPr>
          <w:sz w:val="20"/>
          <w:szCs w:val="20"/>
          <w:color w:val="auto"/>
        </w:rPr>
      </w:pPr>
      <w:r>
        <w:rPr>
          <w:rFonts w:ascii="Arial" w:cs="Arial" w:eastAsia="Arial" w:hAnsi="Arial"/>
          <w:sz w:val="20"/>
          <w:szCs w:val="20"/>
          <w:i w:val="1"/>
          <w:iCs w:val="1"/>
          <w:color w:val="auto"/>
        </w:rPr>
        <w:t>The following provisions apply to Participants who permanently transfer to Israel after the Date of Grant.</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Mandatory Sale Restriction</w:t>
      </w:r>
      <w:r>
        <w:rPr>
          <w:rFonts w:ascii="Arial" w:cs="Arial" w:eastAsia="Arial" w:hAnsi="Arial"/>
          <w:sz w:val="18"/>
          <w:szCs w:val="18"/>
          <w:color w:val="auto"/>
        </w:rPr>
        <w:t>. To facilitate compliance with local tax requirements, Participant agrees to the sale of any Shares to be issued to him or her upon settlement of the Restricted Stock Units. The sale may occur (i) immediately upon settlement, (ii) following Participant’s termination of employment, or (iii) within any other time frame as the Company determines to be necessary to comply with local tax requirements. Participant further agrees the Company is authorized to instruct its designated broker to assist with the mandatory sale of such Shares (on his or her behalf pursuant to this authorization) and Participant expressly authorizes the Company’s designated broker to complete the sale of such Shares. Participant acknowledges the Company’s designated broker is under no obligation to arrange for the sale of the Shares at any particular price. Upon the sale of the Shares, the Company agrees to pay Participant the cash proceeds from the sale, less any brokerage fees or commissions and subject to any obligation to satisfy Tax-Related Items.</w:t>
      </w:r>
    </w:p>
    <w:p>
      <w:pPr>
        <w:spacing w:after="0" w:line="3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Participant further agrees any Shares to be issued to him or her shall be deposited directly into an account with the Company’s designated broker. The deposited Shares shall not be transferable (either electronically or in certificate form) from the brokerage account. This limitation shall apply both to transfers to different accounts with the same broker and to transfers to other brokerage firms. The limitation shall apply to all Shares issued to Participant under the Plan, whether or not he or she continues to be employed by the Company or any parent or Subsidiary.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Plan Document Acknowledgement</w:t>
      </w:r>
      <w:r>
        <w:rPr>
          <w:rFonts w:ascii="Arial" w:cs="Arial" w:eastAsia="Arial" w:hAnsi="Arial"/>
          <w:sz w:val="20"/>
          <w:szCs w:val="20"/>
          <w:color w:val="auto"/>
        </w:rPr>
        <w:t>. By accepting the Award, Participant acknowledges he or she has received a copy of the Plan and the Agreement and has reviewed the Plan and the Agreement, including this Exhibit B, in their entirety and fully understands and accepts all provisions of the Plan and the Agreement, including this Exhibit B.</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Participant further acknowledges having read and specifically approves the following sections of the Agreement: Section 3 (Vesting Schedule), Section 5 (Forfeiture upon Termination of Service as a an Employee), Section 7 (Disability or Death of Participant), Section 8 (Retirement of Participant), Section 9 (Responsibility for Taxes), Section 25 (Nature of Grant), Section 15 (Additional Conditions to Issuance of Stock), Section 18 (Electronic Delivery), Section 23 (Governing Law), Section 24 (Language), Section 32 (Insider Trading Restrictions/Market Abuse Laws), and Section 26 (Data Privacy).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This provision replaces Section 9 of the Agreement in its entirety:</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a condition of grant, Participant hereby elects to pay any and all income tax due on the benefits derived from the Restricted Stock Units and/or the receipt of Shares upon vesting of the Restricted Stock Units (“Taxes on RSUs”) directly to the Malaysian Inland Revenue Board and report such benefits on his or her annual tax return for the relevant year of the tax assessment. Participant further understands and agrees that by making this election, the Company and the Employer will not withhold any taxes pursuant to the Income Tax (Deduction of Remuneration) Rules 1994 in respect of the Taxes on RSUs, and Participant acknowledges and agrees that the ultimate liability for all Taxes on RSUs is and remains Participant’s responsibility.</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Further, if Participant becomes subject to taxation in more than one jurisdiction between the Date of Grant and the date of any relevant taxable event, Participant acknowledges that the Company and/or the Employer (or former employer, as applicable) may be required to withhold or account for the Taxes on RSUs in any relevant jurisdiction outside Malaysia and may do so in the manner set forth in the Agreement.</w:t>
      </w:r>
    </w:p>
    <w:p>
      <w:pPr>
        <w:spacing w:after="0" w:line="15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election will remain in effect unless and until Participant actively cancels the election by notifying the Employer in writing and the Employer confirms receipt of such cancellation notice.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i w:val="1"/>
          <w:iCs w:val="1"/>
          <w:color w:val="auto"/>
        </w:rPr>
        <w:t>.</w:t>
      </w:r>
      <w:r>
        <w:rPr>
          <w:rFonts w:ascii="Arial" w:cs="Arial" w:eastAsia="Arial" w:hAnsi="Arial"/>
          <w:sz w:val="20"/>
          <w:szCs w:val="20"/>
          <w:color w:val="auto"/>
        </w:rPr>
        <w:t xml:space="preserve"> This provision replaces Section 26 of the Agreement in its entirety:</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Participant hereby explicitly, voluntarily and unambiguously consents to the collection, use and transfer, in electronic or other form, of his or her personal data as described in this Agreement and any other Plan participation materials by and among, as applicable, the Employer, the Company and any Parent or Subsidiary or any third parties authorized by same in assisting in the implementation, administration and management of Participant’s participation in the Plan.</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Participant may have previously provided the Company and the Employer with, and the Company and the Employer may hold, certain personal information about Participant, including, but not limited to, his or her name, home address and telephone number, date of birth, social insurance number or other identification number, salary, nationality, job title, any Shares or directorships held in the Company, the fact and conditions of Participant’s participation in the Plan, details of all Restricted Stock Units or any other entitlement to Shares awarded, cancelled, exercised, vested, unvested or outstanding in Participant’s favor (“Data”), for the exclusive purpose of implementing, administering and managing the Plan.</w:t>
      </w:r>
    </w:p>
    <w:p>
      <w:pPr>
        <w:sectPr>
          <w:pgSz w:w="11900" w:h="16838" w:orient="portrait"/>
          <w:cols w:equalWidth="0" w:num="1">
            <w:col w:w="11420"/>
          </w:cols>
          <w:pgMar w:left="240" w:top="231" w:right="239" w:bottom="0" w:gutter="0" w:footer="0" w:header="0"/>
        </w:sectPr>
      </w:pPr>
    </w:p>
    <w:bookmarkStart w:id="136" w:name="page137"/>
    <w:bookmarkEnd w:id="136"/>
    <w:p>
      <w:pPr>
        <w:jc w:val="both"/>
        <w:spacing w:after="0" w:line="269" w:lineRule="auto"/>
        <w:rPr>
          <w:sz w:val="20"/>
          <w:szCs w:val="20"/>
          <w:color w:val="auto"/>
        </w:rPr>
      </w:pPr>
      <w:r>
        <w:rPr>
          <w:rFonts w:ascii="Arial" w:cs="Arial" w:eastAsia="Arial" w:hAnsi="Arial"/>
          <w:sz w:val="18"/>
          <w:szCs w:val="18"/>
          <w:i w:val="1"/>
          <w:iCs w:val="1"/>
          <w:color w:val="auto"/>
        </w:rPr>
        <w:t>Participant also authorizes any transfer of Data, as may be required, to such stock plan service provider as may be selected by the Company from time to time, which is assisting the Company with the implementation, administration and management of the Plan and/or with whom any Shares acquired upon settlement of the Restricted Stock Units are deposited. Participant acknowledges that these recipients may be located in Participant’s country or elsewhere, and that the recipient’s country (e.g., the United States) may have different data privacy laws and protections to Participant’s country, which may not give the same level of protection to Data. Participant understands that he or she may request a list with the names and addresses of any potential recipients of Data by contacting his or her local human resources representative. Participant authorizes the Company, the stock plan service provider and any other possible recipients which may assist the Company (presently or in the future) with implementing, administering and managing Participant’s participation in the Plan to receive, possess, use, retain and transfer Data, in electronic or other form, for the sole purpose of implementing, administering and managing Participant’s participation in the Plan. Participant understands that Data will be held only as long as is necessary to implement, administer and manage his or her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HRGC APAC, whose contact details are hrgc.apac@autodesk.com</w:t>
      </w:r>
      <w:r>
        <w:rPr>
          <w:rFonts w:ascii="Arial" w:cs="Arial" w:eastAsia="Arial" w:hAnsi="Arial"/>
          <w:sz w:val="18"/>
          <w:szCs w:val="18"/>
          <w:color w:val="auto"/>
        </w:rPr>
        <w:t>.</w:t>
      </w:r>
      <w:r>
        <w:rPr>
          <w:rFonts w:ascii="Arial" w:cs="Arial" w:eastAsia="Arial" w:hAnsi="Arial"/>
          <w:sz w:val="18"/>
          <w:szCs w:val="18"/>
          <w:i w:val="1"/>
          <w:iCs w:val="1"/>
          <w:color w:val="auto"/>
        </w:rPr>
        <w:t xml:space="preserve"> Further, Participant understands that he or she is providing the consents herein on a purely voluntary basis. If Participant does not consent, or if Participant later seeks to revoke the consent, his or her employment status or service and career with the Employer will not be adversely affected; the only adverse consequence of refusing or withdrawing the consent is that the Company would not be able to grant future Restricted Stock Units or other equity awards to Participant or administer or maintain such awards. Therefore, Participant understands that refusing or withdrawing his or her consent may affect his or her ability to participate in the Plan. For more information on the consequences of the refusal to consent or withdrawal of consent, Participant understands that he or she may contact his or her local human resources representative.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Notifikasi Privasi Data</w:t>
      </w:r>
      <w:r>
        <w:rPr>
          <w:rFonts w:ascii="Arial" w:cs="Arial" w:eastAsia="Arial" w:hAnsi="Arial"/>
          <w:sz w:val="20"/>
          <w:szCs w:val="20"/>
          <w:color w:val="auto"/>
        </w:rPr>
        <w:t>. Peruntukan ini menggantikan Seksyen 25 dalam Perjanjian Anugerah secara keseluruhan :</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Pesertadengan ini secara eksplisit, secara sukarela dan tanpa sebarang keraguan mengizinkan pengumpulan, penggunaan dan pemindahan, dalam bentuk elektronik atau lain-lain, data peribadinya seperti yang dinyatakan dalam Perjanjian Penganugerahan ini dan apa-apa bahan Pelan penyertaan oleh dan di antara Majikan, Syarikat dan mana-mana Syarikat Induk atau Anak Syarikat atau mana-mana pihak ketiga yang diberi kuasa oleh yang sama untuk membantu dalam pelaksanaan, pentadbiran dan pengurusan penyertaan Peserta dalam Pelan tersebut.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Sebelum ini, Peserta mungkin telah membekalkan Syarikat dan Majikan dengan, dan Syarikat dan Majikan mungkin memegang, maklumat peribadi tertentu tentang Peserta, termasuk, tetapi tidak terhad kepada, namanya , alamat rumah dan nombor telefon, tarikh lahir, nombor insurans sosial atau nombor pengenalan lain, gaji, kewarganegaraan, jawatan, apa-apa saham atau jawatan pengarah yang dipegang dalam Syarikat, fakta dan syarat-syarat penyertaan Peserta dalam Pelan tersebut, butir-butir semua Unit-unit Saham Terbatas atau apa-apa hak lain untuk saham yang dianugerahkan, dibatalkan, dilaksanakan, terletak hak, tidak diletak hak ataupun bagi faedah Peserta (“Data”), untuk tujuan yang eksklusif bagi melaksanakan, mentadbir dan menguruskan Pelan tersebut.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Peserta juga memberi kuasa untuk membuat apa-apa pemindahan Data, sebagaimana yang diperlukan, kepada pembekal perkhidmatan pelan saham yang lain sebagaimana yang dipilih oleh Syarikat dari semasa ke semasa, yang membantu Syarikat dalam pelaksanaan, pentadbiran dan pengurusan Pelan dan/atau dengan sesiapa yang mendepositkan Saham-Saham yang diperolehi melalui penyelesaian Unit-unit Saham Terbatas. Peserta mengakui bahawa penerima-penerima ini mungkin berada di negara Peserta atau di tempat lain, dan bahawa negara penerima (contohnya, Amerika Syarikat) mungkin mempunyai undang-undang privasi data dan perlindungan yang berbeza daripada negara Peserta, yang mungkin tidak boleh memberi tahap perlindungan yang sama kepada Data. Pesertafaham bahawa dia boleh meminta senarai nama dan alamat mana-mana penerima Data dengan menghubungi wakil sumber manusia tempatannya . Peserta memberi kuasa kepada Syarikat, pembekal perkhidmatan pelan saham dan mana-mana penerima lain yang mungkin membantu Syarikat (masa sekarang atau pada masa depan) untuk melaksanakan, mentadbir dan menguruskan penyertaan Peserta dalam Pelan tersebut untuk menerima, memiliki, menggunakan, mengekalkan dan memindahkan Data, dalam bentuk elektronik atau lain-lain, semata-mata dengan tujuan untuk melaksanakan, mentadbir dan menguruskan penyertaan Peserta dalam Pelan tersebut. Peserta faham bahawa Data akan dipegang hanya untuk tempoh yang diperlukan untuk melaksanakan, mentadbir dan menguruskan penyertaannya dalam Pelan tesebut. Peserta faham bahawa dia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 di mana butir-butir hubungannya adalah hrgc.apac@autodesk.com. Selanjutnya, Peserta memahami bahawa dia memberikan persetujuan di sini secara sukarela. Jika Peserta tidak bersetuju, atau jika Peserta kemudian membatalkan persetujuannya, status pekerjaan atau perkhidmatan dan kerjayanya dengan Majikan tidak akan terjejas; satunya akibat buruk jika dia tidak bersetuju atau menarik balik persetujuannya adalah bahawa Syarikat tidak akan dapat memberikan Unit-unit Saham Terbatas pada masa depan atau anugerah ekuiti lain kepada Peserta atau mentadbir atau mengekalkan anugerah-anugerah tersebut. Oleh itu, Peserta faham bahawa keengganan atau penarikan balik persetujuannya boleh menjejaskan keupayaannya untuk mengambil bahagian dalam Pelan tesebut. Untuk maklumat lanjut mengenai akibat keengganan untuk memberikan keizinan atau penarikan balik keizinan, Peserta fahami bahawa dia boleh menghubungi wakil sumber manusia tempatannya .</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Director Notification Obligation</w:t>
      </w:r>
      <w:r>
        <w:rPr>
          <w:rFonts w:ascii="Arial" w:cs="Arial" w:eastAsia="Arial" w:hAnsi="Arial"/>
          <w:sz w:val="18"/>
          <w:szCs w:val="18"/>
          <w:i w:val="1"/>
          <w:iCs w:val="1"/>
          <w:color w:val="auto"/>
        </w:rPr>
        <w:t>.</w:t>
      </w:r>
      <w:r>
        <w:rPr>
          <w:rFonts w:ascii="Arial" w:cs="Arial" w:eastAsia="Arial" w:hAnsi="Arial"/>
          <w:sz w:val="18"/>
          <w:szCs w:val="18"/>
          <w:color w:val="auto"/>
        </w:rPr>
        <w:t xml:space="preserve"> If Participant is a director of a Malaysian Subsidiary, Participant is subject to certain notification requirements under the Malaysian Companies Act. Among these requirements is an obligation to notify the Malaysian Subsidiary in writing when Participant receives or disposes of an interest (e.g., Restricted Stock Units, Shares, etc.) in the Company or any related company. This notification must be made within fourteen (14) days of receiving or disposing of any interest in the Company or any related company.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Plan Document Acknowledgement</w:t>
      </w:r>
      <w:r>
        <w:rPr>
          <w:rFonts w:ascii="Arial" w:cs="Arial" w:eastAsia="Arial" w:hAnsi="Arial"/>
          <w:sz w:val="20"/>
          <w:szCs w:val="20"/>
          <w:color w:val="auto"/>
        </w:rPr>
        <w:t>. This provision supplements Section 25 of the Agreement:</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By accepting the Restricted Stock Units, Participant acknowledges that he or she has received a copy of the Plan and the Agreement, including this Exhibit B, which he or she has reviewed. Participant further acknowledges that he or she accepts all the provisions of the Plan and the</w:t>
      </w:r>
    </w:p>
    <w:p>
      <w:pPr>
        <w:sectPr>
          <w:pgSz w:w="11900" w:h="16838" w:orient="portrait"/>
          <w:cols w:equalWidth="0" w:num="1">
            <w:col w:w="11420"/>
          </w:cols>
          <w:pgMar w:left="240" w:top="122" w:right="239" w:bottom="0" w:gutter="0" w:footer="0" w:header="0"/>
        </w:sectPr>
      </w:pPr>
    </w:p>
    <w:bookmarkStart w:id="137" w:name="page138"/>
    <w:bookmarkEnd w:id="137"/>
    <w:p>
      <w:pPr>
        <w:spacing w:after="0" w:line="7"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Agreement, including this Exhibit B. Participant also acknowledges that he or she has read and specifically and expressly approves the terms and conditions set forth in the “Nature of Grant” Section of the Agreement, which clearly provide as follows:</w:t>
      </w:r>
    </w:p>
    <w:p>
      <w:pPr>
        <w:spacing w:after="0" w:line="174" w:lineRule="exact"/>
        <w:rPr>
          <w:sz w:val="20"/>
          <w:szCs w:val="20"/>
          <w:color w:val="auto"/>
        </w:rPr>
      </w:pPr>
    </w:p>
    <w:p>
      <w:pPr>
        <w:ind w:left="440" w:hanging="432"/>
        <w:spacing w:after="0"/>
        <w:tabs>
          <w:tab w:leader="none" w:pos="4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Participant’s participation in the Plan does not constitute an acquired right;</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Plan and Participant’s participation in it are offered by the Company on a wholly discretionary basis; and</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Participant’s participation in the Plan is voluntary.</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Labor Law Acknowledgement and Policy Statement</w:t>
      </w:r>
      <w:r>
        <w:rPr>
          <w:rFonts w:ascii="Arial" w:cs="Arial" w:eastAsia="Arial" w:hAnsi="Arial"/>
          <w:sz w:val="18"/>
          <w:szCs w:val="18"/>
          <w:color w:val="auto"/>
        </w:rPr>
        <w:t>. By accepting the Restricted Stock Units, Participant acknowledges that Autodesk, Inc., with registered offices at 111 McInnis Parkway, San Rafael, CA 94903 U.S.A., is solely responsible for the administration of the Plan. Participant further acknowledges that his or her participation in the Plan, the grant of the Restricted Stock Units and any acquisition of Shares under the Plan do not constitute an employment relationship or service contract between Participant and the Company because Participant is participating in the Plan on a wholly commercial basis. Based on the foregoing, Participant expressly acknowledges that the Plan and the benefits that he or she may derive from participation in the Plan do not establish any rights between Participant and the Employer, and do not form part of the employment conditions and/or benefits provided by the Company or any Subsidiary, and any modification of the Plan or its termination shall not constitute a change or impairment of the terms and conditions of Participant’s employment.</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Participant further understands that his or her participation in the Plan is the result of a unilateral and discretionary decision of the Company and, therefore, the Company reserves the absolute right to amend and/or discontinue Participant’s participation in the Plan at any time, without any liability to Participant.</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Finally,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and legal representatives, with respect to any claim that may arise.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Documento de Reconocimiento del Plan</w:t>
      </w:r>
      <w:r>
        <w:rPr>
          <w:rFonts w:ascii="Arial" w:cs="Arial" w:eastAsia="Arial" w:hAnsi="Arial"/>
          <w:sz w:val="20"/>
          <w:szCs w:val="20"/>
          <w:i w:val="1"/>
          <w:iCs w:val="1"/>
          <w:color w:val="auto"/>
        </w:rPr>
        <w:t>. Esta disposición suplementa la Sección 24 del Contrato:</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Al aceptar las Unidades de Acción Restringida, el Participante reconoce que ha recibido una copia del Plan y del Contrato, incluyendo este Anexo B, que ha sido revisado por el Participante. El Participante reconoce, además, que acepta todas las disposiciones del Plan y del Contrato, incluyendo este Anexo B. El Participante también reconoce que ha leído y específica y expresamente aprueba los términos y condiciones establecidos en la Sección del Contrato intitulada “Naturaleza del Otorgamiento”, que claramente establece lo siguiente:</w:t>
      </w:r>
    </w:p>
    <w:p>
      <w:pPr>
        <w:spacing w:after="0" w:line="162" w:lineRule="exact"/>
        <w:rPr>
          <w:sz w:val="20"/>
          <w:szCs w:val="20"/>
          <w:color w:val="auto"/>
        </w:rPr>
      </w:pPr>
    </w:p>
    <w:p>
      <w:pPr>
        <w:ind w:left="440" w:hanging="432"/>
        <w:spacing w:after="0"/>
        <w:tabs>
          <w:tab w:leader="none" w:pos="440" w:val="left"/>
        </w:tabs>
        <w:numPr>
          <w:ilvl w:val="0"/>
          <w:numId w:val="115"/>
        </w:numPr>
        <w:rPr>
          <w:rFonts w:ascii="Arial" w:cs="Arial" w:eastAsia="Arial" w:hAnsi="Arial"/>
          <w:sz w:val="20"/>
          <w:szCs w:val="20"/>
          <w:i w:val="1"/>
          <w:iCs w:val="1"/>
          <w:color w:val="auto"/>
        </w:rPr>
      </w:pPr>
      <w:r>
        <w:rPr>
          <w:rFonts w:ascii="Arial" w:cs="Arial" w:eastAsia="Arial" w:hAnsi="Arial"/>
          <w:sz w:val="20"/>
          <w:szCs w:val="20"/>
          <w:i w:val="1"/>
          <w:iCs w:val="1"/>
          <w:color w:val="auto"/>
        </w:rPr>
        <w:t>La participación del Participante en el Plan no constituye un derecho adquirido;</w:t>
      </w:r>
    </w:p>
    <w:p>
      <w:pPr>
        <w:spacing w:after="0" w:line="215" w:lineRule="exact"/>
        <w:rPr>
          <w:rFonts w:ascii="Arial" w:cs="Arial" w:eastAsia="Arial" w:hAnsi="Arial"/>
          <w:sz w:val="20"/>
          <w:szCs w:val="20"/>
          <w:i w:val="1"/>
          <w:iCs w:val="1"/>
          <w:color w:val="auto"/>
        </w:rPr>
      </w:pPr>
    </w:p>
    <w:p>
      <w:pPr>
        <w:ind w:left="440" w:hanging="432"/>
        <w:spacing w:after="0"/>
        <w:tabs>
          <w:tab w:leader="none" w:pos="440" w:val="left"/>
        </w:tabs>
        <w:numPr>
          <w:ilvl w:val="0"/>
          <w:numId w:val="115"/>
        </w:numPr>
        <w:rPr>
          <w:rFonts w:ascii="Arial" w:cs="Arial" w:eastAsia="Arial" w:hAnsi="Arial"/>
          <w:sz w:val="20"/>
          <w:szCs w:val="20"/>
          <w:i w:val="1"/>
          <w:iCs w:val="1"/>
          <w:color w:val="auto"/>
        </w:rPr>
      </w:pPr>
      <w:r>
        <w:rPr>
          <w:rFonts w:ascii="Arial" w:cs="Arial" w:eastAsia="Arial" w:hAnsi="Arial"/>
          <w:sz w:val="20"/>
          <w:szCs w:val="20"/>
          <w:i w:val="1"/>
          <w:iCs w:val="1"/>
          <w:color w:val="auto"/>
        </w:rPr>
        <w:t>El Plan y la participación del Participante en el Plan se ofrecen por la Compañía de manera totalmente discrecional; y</w:t>
      </w:r>
    </w:p>
    <w:p>
      <w:pPr>
        <w:spacing w:after="0" w:line="215" w:lineRule="exact"/>
        <w:rPr>
          <w:rFonts w:ascii="Arial" w:cs="Arial" w:eastAsia="Arial" w:hAnsi="Arial"/>
          <w:sz w:val="20"/>
          <w:szCs w:val="20"/>
          <w:i w:val="1"/>
          <w:iCs w:val="1"/>
          <w:color w:val="auto"/>
        </w:rPr>
      </w:pPr>
    </w:p>
    <w:p>
      <w:pPr>
        <w:ind w:left="440" w:hanging="432"/>
        <w:spacing w:after="0"/>
        <w:tabs>
          <w:tab w:leader="none" w:pos="440" w:val="left"/>
        </w:tabs>
        <w:numPr>
          <w:ilvl w:val="0"/>
          <w:numId w:val="115"/>
        </w:numPr>
        <w:rPr>
          <w:rFonts w:ascii="Arial" w:cs="Arial" w:eastAsia="Arial" w:hAnsi="Arial"/>
          <w:sz w:val="20"/>
          <w:szCs w:val="20"/>
          <w:i w:val="1"/>
          <w:iCs w:val="1"/>
          <w:color w:val="auto"/>
        </w:rPr>
      </w:pPr>
      <w:r>
        <w:rPr>
          <w:rFonts w:ascii="Arial" w:cs="Arial" w:eastAsia="Arial" w:hAnsi="Arial"/>
          <w:sz w:val="20"/>
          <w:szCs w:val="20"/>
          <w:i w:val="1"/>
          <w:iCs w:val="1"/>
          <w:color w:val="auto"/>
        </w:rPr>
        <w:t>La participación del Participante en el Plan es voluntaria.</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u w:val="single" w:color="auto"/>
          <w:color w:val="auto"/>
        </w:rPr>
        <w:t>Reconocimiento de Ley Laboral y Declaración de Política</w:t>
      </w:r>
      <w:r>
        <w:rPr>
          <w:rFonts w:ascii="Arial" w:cs="Arial" w:eastAsia="Arial" w:hAnsi="Arial"/>
          <w:sz w:val="19"/>
          <w:szCs w:val="19"/>
          <w:i w:val="1"/>
          <w:iCs w:val="1"/>
          <w:color w:val="auto"/>
        </w:rPr>
        <w:t>. Al aceptar las Unidades de Acción Restringida, el Participante reconoce que Autodesk, Inc., con oficinas registradas en 111 McInnis Parkway, San Rafael, CA 94903, EE.UU., es únicamente responsable por la administración del Plan. Además, el Participante reconoce que su participación en el Plan, el otorgamiento de las Unidades de Acción Restringida y cualquier adquisición de Acciones de conformidad con el Plan no constituyen una relación laboral o un contrato de servicio entre el Participante y la Compañía, ya que el Participante está participando en el Plan sobre una base exclusivamente comercial. Con base en lo anterior, el Participante expresamente reconoce que el Plan y los beneficios que le deriven de la participación en el Plan no establecen derecho alguno entre el Participante y el Patrón y no forman parte de las condiciones de trabajo y/o prestaciones otorgadas por la Compañía o cualquier Subsidiaria de la Compañía, y cualquier modificación del Plan o su terminación no constituirá un cambio o deterioro de los términos y condiciones de empleo del Participante.</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Además, el Participante entiende que su participación en el Plan es resultado de una decisión unilateral y discrecional de la Compañía y, por lo tanto, la Compañía se reserva el derecho absoluto de modificar y/o discontinuar la participación del Participante en el Plan en cualquier momento, sin responsabilidad alguna para con el Participante.</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Finalmente, el Participante en este acto manifiesta que no se reserva ninguna acción o derecho para interponer una demanda o reclamación en contra de la Compañía por cualquier compensación o daño o perjuicio en relación con cualquier disposición del Plan o los beneficios derivados del Plan y, en consecuencia, otorga un amplio y total finiquito a la Compañía, sus Subsidiarias, afiliadas, sucursales, oficinas de representación, accionistas, directores, funcionarios, agentes y representantes con respecto a cualquier demanda o reclamación que pudiera surgir.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Warning: This is an offer of rights to receive Shares upon vesting of the Restricted Stock Units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the Plan and this Agreement. Restricted Stock Units give the Participant a stake in the ownership of the Company. Participant may receive a return if dividends are paid on the Shares.</w:t>
      </w:r>
    </w:p>
    <w:p>
      <w:pPr>
        <w:sectPr>
          <w:pgSz w:w="11900" w:h="16846" w:orient="portrait"/>
          <w:cols w:equalWidth="0" w:num="1">
            <w:col w:w="11420"/>
          </w:cols>
          <w:pgMar w:left="240" w:top="121" w:right="239" w:bottom="0" w:gutter="0" w:footer="0" w:header="0"/>
        </w:sectPr>
      </w:pPr>
    </w:p>
    <w:bookmarkStart w:id="138" w:name="page139"/>
    <w:bookmarkEnd w:id="138"/>
    <w:p>
      <w:pPr>
        <w:jc w:val="both"/>
        <w:spacing w:after="0" w:line="260" w:lineRule="auto"/>
        <w:rPr>
          <w:sz w:val="20"/>
          <w:szCs w:val="20"/>
          <w:color w:val="auto"/>
        </w:rPr>
      </w:pPr>
      <w:r>
        <w:rPr>
          <w:rFonts w:ascii="Arial" w:cs="Arial" w:eastAsia="Arial" w:hAnsi="Arial"/>
          <w:sz w:val="20"/>
          <w:szCs w:val="20"/>
          <w:color w:val="auto"/>
        </w:rPr>
        <w:t>If the Company runs into financial difficulties and is wound up, Participant will be paid only after all creditors have been paid. Participant may lose some or all of his or her investment.</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purchase scheme. As a result, the Participant may not be given all the information usually required. Participant will also have fewer other legal protections for this investment.</w:t>
      </w:r>
    </w:p>
    <w:p>
      <w:pPr>
        <w:spacing w:after="0" w:line="19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Participant should ask questions, read all documents carefully, and seek independent financial advice before committing to participate in the Plan.</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copy of the Company’s latest annual report and most recent published annual financial statements are available online at www.sec.gov/, as well as on the Company’s website at http://investors.autodesk.com.</w:t>
      </w:r>
    </w:p>
    <w:p>
      <w:pPr>
        <w:spacing w:after="0" w:line="17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As noted above, Participant is advised to carefully read the materials provided before making a decision whether to participate in the Plan. Participant is also encouraged to contact his or her tax advisor for specific information concerning Participant’s personal tax situation with regard to Plan participation.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This offering is subject to exemption from the requirements of securities registration with the Philippines Securities and Exchange Commission, under Section 10.1 (k) of the Philippine Securities Regulation Code. Section 10.1(k) of the Philippine Securities Regulation Code provides as follows:</w:t>
      </w:r>
    </w:p>
    <w:p>
      <w:pPr>
        <w:spacing w:after="0" w:line="186" w:lineRule="exact"/>
        <w:rPr>
          <w:sz w:val="20"/>
          <w:szCs w:val="20"/>
          <w:color w:val="auto"/>
        </w:rPr>
      </w:pPr>
    </w:p>
    <w:p>
      <w:pPr>
        <w:ind w:left="660" w:right="80"/>
        <w:spacing w:after="0" w:line="260" w:lineRule="auto"/>
        <w:rPr>
          <w:sz w:val="20"/>
          <w:szCs w:val="20"/>
          <w:color w:val="auto"/>
        </w:rPr>
      </w:pPr>
      <w:r>
        <w:rPr>
          <w:rFonts w:ascii="Arial" w:cs="Arial" w:eastAsia="Arial" w:hAnsi="Arial"/>
          <w:sz w:val="20"/>
          <w:szCs w:val="20"/>
          <w:color w:val="auto"/>
        </w:rPr>
        <w:t>“Section 10.1 Exempt Transactions – The requirement of registration under Subsection 8.1 shall not apply to the sale of any security in any of the following section;</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“(k) The sale of securities by an issuer to fewer than twenty (20) persons in the Philippines during any twelve-month period.”</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205" w:lineRule="exact"/>
        <w:rPr>
          <w:sz w:val="20"/>
          <w:szCs w:val="20"/>
          <w:color w:val="auto"/>
        </w:rPr>
      </w:pPr>
    </w:p>
    <w:p>
      <w:pPr>
        <w:jc w:val="both"/>
        <w:ind w:firstLine="57"/>
        <w:spacing w:after="0" w:line="280" w:lineRule="auto"/>
        <w:rPr>
          <w:sz w:val="20"/>
          <w:szCs w:val="20"/>
          <w:color w:val="auto"/>
        </w:rPr>
      </w:pPr>
      <w:r>
        <w:rPr>
          <w:rFonts w:ascii="Arial" w:cs="Arial" w:eastAsia="Arial" w:hAnsi="Arial"/>
          <w:sz w:val="19"/>
          <w:szCs w:val="19"/>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http://investors.autodesk.com. In addition, Participant may receive, free of charge, a copy of the Company’s Annual Report, Quarterly Reports or any other reports, proxy statements or communications distributed to the Company’s stockholders by contacting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john.clancy@autodesk.com</w:t>
      </w:r>
      <w:r>
        <w:rPr>
          <w:rFonts w:ascii="Arial" w:cs="Arial" w:eastAsia="Arial" w:hAnsi="Arial"/>
          <w:sz w:val="19"/>
          <w:szCs w:val="19"/>
          <w:color w:val="auto"/>
        </w:rPr>
        <w:t>.</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Participant acknowledges he or she is permitted to dispose or sell Shares acquired under the Plan provided the offer and resale of the Shares takes place outside the Philippines through the facilities of a stock exchange on which the Shares are listed. The Shares are currently listed on the Nasdaq Global Select Market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Polish residents are required to transfer funds (e.g., in connection with the sale of Shares) through a bank in Poland if the transferred amount in any single transaction exceeds a specified threshold (currently €15,000 unless the transfer of funds is considered to be connected with the business activity of an entrepreneur, in which case a lower threshold may apply). Polish residents are required to retain the documents connected with a foreign exchange transaction for a period of five (5) years, as measured from the end of the year in which such transaction occurred.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Notwithstanding Section 3 of the Agreement and the vesting provisions set forth in the Notice of Grant, Participant’s Restricted Stock Units will not vest prior to one year anniversary of the Date of Grant.</w:t>
      </w:r>
    </w:p>
    <w:p>
      <w:pPr>
        <w:sectPr>
          <w:pgSz w:w="11900" w:h="16838" w:orient="portrait"/>
          <w:cols w:equalWidth="0" w:num="1">
            <w:col w:w="11420"/>
          </w:cols>
          <w:pgMar w:left="240" w:top="258" w:right="239" w:bottom="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ectPr>
          <w:pgSz w:w="11900" w:h="16838" w:orient="portrait"/>
          <w:cols w:equalWidth="0" w:num="1">
            <w:col w:w="11420"/>
          </w:cols>
          <w:pgMar w:left="240" w:top="258" w:right="239" w:bottom="0" w:gutter="0" w:footer="0" w:header="0"/>
          <w:type w:val="continuous"/>
        </w:sectPr>
      </w:pPr>
    </w:p>
    <w:bookmarkStart w:id="139" w:name="page140"/>
    <w:bookmarkEnd w:id="139"/>
    <w:p>
      <w:pPr>
        <w:jc w:val="both"/>
        <w:spacing w:after="0" w:line="29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Romanian residents are required to deposit proceeds from the sale of Shares in a bank account in Romania and may be required to provide the Romanian bank with appropriate documentation explaining the source of the funds. Romanian residents should consult their personal advisor to determine whether they will be required to submit such documentation to the Romanian bank.</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Form of Settlement</w:t>
      </w:r>
      <w:r>
        <w:rPr>
          <w:rFonts w:ascii="Arial" w:cs="Arial" w:eastAsia="Arial" w:hAnsi="Arial"/>
          <w:sz w:val="19"/>
          <w:szCs w:val="19"/>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Award is being granted pursuant to the “Qualifying Person” exemption under section 273(1)(f) of the Singapore Securities and Futures Act (Chapter 289, 2006 Ed.) (“SFA”) and is not being granted to Participant with a view to the Shares acquired from the Award being subsequently offered for sale to any other party. The Plan has not been, and will not be, lodged or registered as a prospectus with the Monetary Authority of Singapore. Further, the grant of the Award is subject to section 257 of the SFA and Participant should not sell, or offer to sell, any Shares acquired pursuant to the award in Singapore, unless such sale or offer is made (i) after six months from the Date of Grant or (ii) pursuant to the exemptions under Part XIII Division (1) Subdivision (4) (other than section 280) of the SFA.</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To the extent Participant sells, offers to sell or otherwise disposes of Shares acquired through the Plan within six months of the Date of Grant, Participant is permitted to dispose of such Shares through the designated broker appointed under the Plan, if any, provided the resale of Shares acquired under the Plan takes place outside Singapore through the facilities of a stock exchange on which the Shares are listed. The Shares are currently listed on the Nasdaq Global Select Market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Chief Executive Officer and Director Notification Obligation</w:t>
      </w:r>
      <w:r>
        <w:rPr>
          <w:rFonts w:ascii="Arial" w:cs="Arial" w:eastAsia="Arial" w:hAnsi="Arial"/>
          <w:sz w:val="18"/>
          <w:szCs w:val="18"/>
          <w:color w:val="auto"/>
        </w:rPr>
        <w:t>. If Participant is the Chief Executive Officer (“CEO”) or a director, associate director or shadow director of a Singaporean Subsidiary, Participant is subject to certain notification requirements under the Singapore Companies Act. Among these requirements is an obligation to notify the Singaporean Subsidiary in writing when Participant receives an interest (e.g., Restricted Stock Units, Shares) in the Company or a Subsidiary or related entity. In addition, Participant must notify the Singaporean Subsidiary when he or she sells any Shares (including when Participant sells the Shares acquired under the Plan). These notifications must be made within two (2) business days of acquiring or disposing of any interest in the Company or any Subsidiary or related entity. In addition, a notification must be made of Participant’s interests in the Company or any Subsidiary or related entity within two (2) business days of becoming the CEO or a director, associate director or shadow director of a parent, Subsidiary or affiliate in Singapore.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For purposes of the Award, a termination of employment includes any termination that is deemed an “unfair dismissal” or a “constructive dismissal.”</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Labor Law Acknowledgement</w:t>
      </w:r>
      <w:r>
        <w:rPr>
          <w:rFonts w:ascii="Arial" w:cs="Arial" w:eastAsia="Arial" w:hAnsi="Arial"/>
          <w:sz w:val="20"/>
          <w:szCs w:val="20"/>
          <w:color w:val="auto"/>
        </w:rPr>
        <w:t>. As a condition of receipt of the Award, Participant acknowledges that he or she understands and agrees to participation in the Plan and that he or she has received a copy of the Plan.</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Participant understands that the Company has unilaterally, gratuitously and discretionally decided to grant Restricted Stock Units under the Plan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Participant understands that any grant is given on the assumption and condition that it shall not become a part of any employment contract (either with the Company or any of its Subsidiaries) and shall not be considered a mandatory benefit, salary for any purposes (including severance compensation) or any other right whatsoever. Furthermore, Participant understands and freely accepts that there is no guarantee that any benefit whatsoever shall arise from any gratuitous and discretionary grant since the future value of the Award and the underlying Shares is unknown and unpredictable. In addition, Participant understands that this grant would not be made but for the assumptions and conditions referred to above; thus, Participant understands, acknowledges and freely accepts that should any or all of the assumptions be mistaken or should any of the conditions not be met for any reason, then the Award shall be null and void.</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Furthermore, Participant understands that the Award is a conditional right. Except as determined by the Committee or as provided in the Agreement, Participant shall forfeit any unvested Award upon termination of employment. The terms of this provision apply even if Participant is considered to be unfairly dismissed without good cause (i.e.,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xml:space="preserve">. Participant must declare the acquisition and sale of Shares to the </w:t>
      </w:r>
      <w:r>
        <w:rPr>
          <w:rFonts w:ascii="Arial" w:cs="Arial" w:eastAsia="Arial" w:hAnsi="Arial"/>
          <w:sz w:val="20"/>
          <w:szCs w:val="20"/>
          <w:i w:val="1"/>
          <w:iCs w:val="1"/>
          <w:color w:val="auto"/>
        </w:rPr>
        <w:t>Dirección General de Comercio e Inversiones</w:t>
      </w:r>
      <w:r>
        <w:rPr>
          <w:rFonts w:ascii="Arial" w:cs="Arial" w:eastAsia="Arial" w:hAnsi="Arial"/>
          <w:sz w:val="20"/>
          <w:szCs w:val="20"/>
          <w:color w:val="auto"/>
        </w:rPr>
        <w:t xml:space="preserve"> (“DGCI”) for statistical purposes. Participant also must declare the ownership of any Shares with the DGCI each January while the Shares are owned, unless the amount of Shares acquired or sold exceeds the applicable threshold (currently €1,502,530), or Participant holds 10% or more of the share capital of the Company or other such amount that would entitle Participant to join the Board, in which case the filing is due within one month after the sale.</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When receiving foreign currency payments derived from the ownership of Shares (i.e., dividends or sale proceeds) in excess of €50,000, Participant must inform the financial institution receiving the payment of the basis upon which such payment is made. Participant will need to provide the following information: (i) Participant’s name, address, and fiscal identification number; (ii) the name and corporate domicile of the Company; (iii) the amount of the payment and the currency used; (iv) the country of origin; (v) the reasons for the payment; and (vi) further information that may be required.</w:t>
      </w:r>
    </w:p>
    <w:p>
      <w:pPr>
        <w:sectPr>
          <w:pgSz w:w="11900" w:h="16838" w:orient="portrait"/>
          <w:cols w:equalWidth="0" w:num="1">
            <w:col w:w="11420"/>
          </w:cols>
          <w:pgMar w:left="240" w:top="121" w:right="239" w:bottom="0" w:gutter="0" w:footer="0" w:header="0"/>
        </w:sectPr>
      </w:pPr>
    </w:p>
    <w:bookmarkStart w:id="140" w:name="page141"/>
    <w:bookmarkEnd w:id="140"/>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xml:space="preserve">. No “offer of securities to the public,” as defined under Spanish law, has taken place or will take place in the Spanish territory in connection with the Award. The Agreement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Restricted Stock Units and the issuance of any Shares is not intended to be publicly offered in or from Switzerland. Neither this Agreement nor any other materials relating to the Restricted Stock Units (1) constitute a prospectus as such term is understood pursuant to article 652a of the Swiss Code of Obligations, (2) may be publicly distributed nor otherwise made publicly available in Switzerland, or (3) have been or will be filed with, approved or supervised by any Swiss regulatory authority (in particular, the Swiss Financial Market Supervisory Authority (“FINMA”)).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xml:space="preserve"> The offer of participation in the Plan is available only for Employees. The offer of participation in the Plan is not a public offer of securities by a Taiwanese company.</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Taiwanese residents may acquire and remit foreign currency (including funds to purchase or proceeds from the sale of Shares) into and out of Taiwan up to US$5 million per year without submission of supporting documentation. If the 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Participant is personally responsible for complying with exchange control restrictions in Taiwan.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Participant realizes US $50,000 or more in a single transaction from the sale of Shares or the payment of dividends, he or she is required to repatriate the funds to Thailand immediately following the receipt of the funds and to then either convert such repatriated funds into Thai Baht or deposit the funds into a foreign currency account opened with any commercial bank in Thailand within 360 days of repatriation. Further, for repatriated funds of US$50,000 or more, Participant must specifically report the inward remittance to the Bank of Thailand on a Foreign Exchange Transaction Form. Participant is personally responsible for complying with exchange control restrictions in Thailand.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Under Turkish law, Participant is not permitted to sell any Shares acquired under the Plan in Turkey. The Shares are currently traded on the Nasdaq Global Select Market, which is located outside Turkey, under the ticker symbol “ADSK” and the Shares may be sold through this exchange.</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will likely be required to engage a Turkish financial intermediary to assist with the 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for further information regarding these requirements to ensure compliance.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This Restricted Stock Unit Award has not been approved or licensed by the United Arab Emirates (“UAE”) Central Bank or any other relevant licensing authorities or governmental agencies in the UAE. This Restricted Stock Unit Award is strictly private and confidential and has not been reviewed by, deposited or registered with the UAE Central Bank or any other licensing authority or governmental agencies in the United Arab Emirates. This Award is being issued from outside the United Arab Emirates to a limited number of Employees of Autodesk Middle East (Representative Office) and must not be provided to any person other than the original recipient and may not be reproduced or used for any other purpose.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KINGDOM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u w:val="single" w:color="auto"/>
          <w:color w:val="auto"/>
        </w:rPr>
        <w:t>Form of Settlement</w:t>
      </w:r>
      <w:r>
        <w:rPr>
          <w:rFonts w:ascii="Arial" w:cs="Arial" w:eastAsia="Arial" w:hAnsi="Arial"/>
          <w:sz w:val="20"/>
          <w:szCs w:val="20"/>
          <w:color w:val="auto"/>
        </w:rPr>
        <w:t>. As detailed in Section 2 of the Agreement and notwithstanding any discretion contained in the Plan or anything to the contrary in the Agreement, the Restricted Stock Units are payable only in Shares.</w:t>
      </w:r>
    </w:p>
    <w:p>
      <w:pPr>
        <w:sectPr>
          <w:pgSz w:w="11900" w:h="16838" w:orient="portrait"/>
          <w:cols w:equalWidth="0" w:num="1">
            <w:col w:w="11420"/>
          </w:cols>
          <w:pgMar w:left="240" w:top="121" w:right="239" w:bottom="0" w:gutter="0" w:footer="0" w:header="0"/>
        </w:sectPr>
      </w:pPr>
    </w:p>
    <w:bookmarkStart w:id="141" w:name="page142"/>
    <w:bookmarkEnd w:id="141"/>
    <w:p>
      <w:pPr>
        <w:spacing w:after="0"/>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The following provisions supplement Section 9 of the Agreement:</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Participant agrees to be liable for any Tax-Related Items and hereby covenants to pay any such Tax-Related Items, as and when requested by the Company or, if different, the Employer or by Her Majesty’s Revenue &amp; Customs (“HMRC”) (or any other tax authority or any other relevant authority). Participant also agrees to indemnify and keep indemnified the Company and, if different, the Employer against any Tax-Related Items that they are required to pay or withhold or have paid or will pay to HMRC on his or her behalf (or any other tax authority or any other relevant authority).</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Notwithstanding the foregoing, if Participant is a director or executive officer (within the meaning of Section 13(k) of the Exchange Act), the terms of the immediately foregoing provision may not apply. In the event Participant is a director or executive officer, Participant acknowledges that he or she may not be able to indemnify the Company for the amount of any income tax not collected from or paid by Participant, as it may be considered to be a loan and, therefore, it may constitute a benefit to him or her on which additional income tax and National Insurance contributions may be payable. Participant acknowledges that the Company or the Employer may recover any such additional income tax and national insurance contributions at any time thereafter by any of the means referred to in the Agreement. However, Participant is primarily responsible for reporting and paying any income tax due on this additional benefit directly to HMRC under the self-assessment regime.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231"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2820"/>
              <w:spacing w:after="0"/>
              <w:rPr>
                <w:sz w:val="20"/>
                <w:szCs w:val="20"/>
                <w:color w:val="auto"/>
              </w:rPr>
            </w:pPr>
            <w:r>
              <w:rPr>
                <w:rFonts w:ascii="Arial" w:cs="Arial" w:eastAsia="Arial" w:hAnsi="Arial"/>
                <w:sz w:val="18"/>
                <w:szCs w:val="18"/>
                <w:b w:val="1"/>
                <w:bCs w:val="1"/>
                <w:color w:val="auto"/>
                <w:w w:val="91"/>
              </w:rPr>
              <w:t>Exhibit 21.1</w:t>
            </w:r>
          </w:p>
        </w:tc>
      </w:tr>
      <w:tr>
        <w:trPr>
          <w:trHeight w:val="729"/>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99"/>
              </w:rPr>
              <w:t>SUBSIDIARIES OF AUTODESK, INC.</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70"/>
              <w:spacing w:after="0"/>
              <w:rPr>
                <w:sz w:val="20"/>
                <w:szCs w:val="20"/>
                <w:color w:val="auto"/>
              </w:rPr>
            </w:pPr>
            <w:r>
              <w:rPr>
                <w:rFonts w:ascii="Arial" w:cs="Arial" w:eastAsia="Arial" w:hAnsi="Arial"/>
                <w:sz w:val="18"/>
                <w:szCs w:val="18"/>
                <w:b w:val="1"/>
                <w:bCs w:val="1"/>
                <w:color w:val="auto"/>
                <w:w w:val="92"/>
              </w:rPr>
              <w:t>a Delaware Corporation</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89"/>
              </w:rPr>
              <w:t>as of January 31, 2019</w:t>
            </w:r>
          </w:p>
        </w:tc>
        <w:tc>
          <w:tcPr>
            <w:tcW w:w="3760" w:type="dxa"/>
            <w:vAlign w:val="bottom"/>
          </w:tcPr>
          <w:p>
            <w:pPr>
              <w:spacing w:after="0"/>
              <w:rPr>
                <w:sz w:val="24"/>
                <w:szCs w:val="24"/>
                <w:color w:val="auto"/>
              </w:rPr>
            </w:pPr>
          </w:p>
        </w:tc>
      </w:tr>
      <w:tr>
        <w:trPr>
          <w:trHeight w:val="675"/>
        </w:trPr>
        <w:tc>
          <w:tcPr>
            <w:tcW w:w="7660" w:type="dxa"/>
            <w:vAlign w:val="bottom"/>
            <w:gridSpan w:val="2"/>
          </w:tcPr>
          <w:p>
            <w:pPr>
              <w:ind w:left="3120"/>
              <w:spacing w:after="0"/>
              <w:rPr>
                <w:sz w:val="20"/>
                <w:szCs w:val="20"/>
                <w:color w:val="auto"/>
              </w:rPr>
            </w:pPr>
            <w:r>
              <w:rPr>
                <w:rFonts w:ascii="Arial" w:cs="Arial" w:eastAsia="Arial" w:hAnsi="Arial"/>
                <w:sz w:val="18"/>
                <w:szCs w:val="18"/>
                <w:b w:val="1"/>
                <w:bCs w:val="1"/>
                <w:color w:val="auto"/>
              </w:rPr>
              <w:t>Subsidiary Name</w:t>
            </w:r>
          </w:p>
        </w:tc>
        <w:tc>
          <w:tcPr>
            <w:tcW w:w="3760" w:type="dxa"/>
            <w:vAlign w:val="bottom"/>
          </w:tcPr>
          <w:p>
            <w:pPr>
              <w:ind w:left="76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Assemble Systems, LLC</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Americas LLC</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ADSK Ireland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(China) Software Research and Development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(EMEA) Sàrl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AB</w:t>
            </w:r>
          </w:p>
        </w:tc>
        <w:tc>
          <w:tcPr>
            <w:tcW w:w="3760" w:type="dxa"/>
            <w:vAlign w:val="bottom"/>
          </w:tcPr>
          <w:p>
            <w:pPr>
              <w:ind w:left="40"/>
              <w:spacing w:after="0"/>
              <w:rPr>
                <w:sz w:val="20"/>
                <w:szCs w:val="20"/>
                <w:color w:val="auto"/>
              </w:rPr>
            </w:pPr>
            <w:r>
              <w:rPr>
                <w:rFonts w:ascii="Arial" w:cs="Arial" w:eastAsia="Arial" w:hAnsi="Arial"/>
                <w:sz w:val="18"/>
                <w:szCs w:val="18"/>
                <w:color w:val="auto"/>
              </w:rPr>
              <w:t>Sweden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ApS</w:t>
            </w:r>
          </w:p>
        </w:tc>
        <w:tc>
          <w:tcPr>
            <w:tcW w:w="3760" w:type="dxa"/>
            <w:vAlign w:val="bottom"/>
          </w:tcPr>
          <w:p>
            <w:pPr>
              <w:ind w:left="40"/>
              <w:spacing w:after="0"/>
              <w:rPr>
                <w:sz w:val="20"/>
                <w:szCs w:val="20"/>
                <w:color w:val="auto"/>
              </w:rPr>
            </w:pPr>
            <w:r>
              <w:rPr>
                <w:rFonts w:ascii="Arial" w:cs="Arial" w:eastAsia="Arial" w:hAnsi="Arial"/>
                <w:sz w:val="18"/>
                <w:szCs w:val="18"/>
                <w:color w:val="auto"/>
              </w:rPr>
              <w:t>Denmark</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Asia Pte. Ltd.</w:t>
            </w:r>
          </w:p>
        </w:tc>
        <w:tc>
          <w:tcPr>
            <w:tcW w:w="376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Australia Pty Ltd.</w:t>
            </w:r>
          </w:p>
        </w:tc>
        <w:tc>
          <w:tcPr>
            <w:tcW w:w="376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Canada Co.</w:t>
            </w:r>
          </w:p>
        </w:tc>
        <w:tc>
          <w:tcPr>
            <w:tcW w:w="376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Colombia S.A.S.</w:t>
            </w:r>
          </w:p>
        </w:tc>
        <w:tc>
          <w:tcPr>
            <w:tcW w:w="3760" w:type="dxa"/>
            <w:vAlign w:val="bottom"/>
          </w:tcPr>
          <w:p>
            <w:pPr>
              <w:ind w:left="40"/>
              <w:spacing w:after="0"/>
              <w:rPr>
                <w:sz w:val="20"/>
                <w:szCs w:val="20"/>
                <w:color w:val="auto"/>
              </w:rPr>
            </w:pPr>
            <w:r>
              <w:rPr>
                <w:rFonts w:ascii="Arial" w:cs="Arial" w:eastAsia="Arial" w:hAnsi="Arial"/>
                <w:sz w:val="18"/>
                <w:szCs w:val="18"/>
                <w:color w:val="auto"/>
              </w:rPr>
              <w:t>Colombia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DC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Argentina S.A.</w:t>
            </w:r>
          </w:p>
        </w:tc>
        <w:tc>
          <w:tcPr>
            <w:tcW w:w="3760" w:type="dxa"/>
            <w:vAlign w:val="bottom"/>
          </w:tcPr>
          <w:p>
            <w:pPr>
              <w:ind w:left="40"/>
              <w:spacing w:after="0"/>
              <w:rPr>
                <w:sz w:val="20"/>
                <w:szCs w:val="20"/>
                <w:color w:val="auto"/>
              </w:rPr>
            </w:pPr>
            <w:r>
              <w:rPr>
                <w:rFonts w:ascii="Arial" w:cs="Arial" w:eastAsia="Arial" w:hAnsi="Arial"/>
                <w:sz w:val="18"/>
                <w:szCs w:val="18"/>
                <w:color w:val="auto"/>
              </w:rPr>
              <w:t>Argentina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Mexico, S.A. de C.V.</w:t>
            </w:r>
          </w:p>
        </w:tc>
        <w:tc>
          <w:tcPr>
            <w:tcW w:w="3760" w:type="dxa"/>
            <w:vAlign w:val="bottom"/>
          </w:tcPr>
          <w:p>
            <w:pPr>
              <w:ind w:left="40"/>
              <w:spacing w:after="0"/>
              <w:rPr>
                <w:sz w:val="20"/>
                <w:szCs w:val="20"/>
                <w:color w:val="auto"/>
              </w:rPr>
            </w:pPr>
            <w:r>
              <w:rPr>
                <w:rFonts w:ascii="Arial" w:cs="Arial" w:eastAsia="Arial" w:hAnsi="Arial"/>
                <w:sz w:val="18"/>
                <w:szCs w:val="18"/>
                <w:color w:val="auto"/>
              </w:rPr>
              <w:t>Mexico</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Venezuela, S.A.</w:t>
            </w:r>
          </w:p>
        </w:tc>
        <w:tc>
          <w:tcPr>
            <w:tcW w:w="3760" w:type="dxa"/>
            <w:vAlign w:val="bottom"/>
          </w:tcPr>
          <w:p>
            <w:pPr>
              <w:ind w:left="40"/>
              <w:spacing w:after="0"/>
              <w:rPr>
                <w:sz w:val="20"/>
                <w:szCs w:val="20"/>
                <w:color w:val="auto"/>
              </w:rPr>
            </w:pPr>
            <w:r>
              <w:rPr>
                <w:rFonts w:ascii="Arial" w:cs="Arial" w:eastAsia="Arial" w:hAnsi="Arial"/>
                <w:sz w:val="18"/>
                <w:szCs w:val="18"/>
                <w:color w:val="auto"/>
              </w:rPr>
              <w:t>Venezuela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S.à.r.l.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Direct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do Brasil Ltda</w:t>
            </w:r>
          </w:p>
        </w:tc>
        <w:tc>
          <w:tcPr>
            <w:tcW w:w="376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Far East Ltd.</w:t>
            </w: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France</w:t>
            </w:r>
          </w:p>
        </w:tc>
        <w:tc>
          <w:tcPr>
            <w:tcW w:w="37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Ges.mbH</w:t>
            </w:r>
          </w:p>
        </w:tc>
        <w:tc>
          <w:tcPr>
            <w:tcW w:w="3760" w:type="dxa"/>
            <w:vAlign w:val="bottom"/>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Global, Inc.</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GmbH</w:t>
            </w:r>
          </w:p>
        </w:tc>
        <w:tc>
          <w:tcPr>
            <w:tcW w:w="37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Holdings LLP</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Hungary Kft</w:t>
            </w:r>
          </w:p>
        </w:tc>
        <w:tc>
          <w:tcPr>
            <w:tcW w:w="3760" w:type="dxa"/>
            <w:vAlign w:val="bottom"/>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India Private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International Holding Co.</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Ireland Operations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Israel Ltd.</w:t>
            </w:r>
          </w:p>
        </w:tc>
        <w:tc>
          <w:tcPr>
            <w:tcW w:w="3760" w:type="dxa"/>
            <w:vAlign w:val="bottom"/>
          </w:tcPr>
          <w:p>
            <w:pPr>
              <w:ind w:left="40"/>
              <w:spacing w:after="0"/>
              <w:rPr>
                <w:sz w:val="20"/>
                <w:szCs w:val="20"/>
                <w:color w:val="auto"/>
              </w:rPr>
            </w:pPr>
            <w:r>
              <w:rPr>
                <w:rFonts w:ascii="Arial" w:cs="Arial" w:eastAsia="Arial" w:hAnsi="Arial"/>
                <w:sz w:val="18"/>
                <w:szCs w:val="18"/>
                <w:color w:val="auto"/>
              </w:rPr>
              <w:t>Israel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Korea Ltd.</w:t>
            </w:r>
          </w:p>
        </w:tc>
        <w:tc>
          <w:tcPr>
            <w:tcW w:w="3760" w:type="dxa"/>
            <w:vAlign w:val="bottom"/>
          </w:tcPr>
          <w:p>
            <w:pPr>
              <w:ind w:left="40"/>
              <w:spacing w:after="0"/>
              <w:rPr>
                <w:sz w:val="20"/>
                <w:szCs w:val="20"/>
                <w:color w:val="auto"/>
              </w:rPr>
            </w:pPr>
            <w:r>
              <w:rPr>
                <w:rFonts w:ascii="Arial" w:cs="Arial" w:eastAsia="Arial" w:hAnsi="Arial"/>
                <w:sz w:val="18"/>
                <w:szCs w:val="18"/>
                <w:color w:val="auto"/>
              </w:rPr>
              <w:t>South Korea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Saudi Arabia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Ltd. Japan</w:t>
            </w:r>
          </w:p>
        </w:tc>
        <w:tc>
          <w:tcPr>
            <w:tcW w:w="376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Netherlands Holdings, B.V.</w:t>
            </w:r>
          </w:p>
        </w:tc>
        <w:tc>
          <w:tcPr>
            <w:tcW w:w="3760" w:type="dxa"/>
            <w:vAlign w:val="bottom"/>
          </w:tcPr>
          <w:p>
            <w:pPr>
              <w:ind w:left="40"/>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Romania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(China)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 z.o.o.</w:t>
            </w:r>
          </w:p>
        </w:tc>
        <w:tc>
          <w:tcPr>
            <w:tcW w:w="3760" w:type="dxa"/>
            <w:vAlign w:val="bottom"/>
          </w:tcPr>
          <w:p>
            <w:pPr>
              <w:ind w:left="40"/>
              <w:spacing w:after="0"/>
              <w:rPr>
                <w:sz w:val="20"/>
                <w:szCs w:val="20"/>
                <w:color w:val="auto"/>
              </w:rPr>
            </w:pPr>
            <w:r>
              <w:rPr>
                <w:rFonts w:ascii="Arial" w:cs="Arial" w:eastAsia="Arial" w:hAnsi="Arial"/>
                <w:sz w:val="18"/>
                <w:szCs w:val="18"/>
                <w:color w:val="auto"/>
              </w:rPr>
              <w:t>Poland</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color w:val="auto"/>
        </w:rPr>
        <w:t>Autodesk spol.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Autodesk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Autodesk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ectPr>
          <w:pgSz w:w="11900" w:h="16838" w:orient="portrait"/>
          <w:cols w:equalWidth="0" w:num="2">
            <w:col w:w="6940" w:space="720"/>
            <w:col w:w="2519"/>
          </w:cols>
          <w:pgMar w:left="280" w:top="747" w:right="1440" w:bottom="1440" w:gutter="0" w:footer="0" w:header="0"/>
        </w:sectPr>
      </w:pPr>
    </w:p>
    <w:p>
      <w:pPr>
        <w:spacing w:after="0"/>
        <w:rPr>
          <w:sz w:val="20"/>
          <w:szCs w:val="20"/>
          <w:color w:val="auto"/>
        </w:rPr>
      </w:pPr>
      <w:r>
        <w:rPr>
          <w:rFonts w:ascii="Arial" w:cs="Arial" w:eastAsia="Arial" w:hAnsi="Arial"/>
          <w:sz w:val="17"/>
          <w:szCs w:val="17"/>
          <w:color w:val="auto"/>
        </w:rPr>
        <w:t>Autodesk Yazilim Hizmetleri Ticaret Limited Sirketi</w:t>
      </w:r>
    </w:p>
    <w:p>
      <w:pPr>
        <w:sectPr>
          <w:pgSz w:w="11900" w:h="16838" w:orient="portrait"/>
          <w:cols w:equalWidth="0" w:num="1">
            <w:col w:w="10179"/>
          </w:cols>
          <w:pgMar w:left="280" w:top="747" w:right="1440"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(Autodesk Limited Sirketi)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Autodesk,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Beijing Delcam Integrated System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BuildingConnected,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CadSoft Computer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Crispin Systems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Australia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Delcam Consulting and Technology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Delcam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Partmaker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Professional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Software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Delta Soft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Graitec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Hankook Delcam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Autodesk (CIS)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Moldflow International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Moldflow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netfabb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netfabb,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Australia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Canada ULC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Shotgun Software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Solid Angle,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TradeTabb,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Within Technologies Limited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22" w:lineRule="exact"/>
        <w:rPr>
          <w:sz w:val="20"/>
          <w:szCs w:val="20"/>
          <w:color w:val="auto"/>
        </w:rPr>
      </w:pPr>
    </w:p>
    <w:p>
      <w:pPr>
        <w:sectPr>
          <w:pgSz w:w="11900" w:h="16838" w:orient="portrait"/>
          <w:cols w:equalWidth="0" w:num="2">
            <w:col w:w="6940" w:space="720"/>
            <w:col w:w="2519"/>
          </w:cols>
          <w:pgMar w:left="280" w:top="747"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79"/>
          </w:cols>
          <w:pgMar w:left="280" w:top="747" w:right="1440"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333-229346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Amended and Restated BuildingConnected, Inc. 2013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333-228934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PlanGrid 2012 Equity Incentive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333-226196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Common Stock</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333-223861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2012 Employee Stock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333-08693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w w:val="89"/>
              </w:rPr>
              <w:t>Stock Plan, 1990 Directors' Option Plan, 1998 Employee Qualified Stock Purchase Plan and Teleos Research</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333-62655</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333-81207</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333-45928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333-67974</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333-88682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3"/>
              </w:rPr>
              <w:t>Revit Technology Corporation 1998 Stock Plan, 1996 Stock Plan and 1998 Employee Qualified Stock Purchase</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333-106556</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333-116203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333-134560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6"/>
              </w:rPr>
              <w:t>Autodesk, Inc. 2006 Employee Stock Plan, Autodesk, Inc. 2000 Directors' Option Plan, Autodesk, Inc. 1998</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333-149964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8"/>
              </w:rPr>
              <w:t>Autodesk, Inc. 2008 Employee Stock Plan, 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333-158131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333-165561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2"/>
              </w:rPr>
              <w:t>Autodesk, Inc. 1998 Employee Qualified Stock Purchase Plan and Autodesk, Inc. 2010 Outside Directors' Stock</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333-172936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333-179514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4"/>
              </w:rPr>
              <w:t>Autodesk, Inc. 1998 Employee Qualified Stock Purchase Plan, Autodesk, Inc. 2012 Employee Stock Plan and</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2012 Outside Directors'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333-187338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333-194463</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5"/>
              </w:rPr>
              <w:t>Autodesk, Inc. 1998 Employee Qualified Stock Purchase Plan and Autodesk, Inc. 2012 Employee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333-205038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5"/>
              </w:rPr>
              <w:t>Autodesk, Inc. 1998 Employee Qualified Stock Purchase Plan and Autodesk, Inc. 2012 Employee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333-213701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333-218070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Senior Debt Securities</w:t>
            </w:r>
          </w:p>
        </w:tc>
      </w:tr>
    </w:tbl>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of our reports dated March 25, 2019, with respect to the consolidated financial statements and schedule of Autodesk, Inc., and the effectiveness of internal control over financial reporting of Autodesk, Inc., included in this Annual Report (Form 10-K) of Autodesk, Inc. for the year ended January 31, 2019.</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00"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2019</w:t>
      </w:r>
    </w:p>
    <w:p>
      <w:pPr>
        <w:sectPr>
          <w:pgSz w:w="11900" w:h="16838" w:orient="portrait"/>
          <w:cols w:equalWidth="0" w:num="1">
            <w:col w:w="11420"/>
          </w:cols>
          <w:pgMar w:left="240" w:top="918"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R. Scott Herren</w:t>
      </w:r>
    </w:p>
    <w:p>
      <w:pPr>
        <w:spacing w:after="0" w:line="68"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(Principal Financial Officer and 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2019</w:t>
      </w:r>
    </w:p>
    <w:p>
      <w:pPr>
        <w:sectPr>
          <w:pgSz w:w="11900" w:h="16838" w:orient="portrait"/>
          <w:cols w:equalWidth="0" w:num="1">
            <w:col w:w="11420"/>
          </w:cols>
          <w:pgMar w:left="240" w:top="918"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Annual Report of Autodesk, Inc. on Form 10-K for the annual period ended January 31, 2019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Annual Report of Autodesk, Inc. on Form 10-K for the annual period ended January 31, 2019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x"/>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amp;"/>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1)"/>
      <w:numFmt w:val="decimal"/>
      <w:start w:val="1"/>
    </w:lvl>
  </w:abstractNum>
  <w:abstractNum w:abstractNumId="26">
    <w:nsid w:val="1EBA5D23"/>
    <w:multiLevelType w:val="hybridMultilevel"/>
    <w:lvl w:ilvl="0">
      <w:lvlJc w:val="left"/>
      <w:lvlText w:val="(%1)"/>
      <w:numFmt w:val="decimal"/>
      <w:start w:val="1"/>
    </w:lvl>
  </w:abstractNum>
  <w:abstractNum w:abstractNumId="27">
    <w:nsid w:val="661E3F1E"/>
    <w:multiLevelType w:val="hybridMultilevel"/>
    <w:lvl w:ilvl="0">
      <w:lvlJc w:val="left"/>
      <w:lvlText w:val="(%1)"/>
      <w:numFmt w:val="decimal"/>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1)"/>
      <w:numFmt w:val="decimal"/>
      <w:start w:val="1"/>
    </w:lvl>
  </w:abstractNum>
  <w:abstractNum w:abstractNumId="32">
    <w:nsid w:val="613EFDC5"/>
    <w:multiLevelType w:val="hybridMultilevel"/>
    <w:lvl w:ilvl="0">
      <w:lvlJc w:val="left"/>
      <w:lvlText w:val="(%1)"/>
      <w:numFmt w:val="decimal"/>
      <w:start w:val="1"/>
    </w:lvl>
  </w:abstractNum>
  <w:abstractNum w:abstractNumId="33">
    <w:nsid w:val="BF72B14"/>
    <w:multiLevelType w:val="hybridMultilevel"/>
    <w:lvl w:ilvl="0">
      <w:lvlJc w:val="left"/>
      <w:lvlText w:val="(%1)"/>
      <w:numFmt w:val="decimal"/>
      <w:start w:val="1"/>
    </w:lvl>
  </w:abstractNum>
  <w:abstractNum w:abstractNumId="34">
    <w:nsid w:val="11447B73"/>
    <w:multiLevelType w:val="hybridMultilevel"/>
    <w:lvl w:ilvl="0">
      <w:lvlJc w:val="left"/>
      <w:lvlText w:val="(%1)"/>
      <w:numFmt w:val="decimal"/>
      <w:start w:val="1"/>
    </w:lvl>
  </w:abstractNum>
  <w:abstractNum w:abstractNumId="35">
    <w:nsid w:val="42963E5A"/>
    <w:multiLevelType w:val="hybridMultilevel"/>
    <w:lvl w:ilvl="0">
      <w:lvlJc w:val="left"/>
      <w:lvlText w:val="(%1)"/>
      <w:numFmt w:val="decimal"/>
      <w:start w:val="1"/>
    </w:lvl>
  </w:abstractNum>
  <w:abstractNum w:abstractNumId="36">
    <w:nsid w:val="A0382C5"/>
    <w:multiLevelType w:val="hybridMultilevel"/>
    <w:lvl w:ilvl="0">
      <w:lvlJc w:val="left"/>
      <w:lvlText w:val="(%1)"/>
      <w:numFmt w:val="decimal"/>
      <w:start w:val="1"/>
    </w:lvl>
  </w:abstractNum>
  <w:abstractNum w:abstractNumId="37">
    <w:nsid w:val="8F2B15E"/>
    <w:multiLevelType w:val="hybridMultilevel"/>
    <w:lvl w:ilvl="0">
      <w:lvlJc w:val="left"/>
      <w:lvlText w:val="(%1)"/>
      <w:numFmt w:val="decimal"/>
      <w:start w:val="1"/>
    </w:lvl>
  </w:abstractNum>
  <w:abstractNum w:abstractNumId="38">
    <w:nsid w:val="1A32234B"/>
    <w:multiLevelType w:val="hybridMultilevel"/>
    <w:lvl w:ilvl="0">
      <w:lvlJc w:val="left"/>
      <w:lvlText w:val="(%1)"/>
      <w:numFmt w:val="decimal"/>
      <w:start w:val="1"/>
    </w:lvl>
  </w:abstractNum>
  <w:abstractNum w:abstractNumId="39">
    <w:nsid w:val="3B0FD379"/>
    <w:multiLevelType w:val="hybridMultilevel"/>
    <w:lvl w:ilvl="0">
      <w:lvlJc w:val="left"/>
      <w:lvlText w:val="(%1)"/>
      <w:numFmt w:val="decimal"/>
      <w:start w:val="1"/>
    </w:lvl>
  </w:abstractNum>
  <w:abstractNum w:abstractNumId="40">
    <w:nsid w:val="68EB2F63"/>
    <w:multiLevelType w:val="hybridMultilevel"/>
    <w:lvl w:ilvl="0">
      <w:lvlJc w:val="left"/>
      <w:lvlText w:val="(%1)"/>
      <w:numFmt w:val="decimal"/>
      <w:start w:val="1"/>
    </w:lvl>
  </w:abstractNum>
  <w:abstractNum w:abstractNumId="41">
    <w:nsid w:val="4962813B"/>
    <w:multiLevelType w:val="hybridMultilevel"/>
    <w:lvl w:ilvl="0">
      <w:lvlJc w:val="left"/>
      <w:lvlText w:val="(%1)"/>
      <w:numFmt w:val="decimal"/>
      <w:start w:val="1"/>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1)"/>
      <w:numFmt w:val="decimal"/>
      <w:start w:val="1"/>
    </w:lvl>
  </w:abstractNum>
  <w:abstractNum w:abstractNumId="46">
    <w:nsid w:val="1A27709E"/>
    <w:multiLevelType w:val="hybridMultilevel"/>
    <w:lvl w:ilvl="0">
      <w:lvlJc w:val="left"/>
      <w:lvlText w:val="(%1)"/>
      <w:numFmt w:val="decimal"/>
      <w:start w:val="1"/>
    </w:lvl>
  </w:abstractNum>
  <w:abstractNum w:abstractNumId="47">
    <w:nsid w:val="71EA1109"/>
    <w:multiLevelType w:val="hybridMultilevel"/>
    <w:lvl w:ilvl="0">
      <w:lvlJc w:val="left"/>
      <w:lvlText w:val="(%1)"/>
      <w:numFmt w:val="decimal"/>
      <w:start w:val="1"/>
    </w:lvl>
  </w:abstractNum>
  <w:abstractNum w:abstractNumId="48">
    <w:nsid w:val="100F59DC"/>
    <w:multiLevelType w:val="hybridMultilevel"/>
    <w:lvl w:ilvl="0">
      <w:lvlJc w:val="left"/>
      <w:lvlText w:val="(%1)"/>
      <w:numFmt w:val="decimal"/>
      <w:start w:val="2"/>
    </w:lvl>
  </w:abstractNum>
  <w:abstractNum w:abstractNumId="49">
    <w:nsid w:val="7FB7E0AA"/>
    <w:multiLevelType w:val="hybridMultilevel"/>
    <w:lvl w:ilvl="0">
      <w:lvlJc w:val="left"/>
      <w:lvlText w:val="(%1)"/>
      <w:numFmt w:val="decimal"/>
      <w:start w:val="1"/>
    </w:lvl>
  </w:abstractNum>
  <w:abstractNum w:abstractNumId="50">
    <w:nsid w:val="6EB5BD4"/>
    <w:multiLevelType w:val="hybridMultilevel"/>
    <w:lvl w:ilvl="0">
      <w:lvlJc w:val="left"/>
      <w:lvlText w:val="%1."/>
      <w:numFmt w:val="decimal"/>
      <w:start w:val="3"/>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1"/>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1."/>
      <w:numFmt w:val="decimal"/>
      <w:start w:val="4"/>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1)"/>
      <w:numFmt w:val="decimal"/>
      <w:start w:val="1"/>
    </w:lvl>
  </w:abstractNum>
  <w:abstractNum w:abstractNumId="57">
    <w:nsid w:val="14E17E33"/>
    <w:multiLevelType w:val="hybridMultilevel"/>
    <w:lvl w:ilvl="0">
      <w:lvlJc w:val="left"/>
      <w:lvlText w:val="(%1)"/>
      <w:numFmt w:val="decimal"/>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1)"/>
      <w:numFmt w:val="decimal"/>
      <w:start w:val="1"/>
    </w:lvl>
  </w:abstractNum>
  <w:abstractNum w:abstractNumId="60">
    <w:nsid w:val="68EBC550"/>
    <w:multiLevelType w:val="hybridMultilevel"/>
    <w:lvl w:ilvl="0">
      <w:lvlJc w:val="left"/>
      <w:lvlText w:val="%1."/>
      <w:numFmt w:val="decimal"/>
      <w:start w:val="5"/>
    </w:lvl>
  </w:abstractNum>
  <w:abstractNum w:abstractNumId="61">
    <w:nsid w:val="2DF6D648"/>
    <w:multiLevelType w:val="hybridMultilevel"/>
    <w:lvl w:ilvl="0">
      <w:lvlJc w:val="left"/>
      <w:lvlText w:val="%1."/>
      <w:numFmt w:val="decimal"/>
      <w:start w:val="6"/>
    </w:lvl>
  </w:abstractNum>
  <w:abstractNum w:abstractNumId="62">
    <w:nsid w:val="46B7D447"/>
    <w:multiLevelType w:val="hybridMultilevel"/>
    <w:lvl w:ilvl="0">
      <w:lvlJc w:val="left"/>
      <w:lvlText w:val="(%1)"/>
      <w:numFmt w:val="decimal"/>
      <w:start w:val="1"/>
    </w:lvl>
  </w:abstractNum>
  <w:abstractNum w:abstractNumId="63">
    <w:nsid w:val="4A2AC315"/>
    <w:multiLevelType w:val="hybridMultilevel"/>
    <w:lvl w:ilvl="0">
      <w:lvlJc w:val="left"/>
      <w:lvlText w:val="%1."/>
      <w:numFmt w:val="decimal"/>
      <w:start w:val="7"/>
    </w:lvl>
  </w:abstractNum>
  <w:abstractNum w:abstractNumId="64">
    <w:nsid w:val="39EE015C"/>
    <w:multiLevelType w:val="hybridMultilevel"/>
    <w:lvl w:ilvl="0">
      <w:lvlJc w:val="left"/>
      <w:lvlText w:val="%1."/>
      <w:numFmt w:val="decimal"/>
      <w:start w:val="8"/>
    </w:lvl>
  </w:abstractNum>
  <w:abstractNum w:abstractNumId="65">
    <w:nsid w:val="57FC4FBB"/>
    <w:multiLevelType w:val="hybridMultilevel"/>
    <w:lvl w:ilvl="0">
      <w:lvlJc w:val="left"/>
      <w:lvlText w:val="%1."/>
      <w:numFmt w:val="decimal"/>
      <w:start w:val="9"/>
    </w:lvl>
  </w:abstractNum>
  <w:abstractNum w:abstractNumId="66">
    <w:nsid w:val="CC1016F"/>
    <w:multiLevelType w:val="hybridMultilevel"/>
    <w:lvl w:ilvl="0">
      <w:lvlJc w:val="left"/>
      <w:lvlText w:val="%1."/>
      <w:numFmt w:val="decimal"/>
      <w:start w:val="10"/>
    </w:lvl>
  </w:abstractNum>
  <w:abstractNum w:abstractNumId="67">
    <w:nsid w:val="43F18422"/>
    <w:multiLevelType w:val="hybridMultilevel"/>
    <w:lvl w:ilvl="0">
      <w:lvlJc w:val="left"/>
      <w:lvlText w:val="%1."/>
      <w:numFmt w:val="decimal"/>
      <w:start w:val="12"/>
    </w:lvl>
  </w:abstractNum>
  <w:abstractNum w:abstractNumId="68">
    <w:nsid w:val="60EF0119"/>
    <w:multiLevelType w:val="hybridMultilevel"/>
    <w:lvl w:ilvl="0">
      <w:lvlJc w:val="left"/>
      <w:lvlText w:val="%1."/>
      <w:numFmt w:val="decimal"/>
      <w:start w:val="13"/>
    </w:lvl>
  </w:abstractNum>
  <w:abstractNum w:abstractNumId="69">
    <w:nsid w:val="26F324BA"/>
    <w:multiLevelType w:val="hybridMultilevel"/>
    <w:lvl w:ilvl="0">
      <w:lvlJc w:val="left"/>
      <w:lvlText w:val="(%1)"/>
      <w:numFmt w:val="decimal"/>
      <w:start w:val="1"/>
    </w:lvl>
  </w:abstractNum>
  <w:abstractNum w:abstractNumId="70">
    <w:nsid w:val="7F01579B"/>
    <w:multiLevelType w:val="hybridMultilevel"/>
    <w:lvl w:ilvl="0">
      <w:lvlJc w:val="left"/>
      <w:lvlText w:val="%1."/>
      <w:numFmt w:val="decimal"/>
      <w:start w:val="14"/>
    </w:lvl>
  </w:abstractNum>
  <w:abstractNum w:abstractNumId="71">
    <w:nsid w:val="49DA307D"/>
    <w:multiLevelType w:val="hybridMultilevel"/>
    <w:lvl w:ilvl="0">
      <w:lvlJc w:val="left"/>
      <w:lvlText w:val="%1."/>
      <w:numFmt w:val="decimal"/>
      <w:start w:val="15"/>
    </w:lvl>
  </w:abstractNum>
  <w:abstractNum w:abstractNumId="72">
    <w:nsid w:val="7055A5F5"/>
    <w:multiLevelType w:val="hybridMultilevel"/>
    <w:lvl w:ilvl="0">
      <w:lvlJc w:val="left"/>
      <w:lvlText w:val="(%1)"/>
      <w:numFmt w:val="decimal"/>
      <w:start w:val="1"/>
    </w:lvl>
  </w:abstractNum>
  <w:abstractNum w:abstractNumId="73">
    <w:nsid w:val="5FB8370B"/>
    <w:multiLevelType w:val="hybridMultilevel"/>
    <w:lvl w:ilvl="0">
      <w:lvlJc w:val="left"/>
      <w:lvlText w:val="%1."/>
      <w:numFmt w:val="decimal"/>
      <w:start w:val="16"/>
    </w:lvl>
  </w:abstractNum>
  <w:abstractNum w:abstractNumId="74">
    <w:nsid w:val="50801EE1"/>
    <w:multiLevelType w:val="hybridMultilevel"/>
    <w:lvl w:ilvl="0">
      <w:lvlJc w:val="left"/>
      <w:lvlText w:val="(%1)"/>
      <w:numFmt w:val="decimal"/>
      <w:start w:val="1"/>
    </w:lvl>
  </w:abstractNum>
  <w:abstractNum w:abstractNumId="75">
    <w:nsid w:val="488AC1A"/>
    <w:multiLevelType w:val="hybridMultilevel"/>
    <w:lvl w:ilvl="0">
      <w:lvlJc w:val="left"/>
      <w:lvlText w:val="(%1)"/>
      <w:numFmt w:val="decimal"/>
      <w:start w:val="1"/>
    </w:lvl>
  </w:abstractNum>
  <w:abstractNum w:abstractNumId="76">
    <w:nsid w:val="5FB8011C"/>
    <w:multiLevelType w:val="hybridMultilevel"/>
    <w:lvl w:ilvl="0">
      <w:lvlJc w:val="left"/>
      <w:lvlText w:val="%1."/>
      <w:numFmt w:val="decimal"/>
      <w:start w:val="17"/>
    </w:lvl>
  </w:abstractNum>
  <w:abstractNum w:abstractNumId="77">
    <w:nsid w:val="6AA78F7F"/>
    <w:multiLevelType w:val="hybridMultilevel"/>
    <w:lvl w:ilvl="0">
      <w:lvlJc w:val="left"/>
      <w:lvlText w:val="(%1)"/>
      <w:numFmt w:val="decimal"/>
      <w:start w:val="1"/>
    </w:lvl>
  </w:abstractNum>
  <w:abstractNum w:abstractNumId="78">
    <w:nsid w:val="7672BD23"/>
    <w:multiLevelType w:val="hybridMultilevel"/>
    <w:lvl w:ilvl="0">
      <w:lvlJc w:val="left"/>
      <w:lvlText w:val="%1."/>
      <w:numFmt w:val="decimal"/>
      <w:start w:val="18"/>
    </w:lvl>
  </w:abstractNum>
  <w:abstractNum w:abstractNumId="79">
    <w:nsid w:val="6FC75AF8"/>
    <w:multiLevelType w:val="hybridMultilevel"/>
    <w:lvl w:ilvl="0">
      <w:lvlJc w:val="left"/>
      <w:lvlText w:val="(%1)"/>
      <w:numFmt w:val="lowerRoman"/>
      <w:start w:val="1"/>
    </w:lvl>
  </w:abstractNum>
  <w:abstractNum w:abstractNumId="80">
    <w:nsid w:val="6A5F7029"/>
    <w:multiLevelType w:val="hybridMultilevel"/>
    <w:lvl w:ilvl="0">
      <w:lvlJc w:val="left"/>
      <w:lvlText w:val="(%1)"/>
      <w:numFmt w:val="lowerLetter"/>
      <w:start w:val="1"/>
    </w:lvl>
    <w:lvl w:ilvl="1">
      <w:lvlJc w:val="left"/>
      <w:lvlText w:val="%2."/>
      <w:numFmt w:val="decimal"/>
      <w:start w:val="1"/>
    </w:lvl>
  </w:abstractNum>
  <w:abstractNum w:abstractNumId="81">
    <w:nsid w:val="7D5E18F8"/>
    <w:multiLevelType w:val="hybridMultilevel"/>
    <w:lvl w:ilvl="0">
      <w:lvlJc w:val="left"/>
      <w:lvlText w:val="%1"/>
      <w:numFmt w:val="lowerLetter"/>
      <w:start w:val="1"/>
    </w:lvl>
    <w:lvl w:ilvl="1">
      <w:lvlJc w:val="left"/>
      <w:lvlText w:val="%2."/>
      <w:numFmt w:val="decimal"/>
      <w:start w:val="3"/>
    </w:lvl>
  </w:abstractNum>
  <w:abstractNum w:abstractNumId="82">
    <w:nsid w:val="5F3534A4"/>
    <w:multiLevelType w:val="hybridMultilevel"/>
    <w:lvl w:ilvl="0">
      <w:lvlJc w:val="left"/>
      <w:lvlText w:val="(%1)"/>
      <w:numFmt w:val="lowerLetter"/>
      <w:start w:val="2"/>
    </w:lvl>
    <w:lvl w:ilvl="1">
      <w:lvlJc w:val="left"/>
      <w:lvlText w:val="%2"/>
      <w:numFmt w:val="decimal"/>
      <w:start w:val="1"/>
    </w:lvl>
  </w:abstractNum>
  <w:abstractNum w:abstractNumId="83">
    <w:nsid w:val="73A1821B"/>
    <w:multiLevelType w:val="hybridMultilevel"/>
    <w:lvl w:ilvl="0">
      <w:lvlJc w:val="left"/>
      <w:lvlText w:val="(%1)"/>
      <w:numFmt w:val="lowerLetter"/>
      <w:start w:val="3"/>
    </w:lvl>
  </w:abstractNum>
  <w:abstractNum w:abstractNumId="84">
    <w:nsid w:val="7DE67713"/>
    <w:multiLevelType w:val="hybridMultilevel"/>
    <w:lvl w:ilvl="0">
      <w:lvlJc w:val="left"/>
      <w:lvlText w:val="(%1)"/>
      <w:numFmt w:val="decimal"/>
      <w:start w:val="1"/>
    </w:lvl>
  </w:abstractNum>
  <w:abstractNum w:abstractNumId="85">
    <w:nsid w:val="555C55B5"/>
    <w:multiLevelType w:val="hybridMultilevel"/>
    <w:lvl w:ilvl="0">
      <w:lvlJc w:val="left"/>
      <w:lvlText w:val="*"/>
      <w:numFmt w:val="bullet"/>
      <w:start w:val="1"/>
    </w:lvl>
  </w:abstractNum>
  <w:abstractNum w:abstractNumId="86">
    <w:nsid w:val="3FA62ACA"/>
    <w:multiLevelType w:val="hybridMultilevel"/>
    <w:lvl w:ilvl="0">
      <w:lvlJc w:val="left"/>
      <w:lvlText w:val="†"/>
      <w:numFmt w:val="bullet"/>
      <w:start w:val="1"/>
    </w:lvl>
  </w:abstractNum>
  <w:abstractNum w:abstractNumId="87">
    <w:nsid w:val="14FCE74E"/>
    <w:multiLevelType w:val="hybridMultilevel"/>
    <w:lvl w:ilvl="0">
      <w:lvlJc w:val="left"/>
      <w:lvlText w:val="††"/>
      <w:numFmt w:val="bullet"/>
      <w:start w:val="1"/>
    </w:lvl>
  </w:abstractNum>
  <w:abstractNum w:abstractNumId="88">
    <w:nsid w:val="6A3DD3E8"/>
    <w:multiLevelType w:val="hybridMultilevel"/>
    <w:lvl w:ilvl="0">
      <w:lvlJc w:val="left"/>
      <w:lvlText w:val="%1."/>
      <w:numFmt w:val="decimal"/>
      <w:start w:val="2"/>
    </w:lvl>
  </w:abstractNum>
  <w:abstractNum w:abstractNumId="89">
    <w:nsid w:val="71C91298"/>
    <w:multiLevelType w:val="hybridMultilevel"/>
    <w:lvl w:ilvl="0">
      <w:lvlJc w:val="left"/>
      <w:lvlText w:val="%1"/>
      <w:numFmt w:val="decimal"/>
      <w:start w:val="1"/>
    </w:lvl>
    <w:lvl w:ilvl="1">
      <w:lvlJc w:val="left"/>
      <w:lvlText w:val="(%2)"/>
      <w:numFmt w:val="lowerLetter"/>
      <w:start w:val="1"/>
    </w:lvl>
  </w:abstractNum>
  <w:abstractNum w:abstractNumId="90">
    <w:nsid w:val="9DAF632"/>
    <w:multiLevelType w:val="hybridMultilevel"/>
    <w:lvl w:ilvl="0">
      <w:lvlJc w:val="left"/>
      <w:lvlText w:val="%1."/>
      <w:numFmt w:val="decimal"/>
      <w:start w:val="3"/>
    </w:lvl>
    <w:lvl w:ilvl="1">
      <w:lvlJc w:val="left"/>
      <w:lvlText w:val="%2"/>
      <w:numFmt w:val="lowerLetter"/>
      <w:start w:val="1"/>
    </w:lvl>
  </w:abstractNum>
  <w:abstractNum w:abstractNumId="91">
    <w:nsid w:val="53299938"/>
    <w:multiLevelType w:val="hybridMultilevel"/>
    <w:lvl w:ilvl="0">
      <w:lvlJc w:val="left"/>
      <w:lvlText w:val="%1."/>
      <w:numFmt w:val="decimal"/>
      <w:start w:val="4"/>
    </w:lvl>
    <w:lvl w:ilvl="1">
      <w:lvlJc w:val="left"/>
      <w:lvlText w:val="(%2)"/>
      <w:numFmt w:val="lowerLetter"/>
      <w:start w:val="1"/>
    </w:lvl>
  </w:abstractNum>
  <w:abstractNum w:abstractNumId="92">
    <w:nsid w:val="1FBFE8E0"/>
    <w:multiLevelType w:val="hybridMultilevel"/>
    <w:lvl w:ilvl="0">
      <w:lvlJc w:val="left"/>
      <w:lvlText w:val="%1."/>
      <w:numFmt w:val="decimal"/>
      <w:start w:val="7"/>
    </w:lvl>
    <w:lvl w:ilvl="1">
      <w:lvlJc w:val="left"/>
      <w:lvlText w:val="(%2)"/>
      <w:numFmt w:val="lowerLetter"/>
      <w:start w:val="1"/>
    </w:lvl>
  </w:abstractNum>
  <w:abstractNum w:abstractNumId="93">
    <w:nsid w:val="5092CA79"/>
    <w:multiLevelType w:val="hybridMultilevel"/>
    <w:lvl w:ilvl="0">
      <w:lvlJc w:val="left"/>
      <w:lvlText w:val="%1."/>
      <w:numFmt w:val="decimal"/>
      <w:start w:val="10"/>
    </w:lvl>
    <w:lvl w:ilvl="1">
      <w:lvlJc w:val="left"/>
      <w:lvlText w:val="(%2)"/>
      <w:numFmt w:val="lowerLetter"/>
      <w:start w:val="1"/>
    </w:lvl>
  </w:abstractNum>
  <w:abstractNum w:abstractNumId="94">
    <w:nsid w:val="1D545C4D"/>
    <w:multiLevelType w:val="hybridMultilevel"/>
    <w:lvl w:ilvl="0">
      <w:lvlJc w:val="left"/>
      <w:lvlText w:val="%1."/>
      <w:numFmt w:val="decimal"/>
      <w:start w:val="15"/>
    </w:lvl>
  </w:abstractNum>
  <w:abstractNum w:abstractNumId="95">
    <w:nsid w:val="59ADEA3D"/>
    <w:multiLevelType w:val="hybridMultilevel"/>
    <w:lvl w:ilvl="0">
      <w:lvlJc w:val="left"/>
      <w:lvlText w:val="%1."/>
      <w:numFmt w:val="decimal"/>
      <w:start w:val="17"/>
    </w:lvl>
  </w:abstractNum>
  <w:abstractNum w:abstractNumId="96">
    <w:nsid w:val="288F1A34"/>
    <w:multiLevelType w:val="hybridMultilevel"/>
    <w:lvl w:ilvl="0">
      <w:lvlJc w:val="left"/>
      <w:lvlText w:val="%1."/>
      <w:numFmt w:val="decimal"/>
      <w:start w:val="1"/>
    </w:lvl>
    <w:lvl w:ilvl="1">
      <w:lvlJc w:val="left"/>
      <w:lvlText w:val="(%2)"/>
      <w:numFmt w:val="lowerLetter"/>
      <w:start w:val="1"/>
    </w:lvl>
  </w:abstractNum>
  <w:abstractNum w:abstractNumId="97">
    <w:nsid w:val="2A155DBC"/>
    <w:multiLevelType w:val="hybridMultilevel"/>
    <w:lvl w:ilvl="0">
      <w:lvlJc w:val="left"/>
      <w:lvlText w:val="(%1)"/>
      <w:numFmt w:val="lowerLetter"/>
      <w:start w:val="1"/>
    </w:lvl>
  </w:abstractNum>
  <w:abstractNum w:abstractNumId="98">
    <w:nsid w:val="1D9F6E5F"/>
    <w:multiLevelType w:val="hybridMultilevel"/>
    <w:lvl w:ilvl="0">
      <w:lvlJc w:val="left"/>
      <w:lvlText w:val="(%1)"/>
      <w:numFmt w:val="lowerLetter"/>
      <w:start w:val="2"/>
    </w:lvl>
  </w:abstractNum>
  <w:abstractNum w:abstractNumId="99">
    <w:nsid w:val="97E1B4E"/>
    <w:multiLevelType w:val="hybridMultilevel"/>
    <w:lvl w:ilvl="0">
      <w:lvlJc w:val="left"/>
      <w:lvlText w:val="%1."/>
      <w:numFmt w:val="decimal"/>
      <w:start w:val="8"/>
    </w:lvl>
  </w:abstractNum>
  <w:abstractNum w:abstractNumId="100">
    <w:nsid w:val="51088277"/>
    <w:multiLevelType w:val="hybridMultilevel"/>
    <w:lvl w:ilvl="0">
      <w:lvlJc w:val="left"/>
      <w:lvlText w:val="(%1)"/>
      <w:numFmt w:val="lowerLetter"/>
      <w:start w:val="1"/>
    </w:lvl>
  </w:abstractNum>
  <w:abstractNum w:abstractNumId="101">
    <w:nsid w:val="1CA0C5FA"/>
    <w:multiLevelType w:val="hybridMultilevel"/>
    <w:lvl w:ilvl="0">
      <w:lvlJc w:val="left"/>
      <w:lvlText w:val="%1."/>
      <w:numFmt w:val="decimal"/>
      <w:start w:val="9"/>
    </w:lvl>
  </w:abstractNum>
  <w:abstractNum w:abstractNumId="102">
    <w:nsid w:val="53584BCB"/>
    <w:multiLevelType w:val="hybridMultilevel"/>
    <w:lvl w:ilvl="0">
      <w:lvlJc w:val="left"/>
      <w:lvlText w:val="(%1)"/>
      <w:numFmt w:val="lowerRoman"/>
      <w:start w:val="1"/>
    </w:lvl>
  </w:abstractNum>
  <w:abstractNum w:abstractNumId="103">
    <w:nsid w:val="415E286C"/>
    <w:multiLevelType w:val="hybridMultilevel"/>
    <w:lvl w:ilvl="0">
      <w:lvlJc w:val="left"/>
      <w:lvlText w:val="%1."/>
      <w:numFmt w:val="decimal"/>
      <w:start w:val="10"/>
    </w:lvl>
  </w:abstractNum>
  <w:abstractNum w:abstractNumId="104">
    <w:nsid w:val="7C58FD05"/>
    <w:multiLevelType w:val="hybridMultilevel"/>
    <w:lvl w:ilvl="0">
      <w:lvlJc w:val="left"/>
      <w:lvlText w:val="%1."/>
      <w:numFmt w:val="decimal"/>
      <w:start w:val="16"/>
    </w:lvl>
  </w:abstractNum>
  <w:abstractNum w:abstractNumId="105">
    <w:nsid w:val="23D86AAC"/>
    <w:multiLevelType w:val="hybridMultilevel"/>
    <w:lvl w:ilvl="0">
      <w:lvlJc w:val="left"/>
      <w:lvlText w:val="%1."/>
      <w:numFmt w:val="decimal"/>
      <w:start w:val="21"/>
    </w:lvl>
  </w:abstractNum>
  <w:abstractNum w:abstractNumId="106">
    <w:nsid w:val="45E6D486"/>
    <w:multiLevelType w:val="hybridMultilevel"/>
    <w:lvl w:ilvl="0">
      <w:lvlJc w:val="left"/>
      <w:lvlText w:val="(%1)"/>
      <w:numFmt w:val="lowerLetter"/>
      <w:start w:val="1"/>
    </w:lvl>
  </w:abstractNum>
  <w:abstractNum w:abstractNumId="107">
    <w:nsid w:val="5C10FE21"/>
    <w:multiLevelType w:val="hybridMultilevel"/>
    <w:lvl w:ilvl="0">
      <w:lvlJc w:val="left"/>
      <w:lvlText w:val="(%1)"/>
      <w:numFmt w:val="lowerRoman"/>
      <w:start w:val="1"/>
    </w:lvl>
  </w:abstractNum>
  <w:abstractNum w:abstractNumId="108">
    <w:nsid w:val="E7FFA2B"/>
    <w:multiLevelType w:val="hybridMultilevel"/>
    <w:lvl w:ilvl="0">
      <w:lvlJc w:val="left"/>
      <w:lvlText w:val="%1."/>
      <w:numFmt w:val="decimal"/>
      <w:start w:val="26"/>
    </w:lvl>
  </w:abstractNum>
  <w:abstractNum w:abstractNumId="109">
    <w:nsid w:val="3C5991AA"/>
    <w:multiLevelType w:val="hybridMultilevel"/>
    <w:lvl w:ilvl="0">
      <w:lvlJc w:val="left"/>
      <w:lvlText w:val="%1"/>
      <w:numFmt w:val="lowerLetter"/>
      <w:start w:val="1"/>
    </w:lvl>
    <w:lvl w:ilvl="1">
      <w:lvlJc w:val="left"/>
      <w:lvlText w:val="(%2)"/>
      <w:numFmt w:val="lowerLetter"/>
      <w:start w:val="1"/>
    </w:lvl>
  </w:abstractNum>
  <w:abstractNum w:abstractNumId="110">
    <w:nsid w:val="4BD8591A"/>
    <w:multiLevelType w:val="hybridMultilevel"/>
    <w:lvl w:ilvl="0">
      <w:lvlJc w:val="left"/>
      <w:lvlText w:val="(%1)"/>
      <w:numFmt w:val="lowerLetter"/>
      <w:start w:val="6"/>
    </w:lvl>
    <w:lvl w:ilvl="1">
      <w:lvlJc w:val="left"/>
      <w:lvlText w:val="%2"/>
      <w:numFmt w:val="lowerLetter"/>
      <w:start w:val="1"/>
    </w:lvl>
  </w:abstractNum>
  <w:abstractNum w:abstractNumId="111">
    <w:nsid w:val="78DF6A55"/>
    <w:multiLevelType w:val="hybridMultilevel"/>
    <w:lvl w:ilvl="0">
      <w:lvlJc w:val="left"/>
      <w:lvlText w:val="%1."/>
      <w:numFmt w:val="decimal"/>
      <w:start w:val="27"/>
    </w:lvl>
  </w:abstractNum>
  <w:abstractNum w:abstractNumId="112">
    <w:nsid w:val="39B7AAA2"/>
    <w:multiLevelType w:val="hybridMultilevel"/>
    <w:lvl w:ilvl="0">
      <w:lvlJc w:val="left"/>
      <w:lvlText w:val="%1."/>
      <w:numFmt w:val="decimal"/>
      <w:start w:val="29"/>
    </w:lvl>
  </w:abstractNum>
  <w:abstractNum w:abstractNumId="113">
    <w:nsid w:val="2B0D8DBE"/>
    <w:multiLevelType w:val="hybridMultilevel"/>
    <w:lvl w:ilvl="0">
      <w:lvlJc w:val="left"/>
      <w:lvlText w:val="(%1)"/>
      <w:numFmt w:val="decimal"/>
      <w:start w:val="1"/>
    </w:lvl>
  </w:abstractNum>
  <w:abstractNum w:abstractNumId="114">
    <w:nsid w:val="6C80EC70"/>
    <w:multiLevelType w:val="hybridMultilevel"/>
    <w:lvl w:ilvl="0">
      <w:lvlJc w:val="left"/>
      <w:lvlText w:val="(%1)"/>
      <w:numFmt w:val="decimal"/>
      <w:start w:val="1"/>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5"/>
    </w:lvl>
    <w:lvl w:ilvl="1">
      <w:lvlJc w:val="left"/>
      <w:lvlText w:val="%2)"/>
      <w:numFmt w:val="lowerLetter"/>
      <w:start w:val="1"/>
    </w:lvl>
  </w:abstractNum>
  <w:abstractNum w:abstractNumId="117">
    <w:nsid w:val="2C27173B"/>
    <w:multiLevelType w:val="hybridMultilevel"/>
    <w:lvl w:ilvl="0">
      <w:lvlJc w:val="left"/>
      <w:lvlText w:val="%1."/>
      <w:numFmt w:val="decimal"/>
      <w:start w:val="1"/>
    </w:lvl>
    <w:lvl w:ilvl="1">
      <w:lvlJc w:val="left"/>
      <w:lvlText w:val="%2)"/>
      <w:numFmt w:val="lowerLetter"/>
      <w:start w:val="1"/>
    </w:lvl>
  </w:abstractNum>
  <w:abstractNum w:abstractNumId="118">
    <w:nsid w:val="4C9B0904"/>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27" Type="http://schemas.openxmlformats.org/officeDocument/2006/relationships/image" Target="media/image206.jpeg"/><Relationship Id="rId243" Type="http://schemas.openxmlformats.org/officeDocument/2006/relationships/image" Target="media/image207.jpeg"/><Relationship Id="rId244" Type="http://schemas.openxmlformats.org/officeDocument/2006/relationships/image" Target="media/image208.jpe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13" Type="http://schemas.openxmlformats.org/officeDocument/2006/relationships/hyperlink" Target="http://www.sec.gov/Archives/edgar/data/769397/000119312506068809/dex31.htm" TargetMode="External"/><Relationship Id="rId214" Type="http://schemas.openxmlformats.org/officeDocument/2006/relationships/hyperlink" Target="http://www.sec.gov/Archives/edgar/data/769397/000076939718000027/bylawsasamended-2018xjunex.htm" TargetMode="External"/><Relationship Id="rId215" Type="http://schemas.openxmlformats.org/officeDocument/2006/relationships/hyperlink" Target="http://www.sec.gov/Archives/edgar/data/769397/000119312512501656/d452709dex41.htm" TargetMode="External"/><Relationship Id="rId216" Type="http://schemas.openxmlformats.org/officeDocument/2006/relationships/hyperlink" Target="http://www.sec.gov/Archives/edgar/data/769397/000119312512501656/d452709dex42.htm" TargetMode="External"/><Relationship Id="rId217" Type="http://schemas.openxmlformats.org/officeDocument/2006/relationships/hyperlink" Target="http://www.sec.gov/Archives/edgar/data/769397/000119312515216324/d938494dex41.htm" TargetMode="External"/><Relationship Id="rId218" Type="http://schemas.openxmlformats.org/officeDocument/2006/relationships/hyperlink" Target="http://www.sec.gov/Archives/edgar/data/769397/000119312517198513/d399645dex41.htm" TargetMode="External"/><Relationship Id="rId219" Type="http://schemas.openxmlformats.org/officeDocument/2006/relationships/hyperlink" Target="http://www.sec.gov/Archives/edgar/data/769397/000076939718000015/form8-kx2018xmarchx21item5.htm" TargetMode="External"/><Relationship Id="rId220" Type="http://schemas.openxmlformats.org/officeDocument/2006/relationships/hyperlink" Target="http://www.sec.gov/Archives/edgar/data/769397/000076939718000042/ex103-autodeskxespp199.htm" TargetMode="External"/><Relationship Id="rId221" Type="http://schemas.openxmlformats.org/officeDocument/2006/relationships/hyperlink" Target="http://www.sec.gov/Archives/edgar/data/769397/000076939716000087/adsk07312016ex105.htm" TargetMode="External"/><Relationship Id="rId222" Type="http://schemas.openxmlformats.org/officeDocument/2006/relationships/hyperlink" Target="http://www.sec.gov/Archives/edgar/data/769397/000076939718000042/ex102-2012employeestoc.htm" TargetMode="External"/><Relationship Id="rId223" Type="http://schemas.openxmlformats.org/officeDocument/2006/relationships/hyperlink" Target="http://www.sec.gov/Archives/edgar/data/769397/000076939716000087/adsk07312016ex102.htm" TargetMode="External"/><Relationship Id="rId224" Type="http://schemas.openxmlformats.org/officeDocument/2006/relationships/hyperlink" Target="http://www.sec.gov/Archives/edgar/data/769397/000076939716000087/adsk07312016ex103.htm" TargetMode="External"/><Relationship Id="rId225" Type="http://schemas.openxmlformats.org/officeDocument/2006/relationships/hyperlink" Target="http://www.sec.gov/Archives/edgar/data/769397/000119312512112024/d314351dex102.htm" TargetMode="External"/><Relationship Id="rId226" Type="http://schemas.openxmlformats.org/officeDocument/2006/relationships/hyperlink" Target="http://www.sec.gov/Archives/edgar/data/769397/000119312512112024/d314351dex104.htm" TargetMode="External"/><Relationship Id="rId228" Type="http://schemas.openxmlformats.org/officeDocument/2006/relationships/hyperlink" Target="http://www.sec.gov/Archives/edgar/data/769397/000076939718000057/plangrid2012equityincentiv.htm" TargetMode="External"/><Relationship Id="rId229" Type="http://schemas.openxmlformats.org/officeDocument/2006/relationships/hyperlink" Target="http://www.sec.gov/Archives/edgar/data/769397/000076939719000002/ex991buildingconnected2013.htm" TargetMode="External"/><Relationship Id="rId230" Type="http://schemas.openxmlformats.org/officeDocument/2006/relationships/hyperlink" Target="http://www.sec.gov/Archives/edgar/data/769397/000076939717000014/adsk01312017ex1018.htm" TargetMode="External"/><Relationship Id="rId231" Type="http://schemas.openxmlformats.org/officeDocument/2006/relationships/hyperlink" Target="http://www.sec.gov/Archives/edgar/data/769397/000119312512112024/d314351dex105.htm" TargetMode="External"/><Relationship Id="rId232" Type="http://schemas.openxmlformats.org/officeDocument/2006/relationships/hyperlink" Target="http://www.sec.gov/Archives/edgar/data/769397/000076939716000067/adsk01312016ex1023.htm" TargetMode="External"/><Relationship Id="rId233" Type="http://schemas.openxmlformats.org/officeDocument/2006/relationships/hyperlink" Target="http://www.sec.gov/Archives/edgar/data/769397/000119312509249297/dex101.htm" TargetMode="External"/><Relationship Id="rId234" Type="http://schemas.openxmlformats.org/officeDocument/2006/relationships/hyperlink" Target="http://www.sec.gov/Archives/edgar/data/769397/000076939716000100/ex101executivechangeincont.htm" TargetMode="External"/><Relationship Id="rId235" Type="http://schemas.openxmlformats.org/officeDocument/2006/relationships/hyperlink" Target="http://www.sec.gov/Archives/edgar/data/769397/000119312505067261/dex108.htm" TargetMode="External"/><Relationship Id="rId236" Type="http://schemas.openxmlformats.org/officeDocument/2006/relationships/hyperlink" Target="http://www.sec.gov/Archives/edgar/data/769397/000119312517207116/d372890dex101.htm" TargetMode="External"/><Relationship Id="rId237" Type="http://schemas.openxmlformats.org/officeDocument/2006/relationships/hyperlink" Target="http://www.sec.gov/Archives/edgar/data/769397/000076939718000043/ex991-autodeskseverancepla.htm" TargetMode="External"/><Relationship Id="rId238" Type="http://schemas.openxmlformats.org/officeDocument/2006/relationships/hyperlink" Target="http://www.sec.gov/Archives/edgar/data/769397/000119312504210314/dex101.htm" TargetMode="External"/><Relationship Id="rId239" Type="http://schemas.openxmlformats.org/officeDocument/2006/relationships/hyperlink" Target="http://www.sec.gov/Archives/edgar/data/769397/000119312510061070/dex1030.htm" TargetMode="External"/><Relationship Id="rId240" Type="http://schemas.openxmlformats.org/officeDocument/2006/relationships/hyperlink" Target="http://www.sec.gov/Archives/edgar/data/769397/000076939718000055/ex101-amendedandrestatedcr.htm" TargetMode="External"/><Relationship Id="rId241" Type="http://schemas.openxmlformats.org/officeDocument/2006/relationships/hyperlink" Target="http://www.sec.gov/Archives/edgar/data/769397/000076939718000055/ex102-termloanagreement.htm" TargetMode="External"/><Relationship Id="rId242" Type="http://schemas.openxmlformats.org/officeDocument/2006/relationships/hyperlink" Target="http://www.sec.gov/Archives/edgar/data/769397/000119312518331326/d659628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2019-12-28T14:21:11Z</dcterms:created>
  <dcterms:modified xsi:type="dcterms:W3CDTF">2019-12-28T14:21:11Z</dcterms:modified>
</cp:coreProperties>
</file>