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-224155</wp:posOffset>
            </wp:positionV>
            <wp:extent cx="28301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6" w:lineRule="exact"/>
        <w:rPr>
          <w:sz w:val="24"/>
          <w:szCs w:val="24"/>
          <w:color w:val="auto"/>
        </w:rPr>
      </w:pPr>
    </w:p>
    <w:p>
      <w:pPr>
        <w:ind w:left="720"/>
        <w:spacing w:after="0"/>
        <w:rPr>
          <w:sz w:val="20"/>
          <w:szCs w:val="20"/>
          <w:color w:val="auto"/>
        </w:rPr>
      </w:pPr>
      <w:r>
        <w:rPr>
          <w:rFonts w:ascii="Arial" w:cs="Arial" w:eastAsia="Arial" w:hAnsi="Arial"/>
          <w:sz w:val="22"/>
          <w:szCs w:val="22"/>
          <w:b w:val="1"/>
          <w:bCs w:val="1"/>
          <w:color w:val="auto"/>
        </w:rPr>
        <w:t>1934</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quarterly period ended July 31, 2014</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ind w:left="720" w:right="120" w:hanging="685"/>
        <w:spacing w:after="0" w:line="249"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402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3"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Commission File Number: 0-14338</w:t>
      </w:r>
    </w:p>
    <w:p>
      <w:pPr>
        <w:spacing w:after="0" w:line="200" w:lineRule="exact"/>
        <w:rPr>
          <w:sz w:val="24"/>
          <w:szCs w:val="24"/>
          <w:color w:val="auto"/>
        </w:rPr>
      </w:pPr>
    </w:p>
    <w:p>
      <w:pPr>
        <w:spacing w:after="0" w:line="265" w:lineRule="exact"/>
        <w:rPr>
          <w:sz w:val="24"/>
          <w:szCs w:val="24"/>
          <w:color w:val="auto"/>
        </w:rPr>
      </w:pPr>
    </w:p>
    <w:tbl>
      <w:tblPr>
        <w:tblLayout w:type="fixed"/>
        <w:tblInd w:w="1640" w:type="dxa"/>
        <w:tblCellMar>
          <w:top w:w="0" w:type="dxa"/>
          <w:left w:w="0" w:type="dxa"/>
          <w:bottom w:w="0" w:type="dxa"/>
          <w:right w:w="0" w:type="dxa"/>
        </w:tblCellMar>
      </w:tblPr>
      <w:tr>
        <w:trPr>
          <w:trHeight w:val="520"/>
        </w:trPr>
        <w:tc>
          <w:tcPr>
            <w:tcW w:w="6120" w:type="dxa"/>
            <w:vAlign w:val="bottom"/>
          </w:tcPr>
          <w:p>
            <w:pPr>
              <w:jc w:val="center"/>
              <w:ind w:left="1926"/>
              <w:spacing w:after="0"/>
              <w:rPr>
                <w:sz w:val="20"/>
                <w:szCs w:val="20"/>
                <w:color w:val="auto"/>
              </w:rPr>
            </w:pPr>
            <w:r>
              <w:rPr>
                <w:rFonts w:ascii="Arial" w:cs="Arial" w:eastAsia="Arial" w:hAnsi="Arial"/>
                <w:sz w:val="43"/>
                <w:szCs w:val="43"/>
                <w:b w:val="1"/>
                <w:bCs w:val="1"/>
                <w:color w:val="auto"/>
              </w:rPr>
              <w:t>AUTODESK, INC.</w:t>
            </w:r>
          </w:p>
        </w:tc>
        <w:tc>
          <w:tcPr>
            <w:tcW w:w="1400" w:type="dxa"/>
            <w:vAlign w:val="bottom"/>
          </w:tcPr>
          <w:p>
            <w:pPr>
              <w:spacing w:after="0"/>
              <w:rPr>
                <w:sz w:val="24"/>
                <w:szCs w:val="24"/>
                <w:color w:val="auto"/>
              </w:rPr>
            </w:pPr>
          </w:p>
        </w:tc>
      </w:tr>
      <w:tr>
        <w:trPr>
          <w:trHeight w:val="186"/>
        </w:trPr>
        <w:tc>
          <w:tcPr>
            <w:tcW w:w="6120" w:type="dxa"/>
            <w:vAlign w:val="bottom"/>
          </w:tcPr>
          <w:p>
            <w:pPr>
              <w:jc w:val="center"/>
              <w:ind w:left="1926"/>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400" w:type="dxa"/>
            <w:vAlign w:val="bottom"/>
          </w:tcPr>
          <w:p>
            <w:pPr>
              <w:spacing w:after="0"/>
              <w:rPr>
                <w:sz w:val="16"/>
                <w:szCs w:val="16"/>
                <w:color w:val="auto"/>
              </w:rPr>
            </w:pPr>
          </w:p>
        </w:tc>
      </w:tr>
      <w:tr>
        <w:trPr>
          <w:trHeight w:val="377"/>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3"/>
              </w:rPr>
              <w:t>Delaware</w:t>
            </w:r>
          </w:p>
        </w:tc>
        <w:tc>
          <w:tcPr>
            <w:tcW w:w="1400" w:type="dxa"/>
            <w:vAlign w:val="bottom"/>
          </w:tcPr>
          <w:p>
            <w:pPr>
              <w:jc w:val="right"/>
              <w:ind w:right="61"/>
              <w:spacing w:after="0"/>
              <w:rPr>
                <w:sz w:val="20"/>
                <w:szCs w:val="20"/>
                <w:color w:val="auto"/>
              </w:rPr>
            </w:pPr>
            <w:r>
              <w:rPr>
                <w:rFonts w:ascii="Arial" w:cs="Arial" w:eastAsia="Arial" w:hAnsi="Arial"/>
                <w:sz w:val="18"/>
                <w:szCs w:val="18"/>
                <w:b w:val="1"/>
                <w:bCs w:val="1"/>
                <w:color w:val="auto"/>
              </w:rPr>
              <w:t>94-2819853</w:t>
            </w:r>
          </w:p>
        </w:tc>
      </w:tr>
      <w:tr>
        <w:trPr>
          <w:trHeight w:val="180"/>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2"/>
              </w:rPr>
              <w:t>(State or other jurisdiction of</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120" w:type="dxa"/>
            <w:vAlign w:val="bottom"/>
          </w:tcPr>
          <w:p>
            <w:pPr>
              <w:jc w:val="center"/>
              <w:ind w:right="3626"/>
              <w:spacing w:after="0"/>
              <w:rPr>
                <w:sz w:val="20"/>
                <w:szCs w:val="20"/>
                <w:color w:val="auto"/>
              </w:rPr>
            </w:pPr>
            <w:r>
              <w:rPr>
                <w:rFonts w:ascii="Arial" w:cs="Arial" w:eastAsia="Arial" w:hAnsi="Arial"/>
                <w:sz w:val="14"/>
                <w:szCs w:val="14"/>
                <w:b w:val="1"/>
                <w:bCs w:val="1"/>
                <w:color w:val="auto"/>
                <w:w w:val="94"/>
              </w:rPr>
              <w:t>incorporation or organization)</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6"/>
              </w:rPr>
              <w:t>Identification No.)</w:t>
            </w:r>
          </w:p>
        </w:tc>
      </w:tr>
      <w:tr>
        <w:trPr>
          <w:trHeight w:val="561"/>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1"/>
              </w:rPr>
              <w:t>111 McInnis Parkway,</w:t>
            </w:r>
          </w:p>
        </w:tc>
        <w:tc>
          <w:tcPr>
            <w:tcW w:w="1400" w:type="dxa"/>
            <w:vAlign w:val="bottom"/>
          </w:tcPr>
          <w:p>
            <w:pPr>
              <w:spacing w:after="0"/>
              <w:rPr>
                <w:sz w:val="24"/>
                <w:szCs w:val="24"/>
                <w:color w:val="auto"/>
              </w:rPr>
            </w:pPr>
          </w:p>
        </w:tc>
      </w:tr>
      <w:tr>
        <w:trPr>
          <w:trHeight w:val="234"/>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1"/>
              </w:rPr>
              <w:t>San Rafael, California</w:t>
            </w:r>
          </w:p>
        </w:tc>
        <w:tc>
          <w:tcPr>
            <w:tcW w:w="1400" w:type="dxa"/>
            <w:vAlign w:val="bottom"/>
          </w:tcPr>
          <w:p>
            <w:pPr>
              <w:jc w:val="right"/>
              <w:ind w:right="261"/>
              <w:spacing w:after="0"/>
              <w:rPr>
                <w:sz w:val="20"/>
                <w:szCs w:val="20"/>
                <w:color w:val="auto"/>
              </w:rPr>
            </w:pPr>
            <w:r>
              <w:rPr>
                <w:rFonts w:ascii="Arial" w:cs="Arial" w:eastAsia="Arial" w:hAnsi="Arial"/>
                <w:sz w:val="18"/>
                <w:szCs w:val="18"/>
                <w:b w:val="1"/>
                <w:bCs w:val="1"/>
                <w:color w:val="auto"/>
              </w:rPr>
              <w:t>94903</w:t>
            </w:r>
          </w:p>
        </w:tc>
      </w:tr>
      <w:tr>
        <w:trPr>
          <w:trHeight w:val="218"/>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6120" w:type="dxa"/>
            <w:vAlign w:val="bottom"/>
          </w:tcPr>
          <w:p>
            <w:pPr>
              <w:jc w:val="center"/>
              <w:ind w:left="1946"/>
              <w:spacing w:after="0"/>
              <w:rPr>
                <w:sz w:val="20"/>
                <w:szCs w:val="20"/>
                <w:color w:val="auto"/>
              </w:rPr>
            </w:pPr>
            <w:r>
              <w:rPr>
                <w:rFonts w:ascii="Arial" w:cs="Arial" w:eastAsia="Arial" w:hAnsi="Arial"/>
                <w:sz w:val="18"/>
                <w:szCs w:val="18"/>
                <w:b w:val="1"/>
                <w:bCs w:val="1"/>
                <w:color w:val="auto"/>
                <w:w w:val="90"/>
              </w:rPr>
              <w:t>(415) 507-5000</w:t>
            </w:r>
          </w:p>
        </w:tc>
        <w:tc>
          <w:tcPr>
            <w:tcW w:w="1400" w:type="dxa"/>
            <w:vAlign w:val="bottom"/>
          </w:tcPr>
          <w:p>
            <w:pPr>
              <w:spacing w:after="0"/>
              <w:rPr>
                <w:sz w:val="23"/>
                <w:szCs w:val="23"/>
                <w:color w:val="auto"/>
              </w:rPr>
            </w:pPr>
          </w:p>
        </w:tc>
      </w:tr>
      <w:tr>
        <w:trPr>
          <w:trHeight w:val="186"/>
        </w:trPr>
        <w:tc>
          <w:tcPr>
            <w:tcW w:w="6120" w:type="dxa"/>
            <w:vAlign w:val="bottom"/>
          </w:tcPr>
          <w:p>
            <w:pPr>
              <w:jc w:val="center"/>
              <w:ind w:left="1926"/>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-1844040</wp:posOffset>
            </wp:positionV>
            <wp:extent cx="28301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0195"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161925</wp:posOffset>
            </wp:positionV>
            <wp:extent cx="28301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61" w:lineRule="exact"/>
        <w:rPr>
          <w:sz w:val="24"/>
          <w:szCs w:val="24"/>
          <w:color w:val="auto"/>
        </w:rPr>
      </w:pPr>
    </w:p>
    <w:p>
      <w:pPr>
        <w:jc w:val="center"/>
        <w:ind w:right="1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Exchange Act during the</w:t>
      </w:r>
    </w:p>
    <w:p>
      <w:pPr>
        <w:spacing w:after="0" w:line="61" w:lineRule="exact"/>
        <w:rPr>
          <w:sz w:val="24"/>
          <w:szCs w:val="24"/>
          <w:color w:val="auto"/>
        </w:rPr>
      </w:pPr>
    </w:p>
    <w:p>
      <w:pPr>
        <w:ind w:right="140"/>
        <w:spacing w:after="0" w:line="260" w:lineRule="exact"/>
        <w:rPr>
          <w:sz w:val="20"/>
          <w:szCs w:val="20"/>
          <w:color w:val="auto"/>
        </w:rPr>
      </w:pPr>
      <w:r>
        <w:rPr>
          <w:rFonts w:ascii="Arial" w:cs="Arial" w:eastAsia="Arial" w:hAnsi="Arial"/>
          <w:sz w:val="18"/>
          <w:szCs w:val="18"/>
          <w:color w:val="auto"/>
        </w:rPr>
        <w:t xml:space="preserve">preceding 12 months (or for such shorter period that the registrant was required to file such reports), and (2) has been subject to such filing requirements for the past 90 days.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w:t>
      </w:r>
    </w:p>
    <w:p>
      <w:pPr>
        <w:spacing w:after="0" w:line="61" w:lineRule="exact"/>
        <w:rPr>
          <w:sz w:val="24"/>
          <w:szCs w:val="24"/>
          <w:color w:val="auto"/>
        </w:rPr>
      </w:pPr>
    </w:p>
    <w:p>
      <w:pPr>
        <w:spacing w:after="0" w:line="260" w:lineRule="exact"/>
        <w:rPr>
          <w:sz w:val="20"/>
          <w:szCs w:val="20"/>
          <w:color w:val="auto"/>
        </w:rPr>
      </w:pPr>
      <w:r>
        <w:rPr>
          <w:rFonts w:ascii="Arial" w:cs="Arial" w:eastAsia="Arial" w:hAnsi="Arial"/>
          <w:sz w:val="18"/>
          <w:szCs w:val="18"/>
          <w:color w:val="auto"/>
        </w:rPr>
        <w:t xml:space="preserve">required to be submitted and posted pursuant to Rule 405 of Regulation S-T during the preceding 12 months (or for such shorter period that the registrant was required to submit and post such files).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6"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976" w:right="279" w:bottom="144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660" w:space="640"/>
            <w:col w:w="6740" w:space="720"/>
            <w:col w:w="1200" w:space="160"/>
            <w:col w:w="260"/>
          </w:cols>
          <w:pgMar w:left="240" w:top="976" w:right="27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580" w:space="720"/>
            <w:col w:w="5980" w:space="720"/>
            <w:col w:w="1960" w:space="160"/>
            <w:col w:w="260"/>
          </w:cols>
          <w:pgMar w:left="240" w:top="976" w:right="279" w:bottom="1440" w:gutter="0" w:footer="0" w:header="0"/>
          <w:type w:val="continuous"/>
        </w:sectPr>
      </w:pPr>
    </w:p>
    <w:p>
      <w:pPr>
        <w:spacing w:after="0" w:line="82" w:lineRule="exact"/>
        <w:rPr>
          <w:sz w:val="24"/>
          <w:szCs w:val="24"/>
          <w:color w:val="auto"/>
        </w:rPr>
      </w:pPr>
    </w:p>
    <w:p>
      <w:pPr>
        <w:ind w:left="440"/>
        <w:spacing w:after="0" w:line="219" w:lineRule="exact"/>
        <w:rPr>
          <w:sz w:val="20"/>
          <w:szCs w:val="20"/>
          <w:color w:val="auto"/>
        </w:rPr>
      </w:pPr>
      <w:r>
        <w:rPr>
          <w:rFonts w:ascii="Arial" w:cs="Arial" w:eastAsia="Arial" w:hAnsi="Arial"/>
          <w:sz w:val="16"/>
          <w:szCs w:val="16"/>
          <w:color w:val="auto"/>
        </w:rPr>
        <w:t xml:space="preserve">Indicate by check mark whether the registrant is a shell company (as defined by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Arial" w:cs="Arial" w:eastAsia="Arial" w:hAnsi="Arial"/>
          <w:sz w:val="19"/>
          <w:szCs w:val="19"/>
          <w:color w:val="auto"/>
        </w:rPr>
        <w:t>x</w:t>
      </w:r>
    </w:p>
    <w:p>
      <w:pPr>
        <w:spacing w:after="0" w:line="261"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As of August 27, 2014, registrant had outstanding approximately 227,236,453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76" w:right="27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AUTODESK, INC. 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Page No.</w:t>
            </w:r>
          </w:p>
        </w:tc>
      </w:tr>
      <w:tr>
        <w:trPr>
          <w:trHeight w:val="189"/>
        </w:trPr>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80" w:type="dxa"/>
            <w:vAlign w:val="bottom"/>
            <w:tcBorders>
              <w:bottom w:val="single" w:sz="8" w:color="0000FF"/>
            </w:tcBorders>
            <w:gridSpan w:val="7"/>
          </w:tcPr>
          <w:p>
            <w:pPr>
              <w:jc w:val="center"/>
              <w:spacing w:after="0" w:line="18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2940" w:type="dxa"/>
            <w:vAlign w:val="bottom"/>
            <w:gridSpan w:val="5"/>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680" w:type="dxa"/>
            <w:vAlign w:val="bottom"/>
            <w:tcBorders>
              <w:bottom w:val="single" w:sz="8" w:color="0000FF"/>
            </w:tcBorders>
            <w:gridSpan w:val="7"/>
          </w:tcPr>
          <w:p>
            <w:pPr>
              <w:spacing w:after="0"/>
              <w:rPr>
                <w:rFonts w:ascii="Arial" w:cs="Arial" w:eastAsia="Arial" w:hAnsi="Arial"/>
                <w:sz w:val="18"/>
                <w:szCs w:val="18"/>
                <w:b w:val="1"/>
                <w:bCs w:val="1"/>
                <w:color w:val="0000FF"/>
                <w:w w:val="89"/>
              </w:rPr>
            </w:pPr>
            <w:hyperlink w:anchor="page3">
              <w:r>
                <w:rPr>
                  <w:rFonts w:ascii="Arial" w:cs="Arial" w:eastAsia="Arial" w:hAnsi="Arial"/>
                  <w:sz w:val="18"/>
                  <w:szCs w:val="18"/>
                  <w:b w:val="1"/>
                  <w:bCs w:val="1"/>
                  <w:color w:val="0000FF"/>
                  <w:w w:val="89"/>
                </w:rPr>
                <w:t>Financial Statements:</w:t>
              </w:r>
            </w:hyperlink>
          </w:p>
        </w:tc>
        <w:tc>
          <w:tcPr>
            <w:tcW w:w="7260" w:type="dxa"/>
            <w:vAlign w:val="bottom"/>
            <w:gridSpan w:val="16"/>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980" w:type="dxa"/>
            <w:vAlign w:val="bottom"/>
          </w:tcPr>
          <w:p>
            <w:pPr>
              <w:spacing w:after="0"/>
              <w:rPr>
                <w:sz w:val="24"/>
                <w:szCs w:val="24"/>
                <w:color w:val="auto"/>
              </w:rPr>
            </w:pPr>
          </w:p>
        </w:tc>
        <w:tc>
          <w:tcPr>
            <w:tcW w:w="8940" w:type="dxa"/>
            <w:vAlign w:val="bottom"/>
            <w:gridSpan w:val="23"/>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Condensed Consolidated Statements of Operations for the Three and Six Months Ended July 31, 2014 and 2013</w:t>
              </w:r>
            </w:hyperlink>
          </w:p>
        </w:tc>
        <w:tc>
          <w:tcPr>
            <w:tcW w:w="146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80" w:type="dxa"/>
            <w:vAlign w:val="bottom"/>
          </w:tcPr>
          <w:p>
            <w:pPr>
              <w:spacing w:after="0"/>
              <w:rPr>
                <w:sz w:val="24"/>
                <w:szCs w:val="24"/>
                <w:color w:val="auto"/>
              </w:rPr>
            </w:pPr>
          </w:p>
        </w:tc>
        <w:tc>
          <w:tcPr>
            <w:tcW w:w="8940" w:type="dxa"/>
            <w:vAlign w:val="bottom"/>
            <w:gridSpan w:val="23"/>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Condensed Consolidated Statements of Comprehensive Income for the Three and Six Months Ended July 31, 2014 and</w:t>
              </w:r>
            </w:hyperlink>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2013</w:t>
              </w:r>
            </w:hyperlink>
          </w:p>
        </w:tc>
        <w:tc>
          <w:tcPr>
            <w:tcW w:w="2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0" w:type="dxa"/>
            <w:vAlign w:val="bottom"/>
          </w:tcPr>
          <w:p>
            <w:pPr>
              <w:spacing w:after="0"/>
              <w:rPr>
                <w:sz w:val="17"/>
                <w:szCs w:val="17"/>
                <w:color w:val="auto"/>
              </w:rPr>
            </w:pPr>
          </w:p>
        </w:tc>
      </w:tr>
      <w:tr>
        <w:trPr>
          <w:trHeight w:val="372"/>
        </w:trPr>
        <w:tc>
          <w:tcPr>
            <w:tcW w:w="980" w:type="dxa"/>
            <w:vAlign w:val="bottom"/>
          </w:tcPr>
          <w:p>
            <w:pPr>
              <w:spacing w:after="0"/>
              <w:rPr>
                <w:sz w:val="24"/>
                <w:szCs w:val="24"/>
                <w:color w:val="auto"/>
              </w:rPr>
            </w:pPr>
          </w:p>
        </w:tc>
        <w:tc>
          <w:tcPr>
            <w:tcW w:w="594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Balance Sheets as of July 31, 2014 and January 31, 2014</w:t>
              </w:r>
            </w:hyperlink>
          </w:p>
        </w:tc>
        <w:tc>
          <w:tcPr>
            <w:tcW w:w="3000" w:type="dxa"/>
            <w:vAlign w:val="bottom"/>
            <w:gridSpan w:val="6"/>
          </w:tcPr>
          <w:p>
            <w:pPr>
              <w:spacing w:after="0"/>
              <w:rPr>
                <w:sz w:val="24"/>
                <w:szCs w:val="24"/>
                <w:color w:val="auto"/>
              </w:rPr>
            </w:pPr>
          </w:p>
        </w:tc>
        <w:tc>
          <w:tcPr>
            <w:tcW w:w="13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24"/>
                <w:szCs w:val="24"/>
                <w:color w:val="auto"/>
              </w:rPr>
            </w:pPr>
          </w:p>
        </w:tc>
      </w:tr>
      <w:tr>
        <w:trPr>
          <w:trHeight w:val="372"/>
        </w:trPr>
        <w:tc>
          <w:tcPr>
            <w:tcW w:w="980" w:type="dxa"/>
            <w:vAlign w:val="bottom"/>
          </w:tcPr>
          <w:p>
            <w:pPr>
              <w:spacing w:after="0"/>
              <w:rPr>
                <w:sz w:val="24"/>
                <w:szCs w:val="24"/>
                <w:color w:val="auto"/>
              </w:rPr>
            </w:pPr>
          </w:p>
        </w:tc>
        <w:tc>
          <w:tcPr>
            <w:tcW w:w="736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for the Six Months Ended July 31, 2014 and 2013</w:t>
              </w:r>
            </w:hyperlink>
          </w:p>
        </w:tc>
        <w:tc>
          <w:tcPr>
            <w:tcW w:w="1580" w:type="dxa"/>
            <w:vAlign w:val="bottom"/>
            <w:gridSpan w:val="3"/>
          </w:tcPr>
          <w:p>
            <w:pPr>
              <w:spacing w:after="0"/>
              <w:rPr>
                <w:sz w:val="24"/>
                <w:szCs w:val="24"/>
                <w:color w:val="auto"/>
              </w:rPr>
            </w:pPr>
          </w:p>
        </w:tc>
        <w:tc>
          <w:tcPr>
            <w:tcW w:w="13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tcPr>
          <w:p>
            <w:pPr>
              <w:spacing w:after="0"/>
              <w:rPr>
                <w:sz w:val="24"/>
                <w:szCs w:val="24"/>
                <w:color w:val="auto"/>
              </w:rPr>
            </w:pPr>
          </w:p>
        </w:tc>
      </w:tr>
      <w:tr>
        <w:trPr>
          <w:trHeight w:val="372"/>
        </w:trPr>
        <w:tc>
          <w:tcPr>
            <w:tcW w:w="980" w:type="dxa"/>
            <w:vAlign w:val="bottom"/>
          </w:tcPr>
          <w:p>
            <w:pPr>
              <w:spacing w:after="0"/>
              <w:rPr>
                <w:sz w:val="24"/>
                <w:szCs w:val="24"/>
                <w:color w:val="auto"/>
              </w:rPr>
            </w:pPr>
          </w:p>
        </w:tc>
        <w:tc>
          <w:tcPr>
            <w:tcW w:w="4000" w:type="dxa"/>
            <w:vAlign w:val="bottom"/>
            <w:tcBorders>
              <w:bottom w:val="single" w:sz="8" w:color="0000FF"/>
            </w:tcBorders>
            <w:gridSpan w:val="13"/>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Notes to Condensed Consolidated Financial Statements</w:t>
              </w:r>
            </w:hyperlink>
          </w:p>
        </w:tc>
        <w:tc>
          <w:tcPr>
            <w:tcW w:w="4940" w:type="dxa"/>
            <w:vAlign w:val="bottom"/>
            <w:gridSpan w:val="10"/>
          </w:tcPr>
          <w:p>
            <w:pPr>
              <w:spacing w:after="0"/>
              <w:rPr>
                <w:sz w:val="24"/>
                <w:szCs w:val="24"/>
                <w:color w:val="auto"/>
              </w:rPr>
            </w:pPr>
          </w:p>
        </w:tc>
        <w:tc>
          <w:tcPr>
            <w:tcW w:w="13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20" w:type="dxa"/>
            <w:vAlign w:val="bottom"/>
          </w:tcPr>
          <w:p>
            <w:pPr>
              <w:spacing w:after="0"/>
              <w:rPr>
                <w:sz w:val="24"/>
                <w:szCs w:val="24"/>
                <w:color w:val="auto"/>
              </w:rPr>
            </w:pPr>
          </w:p>
        </w:tc>
      </w:tr>
      <w:tr>
        <w:trPr>
          <w:trHeight w:val="372"/>
        </w:trPr>
        <w:tc>
          <w:tcPr>
            <w:tcW w:w="9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840" w:type="dxa"/>
            <w:vAlign w:val="bottom"/>
            <w:gridSpan w:val="19"/>
          </w:tcPr>
          <w:p>
            <w:pPr>
              <w:spacing w:after="0"/>
              <w:rPr>
                <w:rFonts w:ascii="Arial" w:cs="Arial" w:eastAsia="Arial" w:hAnsi="Arial"/>
                <w:sz w:val="18"/>
                <w:szCs w:val="18"/>
                <w:b w:val="1"/>
                <w:bCs w:val="1"/>
                <w:color w:val="0000FF"/>
                <w:w w:val="89"/>
              </w:rPr>
            </w:pPr>
            <w:hyperlink w:anchor="page27">
              <w:r>
                <w:rPr>
                  <w:rFonts w:ascii="Arial" w:cs="Arial" w:eastAsia="Arial" w:hAnsi="Arial"/>
                  <w:sz w:val="18"/>
                  <w:szCs w:val="18"/>
                  <w:b w:val="1"/>
                  <w:bCs w:val="1"/>
                  <w:color w:val="0000FF"/>
                  <w:w w:val="89"/>
                </w:rPr>
                <w:t>Management’s Discussion and Analysis of Financial Condition and Results of Operations</w:t>
              </w:r>
            </w:hyperlink>
          </w:p>
        </w:tc>
        <w:tc>
          <w:tcPr>
            <w:tcW w:w="2100" w:type="dxa"/>
            <w:vAlign w:val="bottom"/>
            <w:gridSpan w:val="4"/>
          </w:tcPr>
          <w:p>
            <w:pPr>
              <w:spacing w:after="0"/>
              <w:rPr>
                <w:sz w:val="24"/>
                <w:szCs w:val="24"/>
                <w:color w:val="auto"/>
              </w:rPr>
            </w:pPr>
          </w:p>
        </w:tc>
        <w:tc>
          <w:tcPr>
            <w:tcW w:w="146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28</w:t>
              </w:r>
            </w:hyperlink>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8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840" w:type="dxa"/>
            <w:vAlign w:val="bottom"/>
            <w:gridSpan w:val="19"/>
          </w:tcPr>
          <w:p>
            <w:pPr>
              <w:spacing w:after="0"/>
              <w:rPr>
                <w:rFonts w:ascii="Arial" w:cs="Arial" w:eastAsia="Arial" w:hAnsi="Arial"/>
                <w:sz w:val="18"/>
                <w:szCs w:val="18"/>
                <w:b w:val="1"/>
                <w:bCs w:val="1"/>
                <w:color w:val="0000FF"/>
              </w:rPr>
            </w:pPr>
            <w:hyperlink w:anchor="page46">
              <w:r>
                <w:rPr>
                  <w:rFonts w:ascii="Arial" w:cs="Arial" w:eastAsia="Arial" w:hAnsi="Arial"/>
                  <w:sz w:val="18"/>
                  <w:szCs w:val="18"/>
                  <w:b w:val="1"/>
                  <w:bCs w:val="1"/>
                  <w:color w:val="0000FF"/>
                </w:rPr>
                <w:t>Quantitative and Qualitative Disclosures About Market Risk</w:t>
              </w:r>
            </w:hyperlink>
          </w:p>
        </w:tc>
        <w:tc>
          <w:tcPr>
            <w:tcW w:w="2100" w:type="dxa"/>
            <w:vAlign w:val="bottom"/>
            <w:gridSpan w:val="4"/>
          </w:tcPr>
          <w:p>
            <w:pPr>
              <w:spacing w:after="0"/>
              <w:rPr>
                <w:sz w:val="24"/>
                <w:szCs w:val="24"/>
                <w:color w:val="auto"/>
              </w:rPr>
            </w:pPr>
          </w:p>
        </w:tc>
        <w:tc>
          <w:tcPr>
            <w:tcW w:w="146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47</w:t>
              </w:r>
            </w:hyperlink>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660" w:type="dxa"/>
            <w:vAlign w:val="bottom"/>
            <w:gridSpan w:val="15"/>
          </w:tcPr>
          <w:p>
            <w:pPr>
              <w:spacing w:after="0"/>
              <w:rPr>
                <w:rFonts w:ascii="Arial" w:cs="Arial" w:eastAsia="Arial" w:hAnsi="Arial"/>
                <w:sz w:val="18"/>
                <w:szCs w:val="18"/>
                <w:b w:val="1"/>
                <w:bCs w:val="1"/>
                <w:color w:val="0000FF"/>
              </w:rPr>
            </w:pPr>
            <w:hyperlink w:anchor="page47">
              <w:r>
                <w:rPr>
                  <w:rFonts w:ascii="Arial" w:cs="Arial" w:eastAsia="Arial" w:hAnsi="Arial"/>
                  <w:sz w:val="18"/>
                  <w:szCs w:val="18"/>
                  <w:b w:val="1"/>
                  <w:bCs w:val="1"/>
                  <w:color w:val="0000FF"/>
                </w:rPr>
                <w:t>Controls and Procedures</w:t>
              </w:r>
            </w:hyperlink>
          </w:p>
        </w:tc>
        <w:tc>
          <w:tcPr>
            <w:tcW w:w="4280" w:type="dxa"/>
            <w:vAlign w:val="bottom"/>
            <w:gridSpan w:val="8"/>
          </w:tcPr>
          <w:p>
            <w:pPr>
              <w:spacing w:after="0"/>
              <w:rPr>
                <w:sz w:val="24"/>
                <w:szCs w:val="24"/>
                <w:color w:val="auto"/>
              </w:rPr>
            </w:pPr>
          </w:p>
        </w:tc>
        <w:tc>
          <w:tcPr>
            <w:tcW w:w="146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47</w:t>
              </w:r>
            </w:hyperlink>
          </w:p>
        </w:tc>
      </w:tr>
      <w:tr>
        <w:trPr>
          <w:trHeight w:val="372"/>
        </w:trPr>
        <w:tc>
          <w:tcPr>
            <w:tcW w:w="98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20" w:type="dxa"/>
            <w:vAlign w:val="bottom"/>
            <w:gridSpan w:val="12"/>
          </w:tcPr>
          <w:p>
            <w:pPr>
              <w:jc w:val="center"/>
              <w:ind w:right="2940"/>
              <w:spacing w:after="0"/>
              <w:rPr>
                <w:rFonts w:ascii="Arial" w:cs="Arial" w:eastAsia="Arial" w:hAnsi="Arial"/>
                <w:sz w:val="18"/>
                <w:szCs w:val="18"/>
                <w:b w:val="1"/>
                <w:bCs w:val="1"/>
                <w:color w:val="0000FF"/>
              </w:rPr>
            </w:pPr>
            <w:hyperlink w:anchor="page49">
              <w:r>
                <w:rPr>
                  <w:rFonts w:ascii="Arial" w:cs="Arial" w:eastAsia="Arial" w:hAnsi="Arial"/>
                  <w:sz w:val="18"/>
                  <w:szCs w:val="18"/>
                  <w:b w:val="1"/>
                  <w:bCs w:val="1"/>
                  <w:color w:val="0000FF"/>
                </w:rPr>
                <w:t>PART II. OTHER INFORMATION</w:t>
              </w:r>
            </w:hyperlink>
          </w:p>
        </w:tc>
        <w:tc>
          <w:tcPr>
            <w:tcW w:w="12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9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3080" w:type="dxa"/>
            <w:vAlign w:val="bottom"/>
            <w:gridSpan w:val="12"/>
          </w:tcPr>
          <w:p>
            <w:pPr>
              <w:spacing w:after="0"/>
              <w:rPr>
                <w:rFonts w:ascii="Arial" w:cs="Arial" w:eastAsia="Arial" w:hAnsi="Arial"/>
                <w:sz w:val="18"/>
                <w:szCs w:val="18"/>
                <w:b w:val="1"/>
                <w:bCs w:val="1"/>
                <w:color w:val="0000FF"/>
              </w:rPr>
            </w:pPr>
            <w:hyperlink w:anchor="page49">
              <w:r>
                <w:rPr>
                  <w:rFonts w:ascii="Arial" w:cs="Arial" w:eastAsia="Arial" w:hAnsi="Arial"/>
                  <w:sz w:val="18"/>
                  <w:szCs w:val="18"/>
                  <w:b w:val="1"/>
                  <w:bCs w:val="1"/>
                  <w:color w:val="0000FF"/>
                </w:rPr>
                <w:t>Legal Proceedings</w:t>
              </w:r>
            </w:hyperlink>
          </w:p>
        </w:tc>
        <w:tc>
          <w:tcPr>
            <w:tcW w:w="2760" w:type="dxa"/>
            <w:vAlign w:val="bottom"/>
            <w:tcBorders>
              <w:top w:val="single" w:sz="8" w:color="0000FF"/>
            </w:tcBorders>
            <w:gridSpan w:val="4"/>
          </w:tcPr>
          <w:p>
            <w:pPr>
              <w:spacing w:after="0"/>
              <w:rPr>
                <w:sz w:val="24"/>
                <w:szCs w:val="24"/>
                <w:color w:val="auto"/>
              </w:rPr>
            </w:pPr>
          </w:p>
        </w:tc>
        <w:tc>
          <w:tcPr>
            <w:tcW w:w="3100" w:type="dxa"/>
            <w:vAlign w:val="bottom"/>
            <w:gridSpan w:val="7"/>
          </w:tcPr>
          <w:p>
            <w:pPr>
              <w:spacing w:after="0"/>
              <w:rPr>
                <w:sz w:val="24"/>
                <w:szCs w:val="24"/>
                <w:color w:val="auto"/>
              </w:rPr>
            </w:pPr>
          </w:p>
        </w:tc>
        <w:tc>
          <w:tcPr>
            <w:tcW w:w="1460" w:type="dxa"/>
            <w:vAlign w:val="bottom"/>
            <w:gridSpan w:val="4"/>
          </w:tcPr>
          <w:p>
            <w:pPr>
              <w:jc w:val="right"/>
              <w:ind w:right="20"/>
              <w:spacing w:after="0"/>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r>
      <w:tr>
        <w:trPr>
          <w:trHeight w:val="20"/>
        </w:trPr>
        <w:tc>
          <w:tcPr>
            <w:tcW w:w="9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4360" w:type="dxa"/>
            <w:vAlign w:val="bottom"/>
            <w:gridSpan w:val="9"/>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8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80" w:type="dxa"/>
            <w:vAlign w:val="bottom"/>
            <w:gridSpan w:val="4"/>
          </w:tcPr>
          <w:p>
            <w:pPr>
              <w:spacing w:after="0"/>
              <w:rPr>
                <w:rFonts w:ascii="Arial" w:cs="Arial" w:eastAsia="Arial" w:hAnsi="Arial"/>
                <w:sz w:val="18"/>
                <w:szCs w:val="18"/>
                <w:b w:val="1"/>
                <w:bCs w:val="1"/>
                <w:color w:val="0000FF"/>
                <w:w w:val="88"/>
              </w:rPr>
            </w:pPr>
            <w:hyperlink w:anchor="page49">
              <w:r>
                <w:rPr>
                  <w:rFonts w:ascii="Arial" w:cs="Arial" w:eastAsia="Arial" w:hAnsi="Arial"/>
                  <w:sz w:val="18"/>
                  <w:szCs w:val="18"/>
                  <w:b w:val="1"/>
                  <w:bCs w:val="1"/>
                  <w:color w:val="0000FF"/>
                  <w:w w:val="88"/>
                </w:rPr>
                <w:t>Risk Factors</w:t>
              </w:r>
            </w:hyperlink>
          </w:p>
        </w:tc>
        <w:tc>
          <w:tcPr>
            <w:tcW w:w="420" w:type="dxa"/>
            <w:vAlign w:val="bottom"/>
          </w:tcPr>
          <w:p>
            <w:pPr>
              <w:spacing w:after="0"/>
              <w:rPr>
                <w:sz w:val="24"/>
                <w:szCs w:val="24"/>
                <w:color w:val="auto"/>
              </w:rPr>
            </w:pPr>
          </w:p>
        </w:tc>
        <w:tc>
          <w:tcPr>
            <w:tcW w:w="7540" w:type="dxa"/>
            <w:vAlign w:val="bottom"/>
            <w:gridSpan w:val="18"/>
          </w:tcPr>
          <w:p>
            <w:pPr>
              <w:spacing w:after="0"/>
              <w:rPr>
                <w:sz w:val="24"/>
                <w:szCs w:val="24"/>
                <w:color w:val="auto"/>
              </w:rPr>
            </w:pPr>
          </w:p>
        </w:tc>
        <w:tc>
          <w:tcPr>
            <w:tcW w:w="1460" w:type="dxa"/>
            <w:vAlign w:val="bottom"/>
            <w:gridSpan w:val="4"/>
          </w:tcPr>
          <w:p>
            <w:pPr>
              <w:jc w:val="right"/>
              <w:ind w:right="20"/>
              <w:spacing w:after="0"/>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r>
      <w:tr>
        <w:trPr>
          <w:trHeight w:val="20"/>
        </w:trPr>
        <w:tc>
          <w:tcPr>
            <w:tcW w:w="9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4360" w:type="dxa"/>
            <w:vAlign w:val="bottom"/>
            <w:gridSpan w:val="9"/>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580" w:type="dxa"/>
            <w:vAlign w:val="bottom"/>
            <w:gridSpan w:val="14"/>
          </w:tcPr>
          <w:p>
            <w:pPr>
              <w:spacing w:after="0"/>
              <w:rPr>
                <w:rFonts w:ascii="Arial" w:cs="Arial" w:eastAsia="Arial" w:hAnsi="Arial"/>
                <w:sz w:val="18"/>
                <w:szCs w:val="18"/>
                <w:b w:val="1"/>
                <w:bCs w:val="1"/>
                <w:color w:val="0000FF"/>
                <w:w w:val="87"/>
              </w:rPr>
            </w:pPr>
            <w:hyperlink w:anchor="page62">
              <w:r>
                <w:rPr>
                  <w:rFonts w:ascii="Arial" w:cs="Arial" w:eastAsia="Arial" w:hAnsi="Arial"/>
                  <w:sz w:val="18"/>
                  <w:szCs w:val="18"/>
                  <w:b w:val="1"/>
                  <w:bCs w:val="1"/>
                  <w:color w:val="0000FF"/>
                  <w:w w:val="87"/>
                </w:rPr>
                <w:t>Unregistered Sales of Equity Securities and Use of Proceeds</w:t>
              </w:r>
            </w:hyperlink>
          </w:p>
        </w:tc>
        <w:tc>
          <w:tcPr>
            <w:tcW w:w="4360" w:type="dxa"/>
            <w:vAlign w:val="bottom"/>
            <w:gridSpan w:val="9"/>
          </w:tcPr>
          <w:p>
            <w:pPr>
              <w:spacing w:after="0"/>
              <w:rPr>
                <w:sz w:val="24"/>
                <w:szCs w:val="24"/>
                <w:color w:val="auto"/>
              </w:rPr>
            </w:pPr>
          </w:p>
        </w:tc>
        <w:tc>
          <w:tcPr>
            <w:tcW w:w="1460" w:type="dxa"/>
            <w:vAlign w:val="bottom"/>
            <w:gridSpan w:val="4"/>
          </w:tcPr>
          <w:p>
            <w:pPr>
              <w:jc w:val="right"/>
              <w:ind w:right="20"/>
              <w:spacing w:after="0"/>
              <w:rPr>
                <w:rFonts w:ascii="Arial" w:cs="Arial" w:eastAsia="Arial" w:hAnsi="Arial"/>
                <w:sz w:val="18"/>
                <w:szCs w:val="18"/>
                <w:color w:val="0000FF"/>
              </w:rPr>
            </w:pPr>
            <w:hyperlink w:anchor="page62">
              <w:r>
                <w:rPr>
                  <w:rFonts w:ascii="Arial" w:cs="Arial" w:eastAsia="Arial" w:hAnsi="Arial"/>
                  <w:sz w:val="18"/>
                  <w:szCs w:val="18"/>
                  <w:color w:val="0000FF"/>
                </w:rPr>
                <w:t>62</w:t>
              </w:r>
            </w:hyperlink>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8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580" w:type="dxa"/>
            <w:vAlign w:val="bottom"/>
            <w:gridSpan w:val="14"/>
          </w:tcPr>
          <w:p>
            <w:pPr>
              <w:spacing w:after="0"/>
              <w:rPr>
                <w:rFonts w:ascii="Arial" w:cs="Arial" w:eastAsia="Arial" w:hAnsi="Arial"/>
                <w:sz w:val="18"/>
                <w:szCs w:val="18"/>
                <w:b w:val="1"/>
                <w:bCs w:val="1"/>
                <w:color w:val="0000FF"/>
              </w:rPr>
            </w:pPr>
            <w:hyperlink w:anchor="page62">
              <w:r>
                <w:rPr>
                  <w:rFonts w:ascii="Arial" w:cs="Arial" w:eastAsia="Arial" w:hAnsi="Arial"/>
                  <w:sz w:val="18"/>
                  <w:szCs w:val="18"/>
                  <w:b w:val="1"/>
                  <w:bCs w:val="1"/>
                  <w:color w:val="0000FF"/>
                </w:rPr>
                <w:t>Defaults Upon Senior Securities</w:t>
              </w:r>
            </w:hyperlink>
          </w:p>
        </w:tc>
        <w:tc>
          <w:tcPr>
            <w:tcW w:w="4360" w:type="dxa"/>
            <w:vAlign w:val="bottom"/>
            <w:gridSpan w:val="9"/>
          </w:tcPr>
          <w:p>
            <w:pPr>
              <w:spacing w:after="0"/>
              <w:rPr>
                <w:sz w:val="24"/>
                <w:szCs w:val="24"/>
                <w:color w:val="auto"/>
              </w:rPr>
            </w:pPr>
          </w:p>
        </w:tc>
        <w:tc>
          <w:tcPr>
            <w:tcW w:w="1460" w:type="dxa"/>
            <w:vAlign w:val="bottom"/>
            <w:gridSpan w:val="4"/>
          </w:tcPr>
          <w:p>
            <w:pPr>
              <w:jc w:val="right"/>
              <w:ind w:right="20"/>
              <w:spacing w:after="0"/>
              <w:rPr>
                <w:rFonts w:ascii="Arial" w:cs="Arial" w:eastAsia="Arial" w:hAnsi="Arial"/>
                <w:sz w:val="18"/>
                <w:szCs w:val="18"/>
                <w:color w:val="0000FF"/>
              </w:rPr>
            </w:pPr>
            <w:hyperlink w:anchor="page62">
              <w:r>
                <w:rPr>
                  <w:rFonts w:ascii="Arial" w:cs="Arial" w:eastAsia="Arial" w:hAnsi="Arial"/>
                  <w:sz w:val="18"/>
                  <w:szCs w:val="18"/>
                  <w:color w:val="0000FF"/>
                </w:rPr>
                <w:t>62</w:t>
              </w:r>
            </w:hyperlink>
          </w:p>
        </w:tc>
      </w:tr>
      <w:tr>
        <w:trPr>
          <w:trHeight w:val="20"/>
        </w:trPr>
        <w:tc>
          <w:tcPr>
            <w:tcW w:w="9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500" w:type="dxa"/>
            <w:vAlign w:val="bottom"/>
            <w:gridSpan w:val="1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840" w:type="dxa"/>
            <w:vAlign w:val="bottom"/>
            <w:gridSpan w:val="8"/>
          </w:tcPr>
          <w:p>
            <w:pPr>
              <w:spacing w:after="0"/>
              <w:rPr>
                <w:rFonts w:ascii="Arial" w:cs="Arial" w:eastAsia="Arial" w:hAnsi="Arial"/>
                <w:sz w:val="18"/>
                <w:szCs w:val="18"/>
                <w:b w:val="1"/>
                <w:bCs w:val="1"/>
                <w:color w:val="0000FF"/>
                <w:w w:val="87"/>
              </w:rPr>
            </w:pPr>
            <w:hyperlink w:anchor="page62">
              <w:r>
                <w:rPr>
                  <w:rFonts w:ascii="Arial" w:cs="Arial" w:eastAsia="Arial" w:hAnsi="Arial"/>
                  <w:sz w:val="18"/>
                  <w:szCs w:val="18"/>
                  <w:b w:val="1"/>
                  <w:bCs w:val="1"/>
                  <w:color w:val="0000FF"/>
                  <w:w w:val="87"/>
                </w:rPr>
                <w:t>Mine Safety Disclosures</w:t>
              </w:r>
            </w:hyperlink>
          </w:p>
        </w:tc>
        <w:tc>
          <w:tcPr>
            <w:tcW w:w="600" w:type="dxa"/>
            <w:vAlign w:val="bottom"/>
            <w:gridSpan w:val="2"/>
          </w:tcPr>
          <w:p>
            <w:pPr>
              <w:spacing w:after="0"/>
              <w:rPr>
                <w:sz w:val="24"/>
                <w:szCs w:val="24"/>
                <w:color w:val="auto"/>
              </w:rPr>
            </w:pPr>
          </w:p>
        </w:tc>
        <w:tc>
          <w:tcPr>
            <w:tcW w:w="6500" w:type="dxa"/>
            <w:vAlign w:val="bottom"/>
            <w:gridSpan w:val="13"/>
          </w:tcPr>
          <w:p>
            <w:pPr>
              <w:spacing w:after="0"/>
              <w:rPr>
                <w:sz w:val="24"/>
                <w:szCs w:val="24"/>
                <w:color w:val="auto"/>
              </w:rPr>
            </w:pPr>
          </w:p>
        </w:tc>
        <w:tc>
          <w:tcPr>
            <w:tcW w:w="1460" w:type="dxa"/>
            <w:vAlign w:val="bottom"/>
            <w:gridSpan w:val="4"/>
          </w:tcPr>
          <w:p>
            <w:pPr>
              <w:jc w:val="right"/>
              <w:ind w:right="20"/>
              <w:spacing w:after="0"/>
              <w:rPr>
                <w:rFonts w:ascii="Arial" w:cs="Arial" w:eastAsia="Arial" w:hAnsi="Arial"/>
                <w:sz w:val="18"/>
                <w:szCs w:val="18"/>
                <w:color w:val="0000FF"/>
              </w:rPr>
            </w:pPr>
            <w:hyperlink w:anchor="page62">
              <w:r>
                <w:rPr>
                  <w:rFonts w:ascii="Arial" w:cs="Arial" w:eastAsia="Arial" w:hAnsi="Arial"/>
                  <w:sz w:val="18"/>
                  <w:szCs w:val="18"/>
                  <w:color w:val="0000FF"/>
                </w:rPr>
                <w:t>62</w:t>
              </w:r>
            </w:hyperlink>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840" w:type="dxa"/>
            <w:vAlign w:val="bottom"/>
            <w:gridSpan w:val="8"/>
          </w:tcPr>
          <w:p>
            <w:pPr>
              <w:spacing w:after="0"/>
              <w:rPr>
                <w:rFonts w:ascii="Arial" w:cs="Arial" w:eastAsia="Arial" w:hAnsi="Arial"/>
                <w:sz w:val="18"/>
                <w:szCs w:val="18"/>
                <w:b w:val="1"/>
                <w:bCs w:val="1"/>
                <w:color w:val="0000FF"/>
              </w:rPr>
            </w:pPr>
            <w:hyperlink w:anchor="page62">
              <w:r>
                <w:rPr>
                  <w:rFonts w:ascii="Arial" w:cs="Arial" w:eastAsia="Arial" w:hAnsi="Arial"/>
                  <w:sz w:val="18"/>
                  <w:szCs w:val="18"/>
                  <w:b w:val="1"/>
                  <w:bCs w:val="1"/>
                  <w:color w:val="0000FF"/>
                </w:rPr>
                <w:t>Other Information</w:t>
              </w:r>
            </w:hyperlink>
          </w:p>
        </w:tc>
        <w:tc>
          <w:tcPr>
            <w:tcW w:w="7100" w:type="dxa"/>
            <w:vAlign w:val="bottom"/>
            <w:gridSpan w:val="15"/>
          </w:tcPr>
          <w:p>
            <w:pPr>
              <w:spacing w:after="0"/>
              <w:rPr>
                <w:sz w:val="24"/>
                <w:szCs w:val="24"/>
                <w:color w:val="auto"/>
              </w:rPr>
            </w:pPr>
          </w:p>
        </w:tc>
        <w:tc>
          <w:tcPr>
            <w:tcW w:w="1460" w:type="dxa"/>
            <w:vAlign w:val="bottom"/>
            <w:gridSpan w:val="4"/>
          </w:tcPr>
          <w:p>
            <w:pPr>
              <w:jc w:val="right"/>
              <w:ind w:right="20"/>
              <w:spacing w:after="0"/>
              <w:rPr>
                <w:rFonts w:ascii="Arial" w:cs="Arial" w:eastAsia="Arial" w:hAnsi="Arial"/>
                <w:sz w:val="18"/>
                <w:szCs w:val="18"/>
                <w:color w:val="0000FF"/>
              </w:rPr>
            </w:pPr>
            <w:hyperlink w:anchor="page62">
              <w:r>
                <w:rPr>
                  <w:rFonts w:ascii="Arial" w:cs="Arial" w:eastAsia="Arial" w:hAnsi="Arial"/>
                  <w:sz w:val="18"/>
                  <w:szCs w:val="18"/>
                  <w:color w:val="0000FF"/>
                </w:rPr>
                <w:t>62</w:t>
              </w:r>
            </w:hyperlink>
          </w:p>
        </w:tc>
      </w:tr>
      <w:tr>
        <w:trPr>
          <w:trHeight w:val="20"/>
        </w:trPr>
        <w:tc>
          <w:tcPr>
            <w:tcW w:w="9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7500" w:type="dxa"/>
            <w:vAlign w:val="bottom"/>
            <w:gridSpan w:val="1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440" w:type="dxa"/>
            <w:vAlign w:val="bottom"/>
            <w:gridSpan w:val="6"/>
          </w:tcPr>
          <w:p>
            <w:pPr>
              <w:spacing w:after="0"/>
              <w:rPr>
                <w:rFonts w:ascii="Arial" w:cs="Arial" w:eastAsia="Arial" w:hAnsi="Arial"/>
                <w:sz w:val="18"/>
                <w:szCs w:val="18"/>
                <w:b w:val="1"/>
                <w:bCs w:val="1"/>
                <w:color w:val="0000FF"/>
              </w:rPr>
            </w:pPr>
            <w:hyperlink w:anchor="page62">
              <w:r>
                <w:rPr>
                  <w:rFonts w:ascii="Arial" w:cs="Arial" w:eastAsia="Arial" w:hAnsi="Arial"/>
                  <w:sz w:val="18"/>
                  <w:szCs w:val="18"/>
                  <w:b w:val="1"/>
                  <w:bCs w:val="1"/>
                  <w:color w:val="0000FF"/>
                </w:rPr>
                <w:t>Exhibits</w:t>
              </w:r>
            </w:hyperlink>
          </w:p>
        </w:tc>
        <w:tc>
          <w:tcPr>
            <w:tcW w:w="7500" w:type="dxa"/>
            <w:vAlign w:val="bottom"/>
            <w:gridSpan w:val="17"/>
          </w:tcPr>
          <w:p>
            <w:pPr>
              <w:spacing w:after="0"/>
              <w:rPr>
                <w:sz w:val="24"/>
                <w:szCs w:val="24"/>
                <w:color w:val="auto"/>
              </w:rPr>
            </w:pPr>
          </w:p>
        </w:tc>
        <w:tc>
          <w:tcPr>
            <w:tcW w:w="1460" w:type="dxa"/>
            <w:vAlign w:val="bottom"/>
            <w:gridSpan w:val="4"/>
          </w:tcPr>
          <w:p>
            <w:pPr>
              <w:jc w:val="right"/>
              <w:ind w:right="20"/>
              <w:spacing w:after="0"/>
              <w:rPr>
                <w:rFonts w:ascii="Arial" w:cs="Arial" w:eastAsia="Arial" w:hAnsi="Arial"/>
                <w:sz w:val="18"/>
                <w:szCs w:val="18"/>
                <w:color w:val="0000FF"/>
              </w:rPr>
            </w:pPr>
            <w:hyperlink w:anchor="page62">
              <w:r>
                <w:rPr>
                  <w:rFonts w:ascii="Arial" w:cs="Arial" w:eastAsia="Arial" w:hAnsi="Arial"/>
                  <w:sz w:val="18"/>
                  <w:szCs w:val="18"/>
                  <w:color w:val="0000FF"/>
                </w:rPr>
                <w:t>63</w:t>
              </w:r>
            </w:hyperlink>
          </w:p>
        </w:tc>
      </w:tr>
      <w:tr>
        <w:trPr>
          <w:trHeight w:val="20"/>
        </w:trPr>
        <w:tc>
          <w:tcPr>
            <w:tcW w:w="9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120" w:type="dxa"/>
            <w:vAlign w:val="bottom"/>
            <w:gridSpan w:val="2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80" w:type="dxa"/>
            <w:vAlign w:val="bottom"/>
          </w:tcPr>
          <w:p>
            <w:pPr>
              <w:spacing w:after="0"/>
              <w:rPr>
                <w:sz w:val="24"/>
                <w:szCs w:val="24"/>
                <w:color w:val="auto"/>
              </w:rPr>
            </w:pPr>
          </w:p>
        </w:tc>
        <w:tc>
          <w:tcPr>
            <w:tcW w:w="820" w:type="dxa"/>
            <w:vAlign w:val="bottom"/>
            <w:gridSpan w:val="3"/>
          </w:tcPr>
          <w:p>
            <w:pPr>
              <w:spacing w:after="0"/>
              <w:rPr>
                <w:rFonts w:ascii="Arial" w:cs="Arial" w:eastAsia="Arial" w:hAnsi="Arial"/>
                <w:sz w:val="18"/>
                <w:szCs w:val="18"/>
                <w:b w:val="1"/>
                <w:bCs w:val="1"/>
                <w:color w:val="0000FF"/>
                <w:w w:val="85"/>
              </w:rPr>
            </w:pPr>
            <w:hyperlink w:anchor="page63">
              <w:r>
                <w:rPr>
                  <w:rFonts w:ascii="Arial" w:cs="Arial" w:eastAsia="Arial" w:hAnsi="Arial"/>
                  <w:sz w:val="18"/>
                  <w:szCs w:val="18"/>
                  <w:b w:val="1"/>
                  <w:bCs w:val="1"/>
                  <w:color w:val="0000FF"/>
                  <w:w w:val="85"/>
                </w:rPr>
                <w:t>Signatures</w:t>
              </w:r>
            </w:hyperlink>
          </w:p>
        </w:tc>
        <w:tc>
          <w:tcPr>
            <w:tcW w:w="8120" w:type="dxa"/>
            <w:vAlign w:val="bottom"/>
            <w:gridSpan w:val="20"/>
          </w:tcPr>
          <w:p>
            <w:pPr>
              <w:spacing w:after="0"/>
              <w:rPr>
                <w:sz w:val="24"/>
                <w:szCs w:val="24"/>
                <w:color w:val="auto"/>
              </w:rPr>
            </w:pPr>
          </w:p>
        </w:tc>
        <w:tc>
          <w:tcPr>
            <w:tcW w:w="1460" w:type="dxa"/>
            <w:vAlign w:val="bottom"/>
            <w:gridSpan w:val="4"/>
          </w:tcPr>
          <w:p>
            <w:pPr>
              <w:jc w:val="right"/>
              <w:ind w:right="20"/>
              <w:spacing w:after="0"/>
              <w:rPr>
                <w:rFonts w:ascii="Arial" w:cs="Arial" w:eastAsia="Arial" w:hAnsi="Arial"/>
                <w:sz w:val="18"/>
                <w:szCs w:val="18"/>
                <w:color w:val="0000FF"/>
              </w:rPr>
            </w:pPr>
            <w:hyperlink w:anchor="page63">
              <w:r>
                <w:rPr>
                  <w:rFonts w:ascii="Arial" w:cs="Arial" w:eastAsia="Arial" w:hAnsi="Arial"/>
                  <w:sz w:val="18"/>
                  <w:szCs w:val="18"/>
                  <w:color w:val="0000FF"/>
                </w:rPr>
                <w:t>64</w:t>
              </w:r>
            </w:hyperlink>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July 31,</w:t>
            </w:r>
          </w:p>
        </w:tc>
        <w:tc>
          <w:tcPr>
            <w:tcW w:w="1820" w:type="dxa"/>
            <w:vAlign w:val="bottom"/>
            <w:gridSpan w:val="5"/>
          </w:tcPr>
          <w:p>
            <w:pPr>
              <w:jc w:val="right"/>
              <w:spacing w:after="0"/>
              <w:rPr>
                <w:sz w:val="20"/>
                <w:szCs w:val="20"/>
                <w:color w:val="auto"/>
              </w:rPr>
            </w:pPr>
            <w:r>
              <w:rPr>
                <w:rFonts w:ascii="Arial" w:cs="Arial" w:eastAsia="Arial" w:hAnsi="Arial"/>
                <w:sz w:val="14"/>
                <w:szCs w:val="14"/>
                <w:b w:val="1"/>
                <w:bCs w:val="1"/>
                <w:color w:val="auto"/>
                <w:w w:val="97"/>
              </w:rPr>
              <w:t>Six Months Ended July 31,</w:t>
            </w:r>
          </w:p>
        </w:tc>
        <w:tc>
          <w:tcPr>
            <w:tcW w:w="0" w:type="dxa"/>
            <w:vAlign w:val="bottom"/>
          </w:tcPr>
          <w:p>
            <w:pPr>
              <w:spacing w:after="0"/>
              <w:rPr>
                <w:sz w:val="1"/>
                <w:szCs w:val="1"/>
                <w:color w:val="auto"/>
              </w:rPr>
            </w:pPr>
          </w:p>
        </w:tc>
      </w:tr>
      <w:tr>
        <w:trPr>
          <w:trHeight w:val="264"/>
        </w:trPr>
        <w:tc>
          <w:tcPr>
            <w:tcW w:w="73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73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380" w:type="dxa"/>
            <w:vAlign w:val="bottom"/>
          </w:tcPr>
          <w:p>
            <w:pPr>
              <w:ind w:left="380"/>
              <w:spacing w:after="0"/>
              <w:rPr>
                <w:sz w:val="20"/>
                <w:szCs w:val="20"/>
                <w:color w:val="auto"/>
              </w:rPr>
            </w:pPr>
            <w:r>
              <w:rPr>
                <w:rFonts w:ascii="Arial" w:cs="Arial" w:eastAsia="Arial" w:hAnsi="Arial"/>
                <w:sz w:val="16"/>
                <w:szCs w:val="16"/>
                <w:color w:val="auto"/>
              </w:rPr>
              <w:t>License and other</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350.4</w:t>
            </w:r>
          </w:p>
        </w:tc>
        <w:tc>
          <w:tcPr>
            <w:tcW w:w="14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313.2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666.6</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636.7</w:t>
            </w:r>
          </w:p>
        </w:tc>
        <w:tc>
          <w:tcPr>
            <w:tcW w:w="0" w:type="dxa"/>
            <w:vAlign w:val="bottom"/>
          </w:tcPr>
          <w:p>
            <w:pPr>
              <w:spacing w:after="0"/>
              <w:rPr>
                <w:sz w:val="1"/>
                <w:szCs w:val="1"/>
                <w:color w:val="auto"/>
              </w:rPr>
            </w:pPr>
          </w:p>
        </w:tc>
      </w:tr>
      <w:tr>
        <w:trPr>
          <w:trHeight w:val="33"/>
        </w:trPr>
        <w:tc>
          <w:tcPr>
            <w:tcW w:w="7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Subscription</w:t>
            </w: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286.7</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563.0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495.4</w:t>
            </w:r>
          </w:p>
        </w:tc>
        <w:tc>
          <w:tcPr>
            <w:tcW w:w="0" w:type="dxa"/>
            <w:vAlign w:val="bottom"/>
          </w:tcPr>
          <w:p>
            <w:pPr>
              <w:spacing w:after="0"/>
              <w:rPr>
                <w:sz w:val="1"/>
                <w:szCs w:val="1"/>
                <w:color w:val="auto"/>
              </w:rPr>
            </w:pPr>
          </w:p>
        </w:tc>
      </w:tr>
      <w:tr>
        <w:trPr>
          <w:trHeight w:val="217"/>
        </w:trPr>
        <w:tc>
          <w:tcPr>
            <w:tcW w:w="7380" w:type="dxa"/>
            <w:vAlign w:val="bottom"/>
          </w:tcPr>
          <w:p>
            <w:pPr>
              <w:ind w:left="720"/>
              <w:spacing w:after="0"/>
              <w:rPr>
                <w:sz w:val="20"/>
                <w:szCs w:val="20"/>
                <w:color w:val="auto"/>
              </w:rPr>
            </w:pPr>
            <w:r>
              <w:rPr>
                <w:rFonts w:ascii="Arial" w:cs="Arial" w:eastAsia="Arial" w:hAnsi="Arial"/>
                <w:sz w:val="16"/>
                <w:szCs w:val="16"/>
                <w:color w:val="auto"/>
              </w:rPr>
              <w:t>Total net revenue</w:t>
            </w: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637.1</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561.7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1,229.6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1,132.1</w:t>
            </w:r>
          </w:p>
        </w:tc>
        <w:tc>
          <w:tcPr>
            <w:tcW w:w="0" w:type="dxa"/>
            <w:vAlign w:val="bottom"/>
          </w:tcPr>
          <w:p>
            <w:pPr>
              <w:spacing w:after="0"/>
              <w:rPr>
                <w:sz w:val="1"/>
                <w:szCs w:val="1"/>
                <w:color w:val="auto"/>
              </w:rPr>
            </w:pPr>
          </w:p>
        </w:tc>
      </w:tr>
      <w:tr>
        <w:trPr>
          <w:trHeight w:val="33"/>
        </w:trPr>
        <w:tc>
          <w:tcPr>
            <w:tcW w:w="7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3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380" w:type="dxa"/>
            <w:vAlign w:val="bottom"/>
          </w:tcPr>
          <w:p>
            <w:pPr>
              <w:ind w:left="380"/>
              <w:spacing w:after="0"/>
              <w:rPr>
                <w:sz w:val="20"/>
                <w:szCs w:val="20"/>
                <w:color w:val="auto"/>
              </w:rPr>
            </w:pPr>
            <w:r>
              <w:rPr>
                <w:rFonts w:ascii="Arial" w:cs="Arial" w:eastAsia="Arial" w:hAnsi="Arial"/>
                <w:sz w:val="16"/>
                <w:szCs w:val="16"/>
                <w:color w:val="auto"/>
              </w:rPr>
              <w:t>Cost of license and other revenue</w:t>
            </w:r>
          </w:p>
        </w:tc>
        <w:tc>
          <w:tcPr>
            <w:tcW w:w="14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53.4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102.7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87.2</w:t>
            </w:r>
          </w:p>
        </w:tc>
        <w:tc>
          <w:tcPr>
            <w:tcW w:w="0" w:type="dxa"/>
            <w:vAlign w:val="bottom"/>
          </w:tcPr>
          <w:p>
            <w:pPr>
              <w:spacing w:after="0"/>
              <w:rPr>
                <w:sz w:val="1"/>
                <w:szCs w:val="1"/>
                <w:color w:val="auto"/>
              </w:rPr>
            </w:pPr>
          </w:p>
        </w:tc>
      </w:tr>
      <w:tr>
        <w:trPr>
          <w:trHeight w:val="33"/>
        </w:trPr>
        <w:tc>
          <w:tcPr>
            <w:tcW w:w="7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 of subscription revenue</w:t>
            </w: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34.5</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217"/>
        </w:trPr>
        <w:tc>
          <w:tcPr>
            <w:tcW w:w="7380" w:type="dxa"/>
            <w:vAlign w:val="bottom"/>
          </w:tcPr>
          <w:p>
            <w:pPr>
              <w:ind w:left="720"/>
              <w:spacing w:after="0"/>
              <w:rPr>
                <w:sz w:val="20"/>
                <w:szCs w:val="20"/>
                <w:color w:val="auto"/>
              </w:rPr>
            </w:pPr>
            <w:r>
              <w:rPr>
                <w:rFonts w:ascii="Arial" w:cs="Arial" w:eastAsia="Arial" w:hAnsi="Arial"/>
                <w:sz w:val="16"/>
                <w:szCs w:val="16"/>
                <w:color w:val="auto"/>
              </w:rPr>
              <w:t>Total cost of revenue</w:t>
            </w: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87.9</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166.6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135.3</w:t>
            </w:r>
          </w:p>
        </w:tc>
        <w:tc>
          <w:tcPr>
            <w:tcW w:w="0" w:type="dxa"/>
            <w:vAlign w:val="bottom"/>
          </w:tcPr>
          <w:p>
            <w:pPr>
              <w:spacing w:after="0"/>
              <w:rPr>
                <w:sz w:val="1"/>
                <w:szCs w:val="1"/>
                <w:color w:val="auto"/>
              </w:rPr>
            </w:pPr>
          </w:p>
        </w:tc>
      </w:tr>
      <w:tr>
        <w:trPr>
          <w:trHeight w:val="33"/>
        </w:trPr>
        <w:tc>
          <w:tcPr>
            <w:tcW w:w="7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549.2</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493.9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1,063.0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996.8</w:t>
            </w:r>
          </w:p>
        </w:tc>
        <w:tc>
          <w:tcPr>
            <w:tcW w:w="0" w:type="dxa"/>
            <w:vAlign w:val="bottom"/>
          </w:tcPr>
          <w:p>
            <w:pPr>
              <w:spacing w:after="0"/>
              <w:rPr>
                <w:sz w:val="1"/>
                <w:szCs w:val="1"/>
                <w:color w:val="auto"/>
              </w:rPr>
            </w:pPr>
          </w:p>
        </w:tc>
      </w:tr>
      <w:tr>
        <w:trPr>
          <w:trHeight w:val="224"/>
        </w:trPr>
        <w:tc>
          <w:tcPr>
            <w:tcW w:w="738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Marketing and sales</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237.6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406.9</w:t>
            </w:r>
          </w:p>
        </w:tc>
        <w:tc>
          <w:tcPr>
            <w:tcW w:w="0" w:type="dxa"/>
            <w:vAlign w:val="bottom"/>
          </w:tcPr>
          <w:p>
            <w:pPr>
              <w:spacing w:after="0"/>
              <w:rPr>
                <w:sz w:val="1"/>
                <w:szCs w:val="1"/>
                <w:color w:val="auto"/>
              </w:rPr>
            </w:pPr>
          </w:p>
        </w:tc>
      </w:tr>
      <w:tr>
        <w:trPr>
          <w:trHeight w:val="237"/>
        </w:trPr>
        <w:tc>
          <w:tcPr>
            <w:tcW w:w="7380" w:type="dxa"/>
            <w:vAlign w:val="bottom"/>
          </w:tcPr>
          <w:p>
            <w:pPr>
              <w:ind w:left="380"/>
              <w:spacing w:after="0"/>
              <w:rPr>
                <w:sz w:val="20"/>
                <w:szCs w:val="20"/>
                <w:color w:val="auto"/>
              </w:rPr>
            </w:pPr>
            <w:r>
              <w:rPr>
                <w:rFonts w:ascii="Arial" w:cs="Arial" w:eastAsia="Arial" w:hAnsi="Arial"/>
                <w:sz w:val="16"/>
                <w:szCs w:val="16"/>
                <w:color w:val="auto"/>
              </w:rPr>
              <w:t>Research and development</w:t>
            </w:r>
          </w:p>
        </w:tc>
        <w:tc>
          <w:tcPr>
            <w:tcW w:w="14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179.3</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148.9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349.8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299.7</w:t>
            </w:r>
          </w:p>
        </w:tc>
        <w:tc>
          <w:tcPr>
            <w:tcW w:w="0" w:type="dxa"/>
            <w:vAlign w:val="bottom"/>
          </w:tcPr>
          <w:p>
            <w:pPr>
              <w:spacing w:after="0"/>
              <w:rPr>
                <w:sz w:val="1"/>
                <w:szCs w:val="1"/>
                <w:color w:val="auto"/>
              </w:rPr>
            </w:pPr>
          </w:p>
        </w:tc>
      </w:tr>
      <w:tr>
        <w:trPr>
          <w:trHeight w:val="33"/>
        </w:trPr>
        <w:tc>
          <w:tcPr>
            <w:tcW w:w="7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71.5</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103.0</w:t>
            </w:r>
          </w:p>
        </w:tc>
        <w:tc>
          <w:tcPr>
            <w:tcW w:w="0" w:type="dxa"/>
            <w:vAlign w:val="bottom"/>
          </w:tcPr>
          <w:p>
            <w:pPr>
              <w:spacing w:after="0"/>
              <w:rPr>
                <w:sz w:val="1"/>
                <w:szCs w:val="1"/>
                <w:color w:val="auto"/>
              </w:rPr>
            </w:pPr>
          </w:p>
        </w:tc>
      </w:tr>
      <w:tr>
        <w:trPr>
          <w:trHeight w:val="237"/>
        </w:trPr>
        <w:tc>
          <w:tcPr>
            <w:tcW w:w="738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14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10.1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33"/>
        </w:trPr>
        <w:tc>
          <w:tcPr>
            <w:tcW w:w="7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net</w:t>
            </w: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0.8</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7"/>
        </w:trPr>
        <w:tc>
          <w:tcPr>
            <w:tcW w:w="7380" w:type="dxa"/>
            <w:vAlign w:val="bottom"/>
          </w:tcPr>
          <w:p>
            <w:pPr>
              <w:ind w:left="72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499.3</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410.3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970.9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831.8</w:t>
            </w:r>
          </w:p>
        </w:tc>
        <w:tc>
          <w:tcPr>
            <w:tcW w:w="0" w:type="dxa"/>
            <w:vAlign w:val="bottom"/>
          </w:tcPr>
          <w:p>
            <w:pPr>
              <w:spacing w:after="0"/>
              <w:rPr>
                <w:sz w:val="1"/>
                <w:szCs w:val="1"/>
                <w:color w:val="auto"/>
              </w:rPr>
            </w:pPr>
          </w:p>
        </w:tc>
      </w:tr>
      <w:tr>
        <w:trPr>
          <w:trHeight w:val="33"/>
        </w:trPr>
        <w:tc>
          <w:tcPr>
            <w:tcW w:w="7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49.9</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165.0</w:t>
            </w:r>
          </w:p>
        </w:tc>
        <w:tc>
          <w:tcPr>
            <w:tcW w:w="0" w:type="dxa"/>
            <w:vAlign w:val="bottom"/>
          </w:tcPr>
          <w:p>
            <w:pPr>
              <w:spacing w:after="0"/>
              <w:rPr>
                <w:sz w:val="1"/>
                <w:szCs w:val="1"/>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Interest and other (expense) income, net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33"/>
        </w:trPr>
        <w:tc>
          <w:tcPr>
            <w:tcW w:w="7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42.9</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154.4</w:t>
            </w:r>
          </w:p>
        </w:tc>
        <w:tc>
          <w:tcPr>
            <w:tcW w:w="0" w:type="dxa"/>
            <w:vAlign w:val="bottom"/>
          </w:tcPr>
          <w:p>
            <w:pPr>
              <w:spacing w:after="0"/>
              <w:rPr>
                <w:sz w:val="1"/>
                <w:szCs w:val="1"/>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33"/>
        </w:trPr>
        <w:tc>
          <w:tcPr>
            <w:tcW w:w="7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31.3</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117.3</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Basic net income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38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0.14</w:t>
            </w:r>
          </w:p>
        </w:tc>
        <w:tc>
          <w:tcPr>
            <w:tcW w:w="14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0.28</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0.26</w:t>
            </w:r>
          </w:p>
        </w:tc>
        <w:tc>
          <w:tcPr>
            <w:tcW w:w="1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73"/>
        </w:trPr>
        <w:tc>
          <w:tcPr>
            <w:tcW w:w="73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38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Diluted net income per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0.13</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0.51</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shares used in computing basic net income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3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227.3</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223.1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227.1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223.6</w:t>
            </w:r>
          </w:p>
        </w:tc>
        <w:tc>
          <w:tcPr>
            <w:tcW w:w="0" w:type="dxa"/>
            <w:vAlign w:val="bottom"/>
          </w:tcPr>
          <w:p>
            <w:pPr>
              <w:spacing w:after="0"/>
              <w:rPr>
                <w:sz w:val="1"/>
                <w:szCs w:val="1"/>
                <w:color w:val="auto"/>
              </w:rPr>
            </w:pPr>
          </w:p>
        </w:tc>
      </w:tr>
      <w:tr>
        <w:trPr>
          <w:trHeight w:val="73"/>
        </w:trPr>
        <w:tc>
          <w:tcPr>
            <w:tcW w:w="73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38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Weighted average shares used in computing diluted net income per share</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232.4</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229.3</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58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560" w:type="dxa"/>
            <w:vAlign w:val="bottom"/>
            <w:gridSpan w:val="6"/>
          </w:tcPr>
          <w:p>
            <w:pPr>
              <w:jc w:val="right"/>
              <w:spacing w:after="0"/>
              <w:rPr>
                <w:sz w:val="20"/>
                <w:szCs w:val="20"/>
                <w:color w:val="auto"/>
              </w:rPr>
            </w:pPr>
            <w:r>
              <w:rPr>
                <w:rFonts w:ascii="Arial" w:cs="Arial" w:eastAsia="Arial" w:hAnsi="Arial"/>
                <w:sz w:val="14"/>
                <w:szCs w:val="14"/>
                <w:b w:val="1"/>
                <w:bCs w:val="1"/>
                <w:color w:val="auto"/>
                <w:w w:val="96"/>
              </w:rPr>
              <w:t>Six Months Ended July</w:t>
            </w:r>
          </w:p>
        </w:tc>
      </w:tr>
      <w:tr>
        <w:trPr>
          <w:trHeight w:val="192"/>
        </w:trPr>
        <w:tc>
          <w:tcPr>
            <w:tcW w:w="8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31,</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2"/>
              </w:rPr>
              <w:t>31,</w:t>
            </w:r>
          </w:p>
        </w:tc>
        <w:tc>
          <w:tcPr>
            <w:tcW w:w="580" w:type="dxa"/>
            <w:vAlign w:val="bottom"/>
            <w:tcBorders>
              <w:bottom w:val="single" w:sz="8" w:color="auto"/>
            </w:tcBorders>
          </w:tcPr>
          <w:p>
            <w:pPr>
              <w:spacing w:after="0"/>
              <w:rPr>
                <w:sz w:val="16"/>
                <w:szCs w:val="16"/>
                <w:color w:val="auto"/>
              </w:rPr>
            </w:pPr>
          </w:p>
        </w:tc>
      </w:tr>
      <w:tr>
        <w:trPr>
          <w:trHeight w:val="264"/>
        </w:trPr>
        <w:tc>
          <w:tcPr>
            <w:tcW w:w="82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2013</w:t>
            </w:r>
          </w:p>
        </w:tc>
      </w:tr>
      <w:tr>
        <w:trPr>
          <w:trHeight w:val="236"/>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31.3</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117.3</w:t>
            </w:r>
          </w:p>
        </w:tc>
      </w:tr>
      <w:tr>
        <w:trPr>
          <w:trHeight w:val="237"/>
        </w:trPr>
        <w:tc>
          <w:tcPr>
            <w:tcW w:w="8280" w:type="dxa"/>
            <w:vAlign w:val="bottom"/>
          </w:tcPr>
          <w:p>
            <w:pPr>
              <w:ind w:left="40"/>
              <w:spacing w:after="0"/>
              <w:rPr>
                <w:sz w:val="20"/>
                <w:szCs w:val="20"/>
                <w:color w:val="auto"/>
              </w:rPr>
            </w:pPr>
            <w:r>
              <w:rPr>
                <w:rFonts w:ascii="Arial" w:cs="Arial" w:eastAsia="Arial" w:hAnsi="Arial"/>
                <w:sz w:val="16"/>
                <w:szCs w:val="16"/>
                <w:color w:val="auto"/>
              </w:rPr>
              <w:t>Other comprehensive income, net of reclassifications: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3"/>
        </w:trPr>
        <w:tc>
          <w:tcPr>
            <w:tcW w:w="8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gain (loss) on derivative instruments (net of tax effect of ($0.4), $0.0, ($1.1) and $0.2)</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w:t>
            </w:r>
          </w:p>
        </w:tc>
      </w:tr>
      <w:tr>
        <w:trPr>
          <w:trHeight w:val="237"/>
        </w:trPr>
        <w:tc>
          <w:tcPr>
            <w:tcW w:w="8280" w:type="dxa"/>
            <w:vAlign w:val="bottom"/>
          </w:tcPr>
          <w:p>
            <w:pPr>
              <w:ind w:left="280"/>
              <w:spacing w:after="0"/>
              <w:rPr>
                <w:sz w:val="20"/>
                <w:szCs w:val="20"/>
                <w:color w:val="auto"/>
              </w:rPr>
            </w:pPr>
            <w:r>
              <w:rPr>
                <w:rFonts w:ascii="Arial" w:cs="Arial" w:eastAsia="Arial" w:hAnsi="Arial"/>
                <w:sz w:val="16"/>
                <w:szCs w:val="16"/>
                <w:color w:val="auto"/>
              </w:rPr>
              <w:t>Change in net unrealized loss on available-for-sale securities (net of tax effect of $0.4, ($0.1), $0.0 and $0.1)</w:t>
            </w: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8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change in cumulative foreign currency translation (loss) gain (net of tax effect of $0.9, $0.5, ($0.4) and $1.8)</w:t>
            </w: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17"/>
        </w:trPr>
        <w:tc>
          <w:tcPr>
            <w:tcW w:w="8280" w:type="dxa"/>
            <w:vAlign w:val="bottom"/>
          </w:tcPr>
          <w:p>
            <w:pPr>
              <w:ind w:left="280"/>
              <w:spacing w:after="0"/>
              <w:rPr>
                <w:sz w:val="20"/>
                <w:szCs w:val="20"/>
                <w:color w:val="auto"/>
              </w:rPr>
            </w:pPr>
            <w:r>
              <w:rPr>
                <w:rFonts w:ascii="Arial" w:cs="Arial" w:eastAsia="Arial" w:hAnsi="Arial"/>
                <w:sz w:val="16"/>
                <w:szCs w:val="16"/>
                <w:color w:val="auto"/>
              </w:rPr>
              <w:t>Total other comprehensive (loss) gain</w:t>
            </w: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8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comprehensive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28.0</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56.2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115.5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July 31, 2014</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8"/>
              </w:rPr>
              <w:t>January 31, 2014</w:t>
            </w:r>
          </w:p>
        </w:tc>
      </w:tr>
      <w:tr>
        <w:trPr>
          <w:trHeight w:val="250"/>
        </w:trPr>
        <w:tc>
          <w:tcPr>
            <w:tcW w:w="8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(Unaudited)</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4"/>
        </w:trPr>
        <w:tc>
          <w:tcPr>
            <w:tcW w:w="8060" w:type="dxa"/>
            <w:vAlign w:val="bottom"/>
          </w:tcPr>
          <w:p>
            <w:pPr>
              <w:ind w:left="374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80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37"/>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24"/>
        </w:trPr>
        <w:tc>
          <w:tcPr>
            <w:tcW w:w="8060" w:type="dxa"/>
            <w:vAlign w:val="bottom"/>
          </w:tcPr>
          <w:p>
            <w:pPr>
              <w:ind w:left="38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1,323.1</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1,853.0</w:t>
            </w:r>
          </w:p>
        </w:tc>
      </w:tr>
      <w:tr>
        <w:trPr>
          <w:trHeight w:val="33"/>
        </w:trPr>
        <w:tc>
          <w:tcPr>
            <w:tcW w:w="8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8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Marketable securities</w:t>
            </w: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583.3</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414.1</w:t>
            </w:r>
          </w:p>
        </w:tc>
      </w:tr>
      <w:tr>
        <w:trPr>
          <w:trHeight w:val="224"/>
        </w:trPr>
        <w:tc>
          <w:tcPr>
            <w:tcW w:w="8060" w:type="dxa"/>
            <w:vAlign w:val="bottom"/>
          </w:tcPr>
          <w:p>
            <w:pPr>
              <w:ind w:left="38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365.3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423.7</w:t>
            </w:r>
          </w:p>
        </w:tc>
      </w:tr>
      <w:tr>
        <w:trPr>
          <w:trHeight w:val="33"/>
        </w:trPr>
        <w:tc>
          <w:tcPr>
            <w:tcW w:w="8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8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 net</w:t>
            </w: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76.3</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w:t>
            </w:r>
          </w:p>
        </w:tc>
      </w:tr>
      <w:tr>
        <w:trPr>
          <w:trHeight w:val="224"/>
        </w:trPr>
        <w:tc>
          <w:tcPr>
            <w:tcW w:w="806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102.0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87.4</w:t>
            </w:r>
          </w:p>
        </w:tc>
      </w:tr>
      <w:tr>
        <w:trPr>
          <w:trHeight w:val="33"/>
        </w:trPr>
        <w:tc>
          <w:tcPr>
            <w:tcW w:w="8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2,450.0</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2,835.0</w:t>
            </w:r>
          </w:p>
        </w:tc>
      </w:tr>
      <w:tr>
        <w:trPr>
          <w:trHeight w:val="217"/>
        </w:trPr>
        <w:tc>
          <w:tcPr>
            <w:tcW w:w="8060" w:type="dxa"/>
            <w:vAlign w:val="bottom"/>
          </w:tcPr>
          <w:p>
            <w:pPr>
              <w:ind w:left="40"/>
              <w:spacing w:after="0"/>
              <w:rPr>
                <w:sz w:val="20"/>
                <w:szCs w:val="20"/>
                <w:color w:val="auto"/>
              </w:rPr>
            </w:pPr>
            <w:r>
              <w:rPr>
                <w:rFonts w:ascii="Arial" w:cs="Arial" w:eastAsia="Arial" w:hAnsi="Arial"/>
                <w:sz w:val="16"/>
                <w:szCs w:val="16"/>
                <w:color w:val="auto"/>
              </w:rPr>
              <w:t>Marketable securities</w:t>
            </w: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262.1</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277.3</w:t>
            </w:r>
          </w:p>
        </w:tc>
      </w:tr>
      <w:tr>
        <w:trPr>
          <w:trHeight w:val="33"/>
        </w:trPr>
        <w:tc>
          <w:tcPr>
            <w:tcW w:w="8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equipment, software, furniture and leasehold improvements, net</w:t>
            </w: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146.9</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130.3</w:t>
            </w:r>
          </w:p>
        </w:tc>
      </w:tr>
      <w:tr>
        <w:trPr>
          <w:trHeight w:val="224"/>
        </w:trPr>
        <w:tc>
          <w:tcPr>
            <w:tcW w:w="8060" w:type="dxa"/>
            <w:vAlign w:val="bottom"/>
          </w:tcPr>
          <w:p>
            <w:pPr>
              <w:ind w:left="40"/>
              <w:spacing w:after="0"/>
              <w:rPr>
                <w:sz w:val="20"/>
                <w:szCs w:val="20"/>
                <w:color w:val="auto"/>
              </w:rPr>
            </w:pPr>
            <w:r>
              <w:rPr>
                <w:rFonts w:ascii="Arial" w:cs="Arial" w:eastAsia="Arial" w:hAnsi="Arial"/>
                <w:sz w:val="16"/>
                <w:szCs w:val="16"/>
                <w:color w:val="auto"/>
              </w:rPr>
              <w:t>Developed technologies, net</w:t>
            </w:r>
          </w:p>
        </w:tc>
        <w:tc>
          <w:tcPr>
            <w:tcW w:w="24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100.7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63.1</w:t>
            </w:r>
          </w:p>
        </w:tc>
      </w:tr>
      <w:tr>
        <w:trPr>
          <w:trHeight w:val="33"/>
        </w:trPr>
        <w:tc>
          <w:tcPr>
            <w:tcW w:w="8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1,447.6</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1,009.9</w:t>
            </w:r>
          </w:p>
        </w:tc>
      </w:tr>
      <w:tr>
        <w:trPr>
          <w:trHeight w:val="224"/>
        </w:trPr>
        <w:tc>
          <w:tcPr>
            <w:tcW w:w="8060" w:type="dxa"/>
            <w:vAlign w:val="bottom"/>
          </w:tcPr>
          <w:p>
            <w:pPr>
              <w:ind w:left="40"/>
              <w:spacing w:after="0"/>
              <w:rPr>
                <w:sz w:val="20"/>
                <w:szCs w:val="20"/>
                <w:color w:val="auto"/>
              </w:rPr>
            </w:pPr>
            <w:r>
              <w:rPr>
                <w:rFonts w:ascii="Arial" w:cs="Arial" w:eastAsia="Arial" w:hAnsi="Arial"/>
                <w:sz w:val="16"/>
                <w:szCs w:val="16"/>
                <w:color w:val="auto"/>
              </w:rPr>
              <w:t>Deferred income taxes, net</w:t>
            </w:r>
          </w:p>
        </w:tc>
        <w:tc>
          <w:tcPr>
            <w:tcW w:w="24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86.8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131.1</w:t>
            </w:r>
          </w:p>
        </w:tc>
      </w:tr>
      <w:tr>
        <w:trPr>
          <w:trHeight w:val="33"/>
        </w:trPr>
        <w:tc>
          <w:tcPr>
            <w:tcW w:w="8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7"/>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209.3</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148.3</w:t>
            </w:r>
          </w:p>
        </w:tc>
      </w:tr>
      <w:tr>
        <w:trPr>
          <w:trHeight w:val="217"/>
        </w:trPr>
        <w:tc>
          <w:tcPr>
            <w:tcW w:w="806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4,703.4</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4,595.0</w:t>
            </w:r>
          </w:p>
        </w:tc>
      </w:tr>
      <w:tr>
        <w:trPr>
          <w:trHeight w:val="73"/>
        </w:trPr>
        <w:tc>
          <w:tcPr>
            <w:tcW w:w="806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r>
      <w:tr>
        <w:trPr>
          <w:trHeight w:val="177"/>
        </w:trPr>
        <w:tc>
          <w:tcPr>
            <w:tcW w:w="8060" w:type="dxa"/>
            <w:vAlign w:val="bottom"/>
            <w:shd w:val="clear" w:color="auto" w:fill="CCEEFF"/>
          </w:tcPr>
          <w:p>
            <w:pPr>
              <w:ind w:left="2280"/>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74"/>
        </w:trPr>
        <w:tc>
          <w:tcPr>
            <w:tcW w:w="80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r>
      <w:tr>
        <w:trPr>
          <w:trHeight w:val="224"/>
        </w:trPr>
        <w:tc>
          <w:tcPr>
            <w:tcW w:w="806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3"/>
        </w:trPr>
        <w:tc>
          <w:tcPr>
            <w:tcW w:w="8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8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92.4</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84.5</w:t>
            </w:r>
          </w:p>
        </w:tc>
      </w:tr>
      <w:tr>
        <w:trPr>
          <w:trHeight w:val="224"/>
        </w:trPr>
        <w:tc>
          <w:tcPr>
            <w:tcW w:w="8060" w:type="dxa"/>
            <w:vAlign w:val="bottom"/>
          </w:tcPr>
          <w:p>
            <w:pPr>
              <w:ind w:left="380"/>
              <w:spacing w:after="0"/>
              <w:rPr>
                <w:sz w:val="20"/>
                <w:szCs w:val="20"/>
                <w:color w:val="auto"/>
              </w:rPr>
            </w:pPr>
            <w:r>
              <w:rPr>
                <w:rFonts w:ascii="Arial" w:cs="Arial" w:eastAsia="Arial" w:hAnsi="Arial"/>
                <w:sz w:val="16"/>
                <w:szCs w:val="16"/>
                <w:color w:val="auto"/>
              </w:rPr>
              <w:t>Accrued compensation</w:t>
            </w:r>
          </w:p>
        </w:tc>
        <w:tc>
          <w:tcPr>
            <w:tcW w:w="24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165.7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181.2</w:t>
            </w:r>
          </w:p>
        </w:tc>
      </w:tr>
      <w:tr>
        <w:trPr>
          <w:trHeight w:val="33"/>
        </w:trPr>
        <w:tc>
          <w:tcPr>
            <w:tcW w:w="8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8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37.3</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w:t>
            </w:r>
          </w:p>
        </w:tc>
      </w:tr>
      <w:tr>
        <w:trPr>
          <w:trHeight w:val="224"/>
        </w:trPr>
        <w:tc>
          <w:tcPr>
            <w:tcW w:w="806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763.0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696.2</w:t>
            </w:r>
          </w:p>
        </w:tc>
      </w:tr>
      <w:tr>
        <w:trPr>
          <w:trHeight w:val="33"/>
        </w:trPr>
        <w:tc>
          <w:tcPr>
            <w:tcW w:w="8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7"/>
        </w:trPr>
        <w:tc>
          <w:tcPr>
            <w:tcW w:w="8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accrued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98.9</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85.3</w:t>
            </w:r>
          </w:p>
        </w:tc>
      </w:tr>
      <w:tr>
        <w:trPr>
          <w:trHeight w:val="217"/>
        </w:trPr>
        <w:tc>
          <w:tcPr>
            <w:tcW w:w="8060" w:type="dxa"/>
            <w:vAlign w:val="bottom"/>
          </w:tcPr>
          <w:p>
            <w:pPr>
              <w:ind w:left="60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1,157.3</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1,071.5</w:t>
            </w:r>
          </w:p>
        </w:tc>
      </w:tr>
      <w:tr>
        <w:trPr>
          <w:trHeight w:val="33"/>
        </w:trPr>
        <w:tc>
          <w:tcPr>
            <w:tcW w:w="8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w:t>
            </w: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217.8</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204.4</w:t>
            </w:r>
          </w:p>
        </w:tc>
      </w:tr>
      <w:tr>
        <w:trPr>
          <w:trHeight w:val="224"/>
        </w:trPr>
        <w:tc>
          <w:tcPr>
            <w:tcW w:w="8060" w:type="dxa"/>
            <w:vAlign w:val="bottom"/>
          </w:tcPr>
          <w:p>
            <w:pPr>
              <w:ind w:left="40"/>
              <w:spacing w:after="0"/>
              <w:rPr>
                <w:sz w:val="20"/>
                <w:szCs w:val="20"/>
                <w:color w:val="auto"/>
              </w:rPr>
            </w:pPr>
            <w:r>
              <w:rPr>
                <w:rFonts w:ascii="Arial" w:cs="Arial" w:eastAsia="Arial" w:hAnsi="Arial"/>
                <w:sz w:val="16"/>
                <w:szCs w:val="16"/>
                <w:color w:val="auto"/>
              </w:rPr>
              <w:t>Long term income taxes payable</w:t>
            </w:r>
          </w:p>
        </w:tc>
        <w:tc>
          <w:tcPr>
            <w:tcW w:w="24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186.8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211.8</w:t>
            </w:r>
          </w:p>
        </w:tc>
      </w:tr>
      <w:tr>
        <w:trPr>
          <w:trHeight w:val="33"/>
        </w:trPr>
        <w:tc>
          <w:tcPr>
            <w:tcW w:w="8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 term notes payable, net of discount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746.8</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746.4</w:t>
            </w:r>
          </w:p>
        </w:tc>
      </w:tr>
      <w:tr>
        <w:trPr>
          <w:trHeight w:val="224"/>
        </w:trPr>
        <w:tc>
          <w:tcPr>
            <w:tcW w:w="806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4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111.3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99.4</w:t>
            </w:r>
          </w:p>
        </w:tc>
      </w:tr>
      <w:tr>
        <w:trPr>
          <w:trHeight w:val="33"/>
        </w:trPr>
        <w:tc>
          <w:tcPr>
            <w:tcW w:w="8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24"/>
        </w:trPr>
        <w:tc>
          <w:tcPr>
            <w:tcW w:w="8060" w:type="dxa"/>
            <w:vAlign w:val="bottom"/>
          </w:tcPr>
          <w:p>
            <w:pPr>
              <w:ind w:left="380"/>
              <w:spacing w:after="0"/>
              <w:rPr>
                <w:sz w:val="20"/>
                <w:szCs w:val="20"/>
                <w:color w:val="auto"/>
              </w:rPr>
            </w:pPr>
            <w:r>
              <w:rPr>
                <w:rFonts w:ascii="Arial" w:cs="Arial" w:eastAsia="Arial" w:hAnsi="Arial"/>
                <w:sz w:val="16"/>
                <w:szCs w:val="16"/>
                <w:color w:val="auto"/>
              </w:rPr>
              <w:t>Preferred stock</w:t>
            </w:r>
          </w:p>
        </w:tc>
        <w:tc>
          <w:tcPr>
            <w:tcW w:w="24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8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Common stock and additional paid-in capital</w:t>
            </w: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1,697.1</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1,637.3</w:t>
            </w:r>
          </w:p>
        </w:tc>
      </w:tr>
      <w:tr>
        <w:trPr>
          <w:trHeight w:val="224"/>
        </w:trPr>
        <w:tc>
          <w:tcPr>
            <w:tcW w:w="8060" w:type="dxa"/>
            <w:vAlign w:val="bottom"/>
          </w:tcPr>
          <w:p>
            <w:pPr>
              <w:ind w:left="380"/>
              <w:spacing w:after="0"/>
              <w:rPr>
                <w:sz w:val="20"/>
                <w:szCs w:val="20"/>
                <w:color w:val="auto"/>
              </w:rPr>
            </w:pPr>
            <w:r>
              <w:rPr>
                <w:rFonts w:ascii="Arial" w:cs="Arial" w:eastAsia="Arial" w:hAnsi="Arial"/>
                <w:sz w:val="16"/>
                <w:szCs w:val="16"/>
                <w:color w:val="auto"/>
              </w:rPr>
              <w:t>Accumulated other comprehensive income (loss)</w:t>
            </w:r>
          </w:p>
        </w:tc>
        <w:tc>
          <w:tcPr>
            <w:tcW w:w="24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33"/>
        </w:trPr>
        <w:tc>
          <w:tcPr>
            <w:tcW w:w="8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7"/>
        </w:trPr>
        <w:tc>
          <w:tcPr>
            <w:tcW w:w="8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584.0</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624.8</w:t>
            </w:r>
          </w:p>
        </w:tc>
      </w:tr>
      <w:tr>
        <w:trPr>
          <w:trHeight w:val="217"/>
        </w:trPr>
        <w:tc>
          <w:tcPr>
            <w:tcW w:w="8060" w:type="dxa"/>
            <w:vAlign w:val="bottom"/>
          </w:tcPr>
          <w:p>
            <w:pPr>
              <w:ind w:left="4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2,283.4</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2,261.5</w:t>
            </w:r>
          </w:p>
        </w:tc>
      </w:tr>
      <w:tr>
        <w:trPr>
          <w:trHeight w:val="33"/>
        </w:trPr>
        <w:tc>
          <w:tcPr>
            <w:tcW w:w="8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4,703.4</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4,595.0</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240" w:top="1013"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4"/>
                <w:szCs w:val="14"/>
                <w:b w:val="1"/>
                <w:bCs w:val="1"/>
                <w:color w:val="auto"/>
                <w:w w:val="98"/>
              </w:rPr>
              <w:t>Six Months Ended July 31,</w:t>
            </w:r>
          </w:p>
        </w:tc>
      </w:tr>
      <w:tr>
        <w:trPr>
          <w:trHeight w:val="264"/>
        </w:trPr>
        <w:tc>
          <w:tcPr>
            <w:tcW w:w="92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2013</w:t>
            </w:r>
          </w:p>
        </w:tc>
      </w:tr>
      <w:tr>
        <w:trPr>
          <w:trHeight w:val="236"/>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24"/>
        </w:trPr>
        <w:tc>
          <w:tcPr>
            <w:tcW w:w="920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59.6</w:t>
            </w:r>
          </w:p>
        </w:tc>
        <w:tc>
          <w:tcPr>
            <w:tcW w:w="16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117.3</w:t>
            </w:r>
          </w:p>
        </w:tc>
      </w:tr>
      <w:tr>
        <w:trPr>
          <w:trHeight w:val="33"/>
        </w:trPr>
        <w:tc>
          <w:tcPr>
            <w:tcW w:w="9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9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24"/>
        </w:trPr>
        <w:tc>
          <w:tcPr>
            <w:tcW w:w="9200" w:type="dxa"/>
            <w:vAlign w:val="bottom"/>
          </w:tcPr>
          <w:p>
            <w:pPr>
              <w:ind w:left="720"/>
              <w:spacing w:after="0"/>
              <w:rPr>
                <w:sz w:val="20"/>
                <w:szCs w:val="20"/>
                <w:color w:val="auto"/>
              </w:rPr>
            </w:pPr>
            <w:r>
              <w:rPr>
                <w:rFonts w:ascii="Arial" w:cs="Arial" w:eastAsia="Arial" w:hAnsi="Arial"/>
                <w:sz w:val="16"/>
                <w:szCs w:val="16"/>
                <w:color w:val="auto"/>
              </w:rPr>
              <w:t>Depreciation, amortization and accretion</w:t>
            </w:r>
          </w:p>
        </w:tc>
        <w:tc>
          <w:tcPr>
            <w:tcW w:w="200" w:type="dxa"/>
            <w:vAlign w:val="bottom"/>
          </w:tcPr>
          <w:p>
            <w:pPr>
              <w:spacing w:after="0"/>
              <w:rPr>
                <w:sz w:val="19"/>
                <w:szCs w:val="19"/>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73.3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65.1</w:t>
            </w:r>
          </w:p>
        </w:tc>
      </w:tr>
      <w:tr>
        <w:trPr>
          <w:trHeight w:val="33"/>
        </w:trPr>
        <w:tc>
          <w:tcPr>
            <w:tcW w:w="9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9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Stock-based compensation expense</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73.4</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64.6</w:t>
            </w:r>
          </w:p>
        </w:tc>
      </w:tr>
      <w:tr>
        <w:trPr>
          <w:trHeight w:val="224"/>
        </w:trPr>
        <w:tc>
          <w:tcPr>
            <w:tcW w:w="9200" w:type="dxa"/>
            <w:vAlign w:val="bottom"/>
          </w:tcPr>
          <w:p>
            <w:pPr>
              <w:ind w:left="720"/>
              <w:spacing w:after="0"/>
              <w:rPr>
                <w:sz w:val="20"/>
                <w:szCs w:val="20"/>
                <w:color w:val="auto"/>
              </w:rPr>
            </w:pPr>
            <w:r>
              <w:rPr>
                <w:rFonts w:ascii="Arial" w:cs="Arial" w:eastAsia="Arial" w:hAnsi="Arial"/>
                <w:sz w:val="16"/>
                <w:szCs w:val="16"/>
                <w:color w:val="auto"/>
              </w:rPr>
              <w:t>Excess tax benefits from stock-based compensation</w:t>
            </w:r>
          </w:p>
        </w:tc>
        <w:tc>
          <w:tcPr>
            <w:tcW w:w="20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33"/>
        </w:trPr>
        <w:tc>
          <w:tcPr>
            <w:tcW w:w="9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9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Restructuring charges, net</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r>
      <w:tr>
        <w:trPr>
          <w:trHeight w:val="224"/>
        </w:trPr>
        <w:tc>
          <w:tcPr>
            <w:tcW w:w="9200" w:type="dxa"/>
            <w:vAlign w:val="bottom"/>
          </w:tcPr>
          <w:p>
            <w:pPr>
              <w:ind w:left="720"/>
              <w:spacing w:after="0"/>
              <w:rPr>
                <w:sz w:val="20"/>
                <w:szCs w:val="20"/>
                <w:color w:val="auto"/>
              </w:rPr>
            </w:pPr>
            <w:r>
              <w:rPr>
                <w:rFonts w:ascii="Arial" w:cs="Arial" w:eastAsia="Arial" w:hAnsi="Arial"/>
                <w:sz w:val="16"/>
                <w:szCs w:val="16"/>
                <w:color w:val="auto"/>
              </w:rPr>
              <w:t>Other operating activities</w:t>
            </w:r>
          </w:p>
        </w:tc>
        <w:tc>
          <w:tcPr>
            <w:tcW w:w="200" w:type="dxa"/>
            <w:vAlign w:val="bottom"/>
          </w:tcPr>
          <w:p>
            <w:pPr>
              <w:spacing w:after="0"/>
              <w:rPr>
                <w:sz w:val="19"/>
                <w:szCs w:val="19"/>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5.5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33"/>
        </w:trPr>
        <w:tc>
          <w:tcPr>
            <w:tcW w:w="9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7"/>
        </w:trPr>
        <w:tc>
          <w:tcPr>
            <w:tcW w:w="9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Changes in operating assets and liabilities, net of business combinations</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100.0</w:t>
            </w:r>
          </w:p>
        </w:tc>
        <w:tc>
          <w:tcPr>
            <w:tcW w:w="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41.5</w:t>
            </w:r>
          </w:p>
        </w:tc>
      </w:tr>
      <w:tr>
        <w:trPr>
          <w:trHeight w:val="217"/>
        </w:trPr>
        <w:tc>
          <w:tcPr>
            <w:tcW w:w="920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314.9</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289.4</w:t>
            </w:r>
          </w:p>
        </w:tc>
      </w:tr>
      <w:tr>
        <w:trPr>
          <w:trHeight w:val="33"/>
        </w:trPr>
        <w:tc>
          <w:tcPr>
            <w:tcW w:w="9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24"/>
        </w:trPr>
        <w:tc>
          <w:tcPr>
            <w:tcW w:w="9200" w:type="dxa"/>
            <w:vAlign w:val="bottom"/>
          </w:tcPr>
          <w:p>
            <w:pPr>
              <w:ind w:left="380"/>
              <w:spacing w:after="0"/>
              <w:rPr>
                <w:sz w:val="20"/>
                <w:szCs w:val="20"/>
                <w:color w:val="auto"/>
              </w:rPr>
            </w:pPr>
            <w:r>
              <w:rPr>
                <w:rFonts w:ascii="Arial" w:cs="Arial" w:eastAsia="Arial" w:hAnsi="Arial"/>
                <w:sz w:val="16"/>
                <w:szCs w:val="16"/>
                <w:color w:val="auto"/>
              </w:rPr>
              <w:t>Purchases of marketable securities</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(684.2)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(697.3)</w:t>
            </w:r>
          </w:p>
        </w:tc>
      </w:tr>
      <w:tr>
        <w:trPr>
          <w:trHeight w:val="33"/>
        </w:trPr>
        <w:tc>
          <w:tcPr>
            <w:tcW w:w="9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9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Sales of marketable securities</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127.3</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215.1</w:t>
            </w:r>
          </w:p>
        </w:tc>
      </w:tr>
      <w:tr>
        <w:trPr>
          <w:trHeight w:val="224"/>
        </w:trPr>
        <w:tc>
          <w:tcPr>
            <w:tcW w:w="9200" w:type="dxa"/>
            <w:vAlign w:val="bottom"/>
          </w:tcPr>
          <w:p>
            <w:pPr>
              <w:ind w:left="380"/>
              <w:spacing w:after="0"/>
              <w:rPr>
                <w:sz w:val="20"/>
                <w:szCs w:val="20"/>
                <w:color w:val="auto"/>
              </w:rPr>
            </w:pPr>
            <w:r>
              <w:rPr>
                <w:rFonts w:ascii="Arial" w:cs="Arial" w:eastAsia="Arial" w:hAnsi="Arial"/>
                <w:sz w:val="16"/>
                <w:szCs w:val="16"/>
                <w:color w:val="auto"/>
              </w:rPr>
              <w:t>Maturities of marketable securities</w:t>
            </w:r>
          </w:p>
        </w:tc>
        <w:tc>
          <w:tcPr>
            <w:tcW w:w="200" w:type="dxa"/>
            <w:vAlign w:val="bottom"/>
          </w:tcPr>
          <w:p>
            <w:pPr>
              <w:spacing w:after="0"/>
              <w:rPr>
                <w:sz w:val="19"/>
                <w:szCs w:val="19"/>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407.1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231.9</w:t>
            </w:r>
          </w:p>
        </w:tc>
      </w:tr>
      <w:tr>
        <w:trPr>
          <w:trHeight w:val="33"/>
        </w:trPr>
        <w:tc>
          <w:tcPr>
            <w:tcW w:w="9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9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Capital expenditures</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w:t>
            </w:r>
          </w:p>
        </w:tc>
      </w:tr>
      <w:tr>
        <w:trPr>
          <w:trHeight w:val="224"/>
        </w:trPr>
        <w:tc>
          <w:tcPr>
            <w:tcW w:w="9200" w:type="dxa"/>
            <w:vAlign w:val="bottom"/>
          </w:tcPr>
          <w:p>
            <w:pPr>
              <w:ind w:left="380"/>
              <w:spacing w:after="0"/>
              <w:rPr>
                <w:sz w:val="20"/>
                <w:szCs w:val="20"/>
                <w:color w:val="auto"/>
              </w:rPr>
            </w:pPr>
            <w:r>
              <w:rPr>
                <w:rFonts w:ascii="Arial" w:cs="Arial" w:eastAsia="Arial" w:hAnsi="Arial"/>
                <w:sz w:val="16"/>
                <w:szCs w:val="16"/>
                <w:color w:val="auto"/>
              </w:rPr>
              <w:t>Acquisitions, net of cash acquired</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(548.3)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(47.2)</w:t>
            </w:r>
          </w:p>
        </w:tc>
      </w:tr>
      <w:tr>
        <w:trPr>
          <w:trHeight w:val="33"/>
        </w:trPr>
        <w:tc>
          <w:tcPr>
            <w:tcW w:w="9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7"/>
        </w:trPr>
        <w:tc>
          <w:tcPr>
            <w:tcW w:w="9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investing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17"/>
        </w:trPr>
        <w:tc>
          <w:tcPr>
            <w:tcW w:w="920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(730.4)</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(345.5)</w:t>
            </w:r>
          </w:p>
        </w:tc>
      </w:tr>
      <w:tr>
        <w:trPr>
          <w:trHeight w:val="33"/>
        </w:trPr>
        <w:tc>
          <w:tcPr>
            <w:tcW w:w="9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24"/>
        </w:trPr>
        <w:tc>
          <w:tcPr>
            <w:tcW w:w="9200" w:type="dxa"/>
            <w:vAlign w:val="bottom"/>
          </w:tcPr>
          <w:p>
            <w:pPr>
              <w:ind w:left="380"/>
              <w:spacing w:after="0"/>
              <w:rPr>
                <w:sz w:val="20"/>
                <w:szCs w:val="20"/>
                <w:color w:val="auto"/>
              </w:rPr>
            </w:pPr>
            <w:r>
              <w:rPr>
                <w:rFonts w:ascii="Arial" w:cs="Arial" w:eastAsia="Arial" w:hAnsi="Arial"/>
                <w:sz w:val="16"/>
                <w:szCs w:val="16"/>
                <w:color w:val="auto"/>
              </w:rPr>
              <w:t>Proceeds from issuance of common stock, net of issuance costs</w:t>
            </w:r>
          </w:p>
        </w:tc>
        <w:tc>
          <w:tcPr>
            <w:tcW w:w="200" w:type="dxa"/>
            <w:vAlign w:val="bottom"/>
          </w:tcPr>
          <w:p>
            <w:pPr>
              <w:spacing w:after="0"/>
              <w:rPr>
                <w:sz w:val="19"/>
                <w:szCs w:val="19"/>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91.3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79.8</w:t>
            </w:r>
          </w:p>
        </w:tc>
      </w:tr>
      <w:tr>
        <w:trPr>
          <w:trHeight w:val="33"/>
        </w:trPr>
        <w:tc>
          <w:tcPr>
            <w:tcW w:w="9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9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Repurchase and retirement of common shares</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(204.3)</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(239.8)</w:t>
            </w:r>
          </w:p>
        </w:tc>
      </w:tr>
      <w:tr>
        <w:trPr>
          <w:trHeight w:val="224"/>
        </w:trPr>
        <w:tc>
          <w:tcPr>
            <w:tcW w:w="9200" w:type="dxa"/>
            <w:vAlign w:val="bottom"/>
          </w:tcPr>
          <w:p>
            <w:pPr>
              <w:ind w:left="380"/>
              <w:spacing w:after="0"/>
              <w:rPr>
                <w:sz w:val="20"/>
                <w:szCs w:val="20"/>
                <w:color w:val="auto"/>
              </w:rPr>
            </w:pPr>
            <w:r>
              <w:rPr>
                <w:rFonts w:ascii="Arial" w:cs="Arial" w:eastAsia="Arial" w:hAnsi="Arial"/>
                <w:sz w:val="16"/>
                <w:szCs w:val="16"/>
                <w:color w:val="auto"/>
              </w:rPr>
              <w:t>Excess tax benefits from stock-based compensation</w:t>
            </w:r>
          </w:p>
        </w:tc>
        <w:tc>
          <w:tcPr>
            <w:tcW w:w="20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3.2</w:t>
            </w:r>
          </w:p>
        </w:tc>
      </w:tr>
      <w:tr>
        <w:trPr>
          <w:trHeight w:val="33"/>
        </w:trPr>
        <w:tc>
          <w:tcPr>
            <w:tcW w:w="9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financing activities</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9200" w:type="dxa"/>
            <w:vAlign w:val="bottom"/>
          </w:tcPr>
          <w:p>
            <w:pPr>
              <w:ind w:left="40"/>
              <w:spacing w:after="0"/>
              <w:rPr>
                <w:sz w:val="20"/>
                <w:szCs w:val="20"/>
                <w:color w:val="auto"/>
              </w:rPr>
            </w:pPr>
            <w:r>
              <w:rPr>
                <w:rFonts w:ascii="Arial" w:cs="Arial" w:eastAsia="Arial" w:hAnsi="Arial"/>
                <w:sz w:val="16"/>
                <w:szCs w:val="16"/>
                <w:color w:val="auto"/>
              </w:rPr>
              <w:t>Net cash used in financing activities</w:t>
            </w: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(114.7)</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(156.8)</w:t>
            </w:r>
          </w:p>
        </w:tc>
      </w:tr>
      <w:tr>
        <w:trPr>
          <w:trHeight w:val="33"/>
        </w:trPr>
        <w:tc>
          <w:tcPr>
            <w:tcW w:w="9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r>
      <w:tr>
        <w:trPr>
          <w:trHeight w:val="20"/>
        </w:trPr>
        <w:tc>
          <w:tcPr>
            <w:tcW w:w="9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4" w:lineRule="exact"/>
        <w:rPr>
          <w:sz w:val="20"/>
          <w:szCs w:val="20"/>
          <w:color w:val="auto"/>
        </w:rPr>
      </w:pPr>
    </w:p>
    <w:p>
      <w:pPr>
        <w:sectPr>
          <w:pgSz w:w="11900" w:h="16838" w:orient="portrait"/>
          <w:cols w:equalWidth="0" w:num="1">
            <w:col w:w="11420"/>
          </w:cols>
          <w:pgMar w:left="240" w:top="580" w:right="239" w:bottom="1440" w:gutter="0" w:footer="0" w:header="0"/>
        </w:sectPr>
      </w:pPr>
    </w:p>
    <w:p>
      <w:pPr>
        <w:ind w:left="40"/>
        <w:spacing w:after="0"/>
        <w:rPr>
          <w:sz w:val="20"/>
          <w:szCs w:val="20"/>
          <w:color w:val="auto"/>
        </w:rPr>
      </w:pPr>
      <w:r>
        <w:rPr>
          <w:rFonts w:ascii="Arial" w:cs="Arial" w:eastAsia="Arial" w:hAnsi="Arial"/>
          <w:sz w:val="16"/>
          <w:szCs w:val="16"/>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at beginning of fiscal year</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 at end of period</w:t>
      </w:r>
    </w:p>
    <w:p>
      <w:pPr>
        <w:spacing w:after="0" w:line="20" w:lineRule="exact"/>
        <w:rPr>
          <w:sz w:val="20"/>
          <w:szCs w:val="20"/>
          <w:color w:val="auto"/>
        </w:rPr>
      </w:pPr>
      <w:r>
        <w:rPr>
          <w:sz w:val="20"/>
          <w:szCs w:val="20"/>
          <w:color w:val="auto"/>
        </w:rPr>
        <w:br w:type="column"/>
      </w:r>
    </w:p>
    <w:p>
      <w:pPr>
        <w:jc w:val="right"/>
        <w:ind w:right="60"/>
        <w:spacing w:after="0"/>
        <w:tabs>
          <w:tab w:leader="none" w:pos="440" w:val="left"/>
        </w:tabs>
        <w:rPr>
          <w:sz w:val="20"/>
          <w:szCs w:val="20"/>
          <w:color w:val="auto"/>
        </w:rPr>
      </w:pPr>
      <w:r>
        <w:rPr>
          <w:rFonts w:ascii="Arial" w:cs="Arial" w:eastAsia="Arial" w:hAnsi="Arial"/>
          <w:sz w:val="16"/>
          <w:szCs w:val="16"/>
          <w:color w:val="auto"/>
        </w:rPr>
        <w:t>(529.9)</w:t>
      </w:r>
      <w:r>
        <w:rPr>
          <w:sz w:val="20"/>
          <w:szCs w:val="20"/>
          <w:color w:val="auto"/>
        </w:rPr>
        <w:tab/>
      </w:r>
      <w:r>
        <w:rPr>
          <w:rFonts w:ascii="Arial" w:cs="Arial" w:eastAsia="Arial" w:hAnsi="Arial"/>
          <w:sz w:val="14"/>
          <w:szCs w:val="14"/>
          <w:color w:val="auto"/>
        </w:rPr>
        <w:t>(211.2)</w:t>
      </w:r>
    </w:p>
    <w:p>
      <w:pPr>
        <w:spacing w:after="0" w:line="73" w:lineRule="exact"/>
        <w:rPr>
          <w:sz w:val="20"/>
          <w:szCs w:val="20"/>
          <w:color w:val="auto"/>
        </w:rPr>
      </w:pPr>
    </w:p>
    <w:p>
      <w:pPr>
        <w:ind w:left="400"/>
        <w:spacing w:after="0"/>
        <w:tabs>
          <w:tab w:leader="none" w:pos="1560" w:val="left"/>
        </w:tabs>
        <w:rPr>
          <w:sz w:val="20"/>
          <w:szCs w:val="20"/>
          <w:color w:val="auto"/>
        </w:rPr>
      </w:pPr>
      <w:r>
        <w:rPr>
          <w:rFonts w:ascii="Arial" w:cs="Arial" w:eastAsia="Arial" w:hAnsi="Arial"/>
          <w:sz w:val="16"/>
          <w:szCs w:val="16"/>
          <w:color w:val="auto"/>
        </w:rPr>
        <w:t>1,853.0</w:t>
      </w:r>
      <w:r>
        <w:rPr>
          <w:sz w:val="20"/>
          <w:szCs w:val="20"/>
          <w:color w:val="auto"/>
        </w:rPr>
        <w:tab/>
      </w:r>
      <w:r>
        <w:rPr>
          <w:rFonts w:ascii="Arial" w:cs="Arial" w:eastAsia="Arial" w:hAnsi="Arial"/>
          <w:sz w:val="14"/>
          <w:szCs w:val="14"/>
          <w:color w:val="auto"/>
        </w:rPr>
        <w:t>1,612.2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34925</wp:posOffset>
            </wp:positionV>
            <wp:extent cx="14065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66" w:lineRule="exact"/>
        <w:rPr>
          <w:sz w:val="20"/>
          <w:szCs w:val="20"/>
          <w:color w:val="auto"/>
        </w:rPr>
      </w:pPr>
    </w:p>
    <w:p>
      <w:pPr>
        <w:spacing w:after="0"/>
        <w:tabs>
          <w:tab w:leader="none" w:pos="380" w:val="left"/>
          <w:tab w:leader="none" w:pos="1160" w:val="left"/>
          <w:tab w:leader="none" w:pos="15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1,323.1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1,401.0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34925</wp:posOffset>
            </wp:positionV>
            <wp:extent cx="140652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06525"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20" w:space="720"/>
            <w:col w:w="2180"/>
          </w:cols>
          <w:pgMar w:left="240" w:top="580" w:right="239" w:bottom="1440" w:gutter="0" w:footer="0" w:header="0"/>
          <w:type w:val="continuous"/>
        </w:sectPr>
      </w:pP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(Tables in millions, except share and per share data, or as otherwise noted)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Basis of Presentation</w:t>
      </w:r>
    </w:p>
    <w:p>
      <w:pPr>
        <w:spacing w:after="0" w:line="22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The accompanying unaudited Condensed Consolidated Financial Statements of Autodesk, Inc. (“Autodesk,” “we,” “us,” “our,” or the “Company”) as of July 31, 2014, and for the three and six months ended July 31, 2014 and 2013, have been prepared in accordance with accounting principles generally accepted in the U.S. for interim financial information along with the instructions to Form 10-Q and Article 10 of Securities and Exchange Commission (“SEC”) Regulation S-X. Accordingly, they do not include all of the information and notes required by generally accepted accounting principles (“GAAP”) for annual financial statements. In management’s opinion, Autodesk made all adjustments (consisting of normal, recurring and non-recurring adjustments) during the quarter that were considered necessary for the fair presentation of the financial position and operating results of the Company. The preparation of financial statements in conformity with GAAP requires management to make estimates and assumptions that affect reported amounts in the financial statements and accompanying notes. Actual results could differ from those estimates. In addition, the results of operations for the three and six months ended July 31, 2014 are not necessarily indicative of the results for the entire fiscal year ending January 31, 2015, or for any other period.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2014, filed on March 10, 2014.</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During the second quarter of fiscal 2015, Autodesk elected to present amortization of purchased customer relationships, trade names, patents, and user lists as a separate line item within operating expenses. As a result, amortization previously reflected in “General and Administrative” expense was reclassified to “Amortization of Purchased Intangibles" within Operating Expenses. These expenses have been reclassified in the Condensed Consolidated Statements of Operations for the six months ended July 31, 2014 and the three and six months ended July 31, 2013 to conform to the current period presentation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Six Months Ended</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Three Months</w:t>
            </w: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92"/>
        </w:trPr>
        <w:tc>
          <w:tcPr>
            <w:tcW w:w="7580" w:type="dxa"/>
            <w:vAlign w:val="bottom"/>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31, 2014</w:t>
            </w:r>
          </w:p>
        </w:tc>
        <w:tc>
          <w:tcPr>
            <w:tcW w:w="140" w:type="dxa"/>
            <w:vAlign w:val="bottom"/>
          </w:tcPr>
          <w:p>
            <w:pPr>
              <w:spacing w:after="0"/>
              <w:rPr>
                <w:sz w:val="21"/>
                <w:szCs w:val="21"/>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July 31, 2013</w:t>
            </w:r>
          </w:p>
        </w:tc>
        <w:tc>
          <w:tcPr>
            <w:tcW w:w="160" w:type="dxa"/>
            <w:vAlign w:val="bottom"/>
          </w:tcPr>
          <w:p>
            <w:pPr>
              <w:spacing w:after="0"/>
              <w:rPr>
                <w:sz w:val="21"/>
                <w:szCs w:val="21"/>
                <w:color w:val="auto"/>
              </w:rPr>
            </w:pPr>
          </w:p>
        </w:tc>
        <w:tc>
          <w:tcPr>
            <w:tcW w:w="1040" w:type="dxa"/>
            <w:vAlign w:val="bottom"/>
          </w:tcPr>
          <w:p>
            <w:pPr>
              <w:jc w:val="right"/>
              <w:ind w:right="122"/>
              <w:spacing w:after="0"/>
              <w:rPr>
                <w:sz w:val="20"/>
                <w:szCs w:val="20"/>
                <w:color w:val="auto"/>
              </w:rPr>
            </w:pPr>
            <w:r>
              <w:rPr>
                <w:rFonts w:ascii="Arial" w:cs="Arial" w:eastAsia="Arial" w:hAnsi="Arial"/>
                <w:sz w:val="14"/>
                <w:szCs w:val="14"/>
                <w:b w:val="1"/>
                <w:bCs w:val="1"/>
                <w:color w:val="auto"/>
                <w:w w:val="94"/>
              </w:rPr>
              <w:t>July 31, 2013</w:t>
            </w:r>
          </w:p>
        </w:tc>
        <w:tc>
          <w:tcPr>
            <w:tcW w:w="0" w:type="dxa"/>
            <w:vAlign w:val="bottom"/>
          </w:tcPr>
          <w:p>
            <w:pPr>
              <w:spacing w:after="0"/>
              <w:rPr>
                <w:sz w:val="1"/>
                <w:szCs w:val="1"/>
                <w:color w:val="auto"/>
              </w:rPr>
            </w:pPr>
          </w:p>
        </w:tc>
      </w:tr>
      <w:tr>
        <w:trPr>
          <w:trHeight w:val="250"/>
        </w:trPr>
        <w:tc>
          <w:tcPr>
            <w:tcW w:w="7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Reclassifications within operating expenses: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80" w:type="dxa"/>
            <w:vAlign w:val="bottom"/>
          </w:tcPr>
          <w:p>
            <w:pPr>
              <w:ind w:left="180"/>
              <w:spacing w:after="0"/>
              <w:rPr>
                <w:sz w:val="20"/>
                <w:szCs w:val="20"/>
                <w:color w:val="auto"/>
              </w:rPr>
            </w:pPr>
            <w:r>
              <w:rPr>
                <w:rFonts w:ascii="Arial" w:cs="Arial" w:eastAsia="Arial" w:hAnsi="Arial"/>
                <w:sz w:val="16"/>
                <w:szCs w:val="16"/>
                <w:color w:val="auto"/>
              </w:rPr>
              <w:t>(Decrease) to general and administrative</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Increase to amortization of purchased intangibles</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33"/>
        </w:trPr>
        <w:tc>
          <w:tcPr>
            <w:tcW w:w="75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Recently Issued Accounting Standards</w:t>
      </w:r>
    </w:p>
    <w:p>
      <w:pPr>
        <w:spacing w:after="0" w:line="225"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With the exception of those discussed below, there have been no recent changes in accounting pronouncements issued by the Financial Accounting Standards Board (“FASB”) or adopted by the Company during the six months ended July 31, 2014, that are of significance, or potential significance, to the Company.</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Accounting Standards Adopted in the Six Months Ended July 31, 2014</w:t>
      </w:r>
    </w:p>
    <w:p>
      <w:pPr>
        <w:spacing w:after="0" w:line="225"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Effective February 1, 2014, Autodesk prospectively adopted FASB's Accounting Standards Update (“ASU”) 2013-11 regarding ASC Topic 740 “Income Tax.” This ASU clarifies the guidance on the presentation of an unrecognized tax benefit, or a portion of an unrecognized tax benefit, in the financial statements as a reduction to a deferred tax asset for a net operating loss carryforward, a similar tax loss, or a tax credit carryforward. The adoption of this ASU impacted the presentation of tax assets and liabilities on the statement of financial position, but did not impact its results of operations or cash flows.</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On May 28, 2014, the FASB issued ASU 2014-09 regarding ASC Topic 606 “Revenue from Contracts with Customers.” This ASU provides principles for recognizing revenue to depict the transfer of promised goods or services to customers in an amount that reflects the consideration to which the entity expects to be entitled in exchange for those goods or services. This ASU will be effective for Autodesk’s fiscal year beginning February 1, 2017. Early adoption is not permitted. Autodesk is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ind w:right="340"/>
        <w:spacing w:after="0" w:line="277" w:lineRule="auto"/>
        <w:rPr>
          <w:sz w:val="20"/>
          <w:szCs w:val="20"/>
          <w:color w:val="auto"/>
        </w:rPr>
      </w:pPr>
      <w:r>
        <w:rPr>
          <w:rFonts w:ascii="Arial" w:cs="Arial" w:eastAsia="Arial" w:hAnsi="Arial"/>
          <w:sz w:val="18"/>
          <w:szCs w:val="18"/>
          <w:color w:val="auto"/>
        </w:rPr>
        <w:t>currently evaluating the accounting, transition and disclosure requirements of the standard and cannot currently estimate the financial statement impact of adoption.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Concentration of Credit Risk</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Autodesk places its cash, cash equivalents and marketable securities in highly liquid instruments with, and in the custody of, diversified financial institutions globally with high credit ratings and limits the amounts invested with any one institution, type of security and issuer. Autodesk’s primary commercial banking relationship is with Citigroup Inc. and its global affiliates. Citibank, N.A., an affiliate of Citigroup, is one of the lead lenders and an agent in the syndicate of Autodesk’s $400.0 million line of credit facility. It is Autodesk’s policy to limit the amounts invested with any one institution by type of security and issuer.</w:t>
      </w:r>
    </w:p>
    <w:p>
      <w:pPr>
        <w:spacing w:after="0" w:line="188"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Total sales to the distributor Tech Data Corporation, and its global affiliates (“Tech Data”), accounted for 26% of Autodesk’s total net revenue for both the three and six months ended July 31, 2014, and 24% and 25% of Autodesk’s total net revenue for the three and six months ended July 31, 2013, respectively. The majority of the net revenue from sales to Tech Data relates to Autodesk’s Platform Solutions and Emerging Business (“PSEB”) segment and is for sales made outside of the United States. In addition, Tech Data accounted for 24% of trade accounts receivable at both July 31, 2014 and January 31, 2014.</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4</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Financial Instruments</w:t>
      </w:r>
    </w:p>
    <w:p>
      <w:pPr>
        <w:spacing w:after="0" w:line="225"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following tables summarize the Company's financial instruments' amortized cost, gross unrealized gains, gross unrealized losses, and fair value by significant investment category as of July 31, 2014 and January 31, 2014:</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7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July 31, 2014</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860" w:type="dxa"/>
            <w:vAlign w:val="bottom"/>
          </w:tcPr>
          <w:p>
            <w:pPr>
              <w:jc w:val="center"/>
              <w:ind w:right="20"/>
              <w:spacing w:after="0" w:line="153" w:lineRule="exact"/>
              <w:rPr>
                <w:sz w:val="20"/>
                <w:szCs w:val="20"/>
                <w:color w:val="auto"/>
              </w:rPr>
            </w:pPr>
            <w:r>
              <w:rPr>
                <w:rFonts w:ascii="Arial" w:cs="Arial" w:eastAsia="Arial" w:hAnsi="Arial"/>
                <w:sz w:val="14"/>
                <w:szCs w:val="14"/>
                <w:b w:val="1"/>
                <w:bCs w:val="1"/>
                <w:color w:val="auto"/>
                <w:w w:val="88"/>
              </w:rPr>
              <w:t>Gross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2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40" w:type="dxa"/>
            <w:vAlign w:val="bottom"/>
          </w:tcPr>
          <w:p>
            <w:pPr>
              <w:spacing w:after="0"/>
              <w:rPr>
                <w:sz w:val="12"/>
                <w:szCs w:val="12"/>
                <w:color w:val="auto"/>
              </w:rPr>
            </w:pPr>
          </w:p>
        </w:tc>
        <w:tc>
          <w:tcPr>
            <w:tcW w:w="86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unrealized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74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5"/>
        </w:trPr>
        <w:tc>
          <w:tcPr>
            <w:tcW w:w="3740" w:type="dxa"/>
            <w:vAlign w:val="bottom"/>
          </w:tcPr>
          <w:p>
            <w:pPr>
              <w:spacing w:after="0"/>
              <w:rPr>
                <w:sz w:val="17"/>
                <w:szCs w:val="17"/>
                <w:color w:val="auto"/>
              </w:rPr>
            </w:pPr>
          </w:p>
        </w:tc>
        <w:tc>
          <w:tcPr>
            <w:tcW w:w="12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gains</w:t>
            </w:r>
          </w:p>
        </w:tc>
        <w:tc>
          <w:tcPr>
            <w:tcW w:w="140" w:type="dxa"/>
            <w:vAlign w:val="bottom"/>
          </w:tcPr>
          <w:p>
            <w:pPr>
              <w:spacing w:after="0"/>
              <w:rPr>
                <w:sz w:val="17"/>
                <w:szCs w:val="17"/>
                <w:color w:val="auto"/>
              </w:rPr>
            </w:pPr>
          </w:p>
        </w:tc>
        <w:tc>
          <w:tcPr>
            <w:tcW w:w="860" w:type="dxa"/>
            <w:vAlign w:val="bottom"/>
          </w:tcPr>
          <w:p>
            <w:pPr>
              <w:jc w:val="center"/>
              <w:ind w:right="20"/>
              <w:spacing w:after="0"/>
              <w:rPr>
                <w:sz w:val="20"/>
                <w:szCs w:val="20"/>
                <w:color w:val="auto"/>
              </w:rPr>
            </w:pPr>
            <w:r>
              <w:rPr>
                <w:rFonts w:ascii="Arial" w:cs="Arial" w:eastAsia="Arial" w:hAnsi="Arial"/>
                <w:sz w:val="14"/>
                <w:szCs w:val="14"/>
                <w:b w:val="1"/>
                <w:bCs w:val="1"/>
                <w:color w:val="auto"/>
                <w:w w:val="82"/>
              </w:rPr>
              <w:t>losses</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320"/>
              <w:spacing w:after="0"/>
              <w:rPr>
                <w:sz w:val="20"/>
                <w:szCs w:val="20"/>
                <w:color w:val="auto"/>
              </w:rPr>
            </w:pPr>
            <w:r>
              <w:rPr>
                <w:rFonts w:ascii="Arial" w:cs="Arial" w:eastAsia="Arial" w:hAnsi="Arial"/>
                <w:sz w:val="16"/>
                <w:szCs w:val="16"/>
                <w:color w:val="auto"/>
              </w:rPr>
              <w:t>Certificates of deposit and time deposits</w:t>
            </w:r>
          </w:p>
        </w:tc>
        <w:tc>
          <w:tcPr>
            <w:tcW w:w="3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202.3</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202.3</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14.7</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187.6</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Commercial paper</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226.8</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226.8</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40" w:type="dxa"/>
            <w:vAlign w:val="bottom"/>
          </w:tcPr>
          <w:p>
            <w:pPr>
              <w:ind w:left="320"/>
              <w:spacing w:after="0"/>
              <w:rPr>
                <w:sz w:val="20"/>
                <w:szCs w:val="20"/>
                <w:color w:val="auto"/>
              </w:rPr>
            </w:pPr>
            <w:r>
              <w:rPr>
                <w:rFonts w:ascii="Arial" w:cs="Arial" w:eastAsia="Arial" w:hAnsi="Arial"/>
                <w:sz w:val="16"/>
                <w:szCs w:val="16"/>
                <w:color w:val="auto"/>
              </w:rPr>
              <w:t>Municipal securities</w:t>
            </w:r>
          </w:p>
        </w:tc>
        <w:tc>
          <w:tcPr>
            <w:tcW w:w="3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Money market funds</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91.3</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91.3</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40" w:type="dxa"/>
            <w:vAlign w:val="bottom"/>
          </w:tcPr>
          <w:p>
            <w:pPr>
              <w:ind w:left="40"/>
              <w:spacing w:after="0"/>
              <w:rPr>
                <w:sz w:val="20"/>
                <w:szCs w:val="20"/>
                <w:color w:val="auto"/>
              </w:rPr>
            </w:pPr>
            <w:r>
              <w:rPr>
                <w:rFonts w:ascii="Arial" w:cs="Arial" w:eastAsia="Arial" w:hAnsi="Arial"/>
                <w:sz w:val="16"/>
                <w:szCs w:val="16"/>
                <w:color w:val="auto"/>
              </w:rPr>
              <w:t>Marketable securities:</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Short-term available for sale</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540"/>
              <w:spacing w:after="0"/>
              <w:rPr>
                <w:sz w:val="20"/>
                <w:szCs w:val="20"/>
                <w:color w:val="auto"/>
              </w:rPr>
            </w:pPr>
            <w:r>
              <w:rPr>
                <w:rFonts w:ascii="Arial" w:cs="Arial" w:eastAsia="Arial" w:hAnsi="Arial"/>
                <w:sz w:val="16"/>
                <w:szCs w:val="16"/>
                <w:color w:val="auto"/>
                <w:w w:val="93"/>
              </w:rPr>
              <w:t>Commercial paper and corporate debt securities</w:t>
            </w:r>
          </w:p>
        </w:tc>
        <w:tc>
          <w:tcPr>
            <w:tcW w:w="3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382.1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382.1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115.3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266.8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Time deposits</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116.6</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116.6</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40" w:type="dxa"/>
            <w:vAlign w:val="bottom"/>
          </w:tcPr>
          <w:p>
            <w:pPr>
              <w:ind w:left="540"/>
              <w:spacing w:after="0"/>
              <w:rPr>
                <w:sz w:val="20"/>
                <w:szCs w:val="20"/>
                <w:color w:val="auto"/>
              </w:rPr>
            </w:pPr>
            <w:r>
              <w:rPr>
                <w:rFonts w:ascii="Arial" w:cs="Arial" w:eastAsia="Arial" w:hAnsi="Arial"/>
                <w:sz w:val="16"/>
                <w:szCs w:val="16"/>
                <w:color w:val="auto"/>
              </w:rPr>
              <w:t>Agency bond</w:t>
            </w:r>
          </w:p>
        </w:tc>
        <w:tc>
          <w:tcPr>
            <w:tcW w:w="3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U.S. government agency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40" w:type="dxa"/>
            <w:vAlign w:val="bottom"/>
          </w:tcPr>
          <w:p>
            <w:pPr>
              <w:ind w:left="540"/>
              <w:spacing w:after="0"/>
              <w:rPr>
                <w:sz w:val="20"/>
                <w:szCs w:val="20"/>
                <w:color w:val="auto"/>
              </w:rPr>
            </w:pPr>
            <w:r>
              <w:rPr>
                <w:rFonts w:ascii="Arial" w:cs="Arial" w:eastAsia="Arial" w:hAnsi="Arial"/>
                <w:sz w:val="16"/>
                <w:szCs w:val="16"/>
                <w:color w:val="auto"/>
              </w:rPr>
              <w:t>U.S. treasury bills</w:t>
            </w:r>
          </w:p>
        </w:tc>
        <w:tc>
          <w:tcPr>
            <w:tcW w:w="3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Municipal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40" w:type="dxa"/>
            <w:vAlign w:val="bottom"/>
          </w:tcPr>
          <w:p>
            <w:pPr>
              <w:ind w:left="540"/>
              <w:spacing w:after="0"/>
              <w:rPr>
                <w:sz w:val="20"/>
                <w:szCs w:val="20"/>
                <w:color w:val="auto"/>
              </w:rPr>
            </w:pPr>
            <w:r>
              <w:rPr>
                <w:rFonts w:ascii="Arial" w:cs="Arial" w:eastAsia="Arial" w:hAnsi="Arial"/>
                <w:sz w:val="16"/>
                <w:szCs w:val="16"/>
                <w:color w:val="auto"/>
              </w:rPr>
              <w:t>Other (2)</w:t>
            </w:r>
          </w:p>
        </w:tc>
        <w:tc>
          <w:tcPr>
            <w:tcW w:w="3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9.7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9.7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Short-term trading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540"/>
              <w:spacing w:after="0"/>
              <w:rPr>
                <w:sz w:val="20"/>
                <w:szCs w:val="20"/>
                <w:color w:val="auto"/>
              </w:rPr>
            </w:pPr>
            <w:r>
              <w:rPr>
                <w:rFonts w:ascii="Arial" w:cs="Arial" w:eastAsia="Arial" w:hAnsi="Arial"/>
                <w:sz w:val="16"/>
                <w:szCs w:val="16"/>
                <w:color w:val="auto"/>
              </w:rPr>
              <w:t>Mutual funds</w:t>
            </w:r>
          </w:p>
        </w:tc>
        <w:tc>
          <w:tcPr>
            <w:tcW w:w="3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37.7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42.9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42.9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Long-term available for sale</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540"/>
              <w:spacing w:after="0"/>
              <w:rPr>
                <w:sz w:val="20"/>
                <w:szCs w:val="20"/>
                <w:color w:val="auto"/>
              </w:rPr>
            </w:pPr>
            <w:r>
              <w:rPr>
                <w:rFonts w:ascii="Arial" w:cs="Arial" w:eastAsia="Arial" w:hAnsi="Arial"/>
                <w:sz w:val="16"/>
                <w:szCs w:val="16"/>
                <w:color w:val="auto"/>
              </w:rPr>
              <w:t>Corporate debt securities</w:t>
            </w:r>
          </w:p>
        </w:tc>
        <w:tc>
          <w:tcPr>
            <w:tcW w:w="3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186.1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0.3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(0.2)</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186.2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186.2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Agency bond</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40.7</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40" w:type="dxa"/>
            <w:vAlign w:val="bottom"/>
          </w:tcPr>
          <w:p>
            <w:pPr>
              <w:ind w:left="540"/>
              <w:spacing w:after="0"/>
              <w:rPr>
                <w:sz w:val="20"/>
                <w:szCs w:val="20"/>
                <w:color w:val="auto"/>
              </w:rPr>
            </w:pPr>
            <w:r>
              <w:rPr>
                <w:rFonts w:ascii="Arial" w:cs="Arial" w:eastAsia="Arial" w:hAnsi="Arial"/>
                <w:sz w:val="16"/>
                <w:szCs w:val="16"/>
                <w:color w:val="auto"/>
              </w:rPr>
              <w:t>U.S. government agency securities</w:t>
            </w:r>
          </w:p>
        </w:tc>
        <w:tc>
          <w:tcPr>
            <w:tcW w:w="3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Municipal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40" w:type="dxa"/>
            <w:vAlign w:val="bottom"/>
          </w:tcPr>
          <w:p>
            <w:pPr>
              <w:ind w:left="40"/>
              <w:spacing w:after="0"/>
              <w:rPr>
                <w:sz w:val="20"/>
                <w:szCs w:val="20"/>
                <w:color w:val="auto"/>
              </w:rPr>
            </w:pPr>
            <w:r>
              <w:rPr>
                <w:rFonts w:ascii="Arial" w:cs="Arial" w:eastAsia="Arial" w:hAnsi="Arial"/>
                <w:sz w:val="16"/>
                <w:szCs w:val="16"/>
                <w:color w:val="auto"/>
              </w:rPr>
              <w:t>Convertible debt securities (3)</w:t>
            </w:r>
          </w:p>
        </w:tc>
        <w:tc>
          <w:tcPr>
            <w:tcW w:w="3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16.1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contracts (4)</w:t>
            </w: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44"/>
        </w:trPr>
        <w:tc>
          <w:tcPr>
            <w:tcW w:w="3740" w:type="dxa"/>
            <w:vAlign w:val="bottom"/>
          </w:tcPr>
          <w:p>
            <w:pPr>
              <w:ind w:left="54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1,385.1</w:t>
            </w:r>
          </w:p>
        </w:tc>
        <w:tc>
          <w:tcPr>
            <w:tcW w:w="16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17.3</w:t>
            </w:r>
          </w:p>
        </w:tc>
        <w:tc>
          <w:tcPr>
            <w:tcW w:w="16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40" w:type="dxa"/>
            <w:vAlign w:val="bottom"/>
            <w:tcBorders>
              <w:top w:val="single" w:sz="8" w:color="auto"/>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1,391.0</w:t>
            </w:r>
          </w:p>
        </w:tc>
        <w:tc>
          <w:tcPr>
            <w:tcW w:w="16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478.7</w:t>
            </w:r>
          </w:p>
        </w:tc>
        <w:tc>
          <w:tcPr>
            <w:tcW w:w="1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894.0</w:t>
            </w:r>
          </w:p>
        </w:tc>
        <w:tc>
          <w:tcPr>
            <w:tcW w:w="1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Consists of agency discount notes, certificates of deposit, and other short-term securities.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Considered “available for sale” and included in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Included in “Prepaid expenses and other current assets,” “Other assets,” or “Other accrued liabilities” in the accompanying Condensed Consolidated Balance Sheets.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5"/>
        </w:trPr>
        <w:tc>
          <w:tcPr>
            <w:tcW w:w="36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January 31, 2014</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660" w:type="dxa"/>
            <w:vAlign w:val="bottom"/>
          </w:tcPr>
          <w:p>
            <w:pPr>
              <w:spacing w:after="0"/>
              <w:rPr>
                <w:sz w:val="13"/>
                <w:szCs w:val="13"/>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240" w:type="dxa"/>
            <w:vAlign w:val="bottom"/>
          </w:tcPr>
          <w:p>
            <w:pPr>
              <w:spacing w:after="0"/>
              <w:rPr>
                <w:sz w:val="13"/>
                <w:szCs w:val="13"/>
                <w:color w:val="auto"/>
              </w:rPr>
            </w:pPr>
          </w:p>
        </w:tc>
        <w:tc>
          <w:tcPr>
            <w:tcW w:w="9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Gross</w:t>
            </w:r>
          </w:p>
        </w:tc>
        <w:tc>
          <w:tcPr>
            <w:tcW w:w="1320" w:type="dxa"/>
            <w:vAlign w:val="bottom"/>
            <w:gridSpan w:val="3"/>
          </w:tcPr>
          <w:p>
            <w:pPr>
              <w:jc w:val="center"/>
              <w:ind w:right="160"/>
              <w:spacing w:after="0" w:line="153" w:lineRule="exact"/>
              <w:rPr>
                <w:sz w:val="20"/>
                <w:szCs w:val="20"/>
                <w:color w:val="auto"/>
              </w:rPr>
            </w:pPr>
            <w:r>
              <w:rPr>
                <w:rFonts w:ascii="Arial" w:cs="Arial" w:eastAsia="Arial" w:hAnsi="Arial"/>
                <w:sz w:val="14"/>
                <w:szCs w:val="14"/>
                <w:b w:val="1"/>
                <w:bCs w:val="1"/>
                <w:color w:val="auto"/>
                <w:w w:val="91"/>
              </w:rPr>
              <w:t>Gross unrealized</w:t>
            </w:r>
          </w:p>
        </w:tc>
        <w:tc>
          <w:tcPr>
            <w:tcW w:w="120" w:type="dxa"/>
            <w:vAlign w:val="bottom"/>
          </w:tcPr>
          <w:p>
            <w:pPr>
              <w:spacing w:after="0"/>
              <w:rPr>
                <w:sz w:val="13"/>
                <w:szCs w:val="13"/>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3"/>
                <w:szCs w:val="13"/>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74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5"/>
        </w:trPr>
        <w:tc>
          <w:tcPr>
            <w:tcW w:w="3660" w:type="dxa"/>
            <w:vAlign w:val="bottom"/>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unrealized gains</w:t>
            </w:r>
          </w:p>
        </w:tc>
        <w:tc>
          <w:tcPr>
            <w:tcW w:w="260" w:type="dxa"/>
            <w:vAlign w:val="bottom"/>
          </w:tcPr>
          <w:p>
            <w:pPr>
              <w:spacing w:after="0"/>
              <w:rPr>
                <w:sz w:val="17"/>
                <w:szCs w:val="17"/>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77"/>
              </w:rPr>
              <w:t>losses</w:t>
            </w:r>
          </w:p>
        </w:tc>
        <w:tc>
          <w:tcPr>
            <w:tcW w:w="1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340"/>
              <w:spacing w:after="0"/>
              <w:rPr>
                <w:sz w:val="20"/>
                <w:szCs w:val="20"/>
                <w:color w:val="auto"/>
              </w:rPr>
            </w:pPr>
            <w:r>
              <w:rPr>
                <w:rFonts w:ascii="Arial" w:cs="Arial" w:eastAsia="Arial" w:hAnsi="Arial"/>
                <w:sz w:val="16"/>
                <w:szCs w:val="16"/>
                <w:color w:val="auto"/>
              </w:rPr>
              <w:t>Certificates of deposit and time deposits</w:t>
            </w: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280.7</w:t>
            </w:r>
          </w:p>
        </w:tc>
        <w:tc>
          <w:tcPr>
            <w:tcW w:w="14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280.7</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30.4</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250.3</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Commercial paper</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280.5</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280.5</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280.5</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340"/>
              <w:spacing w:after="0"/>
              <w:rPr>
                <w:sz w:val="20"/>
                <w:szCs w:val="20"/>
                <w:color w:val="auto"/>
              </w:rPr>
            </w:pPr>
            <w:r>
              <w:rPr>
                <w:rFonts w:ascii="Arial" w:cs="Arial" w:eastAsia="Arial" w:hAnsi="Arial"/>
                <w:sz w:val="16"/>
                <w:szCs w:val="16"/>
                <w:color w:val="auto"/>
              </w:rPr>
              <w:t>Municipal securities</w:t>
            </w:r>
          </w:p>
        </w:tc>
        <w:tc>
          <w:tcPr>
            <w:tcW w:w="28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Money market funds</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262.8</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262.8</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Marketable securities:</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Short-term available for sale</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660" w:type="dxa"/>
            <w:vAlign w:val="bottom"/>
          </w:tcPr>
          <w:p>
            <w:pPr>
              <w:ind w:left="540"/>
              <w:spacing w:after="0"/>
              <w:rPr>
                <w:sz w:val="20"/>
                <w:szCs w:val="20"/>
                <w:color w:val="auto"/>
              </w:rPr>
            </w:pPr>
            <w:r>
              <w:rPr>
                <w:rFonts w:ascii="Arial" w:cs="Arial" w:eastAsia="Arial" w:hAnsi="Arial"/>
                <w:sz w:val="16"/>
                <w:szCs w:val="16"/>
                <w:color w:val="auto"/>
              </w:rPr>
              <w:t>Commercial paper and corporate debt</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720"/>
              <w:spacing w:after="0"/>
              <w:rPr>
                <w:sz w:val="20"/>
                <w:szCs w:val="20"/>
                <w:color w:val="auto"/>
              </w:rPr>
            </w:pPr>
            <w:r>
              <w:rPr>
                <w:rFonts w:ascii="Arial" w:cs="Arial" w:eastAsia="Arial" w:hAnsi="Arial"/>
                <w:sz w:val="16"/>
                <w:szCs w:val="16"/>
                <w:color w:val="auto"/>
              </w:rPr>
              <w:t>securities</w:t>
            </w:r>
          </w:p>
        </w:tc>
        <w:tc>
          <w:tcPr>
            <w:tcW w:w="28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261.0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261.0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95.4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165.6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Time deposits</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540"/>
              <w:spacing w:after="0"/>
              <w:rPr>
                <w:sz w:val="20"/>
                <w:szCs w:val="20"/>
                <w:color w:val="auto"/>
              </w:rPr>
            </w:pPr>
            <w:r>
              <w:rPr>
                <w:rFonts w:ascii="Arial" w:cs="Arial" w:eastAsia="Arial" w:hAnsi="Arial"/>
                <w:sz w:val="16"/>
                <w:szCs w:val="16"/>
                <w:color w:val="auto"/>
              </w:rPr>
              <w:t>Agency bond</w:t>
            </w:r>
          </w:p>
        </w:tc>
        <w:tc>
          <w:tcPr>
            <w:tcW w:w="28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42.7</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42.7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42.7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U.S. government agency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540"/>
              <w:spacing w:after="0"/>
              <w:rPr>
                <w:sz w:val="20"/>
                <w:szCs w:val="20"/>
                <w:color w:val="auto"/>
              </w:rPr>
            </w:pPr>
            <w:r>
              <w:rPr>
                <w:rFonts w:ascii="Arial" w:cs="Arial" w:eastAsia="Arial" w:hAnsi="Arial"/>
                <w:sz w:val="16"/>
                <w:szCs w:val="16"/>
                <w:color w:val="auto"/>
              </w:rPr>
              <w:t>Municipal securities</w:t>
            </w:r>
          </w:p>
        </w:tc>
        <w:tc>
          <w:tcPr>
            <w:tcW w:w="28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11.7</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11.7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Other (2)</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340"/>
              <w:spacing w:after="0"/>
              <w:rPr>
                <w:sz w:val="20"/>
                <w:szCs w:val="20"/>
                <w:color w:val="auto"/>
              </w:rPr>
            </w:pPr>
            <w:r>
              <w:rPr>
                <w:rFonts w:ascii="Arial" w:cs="Arial" w:eastAsia="Arial" w:hAnsi="Arial"/>
                <w:sz w:val="16"/>
                <w:szCs w:val="16"/>
                <w:color w:val="auto"/>
              </w:rPr>
              <w:t>Short-term trading securities</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Mutual funds</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38.9</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340"/>
              <w:spacing w:after="0"/>
              <w:rPr>
                <w:sz w:val="20"/>
                <w:szCs w:val="20"/>
                <w:color w:val="auto"/>
              </w:rPr>
            </w:pPr>
            <w:r>
              <w:rPr>
                <w:rFonts w:ascii="Arial" w:cs="Arial" w:eastAsia="Arial" w:hAnsi="Arial"/>
                <w:sz w:val="16"/>
                <w:szCs w:val="16"/>
                <w:color w:val="auto"/>
              </w:rPr>
              <w:t>Long-term available for sale</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Corporate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179.7</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180.3</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180.3</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540"/>
              <w:spacing w:after="0"/>
              <w:rPr>
                <w:sz w:val="20"/>
                <w:szCs w:val="20"/>
                <w:color w:val="auto"/>
              </w:rPr>
            </w:pPr>
            <w:r>
              <w:rPr>
                <w:rFonts w:ascii="Arial" w:cs="Arial" w:eastAsia="Arial" w:hAnsi="Arial"/>
                <w:sz w:val="16"/>
                <w:szCs w:val="16"/>
                <w:color w:val="auto"/>
              </w:rPr>
              <w:t>Agency bond</w:t>
            </w:r>
          </w:p>
        </w:tc>
        <w:tc>
          <w:tcPr>
            <w:tcW w:w="28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43.3</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43.4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43.4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U.S. government agency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540"/>
              <w:spacing w:after="0"/>
              <w:rPr>
                <w:sz w:val="20"/>
                <w:szCs w:val="20"/>
                <w:color w:val="auto"/>
              </w:rPr>
            </w:pPr>
            <w:r>
              <w:rPr>
                <w:rFonts w:ascii="Arial" w:cs="Arial" w:eastAsia="Arial" w:hAnsi="Arial"/>
                <w:sz w:val="16"/>
                <w:szCs w:val="16"/>
                <w:color w:val="auto"/>
              </w:rPr>
              <w:t>Municipal securities</w:t>
            </w:r>
          </w:p>
        </w:tc>
        <w:tc>
          <w:tcPr>
            <w:tcW w:w="28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43.5</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43.8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43.8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Convertible debt securities (3)</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Derivative contracts (4)</w:t>
            </w:r>
          </w:p>
        </w:tc>
        <w:tc>
          <w:tcPr>
            <w:tcW w:w="28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14.8</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19.6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10.5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1,545.3</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22.4</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1,557.2</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521.1</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1,006.8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Consists of agency discount notes, U.S. treasury bills, and other short-term securities.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Considered “available for sale” and included in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5"/>
          <w:szCs w:val="15"/>
          <w:color w:val="auto"/>
        </w:rPr>
      </w:pPr>
      <w:r>
        <w:rPr>
          <w:rFonts w:ascii="Arial" w:cs="Arial" w:eastAsia="Arial" w:hAnsi="Arial"/>
          <w:sz w:val="15"/>
          <w:szCs w:val="15"/>
          <w:color w:val="auto"/>
        </w:rPr>
        <w:t>Included in “Prepaid expenses and other current assets,” “Other assets,” or “Other accrued liabilities” in the accompanying Condensed Consolidated Balance Sheets.</w:t>
      </w:r>
    </w:p>
    <w:p>
      <w:pPr>
        <w:spacing w:after="0" w:line="214"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Autodesk classifies its marketable securities as either short-term or long-term based on each instrument’s underlying contractual maturity date. Marketable securities with remaining maturities of less than 12 months are classified as short-term and marketable securities with remaining maturities greater than 12 months are classified as long-term. Autodesk may sell certain of its marketable securities prior to their stated maturities for strategic purposes or in anticipation of credit deterioration.</w:t>
      </w:r>
    </w:p>
    <w:p>
      <w:pPr>
        <w:spacing w:after="0" w:line="160"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Autodesk applies fair value accounting for certain financial assets and liabilities, which consist of cash equivalents, marketable securities and other financial instruments, on a recurring basis. The Company defines fair value as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 (Level 1) observable inputs such as quoted prices in active markets; (Level 2)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 and (Level 3) unobservable inputs for which there is little or no market data, which require Autodesk to develop its own assumptions. When determining fair value, Autodesk uses observable market data and relies on unobservable inputs only when observable market data is not available. There have been no transfers between fair value measurement levels during the three and six months ended July 31, 2014.</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008" w:right="239" w:bottom="1440" w:gutter="0" w:footer="0" w:header="0"/>
        </w:sectPr>
      </w:pPr>
    </w:p>
    <w:bookmarkStart w:id="10" w:name="page11"/>
    <w:bookmarkEnd w:id="10"/>
    <w:p>
      <w:pPr>
        <w:ind w:firstLine="405"/>
        <w:spacing w:after="0" w:line="255" w:lineRule="auto"/>
        <w:rPr>
          <w:sz w:val="20"/>
          <w:szCs w:val="20"/>
          <w:color w:val="auto"/>
        </w:rPr>
      </w:pPr>
      <w:r>
        <w:rPr>
          <w:rFonts w:ascii="Arial" w:cs="Arial" w:eastAsia="Arial" w:hAnsi="Arial"/>
          <w:sz w:val="18"/>
          <w:szCs w:val="18"/>
          <w:color w:val="auto"/>
        </w:rPr>
        <w:t>Autodesk's cash equivalents, marketable securities and financial instruments are primarily classified within Level 1 or Level 2 of the fair value hierarchy. Autodesk values its available for sale securities on pricing from pricing vendors, who may use quoted prices in active markets for identical assets (Level 1) or inputs other than quoted prices that are observable either directly or indirectly in determining fair value (Level 2). Autodesk's Level 2 securities are valued primarily using observable inputs other than quoted prices in active markets for identical assets and liabilities. Autodesk's Level 3 securities consist of investments held in convertible debt securities and derivative contracts which are valued using probability weighted discounted cash flow models as some of the inputs to the models are unobservable in the market.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change in Autodesk’s Level 3 items for the six months ended July 31, 2014 was as follows:</w:t>
      </w:r>
    </w:p>
    <w:p>
      <w:pPr>
        <w:spacing w:after="0" w:line="379"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Fair Value Measurements Using</w:t>
      </w:r>
    </w:p>
    <w:p>
      <w:pPr>
        <w:spacing w:after="0" w:line="4"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13335</wp:posOffset>
            </wp:positionV>
            <wp:extent cx="25984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9"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23495</wp:posOffset>
            </wp:positionV>
            <wp:extent cx="25984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Derivative</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Convertible Debt</w:t>
            </w:r>
          </w:p>
        </w:tc>
        <w:tc>
          <w:tcPr>
            <w:tcW w:w="300" w:type="dxa"/>
            <w:vAlign w:val="bottom"/>
          </w:tcPr>
          <w:p>
            <w:pPr>
              <w:spacing w:after="0"/>
              <w:rPr>
                <w:sz w:val="14"/>
                <w:szCs w:val="14"/>
                <w:color w:val="auto"/>
              </w:rPr>
            </w:pPr>
          </w:p>
        </w:tc>
        <w:tc>
          <w:tcPr>
            <w:tcW w:w="96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Contracts</w:t>
            </w:r>
          </w:p>
        </w:tc>
        <w:tc>
          <w:tcPr>
            <w:tcW w:w="2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Securities</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January 31, 2014</w:t>
            </w: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Purchases</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Settlements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Net realized (losses)</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unrealized (losses)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44"/>
        </w:trPr>
        <w:tc>
          <w:tcPr>
            <w:tcW w:w="7440" w:type="dxa"/>
            <w:vAlign w:val="bottom"/>
          </w:tcPr>
          <w:p>
            <w:pPr>
              <w:ind w:left="40"/>
              <w:spacing w:after="0"/>
              <w:rPr>
                <w:sz w:val="20"/>
                <w:szCs w:val="20"/>
                <w:color w:val="auto"/>
              </w:rPr>
            </w:pPr>
            <w:r>
              <w:rPr>
                <w:rFonts w:ascii="Arial" w:cs="Arial" w:eastAsia="Arial" w:hAnsi="Arial"/>
                <w:sz w:val="16"/>
                <w:szCs w:val="16"/>
                <w:color w:val="auto"/>
              </w:rPr>
              <w:t>Balance at July 31, 2014</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following table summarizes the estimated fair value of Autodesk's “available-for-sale securities” classified by the contractual maturity date of the security:</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31, 2014</w:t>
            </w:r>
          </w:p>
        </w:tc>
        <w:tc>
          <w:tcPr>
            <w:tcW w:w="106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w w:val="95"/>
              </w:rPr>
              <w:t>Fair Value</w:t>
            </w:r>
          </w:p>
        </w:tc>
      </w:tr>
      <w:tr>
        <w:trPr>
          <w:trHeight w:val="23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in 1 year</w:t>
            </w: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9"/>
              </w:rPr>
              <w:t>540.3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540.4</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Due in 1 year through 5 years</w:t>
            </w:r>
          </w:p>
        </w:tc>
        <w:tc>
          <w:tcPr>
            <w:tcW w:w="900" w:type="dxa"/>
            <w:vAlign w:val="bottom"/>
          </w:tcPr>
          <w:p>
            <w:pPr>
              <w:spacing w:after="0"/>
              <w:rPr>
                <w:sz w:val="20"/>
                <w:szCs w:val="20"/>
                <w:color w:val="auto"/>
              </w:rPr>
            </w:pPr>
          </w:p>
        </w:tc>
        <w:tc>
          <w:tcPr>
            <w:tcW w:w="520" w:type="dxa"/>
            <w:vAlign w:val="bottom"/>
          </w:tcPr>
          <w:p>
            <w:pPr>
              <w:jc w:val="right"/>
              <w:ind w:right="21"/>
              <w:spacing w:after="0"/>
              <w:rPr>
                <w:sz w:val="20"/>
                <w:szCs w:val="20"/>
                <w:color w:val="auto"/>
              </w:rPr>
            </w:pPr>
            <w:r>
              <w:rPr>
                <w:rFonts w:ascii="Arial" w:cs="Arial" w:eastAsia="Arial" w:hAnsi="Arial"/>
                <w:sz w:val="16"/>
                <w:szCs w:val="16"/>
                <w:color w:val="auto"/>
                <w:w w:val="99"/>
              </w:rPr>
              <w:t>278.0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276.3</w:t>
            </w:r>
          </w:p>
        </w:tc>
      </w:tr>
      <w:tr>
        <w:trPr>
          <w:trHeight w:val="33"/>
        </w:trPr>
        <w:tc>
          <w:tcPr>
            <w:tcW w:w="8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99"/>
              </w:rPr>
              <w:t>818.3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816.7</w:t>
            </w:r>
          </w:p>
        </w:tc>
      </w:tr>
      <w:tr>
        <w:trPr>
          <w:trHeight w:val="20"/>
        </w:trPr>
        <w:tc>
          <w:tcPr>
            <w:tcW w:w="8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July 31, 2014 and January 31, 2014, Autodesk did not have any securities in a continuous unrealized loss position for greater than twelve months.</w:t>
      </w:r>
    </w:p>
    <w:p>
      <w:pPr>
        <w:spacing w:after="0" w:line="248"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Autodesk also has direct investments in privately held companies accounted for under the cost method, which are periodically assessed for other-than-temporary impairment. If Autodesk determines that an other-than-temporary impairment has occurred, Autodesk writes down the investment to its fair value. Autodesk estimates fair value of its cost method investments considering available information such as pricing in recent rounds of financing, current cash positions, earnings and cash flow forecasts, recent operational performance and any other readily available market data. During the six months ended July 31, 2014, Autodesk recorded a $3.2 million other-than-temporary impairment on its privately held equity investments. During the six months ended July 31, 2013, Autodesk recorded no other-than-temporary impairment on its privately held equity investments.</w:t>
      </w:r>
    </w:p>
    <w:p>
      <w:pPr>
        <w:spacing w:after="0" w:line="260"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The sales or redemptions of “available-for-sale securities” during the six months ended July 31, 2014 and 2013 resulted in a gain of $0.6 million and a loss of $0.2 million, respectively. Gains and losses resulting from the sale or redemption of "available-for-sale securities" are recorded in “Interest and other (expense) income, net” on the Company's Condensed Consolidated Statement of Operations.</w:t>
      </w:r>
    </w:p>
    <w:p>
      <w:pPr>
        <w:spacing w:after="0" w:line="262"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Proceeds from the sale and maturity of marketable securities for the six months ended July 31, 2014 and 2013 were $534.4 million and $447.0 million,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ind w:left="220"/>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Under its risk management strategy, Autodesk uses derivative instruments to manage its short-term exposures to fluctuations in foreign currency exchange rates which exist as part of ongoing business operations. Autodesk's general practice is to hedge a portion of transaction exposures denominated in euros, Japanese yen, Swiss francs, British pounds, Canadian dollars and Australian dollars. These instruments have maturities between one to twelve months in the future. Autodesk does not enter into derivative instrument transactions for trading or speculative purposes.</w:t>
      </w:r>
    </w:p>
    <w:p>
      <w:pPr>
        <w:spacing w:after="0" w:line="171"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The bank counterparties to the derivative contracts potentially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 Autodesk generally enters into master netting arrangements, which reduce credit risk by permitting net settlement of transactions with the same counterparty. However, Autodesk does not have any master netting arrangements in place with collateral features.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Foreign currency contracts designated as cash flow hedges</w:t>
      </w:r>
    </w:p>
    <w:p>
      <w:pPr>
        <w:spacing w:after="0" w:line="229" w:lineRule="exact"/>
        <w:rPr>
          <w:sz w:val="20"/>
          <w:szCs w:val="20"/>
          <w:color w:val="auto"/>
        </w:rPr>
      </w:pPr>
    </w:p>
    <w:p>
      <w:pPr>
        <w:ind w:right="100" w:firstLine="405"/>
        <w:spacing w:after="0" w:line="290" w:lineRule="auto"/>
        <w:rPr>
          <w:sz w:val="20"/>
          <w:szCs w:val="20"/>
          <w:color w:val="auto"/>
        </w:rPr>
      </w:pPr>
      <w:r>
        <w:rPr>
          <w:rFonts w:ascii="Arial" w:cs="Arial" w:eastAsia="Arial" w:hAnsi="Arial"/>
          <w:sz w:val="16"/>
          <w:szCs w:val="16"/>
          <w:color w:val="auto"/>
        </w:rPr>
        <w:t>Autodesk uses foreign currency contracts to reduce the exchange rate impact on a portion of the net revenue or operating expense of certain anticipated transactions. These contracts are designated and documented as cash flow hedges. The effectiveness of the cash flow hedge contracts is assessed quarterly using regression analysis as well as other timing and probability criteria. To receive cash flow hedge accounting treatment, all hedging relationships are formally documented at the inception of the hedge and the hedges are expected to be highly effective in offsetting changes to future cash flows on hedged transactions. The gross gains and losses on these hedges are included in “Accumulated other comprehensive income (loss)” and are reclassified into earnings at the time the forecasted revenue or expense is recognized. In the event the underlying forecasted transaction does not occur, or it becomes probable that it will not occur, Autodesk reclassifies the gain or loss on the related cash flow hedge from “Accumulated other comprehensive income (loss)” to “Interest and other (expense) income, net” in the Company's Condensed Consolidated Financial Statements at that time.</w:t>
      </w:r>
    </w:p>
    <w:p>
      <w:pPr>
        <w:spacing w:after="0" w:line="166" w:lineRule="exact"/>
        <w:rPr>
          <w:sz w:val="20"/>
          <w:szCs w:val="20"/>
          <w:color w:val="auto"/>
        </w:rPr>
      </w:pPr>
    </w:p>
    <w:p>
      <w:pPr>
        <w:ind w:right="120" w:firstLine="405"/>
        <w:spacing w:after="0" w:line="312" w:lineRule="auto"/>
        <w:rPr>
          <w:sz w:val="20"/>
          <w:szCs w:val="20"/>
          <w:color w:val="auto"/>
        </w:rPr>
      </w:pPr>
      <w:r>
        <w:rPr>
          <w:rFonts w:ascii="Arial" w:cs="Arial" w:eastAsia="Arial" w:hAnsi="Arial"/>
          <w:sz w:val="16"/>
          <w:szCs w:val="16"/>
          <w:color w:val="auto"/>
        </w:rPr>
        <w:t>The net notional amount of these contracts are presented net settled and were $403.0 million at July 31, 2014 and $351.7 million at January 31, 2014. Outstanding contracts are recognized as either assets or liabilities on the balance sheet at fair value. The majority of the net gain of $2.0 million remaining in “Accumulated other comprehensive income (loss)” as of July 31, 2014 is expected to be recognized into earnings within the next twelve months.</w:t>
      </w:r>
    </w:p>
    <w:p>
      <w:pPr>
        <w:spacing w:after="0" w:line="14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Derivatives not designated as hedging instruments</w:t>
      </w:r>
    </w:p>
    <w:p>
      <w:pPr>
        <w:spacing w:after="0" w:line="229"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Autodesk uses foreign currency contracts which are not designated as hedging instruments to reduce the exchange rate risk associated primarily with foreign currency denominated receivables and payables. These forward contracts are marked-to-market at the end of each fiscal quarter with gains and losses recognized as “Interest and other (expense) income, net.” These derivative instruments do not subject the Company to material balance sheet risk due to exchange rate movements because gains and losses on these derivative instruments are intended to offset the gains or losses resulting from the settlement of the underlying foreign currency denominated receivables and payables. The net notional amounts of these foreign currency contracts are presented net settled and were $5.2 million at July 31, 2014 and $205.5 million at January 31, 2014.</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From time to time and consistent with its risk management practices, Autodesk also uses derivative instruments to hedge its economic exposure related to committed, in-process acquisitions priced in foreign currency. Such derivatives do not qualify for hedge accounting and are marked-to-market through earnings, with any gain or loss reflected immediately in “Interest and other (expense) income, net,” in each period.</w:t>
      </w:r>
    </w:p>
    <w:p>
      <w:pPr>
        <w:spacing w:after="0" w:line="181"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In addition to these foreign currency contracts, Autodesk holds derivative instruments issued by privately held companies, which are not designated as hedging instruments. These derivatives consist of certain conversion options on the convertible debt securities held by Autodesk and an option to acquire a privately held company. These derivatives are recorded at fair value as of each balance sheet date and are recorded in “Other assets.” Changes in the fair values of these instruments are recognized in income as “Interest and other (expense) income, net.”</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ind w:left="260"/>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fair value of derivative instruments in Autodesk’s Condensed Consolidated Balance Sheets were as follows as of July 31, 2014 and January 31, 2014:</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1060"/>
              <w:spacing w:after="0"/>
              <w:rPr>
                <w:sz w:val="20"/>
                <w:szCs w:val="20"/>
                <w:color w:val="auto"/>
              </w:rPr>
            </w:pPr>
            <w:r>
              <w:rPr>
                <w:rFonts w:ascii="Arial" w:cs="Arial" w:eastAsia="Arial" w:hAnsi="Arial"/>
                <w:sz w:val="14"/>
                <w:szCs w:val="14"/>
                <w:b w:val="1"/>
                <w:bCs w:val="1"/>
                <w:color w:val="auto"/>
              </w:rPr>
              <w:t>Fair Value at</w:t>
            </w:r>
          </w:p>
        </w:tc>
        <w:tc>
          <w:tcPr>
            <w:tcW w:w="0" w:type="dxa"/>
            <w:vAlign w:val="bottom"/>
          </w:tcPr>
          <w:p>
            <w:pPr>
              <w:spacing w:after="0"/>
              <w:rPr>
                <w:sz w:val="1"/>
                <w:szCs w:val="1"/>
                <w:color w:val="auto"/>
              </w:rPr>
            </w:pPr>
          </w:p>
        </w:tc>
      </w:tr>
      <w:tr>
        <w:trPr>
          <w:trHeight w:val="264"/>
        </w:trPr>
        <w:tc>
          <w:tcPr>
            <w:tcW w:w="5640" w:type="dxa"/>
            <w:vAlign w:val="bottom"/>
            <w:tcBorders>
              <w:bottom w:val="single" w:sz="8" w:color="CCEEFF"/>
            </w:tcBorders>
          </w:tcPr>
          <w:p>
            <w:pPr>
              <w:spacing w:after="0"/>
              <w:rPr>
                <w:sz w:val="22"/>
                <w:szCs w:val="22"/>
                <w:color w:val="auto"/>
              </w:rPr>
            </w:pPr>
          </w:p>
        </w:tc>
        <w:tc>
          <w:tcPr>
            <w:tcW w:w="256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July 31, 2014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98"/>
              </w:rPr>
              <w:t>January 31, 2014</w:t>
            </w:r>
          </w:p>
        </w:tc>
        <w:tc>
          <w:tcPr>
            <w:tcW w:w="0" w:type="dxa"/>
            <w:vAlign w:val="bottom"/>
          </w:tcPr>
          <w:p>
            <w:pPr>
              <w:spacing w:after="0"/>
              <w:rPr>
                <w:sz w:val="1"/>
                <w:szCs w:val="1"/>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Assets</w:t>
            </w:r>
          </w:p>
        </w:tc>
        <w:tc>
          <w:tcPr>
            <w:tcW w:w="2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640" w:type="dxa"/>
            <w:vAlign w:val="bottom"/>
          </w:tcPr>
          <w:p>
            <w:pPr>
              <w:ind w:left="360"/>
              <w:spacing w:after="0"/>
              <w:rPr>
                <w:sz w:val="20"/>
                <w:szCs w:val="20"/>
                <w:color w:val="auto"/>
              </w:rPr>
            </w:pPr>
            <w:r>
              <w:rPr>
                <w:rFonts w:ascii="Arial" w:cs="Arial" w:eastAsia="Arial" w:hAnsi="Arial"/>
                <w:sz w:val="16"/>
                <w:szCs w:val="16"/>
                <w:color w:val="auto"/>
              </w:rPr>
              <w:t>Foreign currency contracts designated as cash flow hedges</w:t>
            </w:r>
          </w:p>
        </w:tc>
        <w:tc>
          <w:tcPr>
            <w:tcW w:w="2560" w:type="dxa"/>
            <w:vAlign w:val="bottom"/>
          </w:tcPr>
          <w:p>
            <w:pPr>
              <w:ind w:left="20"/>
              <w:spacing w:after="0"/>
              <w:rPr>
                <w:sz w:val="20"/>
                <w:szCs w:val="20"/>
                <w:color w:val="auto"/>
              </w:rPr>
            </w:pPr>
            <w:r>
              <w:rPr>
                <w:rFonts w:ascii="Arial" w:cs="Arial" w:eastAsia="Arial" w:hAnsi="Arial"/>
                <w:sz w:val="16"/>
                <w:szCs w:val="16"/>
                <w:color w:val="auto"/>
                <w:w w:val="99"/>
              </w:rPr>
              <w:t>Prepaid expenses and other current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640" w:type="dxa"/>
            <w:vAlign w:val="bottom"/>
          </w:tcPr>
          <w:p>
            <w:pPr>
              <w:spacing w:after="0"/>
              <w:rPr>
                <w:sz w:val="17"/>
                <w:szCs w:val="17"/>
                <w:color w:val="auto"/>
              </w:rPr>
            </w:pPr>
          </w:p>
        </w:tc>
        <w:tc>
          <w:tcPr>
            <w:tcW w:w="2560" w:type="dxa"/>
            <w:vAlign w:val="bottom"/>
          </w:tcPr>
          <w:p>
            <w:pPr>
              <w:ind w:left="180"/>
              <w:spacing w:after="0"/>
              <w:rPr>
                <w:sz w:val="20"/>
                <w:szCs w:val="20"/>
                <w:color w:val="auto"/>
              </w:rPr>
            </w:pPr>
            <w:r>
              <w:rPr>
                <w:rFonts w:ascii="Arial" w:cs="Arial" w:eastAsia="Arial" w:hAnsi="Arial"/>
                <w:sz w:val="16"/>
                <w:szCs w:val="16"/>
                <w:color w:val="auto"/>
              </w:rPr>
              <w:t>assets (1)</w:t>
            </w:r>
          </w:p>
        </w:tc>
        <w:tc>
          <w:tcPr>
            <w:tcW w:w="3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5.9</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3"/>
        </w:trPr>
        <w:tc>
          <w:tcPr>
            <w:tcW w:w="56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640" w:type="dxa"/>
            <w:vAlign w:val="bottom"/>
            <w:shd w:val="clear" w:color="auto" w:fill="CCEEFF"/>
          </w:tcPr>
          <w:p>
            <w:pPr>
              <w:spacing w:after="0"/>
              <w:rPr>
                <w:sz w:val="19"/>
                <w:szCs w:val="19"/>
                <w:color w:val="auto"/>
              </w:rPr>
            </w:pPr>
          </w:p>
        </w:tc>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Prepaid expenses and other current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Derivatives not designated as hedging instruments</w:t>
            </w:r>
          </w:p>
        </w:tc>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and Other assets</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84"/>
        </w:trPr>
        <w:tc>
          <w:tcPr>
            <w:tcW w:w="564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derivative assets</w:t>
            </w:r>
          </w:p>
        </w:tc>
        <w:tc>
          <w:tcPr>
            <w:tcW w:w="25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37"/>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Liabilities</w:t>
            </w:r>
          </w:p>
        </w:tc>
        <w:tc>
          <w:tcPr>
            <w:tcW w:w="2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40" w:type="dxa"/>
            <w:vAlign w:val="bottom"/>
          </w:tcPr>
          <w:p>
            <w:pPr>
              <w:ind w:left="380"/>
              <w:spacing w:after="0"/>
              <w:rPr>
                <w:sz w:val="20"/>
                <w:szCs w:val="20"/>
                <w:color w:val="auto"/>
              </w:rPr>
            </w:pPr>
            <w:r>
              <w:rPr>
                <w:rFonts w:ascii="Arial" w:cs="Arial" w:eastAsia="Arial" w:hAnsi="Arial"/>
                <w:sz w:val="16"/>
                <w:szCs w:val="16"/>
                <w:color w:val="auto"/>
              </w:rPr>
              <w:t>Foreign currency contracts designated as cash flow hedges</w:t>
            </w:r>
          </w:p>
        </w:tc>
        <w:tc>
          <w:tcPr>
            <w:tcW w:w="2560" w:type="dxa"/>
            <w:vAlign w:val="bottom"/>
          </w:tcPr>
          <w:p>
            <w:pPr>
              <w:ind w:left="20"/>
              <w:spacing w:after="0"/>
              <w:rPr>
                <w:sz w:val="20"/>
                <w:szCs w:val="20"/>
                <w:color w:val="auto"/>
              </w:rPr>
            </w:pPr>
            <w:r>
              <w:rPr>
                <w:rFonts w:ascii="Arial" w:cs="Arial" w:eastAsia="Arial" w:hAnsi="Arial"/>
                <w:sz w:val="16"/>
                <w:szCs w:val="16"/>
                <w:color w:val="auto"/>
              </w:rPr>
              <w:t>Other accrued liabilities (2)</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564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derivative liabilities</w:t>
            </w:r>
          </w:p>
        </w:tc>
        <w:tc>
          <w:tcPr>
            <w:tcW w:w="256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2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vMerge w:val="continue"/>
          </w:tcPr>
          <w:p>
            <w:pPr>
              <w:spacing w:after="0"/>
              <w:rPr>
                <w:sz w:val="17"/>
                <w:szCs w:val="17"/>
                <w:color w:val="auto"/>
              </w:rPr>
            </w:pPr>
          </w:p>
        </w:tc>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260" w:hanging="412"/>
        <w:spacing w:after="0" w:line="251" w:lineRule="auto"/>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Considering Autodesk's master netting arrangements, these contracts are presented net settled. The gross balance is $6.7 million and $5.9 million at July 31, 2014 and January 31, 2014, respectively.</w:t>
      </w:r>
    </w:p>
    <w:p>
      <w:pPr>
        <w:ind w:left="420" w:right="260" w:hanging="412"/>
        <w:spacing w:after="0" w:line="276"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6"/>
          <w:szCs w:val="16"/>
          <w:color w:val="auto"/>
        </w:rPr>
        <w:t>Considering Autodesk's master netting arrangements, these contracts are presented net settled. The gross balance is $1.9 million and $3.2 million at July 31, 2014 and January 31, 2014, respectively.</w:t>
      </w:r>
    </w:p>
    <w:p>
      <w:pPr>
        <w:spacing w:after="0" w:line="177"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effects of derivatives designated as hedging instruments on Autodesk’s Condensed Consolidated Statements of Operations were as follows for the three and six months ended July 31, 2014 and 2013, respectively (amounts presented include any income tax effects):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4"/>
          </w:tcPr>
          <w:p>
            <w:pPr>
              <w:jc w:val="right"/>
              <w:ind w:right="175"/>
              <w:spacing w:after="0"/>
              <w:rPr>
                <w:sz w:val="20"/>
                <w:szCs w:val="20"/>
                <w:color w:val="auto"/>
              </w:rPr>
            </w:pPr>
            <w:r>
              <w:rPr>
                <w:rFonts w:ascii="Arial" w:cs="Arial" w:eastAsia="Arial" w:hAnsi="Arial"/>
                <w:sz w:val="14"/>
                <w:szCs w:val="14"/>
                <w:b w:val="1"/>
                <w:bCs w:val="1"/>
                <w:color w:val="auto"/>
              </w:rPr>
              <w:t>Foreign Currency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6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4"/>
                <w:szCs w:val="14"/>
                <w:b w:val="1"/>
                <w:bCs w:val="1"/>
                <w:color w:val="auto"/>
              </w:rPr>
              <w:t>Contracts</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6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1800" w:type="dxa"/>
            <w:vAlign w:val="bottom"/>
            <w:gridSpan w:val="7"/>
          </w:tcPr>
          <w:p>
            <w:pPr>
              <w:ind w:left="40"/>
              <w:spacing w:after="0" w:line="153" w:lineRule="exact"/>
              <w:rPr>
                <w:sz w:val="20"/>
                <w:szCs w:val="20"/>
                <w:color w:val="auto"/>
              </w:rPr>
            </w:pPr>
            <w:r>
              <w:rPr>
                <w:rFonts w:ascii="Arial" w:cs="Arial" w:eastAsia="Arial" w:hAnsi="Arial"/>
                <w:sz w:val="14"/>
                <w:szCs w:val="14"/>
                <w:b w:val="1"/>
                <w:bCs w:val="1"/>
                <w:color w:val="auto"/>
              </w:rPr>
              <w:t>Three Months Ended July</w:t>
            </w:r>
          </w:p>
        </w:tc>
        <w:tc>
          <w:tcPr>
            <w:tcW w:w="120" w:type="dxa"/>
            <w:vAlign w:val="bottom"/>
          </w:tcPr>
          <w:p>
            <w:pPr>
              <w:spacing w:after="0"/>
              <w:rPr>
                <w:sz w:val="13"/>
                <w:szCs w:val="13"/>
                <w:color w:val="auto"/>
              </w:rPr>
            </w:pPr>
          </w:p>
        </w:tc>
        <w:tc>
          <w:tcPr>
            <w:tcW w:w="1540" w:type="dxa"/>
            <w:vAlign w:val="bottom"/>
            <w:gridSpan w:val="5"/>
          </w:tcPr>
          <w:p>
            <w:pPr>
              <w:jc w:val="right"/>
              <w:ind w:right="13"/>
              <w:spacing w:after="0" w:line="153" w:lineRule="exact"/>
              <w:rPr>
                <w:sz w:val="20"/>
                <w:szCs w:val="20"/>
                <w:color w:val="auto"/>
              </w:rPr>
            </w:pPr>
            <w:r>
              <w:rPr>
                <w:rFonts w:ascii="Arial" w:cs="Arial" w:eastAsia="Arial" w:hAnsi="Arial"/>
                <w:sz w:val="14"/>
                <w:szCs w:val="14"/>
                <w:b w:val="1"/>
                <w:bCs w:val="1"/>
                <w:color w:val="auto"/>
                <w:w w:val="92"/>
              </w:rPr>
              <w:t>Six Months Ended July</w:t>
            </w:r>
          </w:p>
        </w:tc>
        <w:tc>
          <w:tcPr>
            <w:tcW w:w="0" w:type="dxa"/>
            <w:vAlign w:val="bottom"/>
          </w:tcPr>
          <w:p>
            <w:pPr>
              <w:spacing w:after="0"/>
              <w:rPr>
                <w:sz w:val="1"/>
                <w:szCs w:val="1"/>
                <w:color w:val="auto"/>
              </w:rPr>
            </w:pPr>
          </w:p>
        </w:tc>
      </w:tr>
      <w:tr>
        <w:trPr>
          <w:trHeight w:val="192"/>
        </w:trPr>
        <w:tc>
          <w:tcPr>
            <w:tcW w:w="66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2"/>
              </w:rPr>
              <w:t>31,</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2"/>
              </w:rPr>
              <w:t>31,</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60" w:type="dxa"/>
            <w:vAlign w:val="bottom"/>
            <w:tcBorders>
              <w:bottom w:val="single" w:sz="8" w:color="CCEEFF"/>
            </w:tcBorders>
          </w:tcPr>
          <w:p>
            <w:pPr>
              <w:spacing w:after="0"/>
              <w:rPr>
                <w:sz w:val="22"/>
                <w:szCs w:val="22"/>
                <w:color w:val="auto"/>
              </w:rPr>
            </w:pPr>
          </w:p>
        </w:tc>
        <w:tc>
          <w:tcPr>
            <w:tcW w:w="73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75"/>
        </w:trPr>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w w:val="87"/>
                <w:shd w:val="clear" w:color="auto" w:fill="CCEEFF"/>
              </w:rPr>
              <w:t>Amount o</w:t>
            </w: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i w:val="1"/>
                <w:iCs w:val="1"/>
                <w:color w:val="auto"/>
              </w:rPr>
              <w:t xml:space="preserve">f gain (loss) recognized </w:t>
            </w:r>
            <w:r>
              <w:rPr>
                <w:rFonts w:ascii="Arial" w:cs="Arial" w:eastAsia="Arial" w:hAnsi="Arial"/>
                <w:sz w:val="16"/>
                <w:szCs w:val="16"/>
                <w:i w:val="1"/>
                <w:iCs w:val="1"/>
                <w:color w:val="auto"/>
                <w:shd w:val="clear" w:color="auto" w:fill="CCEEFF"/>
              </w:rPr>
              <w:t>in accumulated other comprehensive income on derivatives (effective portion)</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6"/>
                <w:szCs w:val="16"/>
                <w:i w:val="1"/>
                <w:iCs w:val="1"/>
                <w:color w:val="auto"/>
                <w:w w:val="95"/>
              </w:rPr>
              <w:t>Amount and location of gain (loss) reclassified from accumulated other comprehensive income into income (effective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9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960" w:type="dxa"/>
            <w:vAlign w:val="bottom"/>
            <w:gridSpan w:val="2"/>
          </w:tcPr>
          <w:p>
            <w:pPr>
              <w:ind w:left="200"/>
              <w:spacing w:after="0"/>
              <w:rPr>
                <w:sz w:val="20"/>
                <w:szCs w:val="20"/>
                <w:color w:val="auto"/>
              </w:rPr>
            </w:pPr>
            <w:r>
              <w:rPr>
                <w:rFonts w:ascii="Arial" w:cs="Arial" w:eastAsia="Arial" w:hAnsi="Arial"/>
                <w:sz w:val="16"/>
                <w:szCs w:val="16"/>
                <w:i w:val="1"/>
                <w:iCs w:val="1"/>
                <w:color w:val="auto"/>
              </w:rPr>
              <w:t>portion)</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Net revenue</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7960" w:type="dxa"/>
            <w:vAlign w:val="bottom"/>
            <w:gridSpan w:val="2"/>
          </w:tcPr>
          <w:p>
            <w:pPr>
              <w:ind w:left="380"/>
              <w:spacing w:after="0"/>
              <w:rPr>
                <w:sz w:val="20"/>
                <w:szCs w:val="20"/>
                <w:color w:val="auto"/>
              </w:rPr>
            </w:pPr>
            <w:r>
              <w:rPr>
                <w:rFonts w:ascii="Arial" w:cs="Arial" w:eastAsia="Arial" w:hAnsi="Arial"/>
                <w:sz w:val="16"/>
                <w:szCs w:val="16"/>
                <w:color w:val="auto"/>
              </w:rPr>
              <w:t>Operating expenses</w:t>
            </w: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60" w:type="dxa"/>
            <w:vAlign w:val="bottom"/>
            <w:tcBorders>
              <w:bottom w:val="single" w:sz="8" w:color="CCEEFF"/>
            </w:tcBorders>
          </w:tcPr>
          <w:p>
            <w:pPr>
              <w:spacing w:after="0"/>
              <w:rPr>
                <w:sz w:val="2"/>
                <w:szCs w:val="2"/>
                <w:color w:val="auto"/>
              </w:rPr>
            </w:pPr>
          </w:p>
        </w:tc>
        <w:tc>
          <w:tcPr>
            <w:tcW w:w="7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0" w:type="dxa"/>
            <w:vAlign w:val="bottom"/>
            <w:shd w:val="clear" w:color="auto" w:fill="CCEEFF"/>
          </w:tcPr>
          <w:p>
            <w:pPr>
              <w:spacing w:after="0"/>
              <w:rPr>
                <w:sz w:val="22"/>
                <w:szCs w:val="22"/>
                <w:color w:val="auto"/>
              </w:rPr>
            </w:pPr>
          </w:p>
        </w:tc>
        <w:tc>
          <w:tcPr>
            <w:tcW w:w="7300" w:type="dxa"/>
            <w:vAlign w:val="bottom"/>
            <w:shd w:val="clear" w:color="auto" w:fill="CCEEFF"/>
          </w:tcPr>
          <w:p>
            <w:pPr>
              <w:ind w:left="6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6"/>
                <w:szCs w:val="16"/>
                <w:i w:val="1"/>
                <w:iCs w:val="1"/>
                <w:color w:val="auto"/>
                <w:w w:val="95"/>
              </w:rPr>
              <w:t>Amount and location of gain (loss) recognized in income on derivatives (ineffective portion and amount excluded from</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9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960" w:type="dxa"/>
            <w:vAlign w:val="bottom"/>
            <w:gridSpan w:val="2"/>
          </w:tcPr>
          <w:p>
            <w:pPr>
              <w:ind w:left="200"/>
              <w:spacing w:after="0"/>
              <w:rPr>
                <w:sz w:val="20"/>
                <w:szCs w:val="20"/>
                <w:color w:val="auto"/>
              </w:rPr>
            </w:pPr>
            <w:r>
              <w:rPr>
                <w:rFonts w:ascii="Arial" w:cs="Arial" w:eastAsia="Arial" w:hAnsi="Arial"/>
                <w:sz w:val="16"/>
                <w:szCs w:val="16"/>
                <w:i w:val="1"/>
                <w:iCs w:val="1"/>
                <w:color w:val="auto"/>
              </w:rPr>
              <w:t>effectiveness testing)</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9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Interest and other (expense) income, net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7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effects of derivatives not designated as hedging instruments on Autodesk’s Condensed Consolidated Statements of Operations were as follows for the three and six months ended July 31, 2014 and 2013, respectively (amounts presented include any income tax effects):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80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July</w:t>
            </w:r>
          </w:p>
        </w:tc>
        <w:tc>
          <w:tcPr>
            <w:tcW w:w="16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Six Months Ended July</w:t>
            </w:r>
          </w:p>
        </w:tc>
      </w:tr>
      <w:tr>
        <w:trPr>
          <w:trHeight w:val="192"/>
        </w:trPr>
        <w:tc>
          <w:tcPr>
            <w:tcW w:w="7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81"/>
              </w:rPr>
              <w:t>31,</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2"/>
              </w:rPr>
              <w:t>31,</w:t>
            </w:r>
          </w:p>
        </w:tc>
        <w:tc>
          <w:tcPr>
            <w:tcW w:w="580" w:type="dxa"/>
            <w:vAlign w:val="bottom"/>
            <w:tcBorders>
              <w:bottom w:val="single" w:sz="8" w:color="auto"/>
            </w:tcBorders>
          </w:tcPr>
          <w:p>
            <w:pPr>
              <w:spacing w:after="0"/>
              <w:rPr>
                <w:sz w:val="16"/>
                <w:szCs w:val="16"/>
                <w:color w:val="auto"/>
              </w:rPr>
            </w:pPr>
          </w:p>
        </w:tc>
      </w:tr>
      <w:tr>
        <w:trPr>
          <w:trHeight w:val="263"/>
        </w:trPr>
        <w:tc>
          <w:tcPr>
            <w:tcW w:w="79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72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2013</w:t>
            </w: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i w:val="1"/>
                <w:iCs w:val="1"/>
                <w:color w:val="auto"/>
              </w:rPr>
              <w:t>Amount and location of (loss) gain recognized in income on derivatives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3"/>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7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Interest and other (expense) income, net</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(10.3)</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2.0</w:t>
            </w:r>
          </w:p>
        </w:tc>
      </w:tr>
      <w:tr>
        <w:trPr>
          <w:trHeight w:val="33"/>
        </w:trPr>
        <w:tc>
          <w:tcPr>
            <w:tcW w:w="79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5. Stock-based Compensation Expense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Plans</w:t>
      </w:r>
    </w:p>
    <w:p>
      <w:pPr>
        <w:spacing w:after="0" w:line="225"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As of July 31, 2014, Autodesk maintained two active stock plans for the purpose of granting equity awards to employees and to non-employee members of Autodesk’s Board of Directors: the 2012 Employee Stock Plan (“2012 Employee Plan”), which is available only to employees, and the Autodesk 2012 Outside Directors’ Plan (“2012 Directors' Plan”), which is available only to non-employee directors. Additionally, there are seven expired or terminated plans with options outstanding. The exercise price of all stock options granted under these plans was equal to the fair market value of the stock on the grant date.</w:t>
      </w:r>
    </w:p>
    <w:p>
      <w:pPr>
        <w:spacing w:after="0" w:line="154" w:lineRule="exact"/>
        <w:rPr>
          <w:sz w:val="20"/>
          <w:szCs w:val="20"/>
          <w:color w:val="auto"/>
        </w:rPr>
      </w:pPr>
    </w:p>
    <w:p>
      <w:pPr>
        <w:ind w:right="60" w:firstLine="432"/>
        <w:spacing w:after="0" w:line="268" w:lineRule="auto"/>
        <w:rPr>
          <w:sz w:val="20"/>
          <w:szCs w:val="20"/>
          <w:color w:val="auto"/>
        </w:rPr>
      </w:pPr>
      <w:r>
        <w:rPr>
          <w:rFonts w:ascii="Arial" w:cs="Arial" w:eastAsia="Arial" w:hAnsi="Arial"/>
          <w:sz w:val="17"/>
          <w:szCs w:val="17"/>
          <w:color w:val="auto"/>
        </w:rPr>
        <w:t>The 2012 Employee Plan was approved by Autodesk's stockholders and became effective on January 6, 2012. On January 14, 2014, Autodesk's stockholders approved amendments to the 2012 Employee Plan, which increased the number of shares reserved for issuance under the plan by 11.4 million shares and added additional performance goals to the plan. The 2012 Employee Plan replaced the 2008 Employee Stock Plan, as amended ("2008 Plan") and no further equity awards may be granted under the 2008 Plan. The 2012 Employee Plan reserves up to 32.6 million shares which includes 26.6 million shares reserved under the 2012 Employee Plan, as well as up to 6.0 million shares forfeited under certain prior employee stock plans during the life of the 2012 Employee Plan. The 2012 Employee Plan permits the grant of stock options, restricted stock units and restricted stock awards. Each restricted stock unit or restricted stock award granted will be counted against the shares authorized for issuance under the 2012 Employee Plan as 1.79 shares. If a granted option, restricted stock unit or restricted stock award expires or becomes unexercisable for any reason, the unpurchased or forfeited shares that were granted may be returned to the 2012 Employee Plan and may become available for future grant under the 2012 Employee Plan. As of July 31, 2014, 16.3 million shares subject to options or restricted stock unit awards have been granted under the 2012 Employee Plan. Options and restricted stock units that were granted under the 2012 Employee Plan vest over periods ranging from immediately upon grant to over a three-year period and options expire 10 years from the date of grant. The 2012 Employee Plan will expire on June 30, 2022. At July 31, 2014, 17.8 million shares were available for future issuance under the 2012 Employee Plan.</w:t>
      </w:r>
    </w:p>
    <w:p>
      <w:pPr>
        <w:spacing w:after="0" w:line="188"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The 2012 Outside Directors' Plan ("2012 Directors' Plan") was approved by Autodesk's stockholders and became effective on January 6, 2012. The 2012 Directors' Plan replaced the 2010 Outside Directors' Stock Plan, as amended. The 2012 Directors' Plan permits the grant of stock options, restricted stock units and restricted stock awards to non-employee members of Autodesk’s Board of Directors. Each restricted stock unit or restricted stock award granted will be counted against the shares authorized for issuance under the 2012 Directors' Plan as 2.11 shares. As of July 31, 2014, 0.6 million shares subject to restricted stock units have been granted under the 2012 Directors' Plan. Restricted stock units that were granted under the 2012 Directors' Plan vest over one to three years from the date of grant. The 2012 Directors' Plan reserved 2.6 million shares of Autodesk common stock. The 2012 Directors' Plan will expire on June 30, 2022. At July 31, 2014, 2.0 million shares were available for future issuance under the 2012 Directors' Plan.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4" w:name="page15"/>
    <w:bookmarkEnd w:id="14"/>
    <w:p>
      <w:pPr>
        <w:ind w:left="440"/>
        <w:spacing w:after="0"/>
        <w:rPr>
          <w:sz w:val="20"/>
          <w:szCs w:val="20"/>
          <w:color w:val="auto"/>
        </w:rPr>
      </w:pPr>
      <w:r>
        <w:rPr>
          <w:rFonts w:ascii="Arial" w:cs="Arial" w:eastAsia="Arial" w:hAnsi="Arial"/>
          <w:sz w:val="18"/>
          <w:szCs w:val="18"/>
          <w:color w:val="auto"/>
        </w:rPr>
        <w:t>The following sections summarize activity under Autodesk’s stock plans.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stock option activity for the six months ended July 31, 2014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920" w:type="dxa"/>
            <w:vAlign w:val="bottom"/>
          </w:tcPr>
          <w:p>
            <w:pPr>
              <w:jc w:val="center"/>
              <w:ind w:right="63"/>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exercise price per</w:t>
            </w: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average remaining</w:t>
            </w: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92"/>
        </w:trPr>
        <w:tc>
          <w:tcPr>
            <w:tcW w:w="608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0"/>
              </w:rPr>
              <w:t>share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contractual term</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50"/>
        </w:trPr>
        <w:tc>
          <w:tcPr>
            <w:tcW w:w="608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21"/>
                <w:szCs w:val="21"/>
                <w:color w:val="auto"/>
              </w:rPr>
            </w:pPr>
          </w:p>
        </w:tc>
        <w:tc>
          <w:tcPr>
            <w:tcW w:w="920" w:type="dxa"/>
            <w:vAlign w:val="bottom"/>
          </w:tcPr>
          <w:p>
            <w:pPr>
              <w:jc w:val="center"/>
              <w:ind w:right="63"/>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6"/>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January 31, 2014</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33.54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080" w:type="dxa"/>
            <w:vAlign w:val="bottom"/>
          </w:tcPr>
          <w:p>
            <w:pPr>
              <w:ind w:left="380"/>
              <w:spacing w:after="0"/>
              <w:rPr>
                <w:sz w:val="20"/>
                <w:szCs w:val="20"/>
                <w:color w:val="auto"/>
              </w:rPr>
            </w:pPr>
            <w:r>
              <w:rPr>
                <w:rFonts w:ascii="Arial" w:cs="Arial" w:eastAsia="Arial" w:hAnsi="Arial"/>
                <w:sz w:val="16"/>
                <w:szCs w:val="16"/>
                <w:color w:val="auto"/>
              </w:rPr>
              <w:t>Granted (1)</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33.11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80" w:type="dxa"/>
            <w:vAlign w:val="bottom"/>
          </w:tcPr>
          <w:p>
            <w:pPr>
              <w:ind w:left="380"/>
              <w:spacing w:after="0"/>
              <w:rPr>
                <w:sz w:val="20"/>
                <w:szCs w:val="20"/>
                <w:color w:val="auto"/>
              </w:rPr>
            </w:pPr>
            <w:r>
              <w:rPr>
                <w:rFonts w:ascii="Arial" w:cs="Arial" w:eastAsia="Arial" w:hAnsi="Arial"/>
                <w:sz w:val="16"/>
                <w:szCs w:val="16"/>
                <w:color w:val="auto"/>
              </w:rPr>
              <w:t>Canceled/Forfeited</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July 31, 2014</w:t>
            </w: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33.82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40"/>
              <w:spacing w:after="0"/>
              <w:rPr>
                <w:sz w:val="20"/>
                <w:szCs w:val="20"/>
                <w:color w:val="auto"/>
              </w:rPr>
            </w:pPr>
            <w:r>
              <w:rPr>
                <w:rFonts w:ascii="Arial" w:cs="Arial" w:eastAsia="Arial" w:hAnsi="Arial"/>
                <w:sz w:val="16"/>
                <w:szCs w:val="16"/>
                <w:color w:val="auto"/>
              </w:rPr>
              <w:t>Options vested and exercisable at July 31, 2014</w:t>
            </w: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80" w:type="dxa"/>
            <w:vAlign w:val="bottom"/>
            <w:tcBorders>
              <w:bottom w:val="single" w:sz="8" w:color="CCEEFF"/>
            </w:tcBorders>
            <w:vMerge w:val="continue"/>
          </w:tcPr>
          <w:p>
            <w:pPr>
              <w:spacing w:after="0"/>
              <w:rPr>
                <w:sz w:val="24"/>
                <w:szCs w:val="24"/>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3.3</w:t>
            </w:r>
          </w:p>
        </w:tc>
        <w:tc>
          <w:tcPr>
            <w:tcW w:w="2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tcPr>
          <w:p>
            <w:pPr>
              <w:jc w:val="right"/>
              <w:ind w:right="42"/>
              <w:spacing w:after="0"/>
              <w:rPr>
                <w:sz w:val="20"/>
                <w:szCs w:val="20"/>
                <w:color w:val="auto"/>
              </w:rPr>
            </w:pPr>
            <w:r>
              <w:rPr>
                <w:rFonts w:ascii="Arial" w:cs="Arial" w:eastAsia="Arial" w:hAnsi="Arial"/>
                <w:sz w:val="16"/>
                <w:szCs w:val="16"/>
                <w:color w:val="auto"/>
              </w:rPr>
              <w:t>33.26</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tcPr>
          <w:p>
            <w:pPr>
              <w:jc w:val="right"/>
              <w:ind w:right="23"/>
              <w:spacing w:after="0"/>
              <w:rPr>
                <w:sz w:val="20"/>
                <w:szCs w:val="20"/>
                <w:color w:val="auto"/>
              </w:rPr>
            </w:pPr>
            <w:r>
              <w:rPr>
                <w:rFonts w:ascii="Arial" w:cs="Arial" w:eastAsia="Arial" w:hAnsi="Arial"/>
                <w:sz w:val="16"/>
                <w:szCs w:val="16"/>
                <w:color w:val="auto"/>
              </w:rPr>
              <w:t>65.6</w:t>
            </w:r>
          </w:p>
        </w:tc>
        <w:tc>
          <w:tcPr>
            <w:tcW w:w="0" w:type="dxa"/>
            <w:vAlign w:val="bottom"/>
          </w:tcPr>
          <w:p>
            <w:pPr>
              <w:spacing w:after="0"/>
              <w:rPr>
                <w:sz w:val="1"/>
                <w:szCs w:val="1"/>
                <w:color w:val="auto"/>
              </w:rPr>
            </w:pPr>
          </w:p>
        </w:tc>
      </w:tr>
      <w:tr>
        <w:trPr>
          <w:trHeight w:val="23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vested as of July 31, 2014 and expected to vest thereafter (2)</w:t>
            </w: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33.82</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40"/>
              <w:spacing w:after="0"/>
              <w:rPr>
                <w:sz w:val="20"/>
                <w:szCs w:val="20"/>
                <w:color w:val="auto"/>
              </w:rPr>
            </w:pPr>
            <w:r>
              <w:rPr>
                <w:rFonts w:ascii="Arial" w:cs="Arial" w:eastAsia="Arial" w:hAnsi="Arial"/>
                <w:sz w:val="16"/>
                <w:szCs w:val="16"/>
                <w:color w:val="auto"/>
              </w:rPr>
              <w:t>Options available for grant at July 31, 2014</w:t>
            </w: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80" w:type="dxa"/>
            <w:vAlign w:val="bottom"/>
            <w:vMerge w:val="continue"/>
          </w:tcPr>
          <w:p>
            <w:pPr>
              <w:spacing w:after="0"/>
              <w:rPr>
                <w:sz w:val="18"/>
                <w:szCs w:val="18"/>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8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80" w:type="dxa"/>
            <w:vAlign w:val="bottom"/>
            <w:vMerge w:val="continue"/>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Autodesk did not grant stock options in the six months ended July 31, 2014.</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Options expected to vest reflect an estimated forfeiture rate.</w:t>
      </w:r>
    </w:p>
    <w:p>
      <w:pPr>
        <w:spacing w:after="0" w:line="5" w:lineRule="exact"/>
        <w:rPr>
          <w:rFonts w:ascii="Arial" w:cs="Arial" w:eastAsia="Arial" w:hAnsi="Arial"/>
          <w:sz w:val="16"/>
          <w:szCs w:val="16"/>
          <w:color w:val="auto"/>
        </w:rPr>
      </w:pPr>
    </w:p>
    <w:p>
      <w:pPr>
        <w:ind w:left="420" w:right="380" w:hanging="412"/>
        <w:spacing w:after="0" w:line="257" w:lineRule="auto"/>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the total pre-tax intrinsic value, based on Autodesk’s closing stock price of $53.35 per share as of July 31, 2014, which would have been received by the option holders had all option holders exercised their options as of that date.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July 31, 2014, compensation cost of $2.9 million related to non-vested options is expected to be recognized over a weighted average period of 0.6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11"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following table summarizes information about the pre-tax intrinsic value of options exercised and the weighted average grant date fair value per share of options granted during the three and six months ended July 31, 2014 and 2013:</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400" w:type="dxa"/>
            <w:vAlign w:val="bottom"/>
            <w:tcBorders>
              <w:bottom w:val="single" w:sz="8" w:color="auto"/>
            </w:tcBorders>
          </w:tcPr>
          <w:p>
            <w:pPr>
              <w:spacing w:after="0"/>
              <w:rPr>
                <w:sz w:val="16"/>
                <w:szCs w:val="16"/>
                <w:color w:val="auto"/>
              </w:rPr>
            </w:pPr>
          </w:p>
        </w:tc>
      </w:tr>
      <w:tr>
        <w:trPr>
          <w:trHeight w:val="264"/>
        </w:trPr>
        <w:tc>
          <w:tcPr>
            <w:tcW w:w="7320" w:type="dxa"/>
            <w:vAlign w:val="bottom"/>
          </w:tcPr>
          <w:p>
            <w:pPr>
              <w:spacing w:after="0"/>
              <w:rPr>
                <w:sz w:val="22"/>
                <w:szCs w:val="22"/>
                <w:color w:val="auto"/>
              </w:rPr>
            </w:pPr>
          </w:p>
        </w:tc>
        <w:tc>
          <w:tcPr>
            <w:tcW w:w="1100" w:type="dxa"/>
            <w:vAlign w:val="bottom"/>
            <w:gridSpan w:val="3"/>
          </w:tcPr>
          <w:p>
            <w:pPr>
              <w:ind w:left="60"/>
              <w:spacing w:after="0"/>
              <w:rPr>
                <w:sz w:val="20"/>
                <w:szCs w:val="20"/>
                <w:color w:val="auto"/>
              </w:rPr>
            </w:pPr>
            <w:r>
              <w:rPr>
                <w:rFonts w:ascii="Arial" w:cs="Arial" w:eastAsia="Arial" w:hAnsi="Arial"/>
                <w:sz w:val="14"/>
                <w:szCs w:val="14"/>
                <w:b w:val="1"/>
                <w:bCs w:val="1"/>
                <w:color w:val="auto"/>
              </w:rPr>
              <w:t>July 31, 2014</w:t>
            </w: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July 31, 2013</w:t>
            </w: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July 31, 2014</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July 31, 2013</w:t>
            </w:r>
          </w:p>
        </w:tc>
      </w:tr>
      <w:tr>
        <w:trPr>
          <w:trHeight w:val="236"/>
        </w:trPr>
        <w:tc>
          <w:tcPr>
            <w:tcW w:w="7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Pre-tax intrinsic value of options exercised (1)</w:t>
            </w:r>
          </w:p>
        </w:tc>
        <w:tc>
          <w:tcPr>
            <w:tcW w:w="240" w:type="dxa"/>
            <w:vAlign w:val="bottom"/>
            <w:tcBorders>
              <w:top w:val="single" w:sz="8" w:color="auto"/>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21.4</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44.2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CCEEFF"/>
            </w:tcBorders>
            <w:shd w:val="clear" w:color="auto" w:fill="CCEEFF"/>
          </w:tcPr>
          <w:p>
            <w:pPr>
              <w:jc w:val="right"/>
              <w:ind w:right="342"/>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42.8</w:t>
            </w: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Weighted average grant date fair value per share of stock options granted (2)</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42"/>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49"/>
        </w:trPr>
        <w:tc>
          <w:tcPr>
            <w:tcW w:w="7320" w:type="dxa"/>
            <w:vAlign w:val="bottom"/>
          </w:tcPr>
          <w:p>
            <w:pPr>
              <w:ind w:left="60"/>
              <w:spacing w:after="0"/>
              <w:rPr>
                <w:sz w:val="20"/>
                <w:szCs w:val="20"/>
                <w:color w:val="auto"/>
              </w:rPr>
            </w:pPr>
            <w:r>
              <w:rPr>
                <w:rFonts w:ascii="Arial" w:cs="Arial" w:eastAsia="Arial" w:hAnsi="Arial"/>
                <w:sz w:val="18"/>
                <w:szCs w:val="18"/>
                <w:color w:val="auto"/>
              </w:rPr>
              <w:t>_______________</w:t>
            </w: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r>
    </w:tbl>
    <w:p>
      <w:pPr>
        <w:ind w:left="420" w:hanging="412"/>
        <w:spacing w:after="0"/>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intrinsic value of options exercised is calculated as the difference between the exercise price of the option and the market value of the stock on the date of exercise.</w:t>
      </w:r>
    </w:p>
    <w:p>
      <w:pPr>
        <w:spacing w:after="0" w:line="32" w:lineRule="exact"/>
        <w:rPr>
          <w:rFonts w:ascii="Arial" w:cs="Arial" w:eastAsia="Arial" w:hAnsi="Arial"/>
          <w:sz w:val="14"/>
          <w:szCs w:val="14"/>
          <w:color w:val="auto"/>
        </w:rPr>
      </w:pPr>
    </w:p>
    <w:p>
      <w:pPr>
        <w:ind w:left="420" w:right="340" w:hanging="412"/>
        <w:spacing w:after="0" w:line="257" w:lineRule="auto"/>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weighted average grant date fair value per share of stock options granted is calculated, as of the stock option grant date, using the Black-Scholes Merton (BSM) option pricing model. For the three and six months ended July 31, 2014 and 2013, Autodesk did not grant stock options.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ind w:left="440"/>
        <w:spacing w:after="0"/>
        <w:rPr>
          <w:sz w:val="20"/>
          <w:szCs w:val="20"/>
          <w:color w:val="auto"/>
        </w:rPr>
      </w:pPr>
      <w:r>
        <w:rPr>
          <w:rFonts w:ascii="Arial" w:cs="Arial" w:eastAsia="Arial" w:hAnsi="Arial"/>
          <w:sz w:val="18"/>
          <w:szCs w:val="18"/>
          <w:color w:val="auto"/>
        </w:rPr>
        <w:t>The following table summarizes information about options outstanding and exercisable at July 31, 2014:</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Options Vested and Exercisable</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Options Outstanding</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3"/>
                <w:szCs w:val="13"/>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Aggregate</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3"/>
                <w:szCs w:val="13"/>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3"/>
                <w:szCs w:val="13"/>
                <w:color w:val="auto"/>
              </w:rPr>
            </w:pPr>
          </w:p>
        </w:tc>
        <w:tc>
          <w:tcPr>
            <w:tcW w:w="940" w:type="dxa"/>
            <w:vAlign w:val="bottom"/>
            <w:vMerge w:val="restart"/>
          </w:tcPr>
          <w:p>
            <w:pPr>
              <w:jc w:val="center"/>
              <w:ind w:right="66"/>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intrinsic</w:t>
            </w: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8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average</w:t>
            </w:r>
          </w:p>
        </w:tc>
        <w:tc>
          <w:tcPr>
            <w:tcW w:w="140" w:type="dxa"/>
            <w:vAlign w:val="bottom"/>
          </w:tcPr>
          <w:p>
            <w:pPr>
              <w:spacing w:after="0"/>
              <w:rPr>
                <w:sz w:val="12"/>
                <w:szCs w:val="12"/>
                <w:color w:val="auto"/>
              </w:rPr>
            </w:pPr>
          </w:p>
        </w:tc>
        <w:tc>
          <w:tcPr>
            <w:tcW w:w="94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life</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exercise</w:t>
            </w: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value (1)</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life</w:t>
            </w:r>
          </w:p>
        </w:tc>
        <w:tc>
          <w:tcPr>
            <w:tcW w:w="18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exercise</w:t>
            </w:r>
          </w:p>
        </w:tc>
        <w:tc>
          <w:tcPr>
            <w:tcW w:w="140" w:type="dxa"/>
            <w:vAlign w:val="bottom"/>
          </w:tcPr>
          <w:p>
            <w:pPr>
              <w:spacing w:after="0"/>
              <w:rPr>
                <w:sz w:val="12"/>
                <w:szCs w:val="12"/>
                <w:color w:val="auto"/>
              </w:rPr>
            </w:pPr>
          </w:p>
        </w:tc>
        <w:tc>
          <w:tcPr>
            <w:tcW w:w="94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91"/>
              </w:rPr>
              <w:t>value (1)</w:t>
            </w: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price</w:t>
            </w: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price</w:t>
            </w:r>
          </w:p>
        </w:tc>
        <w:tc>
          <w:tcPr>
            <w:tcW w:w="140" w:type="dxa"/>
            <w:vAlign w:val="bottom"/>
          </w:tcPr>
          <w:p>
            <w:pPr>
              <w:spacing w:after="0"/>
              <w:rPr>
                <w:sz w:val="16"/>
                <w:szCs w:val="16"/>
                <w:color w:val="auto"/>
              </w:rPr>
            </w:pPr>
          </w:p>
        </w:tc>
        <w:tc>
          <w:tcPr>
            <w:tcW w:w="940" w:type="dxa"/>
            <w:vAlign w:val="bottom"/>
          </w:tcPr>
          <w:p>
            <w:pPr>
              <w:jc w:val="center"/>
              <w:ind w:right="86"/>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06"/>
        </w:trPr>
        <w:tc>
          <w:tcPr>
            <w:tcW w:w="1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4"/>
              </w:rPr>
              <w:t>Range of per-share exercise</w:t>
            </w: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prices:</w:t>
            </w: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60" w:type="dxa"/>
            <w:vAlign w:val="bottom"/>
          </w:tcPr>
          <w:p>
            <w:pPr>
              <w:ind w:left="380"/>
              <w:spacing w:after="0"/>
              <w:rPr>
                <w:sz w:val="20"/>
                <w:szCs w:val="20"/>
                <w:color w:val="auto"/>
              </w:rPr>
            </w:pPr>
            <w:r>
              <w:rPr>
                <w:rFonts w:ascii="Arial" w:cs="Arial" w:eastAsia="Arial" w:hAnsi="Arial"/>
                <w:sz w:val="16"/>
                <w:szCs w:val="16"/>
                <w:color w:val="auto"/>
              </w:rPr>
              <w:t>$2.28 - $29.40</w:t>
            </w:r>
          </w:p>
        </w:tc>
        <w:tc>
          <w:tcPr>
            <w:tcW w:w="1060" w:type="dxa"/>
            <w:vAlign w:val="bottom"/>
          </w:tcPr>
          <w:p>
            <w:pPr>
              <w:jc w:val="right"/>
              <w:ind w:right="23"/>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23.36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23.60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$29.50 - $41.62</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38.24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38.27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960" w:type="dxa"/>
            <w:vAlign w:val="bottom"/>
          </w:tcPr>
          <w:p>
            <w:pPr>
              <w:ind w:left="380"/>
              <w:spacing w:after="0"/>
              <w:rPr>
                <w:sz w:val="20"/>
                <w:szCs w:val="20"/>
                <w:color w:val="auto"/>
              </w:rPr>
            </w:pPr>
            <w:r>
              <w:rPr>
                <w:rFonts w:ascii="Arial" w:cs="Arial" w:eastAsia="Arial" w:hAnsi="Arial"/>
                <w:sz w:val="16"/>
                <w:szCs w:val="16"/>
                <w:color w:val="auto"/>
              </w:rPr>
              <w:t>$42.39 - $43.81</w:t>
            </w:r>
          </w:p>
        </w:tc>
        <w:tc>
          <w:tcPr>
            <w:tcW w:w="1060" w:type="dxa"/>
            <w:vAlign w:val="bottom"/>
          </w:tcPr>
          <w:p>
            <w:pPr>
              <w:jc w:val="right"/>
              <w:ind w:right="23"/>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43.80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43.79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9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9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3.3</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33.26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3.6</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33.82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20"/>
        </w:trPr>
        <w:tc>
          <w:tcPr>
            <w:tcW w:w="196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96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380" w:hanging="412"/>
        <w:spacing w:after="0" w:line="263" w:lineRule="auto"/>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the total pre-tax intrinsic value, based on Autodesk’s closing stock price of $53.35 per share as of July 31, 2014, which would have been received by the option holders had all option holders exercised their options as of that date.</w:t>
      </w:r>
    </w:p>
    <w:p>
      <w:pPr>
        <w:sectPr>
          <w:pgSz w:w="11900" w:h="16838" w:orient="portrait"/>
          <w:cols w:equalWidth="0" w:num="1">
            <w:col w:w="11420"/>
          </w:cols>
          <w:pgMar w:left="240" w:top="584" w:right="239" w:bottom="1440" w:gutter="0" w:footer="0" w:header="0"/>
        </w:sectPr>
      </w:pPr>
    </w:p>
    <w:p>
      <w:pPr>
        <w:spacing w:after="0" w:line="17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These options will expire if not exercised at specific dates ranging through September 2022.</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summary of restricted stock unit activity for the six months ended July 31, 2014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818515</wp:posOffset>
            </wp:positionV>
            <wp:extent cx="716915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Unvested restricted stock units at January 31, 2014</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6915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Vested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Canceled/Forfeited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6915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Performance Adjustment (1)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Unvested restricted stock units at July 31, 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Unvested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03"/>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1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1"/>
              </w:rPr>
              <w:t>average grant</w:t>
            </w:r>
          </w:p>
        </w:tc>
        <w:tc>
          <w:tcPr>
            <w:tcW w:w="0" w:type="dxa"/>
            <w:vAlign w:val="bottom"/>
          </w:tcPr>
          <w:p>
            <w:pPr>
              <w:spacing w:after="0"/>
              <w:rPr>
                <w:sz w:val="1"/>
                <w:szCs w:val="1"/>
                <w:color w:val="auto"/>
              </w:rPr>
            </w:pPr>
          </w:p>
        </w:tc>
      </w:tr>
      <w:tr>
        <w:trPr>
          <w:trHeight w:val="149"/>
        </w:trPr>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3"/>
              </w:rPr>
              <w:t>date fair value</w:t>
            </w:r>
          </w:p>
        </w:tc>
        <w:tc>
          <w:tcPr>
            <w:tcW w:w="0" w:type="dxa"/>
            <w:vAlign w:val="bottom"/>
          </w:tcPr>
          <w:p>
            <w:pPr>
              <w:spacing w:after="0"/>
              <w:rPr>
                <w:sz w:val="1"/>
                <w:szCs w:val="1"/>
                <w:color w:val="auto"/>
              </w:rPr>
            </w:pPr>
          </w:p>
        </w:tc>
      </w:tr>
      <w:tr>
        <w:trPr>
          <w:trHeight w:val="192"/>
        </w:trPr>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Stock Units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244"/>
        </w:trPr>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420" w:type="dxa"/>
            <w:vAlign w:val="bottom"/>
          </w:tcPr>
          <w:p>
            <w:pPr>
              <w:jc w:val="right"/>
              <w:ind w:right="23"/>
              <w:spacing w:after="0"/>
              <w:rPr>
                <w:sz w:val="20"/>
                <w:szCs w:val="20"/>
                <w:color w:val="auto"/>
              </w:rPr>
            </w:pPr>
            <w:r>
              <w:rPr>
                <w:rFonts w:ascii="Arial" w:cs="Arial" w:eastAsia="Arial" w:hAnsi="Arial"/>
                <w:sz w:val="16"/>
                <w:szCs w:val="16"/>
                <w:color w:val="auto"/>
              </w:rPr>
              <w:t>6,515.6</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39.15</w:t>
            </w:r>
          </w:p>
        </w:tc>
        <w:tc>
          <w:tcPr>
            <w:tcW w:w="0" w:type="dxa"/>
            <w:vAlign w:val="bottom"/>
          </w:tcPr>
          <w:p>
            <w:pPr>
              <w:spacing w:after="0"/>
              <w:rPr>
                <w:sz w:val="1"/>
                <w:szCs w:val="1"/>
                <w:color w:val="auto"/>
              </w:rPr>
            </w:pPr>
          </w:p>
        </w:tc>
      </w:tr>
      <w:tr>
        <w:trPr>
          <w:trHeight w:val="270"/>
        </w:trPr>
        <w:tc>
          <w:tcPr>
            <w:tcW w:w="1420" w:type="dxa"/>
            <w:vAlign w:val="bottom"/>
          </w:tcPr>
          <w:p>
            <w:pPr>
              <w:jc w:val="right"/>
              <w:ind w:right="23"/>
              <w:spacing w:after="0"/>
              <w:rPr>
                <w:sz w:val="20"/>
                <w:szCs w:val="20"/>
                <w:color w:val="auto"/>
              </w:rPr>
            </w:pPr>
            <w:r>
              <w:rPr>
                <w:rFonts w:ascii="Arial" w:cs="Arial" w:eastAsia="Arial" w:hAnsi="Arial"/>
                <w:sz w:val="16"/>
                <w:szCs w:val="16"/>
                <w:color w:val="auto"/>
              </w:rPr>
              <w:t>1,257.3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59.98</w:t>
            </w:r>
          </w:p>
        </w:tc>
        <w:tc>
          <w:tcPr>
            <w:tcW w:w="0" w:type="dxa"/>
            <w:vAlign w:val="bottom"/>
          </w:tcPr>
          <w:p>
            <w:pPr>
              <w:spacing w:after="0"/>
              <w:rPr>
                <w:sz w:val="1"/>
                <w:szCs w:val="1"/>
                <w:color w:val="auto"/>
              </w:rPr>
            </w:pPr>
          </w:p>
        </w:tc>
      </w:tr>
      <w:tr>
        <w:trPr>
          <w:trHeight w:val="270"/>
        </w:trPr>
        <w:tc>
          <w:tcPr>
            <w:tcW w:w="1420" w:type="dxa"/>
            <w:vAlign w:val="bottom"/>
          </w:tcPr>
          <w:p>
            <w:pPr>
              <w:jc w:val="right"/>
              <w:spacing w:after="0"/>
              <w:rPr>
                <w:sz w:val="20"/>
                <w:szCs w:val="20"/>
                <w:color w:val="auto"/>
              </w:rPr>
            </w:pPr>
            <w:r>
              <w:rPr>
                <w:rFonts w:ascii="Arial" w:cs="Arial" w:eastAsia="Arial" w:hAnsi="Arial"/>
                <w:sz w:val="16"/>
                <w:szCs w:val="16"/>
                <w:color w:val="auto"/>
              </w:rPr>
              <w:t>(1,369.8)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36.34</w:t>
            </w:r>
          </w:p>
        </w:tc>
        <w:tc>
          <w:tcPr>
            <w:tcW w:w="0" w:type="dxa"/>
            <w:vAlign w:val="bottom"/>
          </w:tcPr>
          <w:p>
            <w:pPr>
              <w:spacing w:after="0"/>
              <w:rPr>
                <w:sz w:val="1"/>
                <w:szCs w:val="1"/>
                <w:color w:val="auto"/>
              </w:rPr>
            </w:pPr>
          </w:p>
        </w:tc>
      </w:tr>
      <w:tr>
        <w:trPr>
          <w:trHeight w:val="270"/>
        </w:trPr>
        <w:tc>
          <w:tcPr>
            <w:tcW w:w="1420" w:type="dxa"/>
            <w:vAlign w:val="bottom"/>
          </w:tcPr>
          <w:p>
            <w:pPr>
              <w:jc w:val="right"/>
              <w:spacing w:after="0"/>
              <w:rPr>
                <w:sz w:val="20"/>
                <w:szCs w:val="20"/>
                <w:color w:val="auto"/>
              </w:rPr>
            </w:pPr>
            <w:r>
              <w:rPr>
                <w:rFonts w:ascii="Arial" w:cs="Arial" w:eastAsia="Arial" w:hAnsi="Arial"/>
                <w:sz w:val="16"/>
                <w:szCs w:val="16"/>
                <w:color w:val="auto"/>
              </w:rPr>
              <w:t>(259.7)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40.98</w:t>
            </w:r>
          </w:p>
        </w:tc>
        <w:tc>
          <w:tcPr>
            <w:tcW w:w="0" w:type="dxa"/>
            <w:vAlign w:val="bottom"/>
          </w:tcPr>
          <w:p>
            <w:pPr>
              <w:spacing w:after="0"/>
              <w:rPr>
                <w:sz w:val="1"/>
                <w:szCs w:val="1"/>
                <w:color w:val="auto"/>
              </w:rPr>
            </w:pPr>
          </w:p>
        </w:tc>
      </w:tr>
      <w:tr>
        <w:trPr>
          <w:trHeight w:val="270"/>
        </w:trPr>
        <w:tc>
          <w:tcPr>
            <w:tcW w:w="1420" w:type="dxa"/>
            <w:vAlign w:val="bottom"/>
          </w:tcPr>
          <w:p>
            <w:pPr>
              <w:jc w:val="right"/>
              <w:spacing w:after="0"/>
              <w:rPr>
                <w:sz w:val="20"/>
                <w:szCs w:val="20"/>
                <w:color w:val="auto"/>
              </w:rPr>
            </w:pPr>
            <w:r>
              <w:rPr>
                <w:rFonts w:ascii="Arial" w:cs="Arial" w:eastAsia="Arial" w:hAnsi="Arial"/>
                <w:sz w:val="16"/>
                <w:szCs w:val="16"/>
                <w:color w:val="auto"/>
              </w:rPr>
              <w:t>(74.7)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36.52</w:t>
            </w:r>
          </w:p>
        </w:tc>
        <w:tc>
          <w:tcPr>
            <w:tcW w:w="0" w:type="dxa"/>
            <w:vAlign w:val="bottom"/>
          </w:tcPr>
          <w:p>
            <w:pPr>
              <w:spacing w:after="0"/>
              <w:rPr>
                <w:sz w:val="1"/>
                <w:szCs w:val="1"/>
                <w:color w:val="auto"/>
              </w:rPr>
            </w:pPr>
          </w:p>
        </w:tc>
      </w:tr>
      <w:tr>
        <w:trPr>
          <w:trHeight w:val="33"/>
        </w:trPr>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420" w:type="dxa"/>
            <w:vAlign w:val="bottom"/>
          </w:tcPr>
          <w:p>
            <w:pPr>
              <w:jc w:val="right"/>
              <w:ind w:right="23"/>
              <w:spacing w:after="0"/>
              <w:rPr>
                <w:sz w:val="20"/>
                <w:szCs w:val="20"/>
                <w:color w:val="auto"/>
              </w:rPr>
            </w:pPr>
            <w:r>
              <w:rPr>
                <w:rFonts w:ascii="Arial" w:cs="Arial" w:eastAsia="Arial" w:hAnsi="Arial"/>
                <w:sz w:val="16"/>
                <w:szCs w:val="16"/>
                <w:color w:val="auto"/>
              </w:rPr>
              <w:t>6,068.7</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43.92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909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7600" w:space="720"/>
            <w:col w:w="3100"/>
          </w:cols>
          <w:pgMar w:left="240" w:top="584" w:right="239" w:bottom="1440" w:gutter="0" w:footer="0" w:header="0"/>
          <w:type w:val="continuous"/>
        </w:sectPr>
      </w:pPr>
    </w:p>
    <w:p>
      <w:pPr>
        <w:ind w:left="60"/>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5279390</wp:posOffset>
            </wp:positionH>
            <wp:positionV relativeFrom="paragraph">
              <wp:posOffset>-130175</wp:posOffset>
            </wp:positionV>
            <wp:extent cx="909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3" w:lineRule="exact"/>
        <w:rPr>
          <w:sz w:val="20"/>
          <w:szCs w:val="20"/>
          <w:color w:val="auto"/>
        </w:rPr>
      </w:pPr>
    </w:p>
    <w:p>
      <w:pPr>
        <w:ind w:left="420" w:right="140" w:hanging="412"/>
        <w:spacing w:after="0" w:line="263" w:lineRule="auto"/>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Autodesk's financial results for both the fiscal 2013 and 2014 performance period. The performance stock units were earned at 92.3% and 65.8% of the target award for granted in fiscal 2013 and fiscal 2014, respectively.</w:t>
      </w:r>
    </w:p>
    <w:p>
      <w:pPr>
        <w:spacing w:after="0" w:line="177"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For the restricted stock units granted during the six months ended July 31, 2014 and 2013, the weighted average grant date fair value was $59.98 and $41.40, respectively. The grant date fair value of the shares vested during the six months ended July 31, 2014 and 2013 was $49.8 million and $48.2 million, respectively.</w:t>
      </w:r>
    </w:p>
    <w:p>
      <w:pPr>
        <w:spacing w:after="0" w:line="181"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During the six months ended July 31, 2014, Autodesk granted 0.8 million restricted stock units. The restricted stock units vest over periods ranging from immediately upon grant to a pre-determined date that is typically within three years from the date of grant. Restricted stock units are not considered outstanding stock at the time of grant, as the holders of these units are not entitled to any of the rights of a stockholder, including voting rights. The fair value of the restricted stock units is primarily expensed ratably over the vesting period. Autodesk recorded stock-based compensation expense related to restricted stock units of $28.0 million and $50.9 million during the three and six months ended July 31, 2014, respectively. Autodesk recorded stock-based compensation expense related to restricted stock units of $17.1 million and $33.1 million during the three and six months ended July 31, 2013, respectively. As of July 31, 2014, total compensation cost not yet recognized of $154.2 million related to non-vested restricted stock units is expected to be recognized over a weighted average period of 1.7 years. At July 31, 2014, the number of restricted stock units granted but unvested was 5.2 million.</w:t>
      </w:r>
    </w:p>
    <w:p>
      <w:pPr>
        <w:spacing w:after="0" w:line="166"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During the six months ended July 31, 2014, Autodesk granted 0.5 million performance restricted stock units (“PSUs”) for which the ultimate number of shares earned is determined based on the achievement of performance criteria at the end of the stated service and performance period. The performance criteria for these grants are based upon billings and subscriptions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type w:val="continuous"/>
        </w:sectPr>
      </w:pPr>
    </w:p>
    <w:bookmarkStart w:id="16" w:name="page17"/>
    <w:bookmarkEnd w:id="16"/>
    <w:p>
      <w:pPr>
        <w:ind w:right="420"/>
        <w:spacing w:after="0" w:line="277" w:lineRule="auto"/>
        <w:rPr>
          <w:sz w:val="20"/>
          <w:szCs w:val="20"/>
          <w:color w:val="auto"/>
        </w:rPr>
      </w:pPr>
      <w:r>
        <w:rPr>
          <w:rFonts w:ascii="Arial" w:cs="Arial" w:eastAsia="Arial" w:hAnsi="Arial"/>
          <w:sz w:val="18"/>
          <w:szCs w:val="18"/>
          <w:color w:val="auto"/>
        </w:rPr>
        <w:t>goals adopted by the Compensation and Human Resource Committee, as well as total stockholder return compared against the S&amp;P Computer Software Select Index (“Relative TSR”). Each PSU covers a three year period:</w:t>
      </w:r>
    </w:p>
    <w:p>
      <w:pPr>
        <w:spacing w:after="0" w:line="170" w:lineRule="exact"/>
        <w:rPr>
          <w:sz w:val="20"/>
          <w:szCs w:val="20"/>
          <w:color w:val="auto"/>
        </w:rPr>
      </w:pPr>
    </w:p>
    <w:p>
      <w:pPr>
        <w:ind w:left="660" w:right="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 to one third of the PSU may vest following year one depending upon the achievement of the billings and subscriptions goals for year one as well as 1 year Relative TSR (covering year one).</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 to one third of the PSU may vest following year two depending upon the achievement of the billings and subscriptions goals for year two as well as 2 year Relative TSR (covering years one and two).</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 to one third of the PSU may vest following year three depending upon the achievement of the billings and subscriptions goals for year three as well as 3 year Relative TSR (covering years one, two and three).</w:t>
      </w:r>
    </w:p>
    <w:p>
      <w:pPr>
        <w:spacing w:after="0" w:line="170" w:lineRule="exact"/>
        <w:rPr>
          <w:sz w:val="20"/>
          <w:szCs w:val="20"/>
          <w:color w:val="auto"/>
        </w:rPr>
      </w:pPr>
    </w:p>
    <w:p>
      <w:pPr>
        <w:ind w:right="180" w:firstLine="405"/>
        <w:spacing w:after="0" w:line="254" w:lineRule="auto"/>
        <w:rPr>
          <w:sz w:val="20"/>
          <w:szCs w:val="20"/>
          <w:color w:val="auto"/>
        </w:rPr>
      </w:pPr>
      <w:r>
        <w:rPr>
          <w:rFonts w:ascii="Arial" w:cs="Arial" w:eastAsia="Arial" w:hAnsi="Arial"/>
          <w:sz w:val="18"/>
          <w:szCs w:val="18"/>
          <w:color w:val="auto"/>
        </w:rPr>
        <w:t>PSUs are not considered outstanding stock at the time of grant, as the holders of these units are not entitled to any of the rights of a stockholder, including voting rights. Autodesk has determined the grant-date fair value for these awards using a Monte Carlo simulation model since the awards are subject to a market condition. The fair value of the PSUs is expensed using the accelerated attribution or the straight-line method over the vesting period. Autodesk recorded stock-based compensation expense related to PSUs of $4.8 million and $7.8 million for the three and six months ended July 31, 2014, respectively. Autodesk recorded stock-based compensation expense related to PSUs of $2.8 million and $5.5 million during the three and six months ended July 31, 2013, respectively. As of July 31, 2014, total compensation cost not yet recognized of $11.9 million related to non-vested performance restricted stock units, is expected to be recognized over a weighted average period of 1.3 years. At July 31, 2014, the number of PSUs granted but not vested was 0.9 million.</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1998 Employee Qualified Stock Purchase Plan (“ESP Plan”)</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Under Autodesk’s ESP Plan, which was approved by stockholders in 1998, eligible employees may purchase shares of Autodesk’s common stock at their discretion using up to 15% of their eligible compensation subject to certain limitations, at not less than 85% of fair market value as defined in the ESP Plan. At July 31, 2014, a total of 37.0 million shares were available for future issuance. This amount automatically increases on the first trading day of each fiscal year by an amount equal to the lesser of 10.0 million shares or 2% of the total of (1) outstanding shares plus (2) any shares repurchased by Autodesk during the prior fiscal year. Under the ESP Plan, the Company issues shares on the first trading day following March 31 and September 30 of each fiscal year. The ESP Plan expires during fiscal 2018.</w:t>
      </w:r>
    </w:p>
    <w:p>
      <w:pPr>
        <w:spacing w:after="0" w:line="193"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Autodesk issued 1.1 million shares under the ESP Plan during the six months ended July 31, 2014, with an average price of $33.66 per share. During the six months ended July 31, 2013, Autodesk issued 1.5 million shares under the ESP Plan, at an average price of $22.32 per share. The weighted average grant date fair value of awards granted under the ESP Plan was $14.26 during the six months ended July 31, 2014, calculated as of the award grant date using the Black-Scholes-Merton option pricing model. The weighted average grant date fair value of awards granted under the ESP Plan during the six months ended July 31, 2013, calculated as of the award grant date using the Black-Scholes-Merton option pricing model, was $11.84 per share.</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584" w:right="279" w:bottom="1440" w:gutter="0" w:footer="0" w:header="0"/>
        </w:sectPr>
      </w:pPr>
    </w:p>
    <w:bookmarkStart w:id="17" w:name="page18"/>
    <w:bookmarkEnd w:id="17"/>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stock-based compensation expense for the three and six months ended July 31, 2014 and 2013, respectively, as follows: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Three Months Ended July</w:t>
            </w: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Three Months Ended July</w:t>
            </w:r>
          </w:p>
        </w:tc>
      </w:tr>
      <w:tr>
        <w:trPr>
          <w:trHeight w:val="192"/>
        </w:trPr>
        <w:tc>
          <w:tcPr>
            <w:tcW w:w="77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31, 2014</w:t>
            </w: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31, 2013</w:t>
            </w:r>
          </w:p>
        </w:tc>
      </w:tr>
      <w:tr>
        <w:trPr>
          <w:trHeight w:val="236"/>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license and other revenue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r>
      <w:tr>
        <w:trPr>
          <w:trHeight w:val="237"/>
        </w:trPr>
        <w:tc>
          <w:tcPr>
            <w:tcW w:w="7700" w:type="dxa"/>
            <w:vAlign w:val="bottom"/>
          </w:tcPr>
          <w:p>
            <w:pPr>
              <w:ind w:left="40"/>
              <w:spacing w:after="0"/>
              <w:rPr>
                <w:sz w:val="20"/>
                <w:szCs w:val="20"/>
                <w:color w:val="auto"/>
              </w:rPr>
            </w:pPr>
            <w:r>
              <w:rPr>
                <w:rFonts w:ascii="Arial" w:cs="Arial" w:eastAsia="Arial" w:hAnsi="Arial"/>
                <w:sz w:val="16"/>
                <w:szCs w:val="16"/>
                <w:color w:val="auto"/>
              </w:rPr>
              <w:t>Cost of subscription</w:t>
            </w:r>
          </w:p>
        </w:tc>
        <w:tc>
          <w:tcPr>
            <w:tcW w:w="100" w:type="dxa"/>
            <w:vAlign w:val="bottom"/>
          </w:tcPr>
          <w:p>
            <w:pPr>
              <w:spacing w:after="0"/>
              <w:rPr>
                <w:sz w:val="20"/>
                <w:szCs w:val="20"/>
                <w:color w:val="auto"/>
              </w:rPr>
            </w:pPr>
          </w:p>
        </w:tc>
        <w:tc>
          <w:tcPr>
            <w:tcW w:w="172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0.5</w:t>
            </w:r>
          </w:p>
        </w:tc>
      </w:tr>
      <w:tr>
        <w:trPr>
          <w:trHeight w:val="33"/>
        </w:trPr>
        <w:tc>
          <w:tcPr>
            <w:tcW w:w="7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Marketing and sales</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14.0</w:t>
            </w:r>
          </w:p>
        </w:tc>
      </w:tr>
      <w:tr>
        <w:trPr>
          <w:trHeight w:val="237"/>
        </w:trPr>
        <w:tc>
          <w:tcPr>
            <w:tcW w:w="770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100" w:type="dxa"/>
            <w:vAlign w:val="bottom"/>
          </w:tcPr>
          <w:p>
            <w:pPr>
              <w:spacing w:after="0"/>
              <w:rPr>
                <w:sz w:val="20"/>
                <w:szCs w:val="20"/>
                <w:color w:val="auto"/>
              </w:rPr>
            </w:pPr>
          </w:p>
        </w:tc>
        <w:tc>
          <w:tcPr>
            <w:tcW w:w="1720" w:type="dxa"/>
            <w:vAlign w:val="bottom"/>
          </w:tcPr>
          <w:p>
            <w:pPr>
              <w:jc w:val="right"/>
              <w:ind w:right="20"/>
              <w:spacing w:after="0"/>
              <w:rPr>
                <w:sz w:val="20"/>
                <w:szCs w:val="20"/>
                <w:color w:val="auto"/>
              </w:rPr>
            </w:pPr>
            <w:r>
              <w:rPr>
                <w:rFonts w:ascii="Arial" w:cs="Arial" w:eastAsia="Arial" w:hAnsi="Arial"/>
                <w:sz w:val="16"/>
                <w:szCs w:val="16"/>
                <w:color w:val="auto"/>
              </w:rPr>
              <w:t>13.7</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10.2</w:t>
            </w:r>
          </w:p>
        </w:tc>
      </w:tr>
      <w:tr>
        <w:trPr>
          <w:trHeight w:val="33"/>
        </w:trPr>
        <w:tc>
          <w:tcPr>
            <w:tcW w:w="7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w:t>
            </w:r>
          </w:p>
        </w:tc>
      </w:tr>
      <w:tr>
        <w:trPr>
          <w:trHeight w:val="217"/>
        </w:trPr>
        <w:tc>
          <w:tcPr>
            <w:tcW w:w="7700" w:type="dxa"/>
            <w:vAlign w:val="bottom"/>
          </w:tcPr>
          <w:p>
            <w:pPr>
              <w:ind w:left="40"/>
              <w:spacing w:after="0"/>
              <w:rPr>
                <w:sz w:val="20"/>
                <w:szCs w:val="20"/>
                <w:color w:val="auto"/>
              </w:rPr>
            </w:pPr>
            <w:r>
              <w:rPr>
                <w:rFonts w:ascii="Arial" w:cs="Arial" w:eastAsia="Arial" w:hAnsi="Arial"/>
                <w:sz w:val="16"/>
                <w:szCs w:val="16"/>
                <w:color w:val="auto"/>
              </w:rPr>
              <w:t>Stock-based compensation expense related to stock awards and ESP Plan purchases</w:t>
            </w:r>
          </w:p>
        </w:tc>
        <w:tc>
          <w:tcPr>
            <w:tcW w:w="1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39.8</w:t>
            </w: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31.1</w:t>
            </w:r>
          </w:p>
        </w:tc>
      </w:tr>
      <w:tr>
        <w:trPr>
          <w:trHeight w:val="33"/>
        </w:trPr>
        <w:tc>
          <w:tcPr>
            <w:tcW w:w="7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benefit</w:t>
            </w:r>
          </w:p>
        </w:tc>
        <w:tc>
          <w:tcPr>
            <w:tcW w:w="1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17"/>
        </w:trPr>
        <w:tc>
          <w:tcPr>
            <w:tcW w:w="7700" w:type="dxa"/>
            <w:vAlign w:val="bottom"/>
          </w:tcPr>
          <w:p>
            <w:pPr>
              <w:ind w:left="40"/>
              <w:spacing w:after="0"/>
              <w:rPr>
                <w:sz w:val="20"/>
                <w:szCs w:val="20"/>
                <w:color w:val="auto"/>
              </w:rPr>
            </w:pPr>
            <w:r>
              <w:rPr>
                <w:rFonts w:ascii="Arial" w:cs="Arial" w:eastAsia="Arial" w:hAnsi="Arial"/>
                <w:sz w:val="16"/>
                <w:szCs w:val="16"/>
                <w:color w:val="auto"/>
              </w:rPr>
              <w:t>Stock-based compensation expense related to stock awards and ESP Plan purchases, net of tax</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29.4</w:t>
            </w:r>
          </w:p>
        </w:tc>
        <w:tc>
          <w:tcPr>
            <w:tcW w:w="140" w:type="dxa"/>
            <w:vAlign w:val="bottom"/>
          </w:tcPr>
          <w:p>
            <w:pPr>
              <w:spacing w:after="0"/>
              <w:rPr>
                <w:sz w:val="18"/>
                <w:szCs w:val="18"/>
                <w:color w:val="auto"/>
              </w:rPr>
            </w:pPr>
          </w:p>
        </w:tc>
        <w:tc>
          <w:tcPr>
            <w:tcW w:w="360" w:type="dxa"/>
            <w:vAlign w:val="bottom"/>
            <w:tcBorders>
              <w:top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23.0</w:t>
            </w:r>
          </w:p>
        </w:tc>
      </w:tr>
      <w:tr>
        <w:trPr>
          <w:trHeight w:val="73"/>
        </w:trPr>
        <w:tc>
          <w:tcPr>
            <w:tcW w:w="7700" w:type="dxa"/>
            <w:vAlign w:val="bottom"/>
            <w:tcBorders>
              <w:bottom w:val="single" w:sz="8" w:color="CCEEFF"/>
            </w:tcBorders>
          </w:tcPr>
          <w:p>
            <w:pPr>
              <w:spacing w:after="0"/>
              <w:rPr>
                <w:sz w:val="6"/>
                <w:szCs w:val="6"/>
                <w:color w:val="auto"/>
              </w:rPr>
            </w:pPr>
          </w:p>
        </w:tc>
        <w:tc>
          <w:tcPr>
            <w:tcW w:w="1820" w:type="dxa"/>
            <w:vAlign w:val="bottom"/>
            <w:tcBorders>
              <w:bottom w:val="single" w:sz="8" w:color="auto"/>
            </w:tcBorders>
            <w:gridSpan w:val="2"/>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760" w:type="dxa"/>
            <w:vAlign w:val="bottom"/>
            <w:tcBorders>
              <w:bottom w:val="single" w:sz="8" w:color="auto"/>
            </w:tcBorders>
            <w:gridSpan w:val="2"/>
          </w:tcPr>
          <w:p>
            <w:pPr>
              <w:spacing w:after="0"/>
              <w:rPr>
                <w:sz w:val="6"/>
                <w:szCs w:val="6"/>
                <w:color w:val="auto"/>
              </w:rPr>
            </w:pPr>
          </w:p>
        </w:tc>
      </w:tr>
      <w:tr>
        <w:trPr>
          <w:trHeight w:val="210"/>
        </w:trPr>
        <w:tc>
          <w:tcPr>
            <w:tcW w:w="7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153"/>
        </w:trPr>
        <w:tc>
          <w:tcPr>
            <w:tcW w:w="7700" w:type="dxa"/>
            <w:vAlign w:val="bottom"/>
          </w:tcPr>
          <w:p>
            <w:pPr>
              <w:spacing w:after="0"/>
              <w:rPr>
                <w:sz w:val="13"/>
                <w:szCs w:val="13"/>
                <w:color w:val="auto"/>
              </w:rPr>
            </w:pPr>
          </w:p>
        </w:tc>
        <w:tc>
          <w:tcPr>
            <w:tcW w:w="196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Six Months Ended July 31,</w:t>
            </w:r>
          </w:p>
        </w:tc>
        <w:tc>
          <w:tcPr>
            <w:tcW w:w="176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5"/>
              </w:rPr>
              <w:t>Six Months Ended July 31,</w:t>
            </w:r>
          </w:p>
        </w:tc>
      </w:tr>
      <w:tr>
        <w:trPr>
          <w:trHeight w:val="192"/>
        </w:trPr>
        <w:tc>
          <w:tcPr>
            <w:tcW w:w="77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2013</w:t>
            </w:r>
          </w:p>
        </w:tc>
      </w:tr>
      <w:tr>
        <w:trPr>
          <w:trHeight w:val="236"/>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license and other revenue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r>
      <w:tr>
        <w:trPr>
          <w:trHeight w:val="237"/>
        </w:trPr>
        <w:tc>
          <w:tcPr>
            <w:tcW w:w="7700" w:type="dxa"/>
            <w:vAlign w:val="bottom"/>
          </w:tcPr>
          <w:p>
            <w:pPr>
              <w:ind w:left="40"/>
              <w:spacing w:after="0"/>
              <w:rPr>
                <w:sz w:val="20"/>
                <w:szCs w:val="20"/>
                <w:color w:val="auto"/>
              </w:rPr>
            </w:pPr>
            <w:r>
              <w:rPr>
                <w:rFonts w:ascii="Arial" w:cs="Arial" w:eastAsia="Arial" w:hAnsi="Arial"/>
                <w:sz w:val="16"/>
                <w:szCs w:val="16"/>
                <w:color w:val="auto"/>
              </w:rPr>
              <w:t>Cost of subscription</w:t>
            </w:r>
          </w:p>
        </w:tc>
        <w:tc>
          <w:tcPr>
            <w:tcW w:w="100" w:type="dxa"/>
            <w:vAlign w:val="bottom"/>
          </w:tcPr>
          <w:p>
            <w:pPr>
              <w:spacing w:after="0"/>
              <w:rPr>
                <w:sz w:val="20"/>
                <w:szCs w:val="20"/>
                <w:color w:val="auto"/>
              </w:rPr>
            </w:pPr>
          </w:p>
        </w:tc>
        <w:tc>
          <w:tcPr>
            <w:tcW w:w="172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1.1</w:t>
            </w:r>
          </w:p>
        </w:tc>
      </w:tr>
      <w:tr>
        <w:trPr>
          <w:trHeight w:val="33"/>
        </w:trPr>
        <w:tc>
          <w:tcPr>
            <w:tcW w:w="7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Marketing and sales</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31.6</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28.1</w:t>
            </w:r>
          </w:p>
        </w:tc>
      </w:tr>
      <w:tr>
        <w:trPr>
          <w:trHeight w:val="237"/>
        </w:trPr>
        <w:tc>
          <w:tcPr>
            <w:tcW w:w="770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100" w:type="dxa"/>
            <w:vAlign w:val="bottom"/>
          </w:tcPr>
          <w:p>
            <w:pPr>
              <w:spacing w:after="0"/>
              <w:rPr>
                <w:sz w:val="20"/>
                <w:szCs w:val="20"/>
                <w:color w:val="auto"/>
              </w:rPr>
            </w:pPr>
          </w:p>
        </w:tc>
        <w:tc>
          <w:tcPr>
            <w:tcW w:w="1720" w:type="dxa"/>
            <w:vAlign w:val="bottom"/>
          </w:tcPr>
          <w:p>
            <w:pPr>
              <w:jc w:val="right"/>
              <w:ind w:right="20"/>
              <w:spacing w:after="0"/>
              <w:rPr>
                <w:sz w:val="20"/>
                <w:szCs w:val="20"/>
                <w:color w:val="auto"/>
              </w:rPr>
            </w:pPr>
            <w:r>
              <w:rPr>
                <w:rFonts w:ascii="Arial" w:cs="Arial" w:eastAsia="Arial" w:hAnsi="Arial"/>
                <w:sz w:val="16"/>
                <w:szCs w:val="16"/>
                <w:color w:val="auto"/>
              </w:rPr>
              <w:t>24.6</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21.1</w:t>
            </w:r>
          </w:p>
        </w:tc>
      </w:tr>
      <w:tr>
        <w:trPr>
          <w:trHeight w:val="33"/>
        </w:trPr>
        <w:tc>
          <w:tcPr>
            <w:tcW w:w="7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w:t>
            </w:r>
          </w:p>
        </w:tc>
      </w:tr>
      <w:tr>
        <w:trPr>
          <w:trHeight w:val="217"/>
        </w:trPr>
        <w:tc>
          <w:tcPr>
            <w:tcW w:w="7700" w:type="dxa"/>
            <w:vAlign w:val="bottom"/>
          </w:tcPr>
          <w:p>
            <w:pPr>
              <w:ind w:left="40"/>
              <w:spacing w:after="0"/>
              <w:rPr>
                <w:sz w:val="20"/>
                <w:szCs w:val="20"/>
                <w:color w:val="auto"/>
              </w:rPr>
            </w:pPr>
            <w:r>
              <w:rPr>
                <w:rFonts w:ascii="Arial" w:cs="Arial" w:eastAsia="Arial" w:hAnsi="Arial"/>
                <w:sz w:val="16"/>
                <w:szCs w:val="16"/>
                <w:color w:val="auto"/>
              </w:rPr>
              <w:t>Stock-based compensation expense related to stock awards and ESP Plan purchases</w:t>
            </w:r>
          </w:p>
        </w:tc>
        <w:tc>
          <w:tcPr>
            <w:tcW w:w="1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73.4</w:t>
            </w: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64.6</w:t>
            </w:r>
          </w:p>
        </w:tc>
      </w:tr>
      <w:tr>
        <w:trPr>
          <w:trHeight w:val="33"/>
        </w:trPr>
        <w:tc>
          <w:tcPr>
            <w:tcW w:w="7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benefit</w:t>
            </w:r>
          </w:p>
        </w:tc>
        <w:tc>
          <w:tcPr>
            <w:tcW w:w="1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w:t>
            </w:r>
          </w:p>
        </w:tc>
      </w:tr>
      <w:tr>
        <w:trPr>
          <w:trHeight w:val="217"/>
        </w:trPr>
        <w:tc>
          <w:tcPr>
            <w:tcW w:w="7700" w:type="dxa"/>
            <w:vAlign w:val="bottom"/>
          </w:tcPr>
          <w:p>
            <w:pPr>
              <w:ind w:left="40"/>
              <w:spacing w:after="0"/>
              <w:rPr>
                <w:sz w:val="20"/>
                <w:szCs w:val="20"/>
                <w:color w:val="auto"/>
              </w:rPr>
            </w:pPr>
            <w:r>
              <w:rPr>
                <w:rFonts w:ascii="Arial" w:cs="Arial" w:eastAsia="Arial" w:hAnsi="Arial"/>
                <w:sz w:val="16"/>
                <w:szCs w:val="16"/>
                <w:color w:val="auto"/>
              </w:rPr>
              <w:t>Stock-based compensation expense related to stock awards and ESP Plan purchases, net of tax</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53.8</w:t>
            </w:r>
          </w:p>
        </w:tc>
        <w:tc>
          <w:tcPr>
            <w:tcW w:w="140" w:type="dxa"/>
            <w:vAlign w:val="bottom"/>
          </w:tcPr>
          <w:p>
            <w:pPr>
              <w:spacing w:after="0"/>
              <w:rPr>
                <w:sz w:val="18"/>
                <w:szCs w:val="18"/>
                <w:color w:val="auto"/>
              </w:rPr>
            </w:pPr>
          </w:p>
        </w:tc>
        <w:tc>
          <w:tcPr>
            <w:tcW w:w="360" w:type="dxa"/>
            <w:vAlign w:val="bottom"/>
            <w:tcBorders>
              <w:top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47.2</w:t>
            </w:r>
          </w:p>
        </w:tc>
      </w:tr>
      <w:tr>
        <w:trPr>
          <w:trHeight w:val="33"/>
        </w:trPr>
        <w:tc>
          <w:tcPr>
            <w:tcW w:w="7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 Assumptions</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Autodesk determines the grant-date fair value of its share-based payment awards using a BSM Option pricing model or the quoted stock price on the date of grant, unless the awards are subject to market conditions, in which case Autodesk uses a binomial-lattice model (e.g., Monte Carlo simulation model). The Monte Carlo simulation model utilizes multiple input variables to estimate the probability that market conditions will be achieved. Autodesk uses the following assumptions to estimate the fair value of stock-based awards: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14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Six Months Ended July 31, 2014</w:t>
            </w:r>
          </w:p>
        </w:tc>
        <w:tc>
          <w:tcPr>
            <w:tcW w:w="100" w:type="dxa"/>
            <w:vAlign w:val="bottom"/>
          </w:tcPr>
          <w:p>
            <w:pPr>
              <w:spacing w:after="0"/>
              <w:rPr>
                <w:sz w:val="16"/>
                <w:szCs w:val="16"/>
                <w:color w:val="auto"/>
              </w:rPr>
            </w:pPr>
          </w:p>
        </w:tc>
        <w:tc>
          <w:tcPr>
            <w:tcW w:w="298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Six Months Ended July 31, 2013</w:t>
            </w:r>
          </w:p>
        </w:tc>
        <w:tc>
          <w:tcPr>
            <w:tcW w:w="0" w:type="dxa"/>
            <w:vAlign w:val="bottom"/>
          </w:tcPr>
          <w:p>
            <w:pPr>
              <w:spacing w:after="0"/>
              <w:rPr>
                <w:sz w:val="1"/>
                <w:szCs w:val="1"/>
                <w:color w:val="auto"/>
              </w:rPr>
            </w:pPr>
          </w:p>
        </w:tc>
      </w:tr>
      <w:tr>
        <w:trPr>
          <w:trHeight w:val="152"/>
        </w:trPr>
        <w:tc>
          <w:tcPr>
            <w:tcW w:w="5200" w:type="dxa"/>
            <w:vAlign w:val="bottom"/>
          </w:tcPr>
          <w:p>
            <w:pPr>
              <w:spacing w:after="0"/>
              <w:rPr>
                <w:sz w:val="13"/>
                <w:szCs w:val="13"/>
                <w:color w:val="auto"/>
              </w:rPr>
            </w:pPr>
          </w:p>
        </w:tc>
        <w:tc>
          <w:tcPr>
            <w:tcW w:w="17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Performance Stock Unit</w:t>
            </w:r>
          </w:p>
        </w:tc>
        <w:tc>
          <w:tcPr>
            <w:tcW w:w="15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ESP Plan (2)</w:t>
            </w:r>
          </w:p>
        </w:tc>
        <w:tc>
          <w:tcPr>
            <w:tcW w:w="15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4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ESP Plan (2)</w:t>
            </w: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2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Unit (1)</w:t>
            </w: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Range of expected volatilities</w:t>
            </w:r>
          </w:p>
        </w:tc>
        <w:tc>
          <w:tcPr>
            <w:tcW w:w="15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30 - 33%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27 - 36%</w:t>
            </w:r>
          </w:p>
        </w:tc>
        <w:tc>
          <w:tcPr>
            <w:tcW w:w="0" w:type="dxa"/>
            <w:vAlign w:val="bottom"/>
          </w:tcPr>
          <w:p>
            <w:pPr>
              <w:spacing w:after="0"/>
              <w:rPr>
                <w:sz w:val="1"/>
                <w:szCs w:val="1"/>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color w:val="auto"/>
              </w:rPr>
              <w:t>Range of expected lives (in years)</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144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100" w:type="dxa"/>
            <w:vAlign w:val="bottom"/>
          </w:tcPr>
          <w:p>
            <w:pPr>
              <w:spacing w:after="0"/>
              <w:rPr>
                <w:sz w:val="20"/>
                <w:szCs w:val="20"/>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6"/>
                <w:szCs w:val="16"/>
                <w:color w:val="auto"/>
              </w:rPr>
              <w:t>N/A</w:t>
            </w:r>
          </w:p>
        </w:tc>
        <w:tc>
          <w:tcPr>
            <w:tcW w:w="142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0" w:type="dxa"/>
            <w:vAlign w:val="bottom"/>
          </w:tcPr>
          <w:p>
            <w:pPr>
              <w:spacing w:after="0"/>
              <w:rPr>
                <w:sz w:val="1"/>
                <w:szCs w:val="1"/>
                <w:color w:val="auto"/>
              </w:rPr>
            </w:pPr>
          </w:p>
        </w:tc>
      </w:tr>
      <w:tr>
        <w:trPr>
          <w:trHeight w:val="33"/>
        </w:trPr>
        <w:tc>
          <w:tcPr>
            <w:tcW w:w="5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dividends</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5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color w:val="auto"/>
              </w:rPr>
              <w:t>Range of risk-free interest rates</w:t>
            </w:r>
          </w:p>
        </w:tc>
        <w:tc>
          <w:tcPr>
            <w:tcW w:w="1580" w:type="dxa"/>
            <w:vAlign w:val="bottom"/>
          </w:tcPr>
          <w:p>
            <w:pPr>
              <w:jc w:val="center"/>
              <w:spacing w:after="0"/>
              <w:rPr>
                <w:sz w:val="20"/>
                <w:szCs w:val="20"/>
                <w:color w:val="auto"/>
              </w:rPr>
            </w:pPr>
            <w:r>
              <w:rPr>
                <w:rFonts w:ascii="Arial" w:cs="Arial" w:eastAsia="Arial" w:hAnsi="Arial"/>
                <w:sz w:val="16"/>
                <w:szCs w:val="16"/>
                <w:color w:val="auto"/>
                <w:w w:val="93"/>
              </w:rPr>
              <w:t>0.1%</w:t>
            </w:r>
          </w:p>
        </w:tc>
        <w:tc>
          <w:tcPr>
            <w:tcW w:w="1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3"/>
              </w:rPr>
              <w:t>0.1 - 0.4%</w:t>
            </w: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3"/>
              </w:rPr>
              <w:t>0.1%</w:t>
            </w:r>
          </w:p>
        </w:tc>
        <w:tc>
          <w:tcPr>
            <w:tcW w:w="1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0"/>
              </w:rPr>
              <w:t>0.1 - 0.3%</w:t>
            </w:r>
          </w:p>
        </w:tc>
        <w:tc>
          <w:tcPr>
            <w:tcW w:w="0" w:type="dxa"/>
            <w:vAlign w:val="bottom"/>
          </w:tcPr>
          <w:p>
            <w:pPr>
              <w:spacing w:after="0"/>
              <w:rPr>
                <w:sz w:val="1"/>
                <w:szCs w:val="1"/>
                <w:color w:val="auto"/>
              </w:rPr>
            </w:pPr>
          </w:p>
        </w:tc>
      </w:tr>
      <w:tr>
        <w:trPr>
          <w:trHeight w:val="226"/>
        </w:trPr>
        <w:tc>
          <w:tcPr>
            <w:tcW w:w="5200" w:type="dxa"/>
            <w:vAlign w:val="bottom"/>
          </w:tcPr>
          <w:p>
            <w:pPr>
              <w:ind w:left="40"/>
              <w:spacing w:after="0"/>
              <w:rPr>
                <w:sz w:val="20"/>
                <w:szCs w:val="20"/>
                <w:color w:val="auto"/>
              </w:rPr>
            </w:pPr>
            <w:r>
              <w:rPr>
                <w:rFonts w:ascii="Arial" w:cs="Arial" w:eastAsia="Arial" w:hAnsi="Arial"/>
                <w:sz w:val="16"/>
                <w:szCs w:val="16"/>
                <w:color w:val="auto"/>
              </w:rPr>
              <w:t>_______________</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Autodesk did not grant PSUs in the three months ended July 31, 2014 and 2013 that were subject to market conditions.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Autodesk did not grant shares under the ESP Plan in the three months ended July 31, 2014 and 2013.</w:t>
      </w:r>
    </w:p>
    <w:p>
      <w:pPr>
        <w:spacing w:after="0" w:line="203"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Autodesk estimates expected volatility for stock-based awards based on the average of the following two measures. The first is a measure of historical volatility in the trading market for the Company’s common stock, and the second is the implied volatility of traded forward call options to purchase shares of the Company’s common stock. The expected volatility for PSUs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subject to market conditions includes the expected volatility of Autodesk's peer companies within the S&amp;P Computer Software Select Index.</w:t>
      </w:r>
    </w:p>
    <w:p>
      <w:pPr>
        <w:spacing w:after="0" w:line="22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Autodesk estimates the expected life of stock-based awards using both exercise behavior and post-vesting termination behavior as well as consideration of outstanding options.</w:t>
      </w:r>
    </w:p>
    <w:p>
      <w:pPr>
        <w:spacing w:after="0" w:line="17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Autodesk does not currently pay, and does not anticipate paying in the foreseeable future, any cash dividends. Consequently, an expected dividend yield of zero is used in the Black-Scholes-Merton option pricing model and the Monte Carlo simulation model.</w:t>
      </w:r>
    </w:p>
    <w:p>
      <w:pPr>
        <w:spacing w:after="0" w:line="17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risk-free interest rate used in the Black-Scholes-Merton option pricing model and the Monte Carlo simulation model for stock-based awards is the historical yield on U.S. Treasury securities with equivalent remaining lives.</w:t>
      </w:r>
    </w:p>
    <w:p>
      <w:pPr>
        <w:spacing w:after="0" w:line="17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Autodesk recognizes expense only for the stock-based awards that are ultimately expected to vest. Therefore, Autodesk has developed an estimate of the number of awards expected to cancel prior to vesting (“forfeiture rate”). The forfeiture rate is estimated based on historical pre-vest cancellation experience and is applied to all stock-based awards. The Company estimates forfeitures at the time of grant and revises those estimates in subsequent periods if actual forfeitures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Income Tax</w:t>
      </w:r>
    </w:p>
    <w:p>
      <w:pPr>
        <w:spacing w:after="0" w:line="225"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Autodesk’s effective tax rate was 27% and 24% during the three and six months ended July 31, 2014, respectively, compared to 25% and 24% during the three and six months ended July 31, 2013, respectively. Autodesk's effective tax rate increased 2% during the three months ended July 31, 2014 as compared to the same period in the prior fiscal year primarily due to stock-based compensation expense, accrual for uncertain tax positions, tax impact of an increase in the forecasted annual rate from the previous quarter and expiration of the federal research and development tax credit provisions, partially offset by greater tax rate benefits from foreign earnings. Autodesk's effective tax rate remained flat during the six months ended July 31, 2014 as compared to the same period in the prior fiscal year primarily due to greater tax rate benefits from foreign earnings offset by tax rate detriments from stock-based compensation expense, accrual for uncertain tax positions and expiration of the federal research and development tax credit provision. Excluding the impact of discrete tax items, the effective tax rate for each of the three and six month periods ended July 31, 2014 was 29%, and was lower than the Federal statutory tax rate of 35% primarily due to foreign income taxed at lower rates partially offset by the impact of non-deductible stock based compensation expense and accrual for uncertain tax positions.</w:t>
      </w:r>
    </w:p>
    <w:p>
      <w:pPr>
        <w:spacing w:after="0" w:line="178" w:lineRule="exact"/>
        <w:rPr>
          <w:sz w:val="20"/>
          <w:szCs w:val="20"/>
          <w:color w:val="auto"/>
        </w:rPr>
      </w:pPr>
    </w:p>
    <w:p>
      <w:pPr>
        <w:ind w:right="200" w:firstLine="405"/>
        <w:spacing w:after="0" w:line="312" w:lineRule="auto"/>
        <w:rPr>
          <w:sz w:val="20"/>
          <w:szCs w:val="20"/>
          <w:color w:val="auto"/>
        </w:rPr>
      </w:pPr>
      <w:r>
        <w:rPr>
          <w:rFonts w:ascii="Arial" w:cs="Arial" w:eastAsia="Arial" w:hAnsi="Arial"/>
          <w:sz w:val="16"/>
          <w:szCs w:val="16"/>
          <w:color w:val="auto"/>
        </w:rPr>
        <w:t>As of July 31, 2014, the Company had $233.5 million of gross unrecognized tax benefits, excluding interest, of which approximately $228.4 million represents the amount of unrecognized tax benefits that would impact the effective tax rate, if recognized. It is possible that the amount of unrecognized tax benefits will change in the next twelve months; however, an estimate of the range of the possible change cannot be made at this time.</w:t>
      </w:r>
    </w:p>
    <w:p>
      <w:pPr>
        <w:spacing w:after="0" w:line="14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At July 31, 2014, Autodesk had net deferred tax assets of $163.1 million. Pursuant to the adoption of ASU 2013-11, $41.4 million of unrecognized tax benefits have been presented as a reduction of deferred tax assets at July 31, 2014. The Company believes that it will generate sufficient future taxable income in appropriate tax jurisdictions to realize these assets.</w:t>
      </w:r>
    </w:p>
    <w:p>
      <w:pPr>
        <w:spacing w:after="0" w:line="177"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During the six months ended July 31, 2014, Autodesk completed the business combinations and technology acquisitions described below. The results of operations for the following acquisitions are included in the accompanying Condensed Consolidated Statement of Operations since their respective acquisition dates. Pro forma results of operations have not been presented because the effects of the acquisitions, individually and in the aggregate, were not material to Autodesk’s Condensed Consolidated Financial Statements.</w:t>
      </w:r>
    </w:p>
    <w:p>
      <w:pPr>
        <w:spacing w:after="0" w:line="18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For acquisitions accounted for as business combinations, Autodesk recorded the tangible and intangible assets acquired and liabilities assumed based on their estimated fair values at the date of acquisition. The fair values assigned to the identifiable intangible assets acquired were based on estimates and assumptions determined by management. Autodesk recorded the excess of consideration transferred over the aggregate fair values as goodwill. The goodwill recorded is primarily attributable to synergies expected to arise after the acquisitions.</w:t>
      </w:r>
    </w:p>
    <w:p>
      <w:pPr>
        <w:spacing w:after="0" w:line="187" w:lineRule="exact"/>
        <w:rPr>
          <w:sz w:val="20"/>
          <w:szCs w:val="20"/>
          <w:color w:val="auto"/>
        </w:rPr>
      </w:pPr>
    </w:p>
    <w:p>
      <w:pPr>
        <w:jc w:val="both"/>
        <w:ind w:right="380" w:firstLine="405"/>
        <w:spacing w:after="0" w:line="264" w:lineRule="auto"/>
        <w:rPr>
          <w:sz w:val="20"/>
          <w:szCs w:val="20"/>
          <w:color w:val="auto"/>
        </w:rPr>
      </w:pPr>
      <w:r>
        <w:rPr>
          <w:rFonts w:ascii="Arial" w:cs="Arial" w:eastAsia="Arial" w:hAnsi="Arial"/>
          <w:sz w:val="18"/>
          <w:szCs w:val="18"/>
          <w:color w:val="auto"/>
        </w:rPr>
        <w:t>On June 27, 2014, Autodesk acquired Shotgun Software, Inc. (“Shotgun”) for total consideration of $54.5 million, of which $51.2 million was cash consideration. Prior to acquiring Shotgun, Autodesk had a convertible debt investment in the company with an acquisition-date fair value of $3.3 million using a market approach to value the investment. Shotgun was a</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jc w:val="both"/>
        <w:ind w:right="60"/>
        <w:spacing w:after="0" w:line="281" w:lineRule="auto"/>
        <w:rPr>
          <w:sz w:val="20"/>
          <w:szCs w:val="20"/>
          <w:color w:val="auto"/>
        </w:rPr>
      </w:pPr>
      <w:r>
        <w:rPr>
          <w:rFonts w:ascii="Arial" w:cs="Arial" w:eastAsia="Arial" w:hAnsi="Arial"/>
          <w:sz w:val="18"/>
          <w:szCs w:val="18"/>
          <w:color w:val="auto"/>
        </w:rPr>
        <w:t xml:space="preserve">privately owned company that </w:t>
      </w:r>
      <w:r>
        <w:rPr>
          <w:rFonts w:ascii="Arial" w:cs="Arial" w:eastAsia="Arial" w:hAnsi="Arial"/>
          <w:sz w:val="19"/>
          <w:szCs w:val="19"/>
          <w:color w:val="auto"/>
        </w:rPr>
        <w:t>pr</w:t>
      </w:r>
      <w:r>
        <w:rPr>
          <w:rFonts w:ascii="Arial" w:cs="Arial" w:eastAsia="Arial" w:hAnsi="Arial"/>
          <w:sz w:val="18"/>
          <w:szCs w:val="18"/>
          <w:color w:val="auto"/>
        </w:rPr>
        <w:t>ovided a cloud-based production management solution that enabled digital studios to track, schedule, review and collaborate on projects and images. Shotgun has been integrated into, and the related goodwill was assigned to, Autodesk's Media and Entertainment ("M&amp;E") segment. Goodwill is not expected to be deductible for tax purposes.</w:t>
      </w:r>
    </w:p>
    <w:p>
      <w:pPr>
        <w:spacing w:after="0" w:line="16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On May 29, 2014, Autodesk acquired all the outstanding shares of Within Technologies Limited ("Within Technologies”) for total cash consideration of $88.0 million. Autodesk used its non-U.S.-based cash for the transaction. Within Technologies is a United Kingdom based developer of design and simulation software for next generation manufacturing processes. The Within Technologies acquisition is expected to accelerate Autodesk’s development of tools and technologies for advanced manufacturing. Within Technologies will be integrated into Autodesk’s PSEB reportable segment. The amount of goodwill that is expected to be deductible for tax purposes is $78.9 million.</w:t>
      </w:r>
    </w:p>
    <w:p>
      <w:pPr>
        <w:spacing w:after="0" w:line="188"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On February 6, 2014, Autodesk acquired the entire issued and to be issued share capital of Delcam plc (“Delcam”), for $284.6 million. Delcam was previously listed as a public company (LON: DLC) and is a leading supplier of advanced CADCAM and industrial measurement solutions for the manufacturing industry. With this transaction Autodesk gains Delcam’s range of design, manufacturing and inspection software that provide automated CADCAM solutions for a variety of industries, ranging from aerospace to toys and sports equipment. The transaction was structured as a cash offer for all the outstanding shares of Delcam, and Delcam will be integrated into Autodesk's Manufacturing ("MFG") reportable segment. The amount of goodwill that is expected to be deductible for tax purposes is $165.1 million.</w:t>
      </w:r>
    </w:p>
    <w:p>
      <w:pPr>
        <w:spacing w:after="0" w:line="193"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During the six months ended July 31, 2014, Autodesk also completed a total of twelve other business combinations and technology acquisitions for total cash consideration of approximately $151.5 million. These business combinations and technology acquisitions were not material individually or in aggregate to Autodesk’s Condensed Consolidated Statement of Operations.</w:t>
      </w:r>
    </w:p>
    <w:p>
      <w:pPr>
        <w:spacing w:after="0" w:line="181" w:lineRule="exact"/>
        <w:rPr>
          <w:sz w:val="20"/>
          <w:szCs w:val="20"/>
          <w:color w:val="auto"/>
        </w:rPr>
      </w:pPr>
    </w:p>
    <w:p>
      <w:pPr>
        <w:ind w:right="840" w:firstLine="405"/>
        <w:spacing w:after="0" w:line="277" w:lineRule="auto"/>
        <w:rPr>
          <w:sz w:val="20"/>
          <w:szCs w:val="20"/>
          <w:color w:val="auto"/>
        </w:rPr>
      </w:pPr>
      <w:r>
        <w:rPr>
          <w:rFonts w:ascii="Arial" w:cs="Arial" w:eastAsia="Arial" w:hAnsi="Arial"/>
          <w:sz w:val="18"/>
          <w:szCs w:val="18"/>
          <w:color w:val="auto"/>
        </w:rPr>
        <w:t>The following table summarizes the fair value of the assets acquired and liabilities assumed by major class for the business combinations and technology acquisitions completed during the six months ended July 31, 2014:</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Shotgun</w:t>
            </w:r>
          </w:p>
        </w:tc>
        <w:tc>
          <w:tcPr>
            <w:tcW w:w="16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Within</w:t>
            </w:r>
          </w:p>
        </w:tc>
        <w:tc>
          <w:tcPr>
            <w:tcW w:w="200" w:type="dxa"/>
            <w:vAlign w:val="bottom"/>
          </w:tcPr>
          <w:p>
            <w:pPr>
              <w:spacing w:after="0"/>
              <w:rPr>
                <w:sz w:val="14"/>
                <w:szCs w:val="14"/>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Delcam</w:t>
            </w:r>
          </w:p>
        </w:tc>
        <w:tc>
          <w:tcPr>
            <w:tcW w:w="240" w:type="dxa"/>
            <w:vAlign w:val="bottom"/>
          </w:tcPr>
          <w:p>
            <w:pPr>
              <w:spacing w:after="0"/>
              <w:rPr>
                <w:sz w:val="14"/>
                <w:szCs w:val="14"/>
                <w:color w:val="auto"/>
              </w:rPr>
            </w:pPr>
          </w:p>
        </w:tc>
        <w:tc>
          <w:tcPr>
            <w:tcW w:w="82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Technologies</w:t>
            </w:r>
          </w:p>
        </w:tc>
        <w:tc>
          <w:tcPr>
            <w:tcW w:w="2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technologies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6"/>
                <w:szCs w:val="16"/>
                <w:color w:val="auto"/>
              </w:rPr>
              <w:t>Customer relationships and other non-current intangible assets</w:t>
            </w:r>
          </w:p>
        </w:tc>
        <w:tc>
          <w:tcPr>
            <w:tcW w:w="1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39.7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80.6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192.8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117.5</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 (current and non-current)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6"/>
                <w:szCs w:val="16"/>
                <w:color w:val="auto"/>
              </w:rPr>
              <w:t>Deferred tax (liability)</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tangible assets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44"/>
        </w:trPr>
        <w:tc>
          <w:tcPr>
            <w:tcW w:w="6640" w:type="dxa"/>
            <w:vAlign w:val="bottom"/>
          </w:tcPr>
          <w:p>
            <w:pPr>
              <w:ind w:left="28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54.5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88.0</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284.6</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151.5</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For Shotgun and Delcam and certain other business combinations, the allocation of purchase price consideration to certain assets and liabilities is not yet finalized. Autodesk's estimates and assumptions are subject to change within the measurement period (up to one year from the acquisition date). The primary areas of the preliminary purchase price allocation that are not yet finalized are amounts for tax assets and liabilities, pending finalization of estimates and assumptions in respect of certain tax aspects of the transaction and residual goodwill.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2"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8</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Other Intangible Assets, Net</w:t>
      </w:r>
    </w:p>
    <w:p>
      <w:pPr>
        <w:spacing w:after="0" w:line="225"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Other intangible assets that include developed technologies, customer relationships, trade names, patents, user lists and the related accumulated amortization 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31, 2014</w:t>
            </w:r>
          </w:p>
        </w:tc>
        <w:tc>
          <w:tcPr>
            <w:tcW w:w="160" w:type="dxa"/>
            <w:vAlign w:val="bottom"/>
          </w:tcPr>
          <w:p>
            <w:pPr>
              <w:spacing w:after="0"/>
              <w:rPr>
                <w:sz w:val="16"/>
                <w:szCs w:val="16"/>
                <w:color w:val="auto"/>
              </w:rPr>
            </w:pPr>
          </w:p>
        </w:tc>
        <w:tc>
          <w:tcPr>
            <w:tcW w:w="1280" w:type="dxa"/>
            <w:vAlign w:val="bottom"/>
          </w:tcPr>
          <w:p>
            <w:pPr>
              <w:jc w:val="right"/>
              <w:ind w:right="120"/>
              <w:spacing w:after="0"/>
              <w:rPr>
                <w:sz w:val="20"/>
                <w:szCs w:val="20"/>
                <w:color w:val="auto"/>
              </w:rPr>
            </w:pPr>
            <w:r>
              <w:rPr>
                <w:rFonts w:ascii="Arial" w:cs="Arial" w:eastAsia="Arial" w:hAnsi="Arial"/>
                <w:sz w:val="14"/>
                <w:szCs w:val="14"/>
                <w:b w:val="1"/>
                <w:bCs w:val="1"/>
                <w:color w:val="auto"/>
                <w:w w:val="94"/>
              </w:rPr>
              <w:t>January 31, 2014</w:t>
            </w:r>
          </w:p>
        </w:tc>
        <w:tc>
          <w:tcPr>
            <w:tcW w:w="0" w:type="dxa"/>
            <w:vAlign w:val="bottom"/>
          </w:tcPr>
          <w:p>
            <w:pPr>
              <w:spacing w:after="0"/>
              <w:rPr>
                <w:sz w:val="1"/>
                <w:szCs w:val="1"/>
                <w:color w:val="auto"/>
              </w:rPr>
            </w:pPr>
          </w:p>
        </w:tc>
      </w:tr>
      <w:tr>
        <w:trPr>
          <w:trHeight w:val="236"/>
        </w:trPr>
        <w:tc>
          <w:tcPr>
            <w:tcW w:w="8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technologies, at cost</w:t>
            </w: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462.4</w:t>
            </w:r>
          </w:p>
        </w:tc>
        <w:tc>
          <w:tcPr>
            <w:tcW w:w="0" w:type="dxa"/>
            <w:vAlign w:val="bottom"/>
          </w:tcPr>
          <w:p>
            <w:pPr>
              <w:spacing w:after="0"/>
              <w:rPr>
                <w:sz w:val="1"/>
                <w:szCs w:val="1"/>
                <w:color w:val="auto"/>
              </w:rPr>
            </w:pP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Customer relationships, trade names, patents, and user list, at cost (1)</w:t>
            </w:r>
          </w:p>
        </w:tc>
        <w:tc>
          <w:tcPr>
            <w:tcW w:w="20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351.4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268.1</w:t>
            </w:r>
          </w:p>
        </w:tc>
        <w:tc>
          <w:tcPr>
            <w:tcW w:w="0" w:type="dxa"/>
            <w:vAlign w:val="bottom"/>
          </w:tcPr>
          <w:p>
            <w:pPr>
              <w:spacing w:after="0"/>
              <w:rPr>
                <w:sz w:val="1"/>
                <w:szCs w:val="1"/>
                <w:color w:val="auto"/>
              </w:rPr>
            </w:pPr>
          </w:p>
        </w:tc>
      </w:tr>
      <w:tr>
        <w:trPr>
          <w:trHeight w:val="33"/>
        </w:trPr>
        <w:tc>
          <w:tcPr>
            <w:tcW w:w="8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879.0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730.5</w:t>
            </w:r>
          </w:p>
        </w:tc>
        <w:tc>
          <w:tcPr>
            <w:tcW w:w="0" w:type="dxa"/>
            <w:vAlign w:val="bottom"/>
          </w:tcPr>
          <w:p>
            <w:pPr>
              <w:spacing w:after="0"/>
              <w:rPr>
                <w:sz w:val="1"/>
                <w:szCs w:val="1"/>
                <w:color w:val="auto"/>
              </w:rPr>
            </w:pP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Less: Accumulated amortization</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(626.2)</w:t>
            </w:r>
          </w:p>
        </w:tc>
        <w:tc>
          <w:tcPr>
            <w:tcW w:w="0" w:type="dxa"/>
            <w:vAlign w:val="bottom"/>
          </w:tcPr>
          <w:p>
            <w:pPr>
              <w:spacing w:after="0"/>
              <w:rPr>
                <w:sz w:val="1"/>
                <w:szCs w:val="1"/>
                <w:color w:val="auto"/>
              </w:rPr>
            </w:pPr>
          </w:p>
        </w:tc>
      </w:tr>
      <w:tr>
        <w:trPr>
          <w:trHeight w:val="33"/>
        </w:trPr>
        <w:tc>
          <w:tcPr>
            <w:tcW w:w="8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104.3</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20" w:hanging="412"/>
        <w:spacing w:after="0" w:line="263" w:lineRule="auto"/>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Included in “Other assets” in the accompanying Condensed Consolidated Balance Sheets. Customer relationships and trade names include the effects of foreign currency translation.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Goodwill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 in the carrying amount of goodwill during the six months ended July 31, 2014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Platform</w:t>
            </w: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Architecture,</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Solutions and</w:t>
            </w:r>
          </w:p>
        </w:tc>
        <w:tc>
          <w:tcPr>
            <w:tcW w:w="22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Engineering</w:t>
            </w: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Media and</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Emerging</w:t>
            </w:r>
          </w:p>
        </w:tc>
        <w:tc>
          <w:tcPr>
            <w:tcW w:w="22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and</w:t>
            </w:r>
          </w:p>
        </w:tc>
        <w:tc>
          <w:tcPr>
            <w:tcW w:w="180" w:type="dxa"/>
            <w:vAlign w:val="bottom"/>
          </w:tcPr>
          <w:p>
            <w:pPr>
              <w:spacing w:after="0"/>
              <w:rPr>
                <w:sz w:val="12"/>
                <w:szCs w:val="12"/>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Manufacturing</w:t>
            </w:r>
          </w:p>
        </w:tc>
        <w:tc>
          <w:tcPr>
            <w:tcW w:w="2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vMerge w:val="restart"/>
          </w:tcPr>
          <w:p>
            <w:pPr>
              <w:jc w:val="right"/>
              <w:ind w:right="4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Business</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Construction</w:t>
            </w:r>
          </w:p>
        </w:tc>
        <w:tc>
          <w:tcPr>
            <w:tcW w:w="18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Entertainment</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as of January 31, 2014</w:t>
            </w: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6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620" w:type="dxa"/>
            <w:vAlign w:val="bottom"/>
          </w:tcPr>
          <w:p>
            <w:pPr>
              <w:ind w:left="380"/>
              <w:spacing w:after="0"/>
              <w:rPr>
                <w:sz w:val="20"/>
                <w:szCs w:val="20"/>
                <w:color w:val="auto"/>
              </w:rPr>
            </w:pPr>
            <w:r>
              <w:rPr>
                <w:rFonts w:ascii="Arial" w:cs="Arial" w:eastAsia="Arial" w:hAnsi="Arial"/>
                <w:sz w:val="16"/>
                <w:szCs w:val="16"/>
                <w:color w:val="auto"/>
              </w:rPr>
              <w:t>Goodwill</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3"/>
              <w:spacing w:after="0"/>
              <w:rPr>
                <w:sz w:val="20"/>
                <w:szCs w:val="20"/>
                <w:color w:val="auto"/>
              </w:rPr>
            </w:pPr>
            <w:r>
              <w:rPr>
                <w:rFonts w:ascii="Arial" w:cs="Arial" w:eastAsia="Arial" w:hAnsi="Arial"/>
                <w:sz w:val="16"/>
                <w:szCs w:val="16"/>
                <w:color w:val="auto"/>
              </w:rPr>
              <w:t>142.3</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3"/>
              <w:spacing w:after="0"/>
              <w:rPr>
                <w:sz w:val="20"/>
                <w:szCs w:val="20"/>
                <w:color w:val="auto"/>
              </w:rPr>
            </w:pPr>
            <w:r>
              <w:rPr>
                <w:rFonts w:ascii="Arial" w:cs="Arial" w:eastAsia="Arial" w:hAnsi="Arial"/>
                <w:sz w:val="16"/>
                <w:szCs w:val="16"/>
                <w:color w:val="auto"/>
              </w:rPr>
              <w:t>415.2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411.6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190.0</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1,159.1</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217"/>
        </w:trPr>
        <w:tc>
          <w:tcPr>
            <w:tcW w:w="36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142.3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415.2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411.6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1,009.9</w:t>
            </w:r>
          </w:p>
        </w:tc>
        <w:tc>
          <w:tcPr>
            <w:tcW w:w="0" w:type="dxa"/>
            <w:vAlign w:val="bottom"/>
          </w:tcPr>
          <w:p>
            <w:pPr>
              <w:spacing w:after="0"/>
              <w:rPr>
                <w:sz w:val="1"/>
                <w:szCs w:val="1"/>
                <w:color w:val="auto"/>
              </w:rPr>
            </w:pPr>
          </w:p>
        </w:tc>
      </w:tr>
      <w:tr>
        <w:trPr>
          <w:trHeight w:val="33"/>
        </w:trPr>
        <w:tc>
          <w:tcPr>
            <w:tcW w:w="3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Delcam</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192.8</w:t>
            </w:r>
          </w:p>
        </w:tc>
        <w:tc>
          <w:tcPr>
            <w:tcW w:w="0" w:type="dxa"/>
            <w:vAlign w:val="bottom"/>
          </w:tcPr>
          <w:p>
            <w:pPr>
              <w:spacing w:after="0"/>
              <w:rPr>
                <w:sz w:val="1"/>
                <w:szCs w:val="1"/>
                <w:color w:val="auto"/>
              </w:rPr>
            </w:pPr>
          </w:p>
        </w:tc>
      </w:tr>
      <w:tr>
        <w:trPr>
          <w:trHeight w:val="33"/>
        </w:trPr>
        <w:tc>
          <w:tcPr>
            <w:tcW w:w="3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sectPr>
          <w:pgSz w:w="11900" w:h="16838" w:orient="portrait"/>
          <w:cols w:equalWidth="0" w:num="1">
            <w:col w:w="11400"/>
          </w:cols>
          <w:pgMar w:left="240" w:top="584" w:right="259" w:bottom="1440" w:gutter="0" w:footer="0" w:header="0"/>
        </w:sectPr>
      </w:pPr>
    </w:p>
    <w:p>
      <w:pPr>
        <w:ind w:left="380"/>
        <w:spacing w:after="0"/>
        <w:rPr>
          <w:sz w:val="20"/>
          <w:szCs w:val="20"/>
          <w:color w:val="auto"/>
        </w:rPr>
      </w:pPr>
      <w:r>
        <w:rPr>
          <w:rFonts w:ascii="Arial" w:cs="Arial" w:eastAsia="Arial" w:hAnsi="Arial"/>
          <w:sz w:val="16"/>
          <w:szCs w:val="16"/>
          <w:color w:val="auto"/>
        </w:rPr>
        <w:t>Within Technologies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Shotgun</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Addition arising from other acquisitions</w:t>
      </w:r>
    </w:p>
    <w:p>
      <w:pPr>
        <w:spacing w:after="0" w:line="98" w:lineRule="exact"/>
        <w:rPr>
          <w:sz w:val="20"/>
          <w:szCs w:val="20"/>
          <w:color w:val="auto"/>
        </w:rPr>
      </w:pPr>
    </w:p>
    <w:p>
      <w:pPr>
        <w:ind w:left="540" w:hanging="161"/>
        <w:spacing w:after="0" w:line="319" w:lineRule="auto"/>
        <w:rPr>
          <w:sz w:val="20"/>
          <w:szCs w:val="20"/>
          <w:color w:val="auto"/>
        </w:rPr>
      </w:pPr>
      <w:r>
        <w:rPr>
          <w:rFonts w:ascii="Arial" w:cs="Arial" w:eastAsia="Arial" w:hAnsi="Arial"/>
          <w:sz w:val="15"/>
          <w:szCs w:val="15"/>
          <w:color w:val="auto"/>
        </w:rPr>
        <w:t>Effect of foreign currency translation and purchase accounting adjustments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as of July 31, 2014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440" w:type="dxa"/>
            <w:vAlign w:val="bottom"/>
          </w:tcPr>
          <w:p>
            <w:pPr>
              <w:jc w:val="right"/>
              <w:ind w:right="19"/>
              <w:spacing w:after="0"/>
              <w:rPr>
                <w:sz w:val="20"/>
                <w:szCs w:val="20"/>
                <w:color w:val="auto"/>
              </w:rPr>
            </w:pPr>
            <w:r>
              <w:rPr>
                <w:rFonts w:ascii="Arial" w:cs="Arial" w:eastAsia="Arial" w:hAnsi="Arial"/>
                <w:sz w:val="16"/>
                <w:szCs w:val="16"/>
                <w:color w:val="auto"/>
              </w:rPr>
              <w:t>80.6</w:t>
            </w:r>
          </w:p>
        </w:tc>
        <w:tc>
          <w:tcPr>
            <w:tcW w:w="10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80.6</w:t>
            </w:r>
          </w:p>
        </w:tc>
      </w:tr>
      <w:tr>
        <w:trPr>
          <w:trHeight w:val="270"/>
        </w:trPr>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23"/>
                <w:szCs w:val="23"/>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43.2</w:t>
            </w:r>
          </w:p>
        </w:tc>
      </w:tr>
      <w:tr>
        <w:trPr>
          <w:trHeight w:val="270"/>
        </w:trPr>
        <w:tc>
          <w:tcPr>
            <w:tcW w:w="1440" w:type="dxa"/>
            <w:vAlign w:val="bottom"/>
          </w:tcPr>
          <w:p>
            <w:pPr>
              <w:jc w:val="right"/>
              <w:ind w:right="19"/>
              <w:spacing w:after="0"/>
              <w:rPr>
                <w:sz w:val="20"/>
                <w:szCs w:val="20"/>
                <w:color w:val="auto"/>
              </w:rPr>
            </w:pPr>
            <w:r>
              <w:rPr>
                <w:rFonts w:ascii="Arial" w:cs="Arial" w:eastAsia="Arial" w:hAnsi="Arial"/>
                <w:sz w:val="16"/>
                <w:szCs w:val="16"/>
                <w:color w:val="auto"/>
              </w:rPr>
              <w:t>68.8</w:t>
            </w:r>
          </w:p>
        </w:tc>
        <w:tc>
          <w:tcPr>
            <w:tcW w:w="100" w:type="dxa"/>
            <w:vAlign w:val="bottom"/>
          </w:tcPr>
          <w:p>
            <w:pPr>
              <w:spacing w:after="0"/>
              <w:rPr>
                <w:sz w:val="23"/>
                <w:szCs w:val="23"/>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23"/>
                <w:szCs w:val="23"/>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3"/>
                <w:szCs w:val="23"/>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3"/>
                <w:szCs w:val="23"/>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117.5</w:t>
            </w:r>
          </w:p>
        </w:tc>
      </w:tr>
      <w:tr>
        <w:trPr>
          <w:trHeight w:val="459"/>
        </w:trPr>
        <w:tc>
          <w:tcPr>
            <w:tcW w:w="144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4"/>
                <w:szCs w:val="24"/>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4"/>
                <w:szCs w:val="24"/>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3.6</w:t>
            </w:r>
          </w:p>
        </w:tc>
      </w:tr>
      <w:tr>
        <w:trPr>
          <w:trHeight w:val="33"/>
        </w:trPr>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-642620</wp:posOffset>
            </wp:positionV>
            <wp:extent cx="712660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6605" cy="17145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-299720</wp:posOffset>
            </wp:positionV>
            <wp:extent cx="7126605" cy="291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6605" cy="291465"/>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2">
            <w:col w:w="3080" w:space="540"/>
            <w:col w:w="7780"/>
          </w:cols>
          <w:pgMar w:left="240" w:top="584" w:right="25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4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Goodwill</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429.5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626.5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1,596.8</w:t>
            </w:r>
          </w:p>
        </w:tc>
      </w:tr>
      <w:tr>
        <w:trPr>
          <w:trHeight w:val="237"/>
        </w:trPr>
        <w:tc>
          <w:tcPr>
            <w:tcW w:w="4160" w:type="dxa"/>
            <w:vAlign w:val="bottom"/>
            <w:gridSpan w:val="2"/>
          </w:tcPr>
          <w:p>
            <w:pPr>
              <w:ind w:left="380"/>
              <w:spacing w:after="0"/>
              <w:rPr>
                <w:sz w:val="20"/>
                <w:szCs w:val="20"/>
                <w:color w:val="auto"/>
              </w:rPr>
            </w:pPr>
            <w:r>
              <w:rPr>
                <w:rFonts w:ascii="Arial" w:cs="Arial" w:eastAsia="Arial" w:hAnsi="Arial"/>
                <w:sz w:val="16"/>
                <w:szCs w:val="16"/>
                <w:color w:val="auto"/>
              </w:rPr>
              <w:t>Accumulated impairment losses</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(149.2)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(149.2)</w:t>
            </w:r>
          </w:p>
        </w:tc>
      </w:tr>
      <w:tr>
        <w:trPr>
          <w:trHeight w:val="33"/>
        </w:trPr>
        <w:tc>
          <w:tcPr>
            <w:tcW w:w="36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5"/>
        </w:trPr>
        <w:tc>
          <w:tcPr>
            <w:tcW w:w="416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429.5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626.5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1,447.6</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Goodwill consists of the excess of cost over the fair value of net assets acquired in business combinations. Autodesk assigns goodwill to the reportable segment associated with each business combination, and tests goodwill for impairment annually in its fourth fiscal quarter or more often if circumstances indicate a potential impairment. For purposes of the goodwill impairment test, a reporting unit is an operating segment or one level below. Autodesk's operating segments are aligned with the management principles of Autodesk's business.</w:t>
      </w:r>
    </w:p>
    <w:p>
      <w:pPr>
        <w:spacing w:after="0" w:line="18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When goodwill is assessed for impairment, Accounting Standard Update No. 2011-08, "Testing Goodwill for Impairment" provides Autodesk the option to perform an assessment of qualitative factors of impairment (“optional assessment”) prior to necessitating a two-step quantitative impairment test. Should the optional assessment be used for any given fiscal year, qualitative factors to consider include cost factors; financial performance; legal, regulatory, contractual, political, business, or other factors; entity specific factors; industry and market considerations, macroeconomic conditions, and other relevant events and factors affecting the reporting unit. If, after assessing the totality of events or circumstances, it is more likely than not that the fair value of the reporting unit is greater than its carrying value, then performing the two-step impairment test is unnecessary.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584" w:right="259" w:bottom="1440" w:gutter="0" w:footer="0" w:header="0"/>
          <w:type w:val="continuous"/>
        </w:sectPr>
      </w:pPr>
    </w:p>
    <w:bookmarkStart w:id="21" w:name="page22"/>
    <w:bookmarkEnd w:id="21"/>
    <w:p>
      <w:pPr>
        <w:ind w:firstLine="405"/>
        <w:spacing w:after="0" w:line="289" w:lineRule="auto"/>
        <w:rPr>
          <w:sz w:val="20"/>
          <w:szCs w:val="20"/>
          <w:color w:val="auto"/>
        </w:rPr>
      </w:pPr>
      <w:r>
        <w:rPr>
          <w:rFonts w:ascii="Arial" w:cs="Arial" w:eastAsia="Arial" w:hAnsi="Arial"/>
          <w:sz w:val="16"/>
          <w:szCs w:val="16"/>
          <w:color w:val="auto"/>
        </w:rPr>
        <w:t>Therefore, the two-step quantitative impairment test is necessary when either Autodesk does not use the optional assessment or, as a result of the optional assessment, it is not more likely than not that the fair value of the reporting unit is greater than its carrying value. In performing the two-step impairment test, Autodesk uses discounted cash flow models which include assumptions regarding projected cash flows. Variances in these assumptions could have a significant impact on Autodesk's conclusion as to whether goodwill is impaired, or the amount of any impairment charge. Impairment charges, if any, result from instances where the fair values of net assets associated with goodwill are less than their carrying values. As changes in business conditions and assumptions occur, Autodesk may be required to record impairment charges. The process of evaluating the potential impairment of goodwill is subjective and requires significant judgment at many points during the analysis. The value of Autodesk’s goodwill could also be impacted by future adverse changes such as: (i) declines in Autodesk’s actual financial results, (ii) a sustained decline in Autodesk’s market capitalization, (iii) significant slowdown in the worldwide economy or the industries Autodesk serves, or (iv) changes in Autodesk’s business strategy or internal financial results forecasts.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Deferred Compensation</w:t>
      </w:r>
    </w:p>
    <w:p>
      <w:pPr>
        <w:spacing w:after="0" w:line="225"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At July 31, 2014, Autodesk had marketable securities totaling $845.4 million, of which $42.9 million related to investments in debt and equity securities that are held in a rabbi trust under non-qualified deferred compensation plans. The total related deferred compensation liability was $42.9 million at July 31, 2014, of which $4.8 million was classified as current and $38.1 million was classified as non-current liabilities. The value of debt and equity securities held in the rabbi trust at January 31, 2014 was $38.9 million. The total related deferred compensation liability at January 31, 2014 was $38.9 million, of which $1.9 million was classified as current and $37.0 million was classified as non-current liabilities. The securities are recorded in the Condensed Consolidated Balance Sheets under the current portion of "Marketable Securities". The current and non-current portions of the liability are recorded in the Condensed Consolidated Balance Sheets under “Accrued compensation” and “Other liabilities,”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Computer Equipment, Software, Furniture and Leasehold Improvements,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Computer equipment, software, furniture, leasehold improvements and the related accumulated depreciation were as follows:</w:t>
      </w:r>
    </w:p>
    <w:p>
      <w:pPr>
        <w:spacing w:after="0" w:line="200" w:lineRule="exact"/>
        <w:rPr>
          <w:sz w:val="20"/>
          <w:szCs w:val="20"/>
          <w:color w:val="auto"/>
        </w:rPr>
      </w:pPr>
    </w:p>
    <w:p>
      <w:pPr>
        <w:spacing w:after="0" w:line="219" w:lineRule="exact"/>
        <w:rPr>
          <w:sz w:val="20"/>
          <w:szCs w:val="20"/>
          <w:color w:val="auto"/>
        </w:rPr>
      </w:pPr>
    </w:p>
    <w:p>
      <w:pPr>
        <w:ind w:left="8560"/>
        <w:spacing w:after="0"/>
        <w:tabs>
          <w:tab w:leader="none" w:pos="9960" w:val="left"/>
        </w:tabs>
        <w:rPr>
          <w:sz w:val="20"/>
          <w:szCs w:val="20"/>
          <w:color w:val="auto"/>
        </w:rPr>
      </w:pPr>
      <w:r>
        <w:rPr>
          <w:rFonts w:ascii="Arial" w:cs="Arial" w:eastAsia="Arial" w:hAnsi="Arial"/>
          <w:sz w:val="14"/>
          <w:szCs w:val="14"/>
          <w:b w:val="1"/>
          <w:bCs w:val="1"/>
          <w:color w:val="auto"/>
        </w:rPr>
        <w:t>July 31, 2014</w:t>
      </w:r>
      <w:r>
        <w:rPr>
          <w:sz w:val="20"/>
          <w:szCs w:val="20"/>
          <w:color w:val="auto"/>
        </w:rPr>
        <w:tab/>
      </w:r>
      <w:r>
        <w:rPr>
          <w:rFonts w:ascii="Arial" w:cs="Arial" w:eastAsia="Arial" w:hAnsi="Arial"/>
          <w:sz w:val="13"/>
          <w:szCs w:val="13"/>
          <w:b w:val="1"/>
          <w:bCs w:val="1"/>
          <w:color w:val="auto"/>
        </w:rPr>
        <w:t>January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2660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p>
      <w:pPr>
        <w:spacing w:after="0" w:line="5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Computer software, at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Computer hardware,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2660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Leasehold improvements, land and buildings, at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Furniture and equipment,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2660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26605" cy="291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6605" cy="291465"/>
                    </a:xfrm>
                    <a:prstGeom prst="rect">
                      <a:avLst/>
                    </a:prstGeom>
                    <a:noFill/>
                  </pic:spPr>
                </pic:pic>
              </a:graphicData>
            </a:graphic>
          </wp:anchor>
        </w:drawing>
      </w:r>
    </w:p>
    <w:p>
      <w:pPr>
        <w:spacing w:after="0" w:line="66" w:lineRule="exact"/>
        <w:rPr>
          <w:sz w:val="20"/>
          <w:szCs w:val="20"/>
          <w:color w:val="auto"/>
        </w:rPr>
      </w:pPr>
    </w:p>
    <w:p>
      <w:pPr>
        <w:ind w:left="120" w:right="3240" w:hanging="80"/>
        <w:spacing w:after="0" w:line="293" w:lineRule="auto"/>
        <w:rPr>
          <w:sz w:val="20"/>
          <w:szCs w:val="20"/>
          <w:color w:val="auto"/>
        </w:rPr>
      </w:pPr>
      <w:r>
        <w:rPr>
          <w:rFonts w:ascii="Arial" w:cs="Arial" w:eastAsia="Arial" w:hAnsi="Arial"/>
          <w:sz w:val="16"/>
          <w:szCs w:val="16"/>
          <w:color w:val="auto"/>
        </w:rPr>
        <w:t>Computer software, hardware, leasehold improvements, furniture and equipment, net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86.4</w:t>
            </w:r>
          </w:p>
        </w:tc>
        <w:tc>
          <w:tcPr>
            <w:tcW w:w="120" w:type="dxa"/>
            <w:vAlign w:val="bottom"/>
          </w:tcPr>
          <w:p>
            <w:pPr>
              <w:spacing w:after="0"/>
              <w:rPr>
                <w:sz w:val="17"/>
                <w:szCs w:val="17"/>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80.9</w:t>
            </w:r>
          </w:p>
        </w:tc>
      </w:tr>
      <w:tr>
        <w:trPr>
          <w:trHeight w:val="270"/>
        </w:trPr>
        <w:tc>
          <w:tcPr>
            <w:tcW w:w="52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180.4</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163.0</w:t>
            </w:r>
          </w:p>
        </w:tc>
      </w:tr>
      <w:tr>
        <w:trPr>
          <w:trHeight w:val="270"/>
        </w:trPr>
        <w:tc>
          <w:tcPr>
            <w:tcW w:w="52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174.8</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163.7</w:t>
            </w:r>
          </w:p>
        </w:tc>
      </w:tr>
      <w:tr>
        <w:trPr>
          <w:trHeight w:val="270"/>
        </w:trPr>
        <w:tc>
          <w:tcPr>
            <w:tcW w:w="52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57.2</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51.7</w:t>
            </w:r>
          </w:p>
        </w:tc>
      </w:tr>
      <w:tr>
        <w:trPr>
          <w:trHeight w:val="33"/>
        </w:trPr>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2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498.8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459.3</w:t>
            </w:r>
          </w:p>
        </w:tc>
      </w:tr>
      <w:tr>
        <w:trPr>
          <w:trHeight w:val="270"/>
        </w:trPr>
        <w:tc>
          <w:tcPr>
            <w:tcW w:w="5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(351.9)</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(329.0)</w:t>
            </w:r>
          </w:p>
        </w:tc>
      </w:tr>
      <w:tr>
        <w:trPr>
          <w:trHeight w:val="33"/>
        </w:trPr>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93"/>
        </w:trPr>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146.9</w:t>
            </w:r>
          </w:p>
        </w:tc>
        <w:tc>
          <w:tcPr>
            <w:tcW w:w="120" w:type="dxa"/>
            <w:vAlign w:val="bottom"/>
          </w:tcPr>
          <w:p>
            <w:pPr>
              <w:spacing w:after="0"/>
              <w:rPr>
                <w:sz w:val="24"/>
                <w:szCs w:val="24"/>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130.3</w:t>
            </w:r>
          </w:p>
        </w:tc>
      </w:tr>
      <w:tr>
        <w:trPr>
          <w:trHeight w:val="33"/>
        </w:trPr>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20" w:space="720"/>
            <w:col w:w="3160"/>
          </w:cols>
          <w:pgMar w:left="240" w:top="584" w:right="25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Borrowing Arrangements</w:t>
      </w:r>
    </w:p>
    <w:p>
      <w:pPr>
        <w:spacing w:after="0" w:line="225"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In December 2012, Autodesk issued $400.0 million aggregate principal amount of 1.95% senior notes due December 15, 2017 and $350.0 million aggregate principal amount of 3.6% senior notes due December 15, 2022, (collectively, the “Senior Notes”). Autodesk received net proceeds of $739.3 million from issuance of the Senior Notes, net of a discount of $4.5 million and issuance costs of $6.1 million. Both the discount and issuance costs are being amortized to interest expense over the respective terms of the Senior Notes using the effective interest method. The proceeds of the Senior Notes are available for general corporate purposes. Autodesk may redeem the Senior Notes at any time, subject to a make whole premium. In addition, upon the occurrence of certain change of control triggering events, Autodesk may be required to repurchase the Senior Notes, at a price equal to 101% of their principal amount, plus accrued and unpaid interest to the date of repurchase. The Senior Notes contain restrictive covenants that limit Autodesk's ability to create certain liens, to enter into certain sale and leaseback transactions and to consolidate or merge with, or convey, transfer or lease all or substantially all of its assets, subject to significant qualifications and exceptions. Based on quoted market prices, the fair value of the Senior Notes was approximately $749.5 million as of July 31, 2014.</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84" w:right="259" w:bottom="1440" w:gutter="0" w:footer="0" w:header="0"/>
          <w:type w:val="continuous"/>
        </w:sectPr>
      </w:pPr>
    </w:p>
    <w:bookmarkStart w:id="22" w:name="page23"/>
    <w:bookmarkEnd w:id="22"/>
    <w:p>
      <w:pPr>
        <w:ind w:right="100" w:firstLine="405"/>
        <w:spacing w:after="0" w:line="255" w:lineRule="auto"/>
        <w:rPr>
          <w:sz w:val="20"/>
          <w:szCs w:val="20"/>
          <w:color w:val="auto"/>
        </w:rPr>
      </w:pPr>
      <w:r>
        <w:rPr>
          <w:rFonts w:ascii="Arial" w:cs="Arial" w:eastAsia="Arial" w:hAnsi="Arial"/>
          <w:sz w:val="18"/>
          <w:szCs w:val="18"/>
          <w:color w:val="auto"/>
        </w:rPr>
        <w:t>Autodesk’s line of credit facility permits unsecured short-term borrowings of up to $400.0 million, with an option to request an increase in the amount of the credit facility by up to an additional $100.0 million, and is available for working capital or other business needs. This credit agreement contains customary covenants that could restrict the imposition of liens on Autodesk’s assets, and restrict the Company’s ability to incur additional indebtedness or make dispositions of assets if Autodesk fails to maintain the financial covenants. The line of credit is syndicated with various financial institutions, including Citibank, N.A., an affiliate of Citigroup, which is one of the lead lenders and an agent. The credit facility expires in May 2018. At July 31, 2014, Autodesk had no outstanding borrowings on this line of credit.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Restructuring</w:t>
      </w:r>
    </w:p>
    <w:p>
      <w:pPr>
        <w:spacing w:after="0" w:line="225" w:lineRule="exact"/>
        <w:rPr>
          <w:sz w:val="20"/>
          <w:szCs w:val="20"/>
          <w:color w:val="auto"/>
        </w:rPr>
      </w:pPr>
    </w:p>
    <w:p>
      <w:pPr>
        <w:jc w:val="both"/>
        <w:ind w:right="40" w:firstLine="405"/>
        <w:spacing w:after="0" w:line="279" w:lineRule="auto"/>
        <w:rPr>
          <w:sz w:val="20"/>
          <w:szCs w:val="20"/>
          <w:color w:val="auto"/>
        </w:rPr>
      </w:pPr>
      <w:r>
        <w:rPr>
          <w:rFonts w:ascii="Arial" w:cs="Arial" w:eastAsia="Arial" w:hAnsi="Arial"/>
          <w:sz w:val="17"/>
          <w:szCs w:val="17"/>
          <w:color w:val="auto"/>
        </w:rPr>
        <w:t>During the third quarter of fiscal 2014, the Board of Directors of the Company approved a world-wide restructuring plan in order to re-balance staffing levels to better align them with the evolving needs of the business. The Company authorized plan included a reduction of approximately 85 positions and the consolidation of four leased facilities, with a total cost of approximately $15.0 million ("Fiscal 2014 Plan"). The Company has substantially paid the one-time termination benefits and facility related liabilities related to the Fiscal 2014 Plan as of July 31, 2014.</w:t>
      </w:r>
    </w:p>
    <w:p>
      <w:pPr>
        <w:spacing w:after="0" w:line="171"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During the three and six months ended July 31, 2014, Autodesk recorded restructuring charges of $0.8 million and $3.1 million, respectively. The following table sets forth the restructuring activities during the six months ended July 31, 2014:</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ind w:right="41"/>
              <w:spacing w:after="0"/>
              <w:rPr>
                <w:sz w:val="20"/>
                <w:szCs w:val="20"/>
                <w:color w:val="auto"/>
              </w:rPr>
            </w:pPr>
            <w:r>
              <w:rPr>
                <w:rFonts w:ascii="Arial" w:cs="Arial" w:eastAsia="Arial" w:hAnsi="Arial"/>
                <w:sz w:val="14"/>
                <w:szCs w:val="14"/>
                <w:b w:val="1"/>
                <w:bCs w:val="1"/>
                <w:color w:val="auto"/>
                <w:w w:val="90"/>
              </w:rPr>
              <w:t>Balance at January</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Additions</w:t>
            </w:r>
          </w:p>
        </w:tc>
        <w:tc>
          <w:tcPr>
            <w:tcW w:w="260" w:type="dxa"/>
            <w:vAlign w:val="bottom"/>
          </w:tcPr>
          <w:p>
            <w:pPr>
              <w:spacing w:after="0"/>
              <w:rPr>
                <w:sz w:val="14"/>
                <w:szCs w:val="14"/>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Payments</w:t>
            </w:r>
          </w:p>
        </w:tc>
        <w:tc>
          <w:tcPr>
            <w:tcW w:w="160" w:type="dxa"/>
            <w:vAlign w:val="bottom"/>
          </w:tcPr>
          <w:p>
            <w:pPr>
              <w:spacing w:after="0"/>
              <w:rPr>
                <w:sz w:val="14"/>
                <w:szCs w:val="14"/>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Adjustments (1)</w:t>
            </w:r>
          </w:p>
        </w:tc>
        <w:tc>
          <w:tcPr>
            <w:tcW w:w="140" w:type="dxa"/>
            <w:vAlign w:val="bottom"/>
          </w:tcPr>
          <w:p>
            <w:pPr>
              <w:spacing w:after="0"/>
              <w:rPr>
                <w:sz w:val="14"/>
                <w:szCs w:val="14"/>
                <w:color w:val="auto"/>
              </w:rPr>
            </w:pPr>
          </w:p>
        </w:tc>
        <w:tc>
          <w:tcPr>
            <w:tcW w:w="1300" w:type="dxa"/>
            <w:vAlign w:val="bottom"/>
          </w:tcPr>
          <w:p>
            <w:pPr>
              <w:jc w:val="right"/>
              <w:ind w:right="61"/>
              <w:spacing w:after="0"/>
              <w:rPr>
                <w:sz w:val="20"/>
                <w:szCs w:val="20"/>
                <w:color w:val="auto"/>
              </w:rPr>
            </w:pPr>
            <w:r>
              <w:rPr>
                <w:rFonts w:ascii="Arial" w:cs="Arial" w:eastAsia="Arial" w:hAnsi="Arial"/>
                <w:sz w:val="14"/>
                <w:szCs w:val="14"/>
                <w:b w:val="1"/>
                <w:bCs w:val="1"/>
                <w:color w:val="auto"/>
                <w:w w:val="90"/>
              </w:rPr>
              <w:t>Balance at July 31,</w:t>
            </w:r>
          </w:p>
        </w:tc>
        <w:tc>
          <w:tcPr>
            <w:tcW w:w="0" w:type="dxa"/>
            <w:vAlign w:val="bottom"/>
          </w:tcPr>
          <w:p>
            <w:pPr>
              <w:spacing w:after="0"/>
              <w:rPr>
                <w:sz w:val="1"/>
                <w:szCs w:val="1"/>
                <w:color w:val="auto"/>
              </w:rPr>
            </w:pPr>
          </w:p>
        </w:tc>
      </w:tr>
      <w:tr>
        <w:trPr>
          <w:trHeight w:val="192"/>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381"/>
              <w:spacing w:after="0"/>
              <w:rPr>
                <w:sz w:val="20"/>
                <w:szCs w:val="20"/>
                <w:color w:val="auto"/>
              </w:rPr>
            </w:pPr>
            <w:r>
              <w:rPr>
                <w:rFonts w:ascii="Arial" w:cs="Arial" w:eastAsia="Arial" w:hAnsi="Arial"/>
                <w:sz w:val="14"/>
                <w:szCs w:val="14"/>
                <w:b w:val="1"/>
                <w:bCs w:val="1"/>
                <w:color w:val="auto"/>
              </w:rPr>
              <w:t>31, 2014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50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Fiscal 2014 Plan</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Employee termination costs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3.5</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termination and asset costs</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7"/>
        </w:trPr>
        <w:tc>
          <w:tcPr>
            <w:tcW w:w="3820" w:type="dxa"/>
            <w:vAlign w:val="bottom"/>
          </w:tcPr>
          <w:p>
            <w:pPr>
              <w:ind w:left="38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73"/>
        </w:trPr>
        <w:tc>
          <w:tcPr>
            <w:tcW w:w="38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38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Current portion (2)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Non-current portion (2)</w:t>
            </w:r>
          </w:p>
        </w:tc>
        <w:tc>
          <w:tcPr>
            <w:tcW w:w="120" w:type="dxa"/>
            <w:vAlign w:val="bottom"/>
          </w:tcPr>
          <w:p>
            <w:pPr>
              <w:spacing w:after="0"/>
              <w:rPr>
                <w:sz w:val="20"/>
                <w:szCs w:val="20"/>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33"/>
        </w:trPr>
        <w:tc>
          <w:tcPr>
            <w:tcW w:w="3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Adjustments include the impact of foreign currency translation.</w:t>
      </w:r>
    </w:p>
    <w:p>
      <w:pPr>
        <w:spacing w:after="0" w:line="9" w:lineRule="exact"/>
        <w:rPr>
          <w:rFonts w:ascii="Arial" w:cs="Arial" w:eastAsia="Arial" w:hAnsi="Arial"/>
          <w:sz w:val="16"/>
          <w:szCs w:val="16"/>
          <w:color w:val="auto"/>
        </w:rPr>
      </w:pPr>
    </w:p>
    <w:p>
      <w:pPr>
        <w:ind w:left="420" w:right="100" w:hanging="412"/>
        <w:spacing w:after="0" w:line="257" w:lineRule="auto"/>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current and non-current portions of the reserve are recorded in the Condensed Consolidated Balance Sheets under “Other accrued liabilities” and “Other liabilities,”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Commitments and Contingencies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Guarantees and Indemnifications</w:t>
      </w:r>
    </w:p>
    <w:p>
      <w:pPr>
        <w:spacing w:after="0" w:line="22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7"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ind w:left="220"/>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Autodesk is involved in a variety of claims, suits, investigations and proceedings in the normal course of business activities including claims of alleged infringement of intellectual property rights, commercial, employment, piracy prosecution, business practices and other matters.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Common Stock Repurchase Program</w:t>
      </w:r>
    </w:p>
    <w:p>
      <w:pPr>
        <w:spacing w:after="0" w:line="225" w:lineRule="exact"/>
        <w:rPr>
          <w:sz w:val="20"/>
          <w:szCs w:val="20"/>
          <w:color w:val="auto"/>
        </w:rPr>
      </w:pPr>
    </w:p>
    <w:p>
      <w:pPr>
        <w:ind w:right="140" w:firstLine="432"/>
        <w:spacing w:after="0" w:line="293" w:lineRule="auto"/>
        <w:rPr>
          <w:sz w:val="20"/>
          <w:szCs w:val="20"/>
          <w:color w:val="auto"/>
        </w:rPr>
      </w:pPr>
      <w:r>
        <w:rPr>
          <w:rFonts w:ascii="Arial" w:cs="Arial" w:eastAsia="Arial" w:hAnsi="Arial"/>
          <w:sz w:val="16"/>
          <w:szCs w:val="16"/>
          <w:color w:val="auto"/>
        </w:rPr>
        <w:t>Autodesk has a stock repurchase program that is used to offset dilution from the issuance of stock under the Company’s employee stock plans and for such other purposes as may be in the interests of Autodesk and its stockholders, which has the effect of returning excess cash generated from the Company’s business to stockholders. During the three and six months ended July 31, 2014, Autodesk repurchased and retired 1.9 million and 3.9 million shares at an average repurchase price of $53.15 and $52.18 per share, respectively. Common stock and additional paid-in capital and retained earnings were reduced by $54.5 million and $47.3 million, respectively, during the three months ended July 31, 2014. Common stock and additional paid-in capital and retained earnings were reduced by $103.9 million and $100.4 million, respectively, during the six months ended July 31, 2014.</w:t>
      </w:r>
    </w:p>
    <w:p>
      <w:pPr>
        <w:spacing w:after="0" w:line="165"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At July 31, 2014, 17.9 million shares remained available for repurchase under the repurchase program approved by the Board of Directors. During the six months ended July 31, 2014, Autodesk repurchased its common stock through open market purchases. The number of shares acquired and the timing of the purchases are based on several factors, including general market and economic conditions, the number of employee stock option exercises and stock issuances, the trading price of Autodesk common stock, cash on hand and available in the United States, cash requirements for acquisitions, and Company defined trading windows.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Accumulated Other Comprehensive Income (Loss)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other comprehensive income (loss), net of taxes, consisted of the following at July 31, 2014 and January 31, 2014:</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31, 2014</w:t>
            </w:r>
          </w:p>
        </w:tc>
        <w:tc>
          <w:tcPr>
            <w:tcW w:w="140" w:type="dxa"/>
            <w:vAlign w:val="bottom"/>
          </w:tcPr>
          <w:p>
            <w:pPr>
              <w:spacing w:after="0"/>
              <w:rPr>
                <w:sz w:val="16"/>
                <w:szCs w:val="16"/>
                <w:color w:val="auto"/>
              </w:rPr>
            </w:pPr>
          </w:p>
        </w:tc>
        <w:tc>
          <w:tcPr>
            <w:tcW w:w="1280" w:type="dxa"/>
            <w:vAlign w:val="bottom"/>
          </w:tcPr>
          <w:p>
            <w:pPr>
              <w:jc w:val="right"/>
              <w:ind w:right="100"/>
              <w:spacing w:after="0"/>
              <w:rPr>
                <w:sz w:val="20"/>
                <w:szCs w:val="20"/>
                <w:color w:val="auto"/>
              </w:rPr>
            </w:pPr>
            <w:r>
              <w:rPr>
                <w:rFonts w:ascii="Arial" w:cs="Arial" w:eastAsia="Arial" w:hAnsi="Arial"/>
                <w:sz w:val="14"/>
                <w:szCs w:val="14"/>
                <w:b w:val="1"/>
                <w:bCs w:val="1"/>
                <w:color w:val="auto"/>
                <w:w w:val="96"/>
              </w:rPr>
              <w:t>January 31, 2014</w:t>
            </w:r>
          </w:p>
        </w:tc>
      </w:tr>
      <w:tr>
        <w:trPr>
          <w:trHeight w:val="236"/>
        </w:trPr>
        <w:tc>
          <w:tcPr>
            <w:tcW w:w="8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gain on derivative instruments</w:t>
            </w: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Net unrealized gain on available-for-sale securities</w:t>
            </w:r>
          </w:p>
        </w:tc>
        <w:tc>
          <w:tcPr>
            <w:tcW w:w="22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0.2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1.8</w:t>
            </w:r>
          </w:p>
        </w:tc>
      </w:tr>
      <w:tr>
        <w:trPr>
          <w:trHeight w:val="33"/>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Defined benefit pension items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7.8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1.8</w:t>
            </w:r>
          </w:p>
        </w:tc>
      </w:tr>
      <w:tr>
        <w:trPr>
          <w:trHeight w:val="33"/>
        </w:trPr>
        <w:tc>
          <w:tcPr>
            <w:tcW w:w="8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5"/>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income (loss)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Pre-tax reclassifications from “Accumulated other comprehensive income (loss)” to the Company's Condensed Consolidated Statement of Operations for the three months ended July 31, 2014 and 2013 were $1.2 million and $3.9 million, respectively. Pre-tax reclassifications from “Accumulated other comprehensive income (loss)” to the Company's Condensed Consolidated Statement of Operations for the six months ended July 31, 2014 and 2013 were $2.2 million and $7.7 million, respectively.</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17</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Net Income Per Share</w:t>
      </w:r>
    </w:p>
    <w:p>
      <w:pPr>
        <w:spacing w:after="0" w:line="225"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Basic net income per share is computed using the weighted average number of shares of common stock outstanding for the period, excluding stock options and restricted stock units. Diluted net income per share is based upon the weighted average number of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income per share amounts: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182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3"/>
              </w:rPr>
              <w:t>Three Months Ended July</w:t>
            </w:r>
          </w:p>
        </w:tc>
        <w:tc>
          <w:tcPr>
            <w:tcW w:w="1560" w:type="dxa"/>
            <w:vAlign w:val="bottom"/>
            <w:gridSpan w:val="6"/>
          </w:tcPr>
          <w:p>
            <w:pPr>
              <w:jc w:val="right"/>
              <w:spacing w:after="0"/>
              <w:rPr>
                <w:sz w:val="20"/>
                <w:szCs w:val="20"/>
                <w:color w:val="auto"/>
              </w:rPr>
            </w:pPr>
            <w:r>
              <w:rPr>
                <w:rFonts w:ascii="Arial" w:cs="Arial" w:eastAsia="Arial" w:hAnsi="Arial"/>
                <w:sz w:val="14"/>
                <w:szCs w:val="14"/>
                <w:b w:val="1"/>
                <w:bCs w:val="1"/>
                <w:color w:val="auto"/>
                <w:w w:val="96"/>
              </w:rPr>
              <w:t>Six Months Ended July</w:t>
            </w:r>
          </w:p>
        </w:tc>
        <w:tc>
          <w:tcPr>
            <w:tcW w:w="0" w:type="dxa"/>
            <w:vAlign w:val="bottom"/>
          </w:tcPr>
          <w:p>
            <w:pPr>
              <w:spacing w:after="0"/>
              <w:rPr>
                <w:sz w:val="1"/>
                <w:szCs w:val="1"/>
                <w:color w:val="auto"/>
              </w:rPr>
            </w:pPr>
          </w:p>
        </w:tc>
      </w:tr>
      <w:tr>
        <w:trPr>
          <w:trHeight w:val="192"/>
        </w:trPr>
        <w:tc>
          <w:tcPr>
            <w:tcW w:w="8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31,</w:t>
            </w: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31,</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0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0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804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31.3</w:t>
            </w:r>
          </w:p>
        </w:tc>
        <w:tc>
          <w:tcPr>
            <w:tcW w:w="3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0"/>
              <w:spacing w:after="0"/>
              <w:rPr>
                <w:sz w:val="20"/>
                <w:szCs w:val="20"/>
                <w:color w:val="auto"/>
              </w:rPr>
            </w:pPr>
            <w:r>
              <w:rPr>
                <w:rFonts w:ascii="Arial" w:cs="Arial" w:eastAsia="Arial" w:hAnsi="Arial"/>
                <w:sz w:val="16"/>
                <w:szCs w:val="16"/>
                <w:color w:val="auto"/>
              </w:rPr>
              <w:t>61.7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59.6</w:t>
            </w:r>
          </w:p>
        </w:tc>
        <w:tc>
          <w:tcPr>
            <w:tcW w:w="3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117.3</w:t>
            </w:r>
          </w:p>
        </w:tc>
        <w:tc>
          <w:tcPr>
            <w:tcW w:w="0" w:type="dxa"/>
            <w:vAlign w:val="bottom"/>
          </w:tcPr>
          <w:p>
            <w:pPr>
              <w:spacing w:after="0"/>
              <w:rPr>
                <w:sz w:val="1"/>
                <w:szCs w:val="1"/>
                <w:color w:val="auto"/>
              </w:rPr>
            </w:pPr>
          </w:p>
        </w:tc>
      </w:tr>
      <w:tr>
        <w:trPr>
          <w:trHeight w:val="73"/>
        </w:trPr>
        <w:tc>
          <w:tcPr>
            <w:tcW w:w="804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0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Denominator:</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0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8040" w:type="dxa"/>
            <w:vAlign w:val="bottom"/>
          </w:tcPr>
          <w:p>
            <w:pPr>
              <w:ind w:left="380"/>
              <w:spacing w:after="0"/>
              <w:rPr>
                <w:sz w:val="20"/>
                <w:szCs w:val="20"/>
                <w:color w:val="auto"/>
              </w:rPr>
            </w:pPr>
            <w:r>
              <w:rPr>
                <w:rFonts w:ascii="Arial" w:cs="Arial" w:eastAsia="Arial" w:hAnsi="Arial"/>
                <w:sz w:val="16"/>
                <w:szCs w:val="16"/>
                <w:color w:val="auto"/>
              </w:rPr>
              <w:t>Denominator for basic net income per share—weighted average shares</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227.3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ind w:right="20"/>
              <w:spacing w:after="0"/>
              <w:rPr>
                <w:sz w:val="20"/>
                <w:szCs w:val="20"/>
                <w:color w:val="auto"/>
              </w:rPr>
            </w:pPr>
            <w:r>
              <w:rPr>
                <w:rFonts w:ascii="Arial" w:cs="Arial" w:eastAsia="Arial" w:hAnsi="Arial"/>
                <w:sz w:val="16"/>
                <w:szCs w:val="16"/>
                <w:color w:val="auto"/>
              </w:rPr>
              <w:t>223.1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227.1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223.6</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dilutive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7"/>
        </w:trPr>
        <w:tc>
          <w:tcPr>
            <w:tcW w:w="8040" w:type="dxa"/>
            <w:vAlign w:val="bottom"/>
          </w:tcPr>
          <w:p>
            <w:pPr>
              <w:ind w:left="380"/>
              <w:spacing w:after="0"/>
              <w:rPr>
                <w:sz w:val="20"/>
                <w:szCs w:val="20"/>
                <w:color w:val="auto"/>
              </w:rPr>
            </w:pPr>
            <w:r>
              <w:rPr>
                <w:rFonts w:ascii="Arial" w:cs="Arial" w:eastAsia="Arial" w:hAnsi="Arial"/>
                <w:sz w:val="16"/>
                <w:szCs w:val="16"/>
                <w:color w:val="auto"/>
              </w:rPr>
              <w:t>Denominator for dilutive net income per share</w:t>
            </w: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232.4</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228.3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232.4</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229.3</w:t>
            </w:r>
          </w:p>
        </w:tc>
        <w:tc>
          <w:tcPr>
            <w:tcW w:w="0" w:type="dxa"/>
            <w:vAlign w:val="bottom"/>
          </w:tcPr>
          <w:p>
            <w:pPr>
              <w:spacing w:after="0"/>
              <w:rPr>
                <w:sz w:val="1"/>
                <w:szCs w:val="1"/>
                <w:color w:val="auto"/>
              </w:rPr>
            </w:pPr>
          </w:p>
        </w:tc>
      </w:tr>
      <w:tr>
        <w:trPr>
          <w:trHeight w:val="73"/>
        </w:trPr>
        <w:tc>
          <w:tcPr>
            <w:tcW w:w="804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80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net income per share</w:t>
            </w: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income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40" w:type="dxa"/>
            <w:vAlign w:val="bottom"/>
            <w:vMerge w:val="continue"/>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0.13</w:t>
            </w:r>
          </w:p>
        </w:tc>
        <w:tc>
          <w:tcPr>
            <w:tcW w:w="3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0"/>
              <w:spacing w:after="0"/>
              <w:rPr>
                <w:sz w:val="20"/>
                <w:szCs w:val="20"/>
                <w:color w:val="auto"/>
              </w:rPr>
            </w:pPr>
            <w:r>
              <w:rPr>
                <w:rFonts w:ascii="Arial" w:cs="Arial" w:eastAsia="Arial" w:hAnsi="Arial"/>
                <w:sz w:val="16"/>
                <w:szCs w:val="16"/>
                <w:color w:val="auto"/>
              </w:rPr>
              <w:t>0.27</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0.26</w:t>
            </w:r>
          </w:p>
        </w:tc>
        <w:tc>
          <w:tcPr>
            <w:tcW w:w="3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0.51</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The computation of diluted net income per share does not include shares that are anti-dilutive under the treasury stock method because their exercise prices are higher than the average market value of Autodesk’s stock during the period. For both the three and six months ended July 31, 2014, there were no potentially anti-dilutive shares excluded from the computation of diluted net income per share. For the three and six months ended July 31, 2013, 7.2 million and 7.6 million potentially anti-dilutive shares, respectively, were excluded from the computation of diluted net income per share.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18. Segments</w:t>
      </w:r>
    </w:p>
    <w:p>
      <w:pPr>
        <w:spacing w:after="0" w:line="225" w:lineRule="exact"/>
        <w:rPr>
          <w:sz w:val="20"/>
          <w:szCs w:val="20"/>
          <w:color w:val="auto"/>
        </w:rPr>
      </w:pPr>
    </w:p>
    <w:p>
      <w:pPr>
        <w:ind w:right="220" w:firstLine="405"/>
        <w:spacing w:after="0" w:line="286" w:lineRule="auto"/>
        <w:rPr>
          <w:sz w:val="20"/>
          <w:szCs w:val="20"/>
          <w:color w:val="auto"/>
        </w:rPr>
      </w:pPr>
      <w:r>
        <w:rPr>
          <w:rFonts w:ascii="Arial" w:cs="Arial" w:eastAsia="Arial" w:hAnsi="Arial"/>
          <w:sz w:val="17"/>
          <w:szCs w:val="17"/>
          <w:color w:val="auto"/>
        </w:rPr>
        <w:t>Autodesk reports segment information based on the “management” approach. The management approach designates the internal reporting used by management for making decisions and assessing performance as the source of the Company’s reportable segments. Autodesk has four reportable segments: PSEB, Architecture, Engineering and Construction ("AEC"), MFG and M&amp;E. Autodesk has no material inter-segment revenue.</w:t>
      </w:r>
    </w:p>
    <w:p>
      <w:pPr>
        <w:spacing w:after="0" w:line="166"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The PSEB, AEC and MFG segments derive revenue from the sale of licenses for software products and services to customers who design, build, manage or own building, manufacturing and infrastructure projects. Autodesk's M&amp;E segment derives revenue from the sale of products to creative professionals, post-production facilities and broadcasters for a variety of applications, including feature films, television programs, commercials, music and corporate videos, interactive game production, web design and interactive web streaming.</w:t>
      </w:r>
    </w:p>
    <w:p>
      <w:pPr>
        <w:spacing w:after="0" w:line="187" w:lineRule="exact"/>
        <w:rPr>
          <w:sz w:val="20"/>
          <w:szCs w:val="20"/>
          <w:color w:val="auto"/>
        </w:rPr>
      </w:pPr>
    </w:p>
    <w:p>
      <w:pPr>
        <w:ind w:right="600" w:firstLine="405"/>
        <w:spacing w:after="0" w:line="291" w:lineRule="auto"/>
        <w:rPr>
          <w:sz w:val="20"/>
          <w:szCs w:val="20"/>
          <w:color w:val="auto"/>
        </w:rPr>
      </w:pPr>
      <w:r>
        <w:rPr>
          <w:rFonts w:ascii="Arial" w:cs="Arial" w:eastAsia="Arial" w:hAnsi="Arial"/>
          <w:sz w:val="16"/>
          <w:szCs w:val="16"/>
          <w:color w:val="auto"/>
        </w:rPr>
        <w:t>PSEB includes Autodesk’s design product, AutoCAD. Autodesk’s AutoCAD product is a platform product that underpins the Company’s design product offerings for the industries it serves. For example, AEC and MFG offer tailored versions of AutoCAD software for the industries they</w:t>
      </w:r>
    </w:p>
    <w:p>
      <w:pPr>
        <w:ind w:right="200"/>
        <w:spacing w:after="0" w:line="277" w:lineRule="auto"/>
        <w:rPr>
          <w:sz w:val="20"/>
          <w:szCs w:val="20"/>
          <w:color w:val="auto"/>
        </w:rPr>
      </w:pPr>
      <w:r>
        <w:rPr>
          <w:rFonts w:ascii="Arial" w:cs="Arial" w:eastAsia="Arial" w:hAnsi="Arial"/>
          <w:sz w:val="17"/>
          <w:szCs w:val="17"/>
          <w:color w:val="auto"/>
        </w:rPr>
        <w:t>serve. Autodesk’s AutoCAD product also provides a platform for Autodesk’s developer partners to build custom solutions for a range of diverse design-oriented markets. PSEB's revenue primarily includes revenue from sales of AutoCAD and AutoCAD LT, the Autodesk Design Suite and many other design products, including consumer design products, as well as from sales of licenses of other Autodesk's design products.</w:t>
      </w:r>
    </w:p>
    <w:p>
      <w:pPr>
        <w:spacing w:after="0" w:line="173"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AEC software products help to improve the way building, civil infrastructure, process plant and construction projects are designed, built and managed. A broad portfolio of solutions enables greater efficiency, accuracy and sustainability across the entire project lifecycle. Autodesk AEC solutions include advanced technology for building information modeling ("BIM"), AutoCAD-based design and documentation productivity software, sustainable design analysis applications, and collaborative project management solutions. BIM, an integrated process for building and infrastructure design, analysis, documentation and construction, uses consistent, coordination information to improve communication and collaboration between the extended project team. AEC provides a comprehensive portfolio of BIM solutions that help customers deliver projects faster and more economically, while minimizing environmental impact. AEC’s revenue primarily includes revenue from the sales of licenses of Autodesk Building Design Suites, AutoCAD Civil 3D, AutoCAD Map, and Autodesk Infrastructure Design Suites.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ind w:right="40" w:firstLine="405"/>
        <w:spacing w:after="0" w:line="257" w:lineRule="auto"/>
        <w:rPr>
          <w:sz w:val="20"/>
          <w:szCs w:val="20"/>
          <w:color w:val="auto"/>
        </w:rPr>
      </w:pPr>
      <w:r>
        <w:rPr>
          <w:rFonts w:ascii="Arial" w:cs="Arial" w:eastAsia="Arial" w:hAnsi="Arial"/>
          <w:sz w:val="18"/>
          <w:szCs w:val="18"/>
          <w:color w:val="auto"/>
        </w:rPr>
        <w:t>MFG provides the manufacturers in automotive and transportation, industrial machinery, consumer products and building products with comprehensive digital prototyping solutions that bring together design data from all phases of the product development process to develop a single digital model created in Autodesk Inventor software. Autodesk’s solutions for digital prototyping enable a broad group of manufacturers to realize benefits with minimal disruption to existing workflows. MFG’s revenue primarily includes revenue from the sales of licenses of Autodesk Product Design Suites, AutoCAD Mechanical, and Autodesk Moldflow products.</w:t>
      </w:r>
    </w:p>
    <w:p>
      <w:pPr>
        <w:spacing w:after="0" w:line="188"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M&amp;E consists of two product groups: Animation, including design visualization, and Creative Finishing. Animation products, such as Autodesk Maya, Autodesk 3ds Max, and the Autodesk Entertainment Creation Suites, provide tools for digital sculpting, modeling, animation, effects, rendering and compositing, for design visualization, visual effects and games production. M&amp;E products are also included in a number of PSEB, AEC, and MFG focused suites. Creative Finishing products provide editing, finishing and visual effects design and color grading.</w:t>
      </w:r>
    </w:p>
    <w:p>
      <w:pPr>
        <w:spacing w:after="0" w:line="18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All of Autodesk’s reportable segments distribute their respective products primarily through authorized resellers and distributors and, to a lesser extent, through direct sales to end-users.</w:t>
      </w:r>
    </w:p>
    <w:p>
      <w:pPr>
        <w:spacing w:after="0" w:line="170"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The accounting policies of the reportable segments are the same as those described in Note 1, “Business and Summary of Significant Accounting Policies” of Autodesk's Annual Report on Form 10-K for the fiscal year ended January 31, 2014. Autodesk evaluates each segment’s performance on the basis of gross profit. Autodesk currently does not separately accumulate and report asset information by segment, except for goodwill, which is disclosed in Note 9, “Goodwill.”</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Information concerning the operations of Autodesk’s reportable segments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900" w:type="dxa"/>
            <w:vAlign w:val="bottom"/>
            <w:gridSpan w:val="7"/>
          </w:tcPr>
          <w:p>
            <w:pPr>
              <w:ind w:left="100"/>
              <w:spacing w:after="0"/>
              <w:rPr>
                <w:sz w:val="20"/>
                <w:szCs w:val="20"/>
                <w:color w:val="auto"/>
              </w:rPr>
            </w:pPr>
            <w:r>
              <w:rPr>
                <w:rFonts w:ascii="Arial" w:cs="Arial" w:eastAsia="Arial" w:hAnsi="Arial"/>
                <w:sz w:val="14"/>
                <w:szCs w:val="14"/>
                <w:b w:val="1"/>
                <w:bCs w:val="1"/>
                <w:color w:val="auto"/>
              </w:rPr>
              <w:t>Three Months Ended July</w:t>
            </w:r>
          </w:p>
        </w:tc>
        <w:tc>
          <w:tcPr>
            <w:tcW w:w="120" w:type="dxa"/>
            <w:vAlign w:val="bottom"/>
          </w:tcPr>
          <w:p>
            <w:pPr>
              <w:spacing w:after="0"/>
              <w:rPr>
                <w:sz w:val="14"/>
                <w:szCs w:val="14"/>
                <w:color w:val="auto"/>
              </w:rPr>
            </w:pPr>
          </w:p>
        </w:tc>
        <w:tc>
          <w:tcPr>
            <w:tcW w:w="1740" w:type="dxa"/>
            <w:vAlign w:val="bottom"/>
            <w:gridSpan w:val="4"/>
            <w:vMerge w:val="restart"/>
          </w:tcPr>
          <w:p>
            <w:pPr>
              <w:jc w:val="right"/>
              <w:ind w:right="20"/>
              <w:spacing w:after="0"/>
              <w:rPr>
                <w:sz w:val="20"/>
                <w:szCs w:val="20"/>
                <w:color w:val="auto"/>
              </w:rPr>
            </w:pPr>
            <w:r>
              <w:rPr>
                <w:rFonts w:ascii="Arial" w:cs="Arial" w:eastAsia="Arial" w:hAnsi="Arial"/>
                <w:sz w:val="14"/>
                <w:szCs w:val="14"/>
                <w:b w:val="1"/>
                <w:bCs w:val="1"/>
                <w:color w:val="auto"/>
                <w:w w:val="91"/>
              </w:rPr>
              <w:t>Six Months Ended July 31,</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w w:val="92"/>
              </w:rPr>
              <w:t>31,</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Platform Solutions and Emerging Business</w:t>
            </w: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207.5</w:t>
            </w:r>
          </w:p>
        </w:tc>
        <w:tc>
          <w:tcPr>
            <w:tcW w:w="3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197.3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419.4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410.0</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Architecture, Engineering and Construction</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217.9</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349.2</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Manufacturing</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168.2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144.0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315.5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283.1</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Media and Entertainment</w:t>
            </w: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89.8</w:t>
            </w:r>
          </w:p>
        </w:tc>
        <w:tc>
          <w:tcPr>
            <w:tcW w:w="0" w:type="dxa"/>
            <w:vAlign w:val="bottom"/>
          </w:tcPr>
          <w:p>
            <w:pPr>
              <w:spacing w:after="0"/>
              <w:rPr>
                <w:sz w:val="1"/>
                <w:szCs w:val="1"/>
                <w:color w:val="auto"/>
              </w:rPr>
            </w:pPr>
          </w:p>
        </w:tc>
      </w:tr>
      <w:tr>
        <w:trPr>
          <w:trHeight w:val="217"/>
        </w:trPr>
        <w:tc>
          <w:tcPr>
            <w:tcW w:w="7660" w:type="dxa"/>
            <w:vAlign w:val="bottom"/>
          </w:tcPr>
          <w:p>
            <w:pPr>
              <w:spacing w:after="0"/>
              <w:rPr>
                <w:sz w:val="18"/>
                <w:szCs w:val="18"/>
                <w:color w:val="auto"/>
              </w:rPr>
            </w:pPr>
          </w:p>
        </w:tc>
        <w:tc>
          <w:tcPr>
            <w:tcW w:w="2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637.1</w:t>
            </w: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561.7</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1,229.6</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1,132.1</w:t>
            </w:r>
          </w:p>
        </w:tc>
        <w:tc>
          <w:tcPr>
            <w:tcW w:w="0" w:type="dxa"/>
            <w:vAlign w:val="bottom"/>
          </w:tcPr>
          <w:p>
            <w:pPr>
              <w:spacing w:after="0"/>
              <w:rPr>
                <w:sz w:val="1"/>
                <w:szCs w:val="1"/>
                <w:color w:val="auto"/>
              </w:rPr>
            </w:pPr>
          </w:p>
        </w:tc>
      </w:tr>
      <w:tr>
        <w:trPr>
          <w:trHeight w:val="73"/>
        </w:trPr>
        <w:tc>
          <w:tcPr>
            <w:tcW w:w="766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6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Gross profit:</w:t>
            </w: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6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Platform Solutions and Emerging Business</w:t>
            </w: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185.3</w:t>
            </w:r>
          </w:p>
        </w:tc>
        <w:tc>
          <w:tcPr>
            <w:tcW w:w="3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179.6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376.3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374.8</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Architecture, Engineering and Construction</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196.1</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316.1</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Manufacturing</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151.5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132.3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284.2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259.8</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Media and Entertainment</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70.8</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Unallocated (1)</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549.2</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996.8</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500" w:hanging="412"/>
        <w:spacing w:after="0" w:line="263" w:lineRule="auto"/>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Unallocated amounts primarily relate to corporate expenses and other costs and expenses that are managed outside the reportable segments, including stock-based compensation expense.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ind w:left="440"/>
        <w:spacing w:after="0"/>
        <w:rPr>
          <w:sz w:val="20"/>
          <w:szCs w:val="20"/>
          <w:color w:val="auto"/>
        </w:rPr>
      </w:pPr>
      <w:r>
        <w:rPr>
          <w:rFonts w:ascii="Arial" w:cs="Arial" w:eastAsia="Arial" w:hAnsi="Arial"/>
          <w:sz w:val="18"/>
          <w:szCs w:val="18"/>
          <w:color w:val="auto"/>
        </w:rPr>
        <w:t>Information regarding Autodesk’s operations by geographic area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July</w:t>
            </w:r>
          </w:p>
        </w:tc>
        <w:tc>
          <w:tcPr>
            <w:tcW w:w="120" w:type="dxa"/>
            <w:vAlign w:val="bottom"/>
          </w:tcPr>
          <w:p>
            <w:pPr>
              <w:spacing w:after="0"/>
              <w:rPr>
                <w:sz w:val="14"/>
                <w:szCs w:val="14"/>
                <w:color w:val="auto"/>
              </w:rPr>
            </w:pPr>
          </w:p>
        </w:tc>
        <w:tc>
          <w:tcPr>
            <w:tcW w:w="1760" w:type="dxa"/>
            <w:vAlign w:val="bottom"/>
            <w:gridSpan w:val="4"/>
            <w:vMerge w:val="restart"/>
          </w:tcPr>
          <w:p>
            <w:pPr>
              <w:jc w:val="right"/>
              <w:ind w:right="20"/>
              <w:spacing w:after="0"/>
              <w:rPr>
                <w:sz w:val="20"/>
                <w:szCs w:val="20"/>
                <w:color w:val="auto"/>
              </w:rPr>
            </w:pPr>
            <w:r>
              <w:rPr>
                <w:rFonts w:ascii="Arial" w:cs="Arial" w:eastAsia="Arial" w:hAnsi="Arial"/>
                <w:sz w:val="14"/>
                <w:szCs w:val="14"/>
                <w:b w:val="1"/>
                <w:bCs w:val="1"/>
                <w:color w:val="auto"/>
                <w:w w:val="92"/>
              </w:rPr>
              <w:t>Six Months Ended July 31,</w:t>
            </w:r>
          </w:p>
        </w:tc>
        <w:tc>
          <w:tcPr>
            <w:tcW w:w="0" w:type="dxa"/>
            <w:vAlign w:val="bottom"/>
          </w:tcPr>
          <w:p>
            <w:pPr>
              <w:spacing w:after="0"/>
              <w:rPr>
                <w:sz w:val="1"/>
                <w:szCs w:val="1"/>
                <w:color w:val="auto"/>
              </w:rPr>
            </w:pPr>
          </w:p>
        </w:tc>
      </w:tr>
      <w:tr>
        <w:trPr>
          <w:trHeight w:val="192"/>
        </w:trPr>
        <w:tc>
          <w:tcPr>
            <w:tcW w:w="7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2"/>
              </w:rPr>
              <w:t>31,</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6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7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7620" w:type="dxa"/>
            <w:vAlign w:val="bottom"/>
          </w:tcPr>
          <w:p>
            <w:pPr>
              <w:ind w:left="380"/>
              <w:spacing w:after="0"/>
              <w:rPr>
                <w:sz w:val="20"/>
                <w:szCs w:val="20"/>
                <w:color w:val="auto"/>
              </w:rPr>
            </w:pPr>
            <w:r>
              <w:rPr>
                <w:rFonts w:ascii="Arial" w:cs="Arial" w:eastAsia="Arial" w:hAnsi="Arial"/>
                <w:sz w:val="16"/>
                <w:szCs w:val="16"/>
                <w:color w:val="auto"/>
              </w:rPr>
              <w:t>Americas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U.S.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184.6</w:t>
            </w:r>
          </w:p>
        </w:tc>
        <w:tc>
          <w:tcPr>
            <w:tcW w:w="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331.0</w:t>
            </w:r>
          </w:p>
        </w:tc>
        <w:tc>
          <w:tcPr>
            <w:tcW w:w="0" w:type="dxa"/>
            <w:vAlign w:val="bottom"/>
          </w:tcPr>
          <w:p>
            <w:pPr>
              <w:spacing w:after="0"/>
              <w:rPr>
                <w:sz w:val="1"/>
                <w:szCs w:val="1"/>
                <w:color w:val="auto"/>
              </w:rPr>
            </w:pPr>
          </w:p>
        </w:tc>
      </w:tr>
      <w:tr>
        <w:trPr>
          <w:trHeight w:val="237"/>
        </w:trPr>
        <w:tc>
          <w:tcPr>
            <w:tcW w:w="7620" w:type="dxa"/>
            <w:vAlign w:val="bottom"/>
          </w:tcPr>
          <w:p>
            <w:pPr>
              <w:ind w:left="720"/>
              <w:spacing w:after="0"/>
              <w:rPr>
                <w:sz w:val="20"/>
                <w:szCs w:val="20"/>
                <w:color w:val="auto"/>
              </w:rPr>
            </w:pPr>
            <w:r>
              <w:rPr>
                <w:rFonts w:ascii="Arial" w:cs="Arial" w:eastAsia="Arial" w:hAnsi="Arial"/>
                <w:sz w:val="16"/>
                <w:szCs w:val="16"/>
                <w:color w:val="auto"/>
              </w:rPr>
              <w:t>Other Americas</w:t>
            </w:r>
          </w:p>
        </w:tc>
        <w:tc>
          <w:tcPr>
            <w:tcW w:w="120" w:type="dxa"/>
            <w:vAlign w:val="bottom"/>
          </w:tcPr>
          <w:p>
            <w:pPr>
              <w:spacing w:after="0"/>
              <w:rPr>
                <w:sz w:val="20"/>
                <w:szCs w:val="20"/>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38.7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74.9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72.8</w:t>
            </w:r>
          </w:p>
        </w:tc>
        <w:tc>
          <w:tcPr>
            <w:tcW w:w="0" w:type="dxa"/>
            <w:vAlign w:val="bottom"/>
          </w:tcPr>
          <w:p>
            <w:pPr>
              <w:spacing w:after="0"/>
              <w:rPr>
                <w:sz w:val="1"/>
                <w:szCs w:val="1"/>
                <w:color w:val="auto"/>
              </w:rPr>
            </w:pPr>
          </w:p>
        </w:tc>
      </w:tr>
      <w:tr>
        <w:trPr>
          <w:trHeight w:val="33"/>
        </w:trPr>
        <w:tc>
          <w:tcPr>
            <w:tcW w:w="7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Americas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223.3</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429.0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403.8</w:t>
            </w:r>
          </w:p>
        </w:tc>
        <w:tc>
          <w:tcPr>
            <w:tcW w:w="0" w:type="dxa"/>
            <w:vAlign w:val="bottom"/>
          </w:tcPr>
          <w:p>
            <w:pPr>
              <w:spacing w:after="0"/>
              <w:rPr>
                <w:sz w:val="1"/>
                <w:szCs w:val="1"/>
                <w:color w:val="auto"/>
              </w:rPr>
            </w:pPr>
          </w:p>
        </w:tc>
      </w:tr>
      <w:tr>
        <w:trPr>
          <w:trHeight w:val="217"/>
        </w:trPr>
        <w:tc>
          <w:tcPr>
            <w:tcW w:w="7620" w:type="dxa"/>
            <w:vAlign w:val="bottom"/>
          </w:tcPr>
          <w:p>
            <w:pPr>
              <w:ind w:left="380"/>
              <w:spacing w:after="0"/>
              <w:rPr>
                <w:sz w:val="20"/>
                <w:szCs w:val="20"/>
                <w:color w:val="auto"/>
              </w:rPr>
            </w:pPr>
            <w:r>
              <w:rPr>
                <w:rFonts w:ascii="Arial" w:cs="Arial" w:eastAsia="Arial" w:hAnsi="Arial"/>
                <w:sz w:val="16"/>
                <w:szCs w:val="16"/>
                <w:color w:val="auto"/>
              </w:rPr>
              <w:t>Europe, Middle East and Africa</w:t>
            </w: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243.5</w:t>
            </w: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469.0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418.0</w:t>
            </w:r>
          </w:p>
        </w:tc>
        <w:tc>
          <w:tcPr>
            <w:tcW w:w="0" w:type="dxa"/>
            <w:vAlign w:val="bottom"/>
          </w:tcPr>
          <w:p>
            <w:pPr>
              <w:spacing w:after="0"/>
              <w:rPr>
                <w:sz w:val="1"/>
                <w:szCs w:val="1"/>
                <w:color w:val="auto"/>
              </w:rPr>
            </w:pPr>
          </w:p>
        </w:tc>
      </w:tr>
      <w:tr>
        <w:trPr>
          <w:trHeight w:val="33"/>
        </w:trPr>
        <w:tc>
          <w:tcPr>
            <w:tcW w:w="7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Asia Pacific</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620" w:type="dxa"/>
            <w:vAlign w:val="bottom"/>
          </w:tcPr>
          <w:p>
            <w:pPr>
              <w:ind w:left="720"/>
              <w:spacing w:after="0"/>
              <w:rPr>
                <w:sz w:val="20"/>
                <w:szCs w:val="20"/>
                <w:color w:val="auto"/>
              </w:rPr>
            </w:pPr>
            <w:r>
              <w:rPr>
                <w:rFonts w:ascii="Arial" w:cs="Arial" w:eastAsia="Arial" w:hAnsi="Arial"/>
                <w:sz w:val="16"/>
                <w:szCs w:val="16"/>
                <w:color w:val="auto"/>
              </w:rPr>
              <w:t>Japan</w:t>
            </w:r>
          </w:p>
        </w:tc>
        <w:tc>
          <w:tcPr>
            <w:tcW w:w="120" w:type="dxa"/>
            <w:vAlign w:val="bottom"/>
          </w:tcPr>
          <w:p>
            <w:pPr>
              <w:spacing w:after="0"/>
              <w:rPr>
                <w:sz w:val="20"/>
                <w:szCs w:val="20"/>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70.5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157.1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145.7</w:t>
            </w: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Asia Pacific</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99.8</w:t>
            </w:r>
          </w:p>
        </w:tc>
        <w:tc>
          <w:tcPr>
            <w:tcW w:w="1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174.5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164.6</w:t>
            </w:r>
          </w:p>
        </w:tc>
        <w:tc>
          <w:tcPr>
            <w:tcW w:w="0" w:type="dxa"/>
            <w:vAlign w:val="bottom"/>
          </w:tcPr>
          <w:p>
            <w:pPr>
              <w:spacing w:after="0"/>
              <w:rPr>
                <w:sz w:val="1"/>
                <w:szCs w:val="1"/>
                <w:color w:val="auto"/>
              </w:rPr>
            </w:pPr>
          </w:p>
        </w:tc>
      </w:tr>
      <w:tr>
        <w:trPr>
          <w:trHeight w:val="217"/>
        </w:trPr>
        <w:tc>
          <w:tcPr>
            <w:tcW w:w="7620" w:type="dxa"/>
            <w:vAlign w:val="bottom"/>
          </w:tcPr>
          <w:p>
            <w:pPr>
              <w:ind w:left="380"/>
              <w:spacing w:after="0"/>
              <w:rPr>
                <w:sz w:val="20"/>
                <w:szCs w:val="20"/>
                <w:color w:val="auto"/>
              </w:rPr>
            </w:pPr>
            <w:r>
              <w:rPr>
                <w:rFonts w:ascii="Arial" w:cs="Arial" w:eastAsia="Arial" w:hAnsi="Arial"/>
                <w:sz w:val="16"/>
                <w:szCs w:val="16"/>
                <w:color w:val="auto"/>
              </w:rPr>
              <w:t>Total Asia Pacific</w:t>
            </w: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170.3</w:t>
            </w: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158.3</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331.6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310.3</w:t>
            </w:r>
          </w:p>
        </w:tc>
        <w:tc>
          <w:tcPr>
            <w:tcW w:w="0" w:type="dxa"/>
            <w:vAlign w:val="bottom"/>
          </w:tcPr>
          <w:p>
            <w:pPr>
              <w:spacing w:after="0"/>
              <w:rPr>
                <w:sz w:val="1"/>
                <w:szCs w:val="1"/>
                <w:color w:val="auto"/>
              </w:rPr>
            </w:pPr>
          </w:p>
        </w:tc>
      </w:tr>
      <w:tr>
        <w:trPr>
          <w:trHeight w:val="33"/>
        </w:trPr>
        <w:tc>
          <w:tcPr>
            <w:tcW w:w="7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637.1</w:t>
            </w:r>
          </w:p>
        </w:tc>
        <w:tc>
          <w:tcPr>
            <w:tcW w:w="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1,229.6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1,132.1</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firstLine="405"/>
        <w:spacing w:after="0" w:line="267" w:lineRule="auto"/>
        <w:rPr>
          <w:sz w:val="20"/>
          <w:szCs w:val="20"/>
          <w:color w:val="auto"/>
        </w:rPr>
      </w:pPr>
      <w:r>
        <w:rPr>
          <w:rFonts w:ascii="Arial" w:cs="Arial" w:eastAsia="Arial" w:hAnsi="Arial"/>
          <w:sz w:val="17"/>
          <w:szCs w:val="17"/>
          <w:i w:val="1"/>
          <w:iCs w:val="1"/>
          <w:color w:val="auto"/>
        </w:rPr>
        <w:t>The discussion in our MD&amp;A and elsewhere in this Form 10-Q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in “Strategy” and “Overview of the Three and Six Months Ended July 31, 2014 and 2013 - Business Outlook” below, anticipated future net revenue, future GAAP and non-GAAP earnings per share, operating margin and other future financial results (by product type and geography) and operating expenses, the effectiveness of our efforts to successfully manage transitions to new business models and markets, expected market trends, including the growth of cloud, mobile and social computing, the effect of unemployment and availability of credit, the effects of weak global economic conditions, the effects of revenue recognition, our backlog, expected trends in certain financial metrics, including expenses, the impact of acquisitions and investment activities, expectations regarding our cash needs, the effects of fluctuations in exchange rates and our hedging activities on our financial results, our abilities to successfully expand adoption of our products, our ability to gain market acceptance of new businesses and sales initiatives, our ability to successfully increase sales of product suites as part of our overall sales strategy, and the impact of economic volatility and geopolitical activities in certain countries, particularly emerging economy countries, and the resulting effect on our financial results. In addition, forward-looking statements also consist of statements involving expectations regarding product acceptance, continuation of our stock repurchase program,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Form 10-Q and are subject to business and economic risks. As such, our actual results could differ materially from those set forth in the forward-looking statements as a result of the factors set forth below in Part II,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glossary of terms used in this Form 10-Q appears at the end of this 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Autodesk’s vision is to help people imagine, design and create a better world. We do this by developing software and services for the world’s designers, architects, engineers, and digital artists, professionals and non-professionals alike—the people who create the world's products, buildings, infrastructure, films, and games. Autodesk serves professional customers in three primary markets: architecture, engineering and construction; manufacturing; and digital media and entertainment.</w:t>
      </w:r>
    </w:p>
    <w:p>
      <w:pPr>
        <w:spacing w:after="0" w:line="187"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Our goal is to provide our customers with the world’s most innovative, and engaging design software and services. Our product and services portfolio allows our customers to digitally visualize, simulate, and analyze their projects, helping them to better understand the consequences of their design decisions; save time, money, and resources; and become more innovative.</w:t>
      </w:r>
    </w:p>
    <w:p>
      <w:pPr>
        <w:spacing w:after="0" w:line="181" w:lineRule="exact"/>
        <w:rPr>
          <w:sz w:val="20"/>
          <w:szCs w:val="20"/>
          <w:color w:val="auto"/>
        </w:rPr>
      </w:pPr>
    </w:p>
    <w:p>
      <w:pPr>
        <w:ind w:right="180" w:firstLine="405"/>
        <w:spacing w:after="0" w:line="254" w:lineRule="auto"/>
        <w:rPr>
          <w:sz w:val="20"/>
          <w:szCs w:val="20"/>
          <w:color w:val="auto"/>
        </w:rPr>
      </w:pPr>
      <w:r>
        <w:rPr>
          <w:rFonts w:ascii="Arial" w:cs="Arial" w:eastAsia="Arial" w:hAnsi="Arial"/>
          <w:sz w:val="18"/>
          <w:szCs w:val="18"/>
          <w:color w:val="auto"/>
        </w:rPr>
        <w:t>Autodesk was founded during the platform transition from mainframes and engineering workstations to personal computers. We developed and sustained a compelling value proposition based upon desktop software for the personal computer. Just as the transition from mainframes to personal computers transformed the industry thirty years ago, we believe our industry is undergoing a similar transition from the personal computer to cloud, social, and mobile computing. To address this transition we have accelerated our move to the cloud and are offering more flexible licenses. For example, in fiscal 2014, we began offering Autodesk BIM 360, PLM 360, Sim 360 and Fusion 360, a few of our cloud based offerings, which provide tools, including social and mobile capabilities, to help streamline design, collaboration, and data management processes. We believe that customer adoption of these new offerings will continue to grow as customers across a range of industries begin to take advantage of the scalable computing power and flexibility provided through these new services.</w:t>
      </w:r>
    </w:p>
    <w:p>
      <w:pPr>
        <w:spacing w:after="0" w:line="152"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Our strategy is to lead our customers and the industries they serve to the new cloud and mobile platforms. This entails both a technological shift and a business model shift. During fiscal 2014, we announced more flexible term-based license offerings, including term-based desktop subscriptions, for certain products. These offerings are designed to give our customers even more flexibility with how they use our products and service offerings and address new types of customers such as project-based users and small businesses.</w:t>
      </w:r>
    </w:p>
    <w:p>
      <w:pPr>
        <w:spacing w:after="0" w:line="146"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Over the next four years, we expect to increase our subscription base and customer value, which we believe will help drive billings growth. During the transition, revenue, deferred revenue, operating margin, and earnings per share will be impacted as more revenue is recognized ratably rather than up front and as new offerings bring a wider variety of price points.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0" w:right="239" w:bottom="1440" w:gutter="0" w:footer="0" w:header="0"/>
        </w:sectPr>
      </w:pPr>
    </w:p>
    <w:bookmarkStart w:id="28" w:name="page29"/>
    <w:bookmarkEnd w:id="28"/>
    <w:p>
      <w:pPr>
        <w:jc w:val="both"/>
        <w:ind w:right="180" w:firstLine="405"/>
        <w:spacing w:after="0" w:line="286" w:lineRule="auto"/>
        <w:rPr>
          <w:sz w:val="20"/>
          <w:szCs w:val="20"/>
          <w:color w:val="auto"/>
        </w:rPr>
      </w:pPr>
      <w:r>
        <w:rPr>
          <w:rFonts w:ascii="Arial" w:cs="Arial" w:eastAsia="Arial" w:hAnsi="Arial"/>
          <w:sz w:val="17"/>
          <w:szCs w:val="17"/>
          <w:color w:val="auto"/>
        </w:rPr>
        <w:t>For the three months ended July 31, 2014, our billings increased 27%, as compared to the same period in the prior fiscal year. The 14 percentage point change from our 13% year over year growth in revenue and our 27% year over year growth in billings represents 12 percentage points from the increase in deferred revenue and 2 percentage points related to the change in acquisition-related deferred revenue and other.</w:t>
      </w:r>
    </w:p>
    <w:p>
      <w:pPr>
        <w:spacing w:after="0" w:line="125" w:lineRule="exact"/>
        <w:rPr>
          <w:sz w:val="20"/>
          <w:szCs w:val="20"/>
          <w:color w:val="auto"/>
        </w:rPr>
      </w:pPr>
    </w:p>
    <w:p>
      <w:pPr>
        <w:jc w:val="both"/>
        <w:ind w:right="360" w:firstLine="405"/>
        <w:spacing w:after="0" w:line="286" w:lineRule="auto"/>
        <w:rPr>
          <w:sz w:val="20"/>
          <w:szCs w:val="20"/>
          <w:color w:val="auto"/>
        </w:rPr>
      </w:pPr>
      <w:r>
        <w:rPr>
          <w:rFonts w:ascii="Arial" w:cs="Arial" w:eastAsia="Arial" w:hAnsi="Arial"/>
          <w:sz w:val="17"/>
          <w:szCs w:val="17"/>
          <w:color w:val="auto"/>
        </w:rPr>
        <w:t>For the six months ended July 31, 2014, our billings increased 18%, as compared to the same period in the prior fiscal year. The 9 percentage point change from our 9% year over year growth in revenue and our 18% year over year growth in billings represents 10 percentage points from the increase in deferred revenue offset by 1 percentage point related to the change in acquisition-related deferred revenue and other.</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July 31, 2014 and January 31, 2014, our total subscriptions were 2.01 million and 1.85 million, respectively.</w:t>
      </w:r>
    </w:p>
    <w:p>
      <w:pPr>
        <w:spacing w:after="0" w:line="18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For the past three years, suites have been an important growth area to our overall strategy. As our customers in all industries adopt our design suites, we believe they will experience an increase in their productivity and the value of their design data. For both the three and six months ended July 31, 2014, revenue from suites increased 20%, as compared to the same periods in the prior fiscal year. As a percentage of revenue, suites consisted of 36% of our net revenue in both the three and six months ended July 31, 2014, as compared to 34% and 33% of our net revenue in the three and six months ended July 31, 2013, respectively.</w:t>
      </w:r>
    </w:p>
    <w:p>
      <w:pPr>
        <w:spacing w:after="0" w:line="188"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Expanding our geographic coverage is another key element of our growth strategy. Much of the growth in the world’s construction and manufacturing is happening in emerging economies. Further, emerging economies face many of the challenges that our design technology can help address, including infrastructure build-out and innovative design and manufacturing. Revenue from emerging countries increased 14% and 10% during the three and six months ended July 31, 2014, respectively, as compared to the same periods of the prior fiscal year. We believe that emerging economies continue to present long-term growth opportunities for us. Revenue from emerging countries represented 15% and 14% for the three and six months ended July 31, 2014, respectively, and represented 15% and 14% for the three and six months ended July 31, 2013, respectively. While we believe there are long-term growth opportunities in emerging economies, conducting business in these countries presents significant challenges, including economic volatility, geopolitical risk, local competition, limited intellectual property protection, poorly developed business infrastructure, scarcity of talent, software piracy and different purchase patterns as compared to the developed world.</w:t>
      </w:r>
    </w:p>
    <w:p>
      <w:pPr>
        <w:spacing w:after="0" w:line="182"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Today, complex challenges such as globalization, urbanization, and sustainable design are driving our customers to new levels of performance and competitiveness, and we are committed to helping them address those challenges and take advantage of new opportunities. To achieve these goals, we are capitalizing on two of our strongest competitive advantages: our ability to bring advanced technology to mainstream markets, and the breadth and depth of our product portfolio.</w:t>
      </w:r>
    </w:p>
    <w:p>
      <w:pPr>
        <w:spacing w:after="0" w:line="146"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By innovating within existing technology categories, we bring powerful new design capabilities to volume markets. Our products are designed to be easy-to-learn and use, and to provide customers with a low cost of deployment, a low total cost of access to our software offerings, and a rapid return on investment. In addition, our software architecture allows for extensibility and integration with other products. The breadth of our technology and product line gives us a unique competitive advantage, because it allows our customers to address a wide variety of problems in ways that transcend industry and disciplinary boundaries. This is particularly important in helping our customers address the complex challenges mentioned above. We also believe that our technological leadership and global brand recognition have positioned us well for long-term growth and industry leadership.</w:t>
      </w:r>
    </w:p>
    <w:p>
      <w:pPr>
        <w:spacing w:after="0" w:line="124" w:lineRule="exact"/>
        <w:rPr>
          <w:sz w:val="20"/>
          <w:szCs w:val="20"/>
          <w:color w:val="auto"/>
        </w:rPr>
      </w:pPr>
    </w:p>
    <w:p>
      <w:pPr>
        <w:ind w:right="200" w:firstLine="405"/>
        <w:spacing w:after="0" w:line="276" w:lineRule="auto"/>
        <w:rPr>
          <w:sz w:val="20"/>
          <w:szCs w:val="20"/>
          <w:color w:val="auto"/>
        </w:rPr>
      </w:pPr>
      <w:r>
        <w:rPr>
          <w:rFonts w:ascii="Arial" w:cs="Arial" w:eastAsia="Arial" w:hAnsi="Arial"/>
          <w:sz w:val="17"/>
          <w:szCs w:val="17"/>
          <w:color w:val="auto"/>
        </w:rPr>
        <w:t>In addition to the competitive advantages afforded by our technology, our large global network of distributors, resellers, third-party developers, customers, educational institutions, faculty and students is a key competitive advantage. This network of relationships provides us with a broad and deep reach into volume markets around the world. Our distributor and reseller network is extensive and provides our customers with the resources to purchase, deploy, learn, and support our products quickly and easily. We have a significant number of registered third-party developers who create products that work well with our products and extend them for a variety of specialized applications.</w:t>
      </w:r>
    </w:p>
    <w:p>
      <w:pPr>
        <w:spacing w:after="0" w:line="132"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We are committed to helping fuel a lifelong passion for design in students of all ages, and inspiring and supporting educators. As such, we offer extensive educational programs supporting our software and services including a new program, initiated in fiscal 2014, under which we offer software licenses to students, educators and institutions for little or no fees. Through these programs we intend to further Science, Technology, Engineering, Digital Arts, and Math (STEAM) education initiatives. With an extensive global community of students who are experienced with our software and poised to become the next generation of professional users, our goal is to reduce the cost of training and education of new talent for our customers.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29" w:name="page30"/>
    <w:bookmarkEnd w:id="29"/>
    <w:p>
      <w:pPr>
        <w:ind w:right="300" w:firstLine="432"/>
        <w:spacing w:after="0" w:line="257"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trade-offs in making decisions regarding acquisitions. We currently anticipate that we will continue to acquire products, technology and businesses as compelling opportunities become available.</w:t>
      </w:r>
    </w:p>
    <w:p>
      <w:pPr>
        <w:spacing w:after="0" w:line="188"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Our strategy depends upon a number of assumptions, including that we will be able to continue making our technology available to mainstream markets; leverage our large global network of distributors, resellers, third-party developers, customers, educational institutions, and students; improve the performance and functionality of our products; and adequately protect our intellectual property. If the outcome of any of these assumptions differs from our expectations, we may not be able to implement our strategy, which could potentially adversely affect our business. For further discussion regarding these and related risks, see Part II, Item 1A, “Risk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Condensed Consolidated Financial Statements are prepared in conformity with U.S. generally accepted accounting principles. In preparing our Condensed Consolidated Financial Statements, we make assumptions, judgments and estimates that can have a significant impact on amounts reported in our Condensed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1, “Business and Summary of Significant Accounting Policies,” in the Notes to Consolidated Financial Statements in our Form 10-K for the fiscal year ended January 31, 2014. In addition, we highlighted those policies that involve a higher degree of judgment and complexity with further discussion in Item 7, “Management’s Discussion and Analysis of Financial Condition and Results of Operations” in such Form 10-K. We believe these policies are the most critical to aid in fully understanding and evaluating our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Three and Six Months Ended July 31, 2014 and 2013</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Three Months Ended July</w:t>
            </w:r>
          </w:p>
        </w:tc>
        <w:tc>
          <w:tcPr>
            <w:tcW w:w="100" w:type="dxa"/>
            <w:vAlign w:val="bottom"/>
          </w:tcPr>
          <w:p>
            <w:pPr>
              <w:spacing w:after="0"/>
              <w:rPr>
                <w:sz w:val="14"/>
                <w:szCs w:val="14"/>
                <w:color w:val="auto"/>
              </w:rPr>
            </w:pPr>
          </w:p>
        </w:tc>
        <w:tc>
          <w:tcPr>
            <w:tcW w:w="1360" w:type="dxa"/>
            <w:vAlign w:val="bottom"/>
          </w:tcPr>
          <w:p>
            <w:pPr>
              <w:jc w:val="center"/>
              <w:ind w:left="388"/>
              <w:spacing w:after="0"/>
              <w:rPr>
                <w:sz w:val="20"/>
                <w:szCs w:val="20"/>
                <w:color w:val="auto"/>
              </w:rPr>
            </w:pPr>
            <w:r>
              <w:rPr>
                <w:rFonts w:ascii="Arial" w:cs="Arial" w:eastAsia="Arial" w:hAnsi="Arial"/>
                <w:sz w:val="14"/>
                <w:szCs w:val="14"/>
                <w:b w:val="1"/>
                <w:bCs w:val="1"/>
                <w:color w:val="auto"/>
                <w:w w:val="96"/>
              </w:rPr>
              <w:t>As a % of Net</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Three Months Ended July</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6"/>
              </w:rPr>
              <w:t>As a % of Net</w:t>
            </w:r>
          </w:p>
        </w:tc>
      </w:tr>
      <w:tr>
        <w:trPr>
          <w:trHeight w:val="192"/>
        </w:trPr>
        <w:tc>
          <w:tcPr>
            <w:tcW w:w="39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31, 2014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92"/>
              </w:rPr>
              <w:t>Revenue</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31, 2013</w:t>
            </w: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r>
      <w:tr>
        <w:trPr>
          <w:trHeight w:val="236"/>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637.1</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561.7</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37"/>
        </w:trPr>
        <w:tc>
          <w:tcPr>
            <w:tcW w:w="3960" w:type="dxa"/>
            <w:vAlign w:val="bottom"/>
          </w:tcPr>
          <w:p>
            <w:pPr>
              <w:ind w:left="380"/>
              <w:spacing w:after="0"/>
              <w:rPr>
                <w:sz w:val="20"/>
                <w:szCs w:val="20"/>
                <w:color w:val="auto"/>
              </w:rPr>
            </w:pPr>
            <w:r>
              <w:rPr>
                <w:rFonts w:ascii="Arial" w:cs="Arial" w:eastAsia="Arial" w:hAnsi="Arial"/>
                <w:sz w:val="16"/>
                <w:szCs w:val="16"/>
                <w:color w:val="auto"/>
              </w:rPr>
              <w:t>Cost of revenue</w:t>
            </w:r>
          </w:p>
        </w:tc>
        <w:tc>
          <w:tcPr>
            <w:tcW w:w="112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87.9</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67.8</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39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r>
      <w:tr>
        <w:trPr>
          <w:trHeight w:val="23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549.2</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493.9</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37"/>
        </w:trPr>
        <w:tc>
          <w:tcPr>
            <w:tcW w:w="3960" w:type="dxa"/>
            <w:vAlign w:val="bottom"/>
          </w:tcPr>
          <w:p>
            <w:pPr>
              <w:ind w:left="380"/>
              <w:spacing w:after="0"/>
              <w:rPr>
                <w:sz w:val="20"/>
                <w:szCs w:val="20"/>
                <w:color w:val="auto"/>
              </w:rPr>
            </w:pPr>
            <w:r>
              <w:rPr>
                <w:rFonts w:ascii="Arial" w:cs="Arial" w:eastAsia="Arial" w:hAnsi="Arial"/>
                <w:sz w:val="16"/>
                <w:szCs w:val="16"/>
                <w:color w:val="auto"/>
              </w:rPr>
              <w:t>Operating expenses</w:t>
            </w:r>
          </w:p>
        </w:tc>
        <w:tc>
          <w:tcPr>
            <w:tcW w:w="112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499.3</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410.3</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73%</w:t>
            </w:r>
          </w:p>
        </w:tc>
      </w:tr>
      <w:tr>
        <w:trPr>
          <w:trHeight w:val="33"/>
        </w:trPr>
        <w:tc>
          <w:tcPr>
            <w:tcW w:w="39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r>
      <w:tr>
        <w:trPr>
          <w:trHeight w:val="24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83.6</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
        </w:trPr>
        <w:tc>
          <w:tcPr>
            <w:tcW w:w="396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37"/>
        </w:trPr>
        <w:tc>
          <w:tcPr>
            <w:tcW w:w="3960" w:type="dxa"/>
            <w:vAlign w:val="bottom"/>
          </w:tcPr>
          <w:p>
            <w:pPr>
              <w:spacing w:after="0"/>
              <w:rPr>
                <w:sz w:val="24"/>
                <w:szCs w:val="24"/>
                <w:color w:val="auto"/>
              </w:rPr>
            </w:pPr>
          </w:p>
        </w:tc>
        <w:tc>
          <w:tcPr>
            <w:tcW w:w="172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Six Months Ended July 31,</w:t>
            </w:r>
          </w:p>
        </w:tc>
        <w:tc>
          <w:tcPr>
            <w:tcW w:w="100" w:type="dxa"/>
            <w:vAlign w:val="bottom"/>
          </w:tcPr>
          <w:p>
            <w:pPr>
              <w:spacing w:after="0"/>
              <w:rPr>
                <w:sz w:val="24"/>
                <w:szCs w:val="24"/>
                <w:color w:val="auto"/>
              </w:rPr>
            </w:pPr>
          </w:p>
        </w:tc>
        <w:tc>
          <w:tcPr>
            <w:tcW w:w="1360" w:type="dxa"/>
            <w:vAlign w:val="bottom"/>
          </w:tcPr>
          <w:p>
            <w:pPr>
              <w:jc w:val="center"/>
              <w:ind w:left="388"/>
              <w:spacing w:after="0"/>
              <w:rPr>
                <w:sz w:val="20"/>
                <w:szCs w:val="20"/>
                <w:color w:val="auto"/>
              </w:rPr>
            </w:pPr>
            <w:r>
              <w:rPr>
                <w:rFonts w:ascii="Arial" w:cs="Arial" w:eastAsia="Arial" w:hAnsi="Arial"/>
                <w:sz w:val="14"/>
                <w:szCs w:val="14"/>
                <w:b w:val="1"/>
                <w:bCs w:val="1"/>
                <w:color w:val="auto"/>
                <w:w w:val="96"/>
              </w:rPr>
              <w:t>As a % of Net</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Six Months Ended July 31,</w:t>
            </w:r>
          </w:p>
        </w:tc>
        <w:tc>
          <w:tcPr>
            <w:tcW w:w="10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6"/>
              </w:rPr>
              <w:t>As a % of Net</w:t>
            </w:r>
          </w:p>
        </w:tc>
      </w:tr>
      <w:tr>
        <w:trPr>
          <w:trHeight w:val="192"/>
        </w:trPr>
        <w:tc>
          <w:tcPr>
            <w:tcW w:w="39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92"/>
              </w:rPr>
              <w:t>Revenue</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r>
      <w:tr>
        <w:trPr>
          <w:trHeight w:val="236"/>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1,229.6</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1,132.1</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37"/>
        </w:trPr>
        <w:tc>
          <w:tcPr>
            <w:tcW w:w="3960" w:type="dxa"/>
            <w:vAlign w:val="bottom"/>
          </w:tcPr>
          <w:p>
            <w:pPr>
              <w:ind w:left="380"/>
              <w:spacing w:after="0"/>
              <w:rPr>
                <w:sz w:val="20"/>
                <w:szCs w:val="20"/>
                <w:color w:val="auto"/>
              </w:rPr>
            </w:pPr>
            <w:r>
              <w:rPr>
                <w:rFonts w:ascii="Arial" w:cs="Arial" w:eastAsia="Arial" w:hAnsi="Arial"/>
                <w:sz w:val="16"/>
                <w:szCs w:val="16"/>
                <w:color w:val="auto"/>
              </w:rPr>
              <w:t>Cost of revenue</w:t>
            </w:r>
          </w:p>
        </w:tc>
        <w:tc>
          <w:tcPr>
            <w:tcW w:w="112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166.6</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135.3</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39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r>
      <w:tr>
        <w:trPr>
          <w:trHeight w:val="23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1,063.0</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996.8</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37"/>
        </w:trPr>
        <w:tc>
          <w:tcPr>
            <w:tcW w:w="3960" w:type="dxa"/>
            <w:vAlign w:val="bottom"/>
          </w:tcPr>
          <w:p>
            <w:pPr>
              <w:ind w:left="380"/>
              <w:spacing w:after="0"/>
              <w:rPr>
                <w:sz w:val="20"/>
                <w:szCs w:val="20"/>
                <w:color w:val="auto"/>
              </w:rPr>
            </w:pPr>
            <w:r>
              <w:rPr>
                <w:rFonts w:ascii="Arial" w:cs="Arial" w:eastAsia="Arial" w:hAnsi="Arial"/>
                <w:sz w:val="16"/>
                <w:szCs w:val="16"/>
                <w:color w:val="auto"/>
              </w:rPr>
              <w:t>Operating expenses</w:t>
            </w:r>
          </w:p>
        </w:tc>
        <w:tc>
          <w:tcPr>
            <w:tcW w:w="112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970.9</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831.8</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73%</w:t>
            </w:r>
          </w:p>
        </w:tc>
      </w:tr>
      <w:tr>
        <w:trPr>
          <w:trHeight w:val="33"/>
        </w:trPr>
        <w:tc>
          <w:tcPr>
            <w:tcW w:w="39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r>
      <w:tr>
        <w:trPr>
          <w:trHeight w:val="24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165.0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
        </w:trPr>
        <w:tc>
          <w:tcPr>
            <w:tcW w:w="39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During the three months ended July 31, 2014, as compared to the same period in the prior fiscal year, net revenue increased 13%, and gross profit increased 11%, while income from operations decreased 40%. During the six months ended July 31, 2014, as compared to the same period in the prior fiscal year, net revenue increased 9%, and gross profit increased 7%, while income from operations decreased 44%.</w:t>
      </w:r>
    </w:p>
    <w:p>
      <w:pPr>
        <w:spacing w:after="0" w:line="181" w:lineRule="exact"/>
        <w:rPr>
          <w:sz w:val="20"/>
          <w:szCs w:val="20"/>
          <w:color w:val="auto"/>
        </w:rPr>
      </w:pPr>
    </w:p>
    <w:p>
      <w:pPr>
        <w:jc w:val="both"/>
        <w:ind w:right="240" w:firstLine="405"/>
        <w:spacing w:after="0" w:line="312" w:lineRule="auto"/>
        <w:rPr>
          <w:sz w:val="20"/>
          <w:szCs w:val="20"/>
          <w:color w:val="auto"/>
        </w:rPr>
      </w:pPr>
      <w:r>
        <w:rPr>
          <w:rFonts w:ascii="Arial" w:cs="Arial" w:eastAsia="Arial" w:hAnsi="Arial"/>
          <w:sz w:val="16"/>
          <w:szCs w:val="16"/>
          <w:color w:val="auto"/>
        </w:rPr>
        <w:t>Our business experienced year over year growth in our Architecture, Engineering and Construction ("AEC") and Manufacturing ("MFG") segments, many of our major products, particularly our AEC suites, and all of our geographic areas, particularly Europe and Middle East and Africa ("EMEA"). This growth contributed to the year over year increase in both subscription and license and other revenue during the three and six months ended July 31, 2014.</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584" w:right="279" w:bottom="1440" w:gutter="0" w:footer="0" w:header="0"/>
        </w:sectPr>
      </w:pPr>
    </w:p>
    <w:bookmarkStart w:id="30" w:name="page31"/>
    <w:bookmarkEnd w:id="30"/>
    <w:p>
      <w:pPr>
        <w:ind w:right="120" w:firstLine="405"/>
        <w:spacing w:after="0" w:line="255" w:lineRule="auto"/>
        <w:rPr>
          <w:sz w:val="20"/>
          <w:szCs w:val="20"/>
          <w:color w:val="auto"/>
        </w:rPr>
      </w:pPr>
      <w:r>
        <w:rPr>
          <w:rFonts w:ascii="Arial" w:cs="Arial" w:eastAsia="Arial" w:hAnsi="Arial"/>
          <w:sz w:val="18"/>
          <w:szCs w:val="18"/>
          <w:color w:val="auto"/>
        </w:rPr>
        <w:t>We continue to make progress on our business model transition announced during the latter half of fiscal year 2014 with more flexible licenses and service offerings that have ratable revenue streams. We also experienced growth in our total subscriptions and billings during the three and six months ended July 31, 2014. Income from operations during the three and six months ended July 31, 2014 was negatively impacted by increased spend as a result of the business model transition, investments in our move to the cloud, the dilutive impact of the Delcam acquisition, as well as incremental spending on other key initiatives. Additionally, cost of revenue, commissions and our employee incentive program are volume-related and increased based on our better-than expected billings and subscriptions performance.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reasons for these changes are discussed below under the heading “Results from Operations.”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Analysis</w:t>
      </w:r>
    </w:p>
    <w:p>
      <w:pPr>
        <w:spacing w:after="0" w:line="225"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Revenue from flagship products was 48% and 49% of total net revenue during the three and six months ended July 31, 2014, respectively. Revenue from flagship products increased 6% and 1% during the three and six months ended July 31, 2014, respectively, as compared to the same periods in the prior fiscal year. Revenue from suites was 36% of total net revenue for both the three and six months ended July 31, 2014, and increased 20% in both periods as compared to the same periods in the prior fiscal year. Revenue from new and adjacent products was 16% and 15% of total net revenue for the three and six months ended July 31, 2014, respectively and increased 24% and 13% as compared to the same periods in the prior fiscal year. We anticipate that, as our new and existing customers migrate from our stand-alone products to suites, our revenue from suites will increase as a percentage of revenue and our revenue from our flagship and new and adjacent products will decrease over time.</w:t>
      </w:r>
    </w:p>
    <w:p>
      <w:pPr>
        <w:spacing w:after="0" w:line="178"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We rely significantly upon major distributors and resellers in both the U.S. and international regions, including Tech Data Corporation and its global affiliates (collectively, “Tech Data”). Tech Data accounted for 26% of Autodesk’s total net revenue for both the three and six months ended July 31, 2014, as compared to 24% and 25% in the three and six months ended July 31, 2013, respectively. We believe our business is not substantially dependent on Tech Data. Our customers through Tech Data are the resellers and end users who purchase our software licenses and services. Should any of the agreements between Tech Data and us be terminated for any reason, we believe the resellers and end users who currently purchase our products through Tech Data would be able to continue to do so under substantially the same terms from one of our many other distributors without substantial disruption to our revenue.</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Margin Analysis</w:t>
      </w:r>
    </w:p>
    <w:p>
      <w:pPr>
        <w:spacing w:after="0" w:line="225"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Income from operations decreased 40% in the three months ended July 31, 2014 due to an $89.0 million or 22% increase in our operating expenses and a $20.1 million or 30% increase in cost of revenue, as compared to the same period in the prior fiscal year. Partially offsetting the increase in our spend was a $75.4 million or 13% increase in net revenue, as compared to the same period in the prior fiscal year. Our operating margin decreased to 8% for the three months ended July 31, 2014 from 15% for the three months ended July 31, 2013. The increase in operating expenses and the corresponding decrease in operating margin was primarily related to higher employee-related costs and professional fees during the three months ended July 31, 2014. The increase in employee-related costs was primarily due to an increase in salaries, coupled with an increase in bonuses, both of which were primarily driven by an increase in employee headcount from acquisitions, such as Delcam, compared to the corresponding period in the previous fiscal year.</w:t>
      </w:r>
    </w:p>
    <w:p>
      <w:pPr>
        <w:spacing w:after="0" w:line="167"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Income from operations decreased 44% in the six months ended July 31, 2014 due to a $139.1 million or 17% increase in our operating expenses and a $31.3 million or 23% increase in cost of revenue, as compared to the same period in the prior fiscal year. Partially offsetting the increase in our spend was a $97.5 million or 9% increase in net revenue, as compared to the same period in the prior fiscal year. Our operating margin decreased to 7% for the six months ended July 31, 2014 from 15% for the six months ended July 31, 2013. The increase in operating expenses and the corresponding decrease in operating margin was primarily related to higher employee-related costs and professional fees during the six months ended July 31, 2014. The increase in employee-related costs was primarily due to an increase in salaries, coupled with an increase in bonuses, both of which were primarily driven by an increase in employee headcount from acquisitions, such as Delcam, compared to the corresponding period in the previous fiscal year.</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Further discussion regarding the cost of goods sold and operating expense activities are discussed below under the heading “Results of Operations.”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1" w:name="page32"/>
    <w:bookmarkEnd w:id="31"/>
    <w:p>
      <w:pPr>
        <w:ind w:left="220"/>
        <w:spacing w:after="0"/>
        <w:rPr>
          <w:sz w:val="20"/>
          <w:szCs w:val="20"/>
          <w:color w:val="auto"/>
        </w:rPr>
      </w:pPr>
      <w:r>
        <w:rPr>
          <w:rFonts w:ascii="Arial" w:cs="Arial" w:eastAsia="Arial" w:hAnsi="Arial"/>
          <w:sz w:val="18"/>
          <w:szCs w:val="18"/>
          <w:i w:val="1"/>
          <w:iCs w:val="1"/>
          <w:color w:val="auto"/>
        </w:rPr>
        <w:t>Foreign Currency Analysis</w:t>
      </w:r>
    </w:p>
    <w:p>
      <w:pPr>
        <w:spacing w:after="0" w:line="225"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We generate a significant amount of our revenue in the U.S., Japan, Germany, France, and the United Kingdom. Our revenue was minimally impacted by foreign exchange rate changes during the three months ended July 31, 2014, as compared to the same period in the prior fiscal year. Our revenue was negatively impacted by foreign exchange rate changes during the six months ended July 31, 2014, as compared to the same period in the prior fiscal year. Had applicable exchange rates from the three and six months ended July 31, 2013 been in effect during the three and six months ended July 31, 2014 and had we excluded foreign exchange hedge gains and losses from the three and six months ended July 31, 2014 (“on a constant currency basis”), net revenue would have increased 13% and 9% during the three and six months ended July 31, 2014, respectively, as compared to the same periods in the prior fiscal year.</w:t>
      </w:r>
    </w:p>
    <w:p>
      <w:pPr>
        <w:spacing w:after="0" w:line="16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Our total spend, defined as cost of revenue plus operating expenses, during the three and six months ended July 31, 2014 increased 23% and 18%, respectively, on an as reported basis as compared to the same periods in the prior fiscal year. Had applicable exchange rates from the three months ended July 31, 2013 been in effect during the three months ended July 31, 2014 and had we excluded foreign exchange hedge gains and losses from the three months ended July 31, 2014, total spend would have been negatively impacted by foreign exchange rate changes and would have increased 22% on a constant currency basis compared to the same period in the prior fiscal year. Had applicable exchange rates from the six months ended July 31, 2013 been in effect during the three months ended July 31, 2014 and had we excluded foreign exchange hedge gains and losses from the six months ended July 31, 2014, total spend would have been minimally impacted by foreign exchange rate changes and would have increased 18% on a constant currency basis compared to the same period in the prior fiscal year.</w:t>
      </w:r>
    </w:p>
    <w:p>
      <w:pPr>
        <w:spacing w:after="0" w:line="179" w:lineRule="exact"/>
        <w:rPr>
          <w:sz w:val="20"/>
          <w:szCs w:val="20"/>
          <w:color w:val="auto"/>
        </w:rPr>
      </w:pPr>
    </w:p>
    <w:p>
      <w:pPr>
        <w:jc w:val="both"/>
        <w:ind w:right="100" w:firstLine="405"/>
        <w:spacing w:after="0" w:line="286" w:lineRule="auto"/>
        <w:rPr>
          <w:sz w:val="20"/>
          <w:szCs w:val="20"/>
          <w:color w:val="auto"/>
        </w:rPr>
      </w:pPr>
      <w:r>
        <w:rPr>
          <w:rFonts w:ascii="Arial" w:cs="Arial" w:eastAsia="Arial" w:hAnsi="Arial"/>
          <w:sz w:val="17"/>
          <w:szCs w:val="17"/>
          <w:color w:val="auto"/>
        </w:rPr>
        <w:t>Changes in the value of the U.S. dollar may have a significant effect on net revenue, total spend and income from operations in future periods. We use foreign currency contracts to reduce the exchange rate effect on a portion of the net revenue and operating expenses of certain anticipated transactions but do not attempt to completely mitigate the impact of fluctuations of such foreign currency against the U.S. dollar.</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Balance Sheet and Cash Flow Items</w:t>
      </w:r>
    </w:p>
    <w:p>
      <w:pPr>
        <w:spacing w:after="0" w:line="225"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At July 31, 2014, we had $2,168.5 million in cash and marketable securities. We completed the six months ended July 31, 2014 with higher deferred revenue and lower accounts receivable balances as compared to the end of the fiscal year ended January 31, 2014. Our deferred revenue balance at July 31, 2014 included $839.1 million of deferred subscription revenue primarily related to customer maintenance contracts, which will be recognized as revenue ratably over the life of the contracts. The term of our maintenance contracts is typically between one and three years. Our cash flow from operations increased 9% to $314.9 million as of July 31, 2014 from $289.4 million at July 31, 2013. We repurchased 1.9 million shares of our common stock for $101.8 million during the three months ended July 31, 2014. Comparatively, we repurchased 3.1 million shares of our common stock for $110.6 million during the three months ended July 31, 2013. We repurchased 3.9 million shares of our common stock for $204.3 million during the six months ended July 31, 2014. Comparatively, we repurchased 6.3 million shares of our common stock for $239.8 million during the six months ended July 31, 2013. Further discussion regarding the balance sheet and cash flow activities are discussed below under the heading “Liquidity and Capital Resources.”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Business Outlook</w:t>
      </w:r>
    </w:p>
    <w:p>
      <w:pPr>
        <w:spacing w:after="0" w:line="225"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Autodesk's business model is evolving. We continue to assess current business offerings including introducing more flexible license and service offerings that have ratable revenue streams. The accounting impact of these offerings and other business decisions are expected to result in an increase in the percentage of our ratable revenue, making for a more predictable business over time, while correspondingly reducing our upfront revenue stream. Over time, we expect our business model transition to expand our customer base by eliminating higher up-front licensing costs and providing more flexibility in how our customers gain access to and pay for our products. However, we expect the business model transition to cause our traditional perpetual license revenue to decline without a corresponding decrease in expenses. In the future, we expect this business model transition will increase our long-term revenue growth rate by increasing total subscriptions and customer value over time.</w:t>
      </w:r>
    </w:p>
    <w:p>
      <w:pPr>
        <w:spacing w:after="0" w:line="137"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We expect net revenue for the third quarter of fiscal 2015 will range from $590 million to $605 million, and GAAP diluted earnings per share will range from a loss of $0.05 to a profit of $0.01 while non-GAAP diluted earnings per share will range from $0.17 to $0.23. Non-GAAP earnings per diluted share exclude $0.15 related to stock-based compensation expense and $0.07 related to the amortization of acquisition related intangibles, net of tax.</w:t>
      </w:r>
    </w:p>
    <w:p>
      <w:pPr>
        <w:spacing w:after="0" w:line="106"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Given our strong Q2 performance and our optimistic view of the macroeconomic environment, we've raised our full year fiscal 2015 guidance ranges for revenue, billings, and subscriptions. We expect net revenue for fiscal 2015 to increase by approximately 7% to 9% compared to fiscal 2014. We expect billings for fiscal 2015 to increase by approximately 10% to 12%</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584" w:right="259" w:bottom="1440" w:gutter="0" w:footer="0" w:header="0"/>
        </w:sectPr>
      </w:pPr>
    </w:p>
    <w:bookmarkStart w:id="32" w:name="page33"/>
    <w:bookmarkEnd w:id="32"/>
    <w:p>
      <w:pPr>
        <w:ind w:right="60"/>
        <w:spacing w:after="0" w:line="312" w:lineRule="auto"/>
        <w:rPr>
          <w:sz w:val="20"/>
          <w:szCs w:val="20"/>
          <w:color w:val="auto"/>
        </w:rPr>
      </w:pPr>
      <w:r>
        <w:rPr>
          <w:rFonts w:ascii="Arial" w:cs="Arial" w:eastAsia="Arial" w:hAnsi="Arial"/>
          <w:sz w:val="16"/>
          <w:szCs w:val="16"/>
          <w:color w:val="auto"/>
        </w:rPr>
        <w:t>compared to fiscal 2014. Autodesk anticipates fiscal 2015 GAAP operating margin to be approximately 4% to 5% and non-GAAP operating margin to be approximately 15% to 16%. The 15% to 16% non-GAAP operating margin excludes 7 percentage points related to stock-based compensation expense, and 4 percentage points related to the amortization of acquisition related intangibles. Autodesk expects to add 200,000-250,000 subscriptions during fiscal 2015.</w:t>
      </w:r>
    </w:p>
    <w:p>
      <w:pPr>
        <w:spacing w:after="0" w:line="106"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We remain diligent about managing our spend to make essential investments to drive growth. If we are unable to successfully achieve our major business initiatives we may not achieve our financial goals.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160" w:type="dxa"/>
            <w:vAlign w:val="bottom"/>
          </w:tcPr>
          <w:p>
            <w:pPr>
              <w:spacing w:after="0"/>
              <w:rPr>
                <w:sz w:val="14"/>
                <w:szCs w:val="14"/>
                <w:color w:val="auto"/>
              </w:rPr>
            </w:pPr>
          </w:p>
        </w:tc>
        <w:tc>
          <w:tcPr>
            <w:tcW w:w="16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Increase compared to</w:t>
            </w:r>
          </w:p>
        </w:tc>
        <w:tc>
          <w:tcPr>
            <w:tcW w:w="14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14"/>
                <w:szCs w:val="1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Six Months</w:t>
            </w:r>
          </w:p>
        </w:tc>
        <w:tc>
          <w:tcPr>
            <w:tcW w:w="220" w:type="dxa"/>
            <w:vAlign w:val="bottom"/>
          </w:tcPr>
          <w:p>
            <w:pPr>
              <w:spacing w:after="0"/>
              <w:rPr>
                <w:sz w:val="14"/>
                <w:szCs w:val="14"/>
                <w:color w:val="auto"/>
              </w:rPr>
            </w:pPr>
          </w:p>
        </w:tc>
        <w:tc>
          <w:tcPr>
            <w:tcW w:w="17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0"/>
              </w:rPr>
              <w:t>Increase (Decrease)</w:t>
            </w:r>
          </w:p>
        </w:tc>
        <w:tc>
          <w:tcPr>
            <w:tcW w:w="140" w:type="dxa"/>
            <w:vAlign w:val="bottom"/>
          </w:tcPr>
          <w:p>
            <w:pPr>
              <w:spacing w:after="0"/>
              <w:rPr>
                <w:sz w:val="14"/>
                <w:szCs w:val="14"/>
                <w:color w:val="auto"/>
              </w:rPr>
            </w:pPr>
          </w:p>
        </w:tc>
        <w:tc>
          <w:tcPr>
            <w:tcW w:w="100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compared to</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5"/>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264"/>
        </w:trPr>
        <w:tc>
          <w:tcPr>
            <w:tcW w:w="270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22"/>
                <w:szCs w:val="22"/>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July 31, 2014</w:t>
            </w:r>
          </w:p>
        </w:tc>
        <w:tc>
          <w:tcPr>
            <w:tcW w:w="160" w:type="dxa"/>
            <w:vAlign w:val="bottom"/>
          </w:tcPr>
          <w:p>
            <w:pPr>
              <w:spacing w:after="0"/>
              <w:rPr>
                <w:sz w:val="22"/>
                <w:szCs w:val="22"/>
                <w:color w:val="auto"/>
              </w:rPr>
            </w:pPr>
          </w:p>
        </w:tc>
        <w:tc>
          <w:tcPr>
            <w:tcW w:w="640" w:type="dxa"/>
            <w:vAlign w:val="bottom"/>
          </w:tcPr>
          <w:p>
            <w:pPr>
              <w:jc w:val="right"/>
              <w:ind w:right="361"/>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31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July 31, 2013</w:t>
            </w:r>
          </w:p>
        </w:tc>
        <w:tc>
          <w:tcPr>
            <w:tcW w:w="140" w:type="dxa"/>
            <w:vAlign w:val="bottom"/>
          </w:tcPr>
          <w:p>
            <w:pPr>
              <w:spacing w:after="0"/>
              <w:rPr>
                <w:sz w:val="22"/>
                <w:szCs w:val="2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July 31, 2014</w:t>
            </w:r>
          </w:p>
        </w:tc>
        <w:tc>
          <w:tcPr>
            <w:tcW w:w="220" w:type="dxa"/>
            <w:vAlign w:val="bottom"/>
          </w:tcPr>
          <w:p>
            <w:pPr>
              <w:spacing w:after="0"/>
              <w:rPr>
                <w:sz w:val="22"/>
                <w:szCs w:val="22"/>
                <w:color w:val="auto"/>
              </w:rPr>
            </w:pPr>
          </w:p>
        </w:tc>
        <w:tc>
          <w:tcPr>
            <w:tcW w:w="580" w:type="dxa"/>
            <w:vAlign w:val="bottom"/>
          </w:tcPr>
          <w:p>
            <w:pPr>
              <w:jc w:val="right"/>
              <w:ind w:right="281"/>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center"/>
              <w:ind w:right="41"/>
              <w:spacing w:after="0"/>
              <w:rPr>
                <w:sz w:val="20"/>
                <w:szCs w:val="20"/>
                <w:color w:val="auto"/>
              </w:rPr>
            </w:pPr>
            <w:r>
              <w:rPr>
                <w:rFonts w:ascii="Arial" w:cs="Arial" w:eastAsia="Arial" w:hAnsi="Arial"/>
                <w:sz w:val="14"/>
                <w:szCs w:val="14"/>
                <w:b w:val="1"/>
                <w:bCs w:val="1"/>
                <w:color w:val="auto"/>
                <w:w w:val="92"/>
              </w:rPr>
              <w:t>July 31, 2013</w:t>
            </w:r>
          </w:p>
        </w:tc>
        <w:tc>
          <w:tcPr>
            <w:tcW w:w="0" w:type="dxa"/>
            <w:vAlign w:val="bottom"/>
          </w:tcPr>
          <w:p>
            <w:pPr>
              <w:spacing w:after="0"/>
              <w:rPr>
                <w:sz w:val="1"/>
                <w:szCs w:val="1"/>
                <w:color w:val="auto"/>
              </w:rPr>
            </w:pPr>
          </w:p>
        </w:tc>
      </w:tr>
      <w:tr>
        <w:trPr>
          <w:trHeight w:val="210"/>
        </w:trPr>
        <w:tc>
          <w:tcPr>
            <w:tcW w:w="2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7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700" w:type="dxa"/>
            <w:vAlign w:val="bottom"/>
          </w:tcPr>
          <w:p>
            <w:pPr>
              <w:ind w:left="380"/>
              <w:spacing w:after="0"/>
              <w:rPr>
                <w:sz w:val="20"/>
                <w:szCs w:val="20"/>
                <w:color w:val="auto"/>
              </w:rPr>
            </w:pPr>
            <w:r>
              <w:rPr>
                <w:rFonts w:ascii="Arial" w:cs="Arial" w:eastAsia="Arial" w:hAnsi="Arial"/>
                <w:sz w:val="16"/>
                <w:szCs w:val="16"/>
                <w:color w:val="auto"/>
              </w:rPr>
              <w:t>License and other</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350.4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37.2</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313.2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666.6</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29.9</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5 %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636.7</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Subscription</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38.2</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248.5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563.0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67.6</w:t>
            </w: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14 %</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495.4</w:t>
            </w:r>
          </w:p>
        </w:tc>
        <w:tc>
          <w:tcPr>
            <w:tcW w:w="0" w:type="dxa"/>
            <w:vAlign w:val="bottom"/>
          </w:tcPr>
          <w:p>
            <w:pPr>
              <w:spacing w:after="0"/>
              <w:rPr>
                <w:sz w:val="1"/>
                <w:szCs w:val="1"/>
                <w:color w:val="auto"/>
              </w:rPr>
            </w:pPr>
          </w:p>
        </w:tc>
      </w:tr>
      <w:tr>
        <w:trPr>
          <w:trHeight w:val="284"/>
        </w:trPr>
        <w:tc>
          <w:tcPr>
            <w:tcW w:w="27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637.1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75.4</w:t>
            </w:r>
          </w:p>
        </w:tc>
        <w:tc>
          <w:tcPr>
            <w:tcW w:w="9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561.7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1,229.6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97.5</w:t>
            </w:r>
          </w:p>
        </w:tc>
        <w:tc>
          <w:tcPr>
            <w:tcW w:w="10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9 %</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1,132.1</w:t>
            </w:r>
          </w:p>
        </w:tc>
        <w:tc>
          <w:tcPr>
            <w:tcW w:w="0" w:type="dxa"/>
            <w:vAlign w:val="bottom"/>
          </w:tcPr>
          <w:p>
            <w:pPr>
              <w:spacing w:after="0"/>
              <w:rPr>
                <w:sz w:val="1"/>
                <w:szCs w:val="1"/>
                <w:color w:val="auto"/>
              </w:rPr>
            </w:pPr>
          </w:p>
        </w:tc>
      </w:tr>
      <w:tr>
        <w:trPr>
          <w:trHeight w:val="184"/>
        </w:trPr>
        <w:tc>
          <w:tcPr>
            <w:tcW w:w="2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 by Geographic Area:</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7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700" w:type="dxa"/>
            <w:vAlign w:val="bottom"/>
          </w:tcPr>
          <w:p>
            <w:pPr>
              <w:ind w:left="380"/>
              <w:spacing w:after="0"/>
              <w:rPr>
                <w:sz w:val="20"/>
                <w:szCs w:val="20"/>
                <w:color w:val="auto"/>
              </w:rPr>
            </w:pPr>
            <w:r>
              <w:rPr>
                <w:rFonts w:ascii="Arial" w:cs="Arial" w:eastAsia="Arial" w:hAnsi="Arial"/>
                <w:sz w:val="16"/>
                <w:szCs w:val="16"/>
                <w:color w:val="auto"/>
              </w:rPr>
              <w:t>Americas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223.3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21.7</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429.0</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25.2</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6 %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403.8</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Europe, Middle East and Africa</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41.7</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469.0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51.0</w:t>
            </w: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418.0</w:t>
            </w:r>
          </w:p>
        </w:tc>
        <w:tc>
          <w:tcPr>
            <w:tcW w:w="0" w:type="dxa"/>
            <w:vAlign w:val="bottom"/>
          </w:tcPr>
          <w:p>
            <w:pPr>
              <w:spacing w:after="0"/>
              <w:rPr>
                <w:sz w:val="1"/>
                <w:szCs w:val="1"/>
                <w:color w:val="auto"/>
              </w:rPr>
            </w:pPr>
          </w:p>
        </w:tc>
      </w:tr>
      <w:tr>
        <w:trPr>
          <w:trHeight w:val="237"/>
        </w:trPr>
        <w:tc>
          <w:tcPr>
            <w:tcW w:w="2700" w:type="dxa"/>
            <w:vAlign w:val="bottom"/>
          </w:tcPr>
          <w:p>
            <w:pPr>
              <w:ind w:left="380"/>
              <w:spacing w:after="0"/>
              <w:rPr>
                <w:sz w:val="20"/>
                <w:szCs w:val="20"/>
                <w:color w:val="auto"/>
              </w:rPr>
            </w:pPr>
            <w:r>
              <w:rPr>
                <w:rFonts w:ascii="Arial" w:cs="Arial" w:eastAsia="Arial" w:hAnsi="Arial"/>
                <w:sz w:val="16"/>
                <w:szCs w:val="16"/>
                <w:color w:val="auto"/>
              </w:rPr>
              <w:t>Asia Pacific</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170.3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12.0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158.3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331.6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21.3</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7 %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310.3</w:t>
            </w:r>
          </w:p>
        </w:tc>
        <w:tc>
          <w:tcPr>
            <w:tcW w:w="0" w:type="dxa"/>
            <w:vAlign w:val="bottom"/>
          </w:tcPr>
          <w:p>
            <w:pPr>
              <w:spacing w:after="0"/>
              <w:rPr>
                <w:sz w:val="1"/>
                <w:szCs w:val="1"/>
                <w:color w:val="auto"/>
              </w:rPr>
            </w:pPr>
          </w:p>
        </w:tc>
      </w:tr>
      <w:tr>
        <w:trPr>
          <w:trHeight w:val="33"/>
        </w:trPr>
        <w:tc>
          <w:tcPr>
            <w:tcW w:w="2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637.1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75.4</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561.7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1,229.6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97.5</w:t>
            </w: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1,132.1</w:t>
            </w:r>
          </w:p>
        </w:tc>
        <w:tc>
          <w:tcPr>
            <w:tcW w:w="0" w:type="dxa"/>
            <w:vAlign w:val="bottom"/>
          </w:tcPr>
          <w:p>
            <w:pPr>
              <w:spacing w:after="0"/>
              <w:rPr>
                <w:sz w:val="1"/>
                <w:szCs w:val="1"/>
                <w:color w:val="auto"/>
              </w:rPr>
            </w:pPr>
          </w:p>
        </w:tc>
      </w:tr>
      <w:tr>
        <w:trPr>
          <w:trHeight w:val="20"/>
        </w:trPr>
        <w:tc>
          <w:tcPr>
            <w:tcW w:w="2700" w:type="dxa"/>
            <w:vAlign w:val="bottom"/>
            <w:vMerge w:val="restart"/>
          </w:tcPr>
          <w:p>
            <w:pPr>
              <w:ind w:left="40"/>
              <w:spacing w:after="0"/>
              <w:rPr>
                <w:sz w:val="20"/>
                <w:szCs w:val="20"/>
                <w:color w:val="auto"/>
              </w:rPr>
            </w:pPr>
            <w:r>
              <w:rPr>
                <w:rFonts w:ascii="Arial" w:cs="Arial" w:eastAsia="Arial" w:hAnsi="Arial"/>
                <w:sz w:val="16"/>
                <w:szCs w:val="16"/>
                <w:color w:val="auto"/>
              </w:rPr>
              <w:t>Net Revenue by Operating Segment:</w:t>
            </w: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70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8"/>
              </w:rPr>
              <w:t>Platform Solutions and Emerging</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207.5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419.4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9.4</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410.0</w:t>
            </w:r>
          </w:p>
        </w:tc>
        <w:tc>
          <w:tcPr>
            <w:tcW w:w="0" w:type="dxa"/>
            <w:vAlign w:val="bottom"/>
          </w:tcPr>
          <w:p>
            <w:pPr>
              <w:spacing w:after="0"/>
              <w:rPr>
                <w:sz w:val="1"/>
                <w:szCs w:val="1"/>
                <w:color w:val="auto"/>
              </w:rPr>
            </w:pPr>
          </w:p>
        </w:tc>
      </w:tr>
      <w:tr>
        <w:trPr>
          <w:trHeight w:val="219"/>
        </w:trPr>
        <w:tc>
          <w:tcPr>
            <w:tcW w:w="27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Business</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00" w:type="dxa"/>
            <w:vAlign w:val="bottom"/>
          </w:tcPr>
          <w:p>
            <w:pPr>
              <w:ind w:left="380"/>
              <w:spacing w:after="0"/>
              <w:rPr>
                <w:sz w:val="20"/>
                <w:szCs w:val="20"/>
                <w:color w:val="auto"/>
              </w:rPr>
            </w:pPr>
            <w:r>
              <w:rPr>
                <w:rFonts w:ascii="Arial" w:cs="Arial" w:eastAsia="Arial" w:hAnsi="Arial"/>
                <w:sz w:val="16"/>
                <w:szCs w:val="16"/>
                <w:color w:val="auto"/>
              </w:rPr>
              <w:t>Architecture, Engineering and</w:t>
            </w:r>
          </w:p>
        </w:tc>
        <w:tc>
          <w:tcPr>
            <w:tcW w:w="14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217.9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40.8</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177.1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413.4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64.2</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18 %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349.2</w:t>
            </w:r>
          </w:p>
        </w:tc>
        <w:tc>
          <w:tcPr>
            <w:tcW w:w="0" w:type="dxa"/>
            <w:vAlign w:val="bottom"/>
          </w:tcPr>
          <w:p>
            <w:pPr>
              <w:spacing w:after="0"/>
              <w:rPr>
                <w:sz w:val="1"/>
                <w:szCs w:val="1"/>
                <w:color w:val="auto"/>
              </w:rPr>
            </w:pPr>
          </w:p>
        </w:tc>
      </w:tr>
      <w:tr>
        <w:trPr>
          <w:trHeight w:val="206"/>
        </w:trPr>
        <w:tc>
          <w:tcPr>
            <w:tcW w:w="2700" w:type="dxa"/>
            <w:vAlign w:val="bottom"/>
          </w:tcPr>
          <w:p>
            <w:pPr>
              <w:ind w:left="620"/>
              <w:spacing w:after="0"/>
              <w:rPr>
                <w:sz w:val="20"/>
                <w:szCs w:val="20"/>
                <w:color w:val="auto"/>
              </w:rPr>
            </w:pPr>
            <w:r>
              <w:rPr>
                <w:rFonts w:ascii="Arial" w:cs="Arial" w:eastAsia="Arial" w:hAnsi="Arial"/>
                <w:sz w:val="16"/>
                <w:szCs w:val="16"/>
                <w:color w:val="auto"/>
              </w:rPr>
              <w:t>Construction</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Manufacturing</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24.2</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32.4</w:t>
            </w: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283.1</w:t>
            </w:r>
          </w:p>
        </w:tc>
        <w:tc>
          <w:tcPr>
            <w:tcW w:w="0" w:type="dxa"/>
            <w:vAlign w:val="bottom"/>
          </w:tcPr>
          <w:p>
            <w:pPr>
              <w:spacing w:after="0"/>
              <w:rPr>
                <w:sz w:val="1"/>
                <w:szCs w:val="1"/>
                <w:color w:val="auto"/>
              </w:rPr>
            </w:pPr>
          </w:p>
        </w:tc>
      </w:tr>
      <w:tr>
        <w:trPr>
          <w:trHeight w:val="224"/>
        </w:trPr>
        <w:tc>
          <w:tcPr>
            <w:tcW w:w="2700" w:type="dxa"/>
            <w:vAlign w:val="bottom"/>
          </w:tcPr>
          <w:p>
            <w:pPr>
              <w:ind w:left="380"/>
              <w:spacing w:after="0"/>
              <w:rPr>
                <w:sz w:val="20"/>
                <w:szCs w:val="20"/>
                <w:color w:val="auto"/>
              </w:rPr>
            </w:pPr>
            <w:r>
              <w:rPr>
                <w:rFonts w:ascii="Arial" w:cs="Arial" w:eastAsia="Arial" w:hAnsi="Arial"/>
                <w:sz w:val="16"/>
                <w:szCs w:val="16"/>
                <w:color w:val="auto"/>
              </w:rPr>
              <w:t>Media and Entertainment</w:t>
            </w:r>
          </w:p>
        </w:tc>
        <w:tc>
          <w:tcPr>
            <w:tcW w:w="14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81.3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(8.5)</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89.8</w:t>
            </w:r>
          </w:p>
        </w:tc>
        <w:tc>
          <w:tcPr>
            <w:tcW w:w="0" w:type="dxa"/>
            <w:vAlign w:val="bottom"/>
          </w:tcPr>
          <w:p>
            <w:pPr>
              <w:spacing w:after="0"/>
              <w:rPr>
                <w:sz w:val="1"/>
                <w:szCs w:val="1"/>
                <w:color w:val="auto"/>
              </w:rPr>
            </w:pPr>
          </w:p>
        </w:tc>
      </w:tr>
      <w:tr>
        <w:trPr>
          <w:trHeight w:val="47"/>
        </w:trPr>
        <w:tc>
          <w:tcPr>
            <w:tcW w:w="27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637.1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75.4</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561.7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1,229.6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97.5</w:t>
            </w: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1,132.1</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License and Other Revenue</w:t>
      </w:r>
    </w:p>
    <w:p>
      <w:pPr>
        <w:spacing w:after="0" w:line="225"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License and other revenue consists of two components: (1) all forms of product license revenue and (2) other revenue. Product license revenue includes software license revenue from the sale of seat licenses, software license revenue from the sale of seat term-based licenses from our desktop subscription and enterprise offerings, and upgrades and product revenue for Creative Finishing. Other revenue includes revenue from consulting, training, Autodesk Developers Network and Creative Finishing customer support, and is recognized as the services are performed.</w:t>
      </w:r>
    </w:p>
    <w:p>
      <w:pPr>
        <w:spacing w:after="0" w:line="171"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Total License and other revenue increased 12% during the three months ended July 31, 2014, as compared to the three months ended July 31, 2013. This increase was primarily due to a 12% increase in product license revenue as compared to the same period in the prior fiscal year. The increase in product license revenue was primarily due to an increase of 11% in revenue from our flagship products and an increase of 9% in our suites products.</w:t>
      </w:r>
    </w:p>
    <w:p>
      <w:pPr>
        <w:spacing w:after="0" w:line="14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During the three months ended July 31, 2014, the 12% increase in product license revenue was due to a 17% increase in the average net revenue per seat partially offset by a 5% decrease in the number of seats sold. Product license revenue, as a percentage of License and other revenue, was 90% for both the three months ended July 31, 2014 and 2013.</w:t>
      </w:r>
    </w:p>
    <w:p>
      <w:pPr>
        <w:spacing w:after="0" w:line="181"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During the three months ended July 31, 2014, total other revenue represented 10% of License and other revenue. Other revenue increased by 14% during the three months ended July 31, 2014, as compared to the three months ended July 31, 2013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3" w:name="page34"/>
    <w:bookmarkEnd w:id="33"/>
    <w:p>
      <w:pPr>
        <w:ind w:right="60"/>
        <w:spacing w:after="0" w:line="308" w:lineRule="auto"/>
        <w:rPr>
          <w:sz w:val="20"/>
          <w:szCs w:val="20"/>
          <w:color w:val="auto"/>
        </w:rPr>
      </w:pPr>
      <w:r>
        <w:rPr>
          <w:rFonts w:ascii="Arial" w:cs="Arial" w:eastAsia="Arial" w:hAnsi="Arial"/>
          <w:sz w:val="17"/>
          <w:szCs w:val="17"/>
          <w:color w:val="auto"/>
        </w:rPr>
        <w:t>primarily due to a 19% increase in revenue from our new and adjacent products within the other category, partially offset by a 64% decrease in our education products as a result of our strategic transition to offer software licenses to students, educators and institutions for little or no fees.</w:t>
      </w:r>
    </w:p>
    <w:p>
      <w:pPr>
        <w:spacing w:after="0" w:line="147"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Total License and other revenue increased 5% during the six months ended July 31, 2014, as compared to the six months ended July 31, 2013. This increase was primarily due to a 5% increase in product license revenue as compared to the same period in the prior fiscal year. The increase in product license revenue was primarily due to an increase of 7% in our suites products and an increase of 3% in revenue from our flagship products.</w:t>
      </w:r>
    </w:p>
    <w:p>
      <w:pPr>
        <w:spacing w:after="0" w:line="166"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During the six months ended July 31, 2014, the 5% increase in product license revenue was due to a 9% increase in the average net revenue per seat partially offset by a 5% decrease in the number of seats sold. Product license revenue, as a percentage of License and other revenue, was 90% for both the six months ended July 31, 2014 and 2013.</w:t>
      </w:r>
    </w:p>
    <w:p>
      <w:pPr>
        <w:spacing w:after="0" w:line="18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During the six months ended July 31, 2014, total other revenue represented 10% of License and other revenue. Other revenue increased by 5% during the six months ended July 31, 2014, as compared to the six months ended July 31, 2013 primarily due to an 8% increase in revenue from our new and adjacent products within the other category, partially offset by a 52% decrease in revenue from our education products as a result of our strategic transition to offer software licenses to students, educators and institutions for little or no fees.</w:t>
      </w:r>
    </w:p>
    <w:p>
      <w:pPr>
        <w:spacing w:after="0" w:line="187"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Backlog related to current software license product orders that had not shipped at the end of the quarter increased by $6.6 million during the six months ended July 31, 2014 from $19.7 million at January 31, 2014 to $26.3 million at July 31, 2014. Backlog from current software license product orders that we have not yet shipped consists of orders for currently available licensed software products from customers with approved credit status.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Subscription Revenue</w:t>
      </w:r>
    </w:p>
    <w:p>
      <w:pPr>
        <w:spacing w:after="0" w:line="225"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Autodesk subscription revenue consists of three components: (1) maintenance revenue from our software products; (2) maintenance revenue from our term-based desktop subscription and enterprise offerings; and (3) revenue from our cloud service offerings. Our maintenance program provides our commercial and educational customers of perpetual products with a cost effective and predictable budgetary option to obtain the productivity benefits of our new releases and enhancements when and if released during the term of their contracts. Under our maintenance program, customers are eligible to receive unspecified upgrades when and if available, downloadable training courses and online support. We recognize maintenance revenue ratably over the term of the maintenance agreement, which is generally between one and three years but can occasionally be as long as five years. Revenue for our cloud service offerings is recognized ratably over the contract term commencing with the date our service is made available to customers and all other revenue recognition criteria have been satisfied.</w:t>
      </w:r>
    </w:p>
    <w:p>
      <w:pPr>
        <w:spacing w:after="0" w:line="179"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Subscription revenue increased 15% during the three months ended July 31, 2014, as compared to the three months ended July 31, 2013, primarily due to a 16% increase in commercial maintenance revenue. The 16% increase in commercial maintenance revenue was due to a 5% increase from commercial enrollment during the corresponding maintenance contract term and an 11% increase from net revenue per maintenance seat. Commercial maintenance revenue represented 96% and 95% of Subscription revenue for the three months ended July 31, 2014 and 2013, respectively.</w:t>
      </w:r>
    </w:p>
    <w:p>
      <w:pPr>
        <w:spacing w:after="0" w:line="154"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Subscription revenue increased 14% during the six months ended July 31, 2014, as compared to the six months ended July 31, 2013, primarily due to a 14% increase in commercial maintenance revenue. The 14% increase in commercial maintenance revenue was due to a 5% increase from commercial enrollment during the corresponding maintenance contract term and a 9% increase from net revenue per maintenance seat. Commercial maintenance revenue represented 95% of Subscription revenue for both the six months ended July 31, 2014 and 2013.</w:t>
      </w:r>
    </w:p>
    <w:p>
      <w:pPr>
        <w:spacing w:after="0" w:line="171" w:lineRule="exact"/>
        <w:rPr>
          <w:sz w:val="20"/>
          <w:szCs w:val="20"/>
          <w:color w:val="auto"/>
        </w:rPr>
      </w:pPr>
    </w:p>
    <w:p>
      <w:pPr>
        <w:ind w:right="160" w:firstLine="432"/>
        <w:spacing w:after="0" w:line="342" w:lineRule="auto"/>
        <w:rPr>
          <w:sz w:val="20"/>
          <w:szCs w:val="20"/>
          <w:color w:val="auto"/>
        </w:rPr>
      </w:pPr>
      <w:r>
        <w:rPr>
          <w:rFonts w:ascii="Arial" w:cs="Arial" w:eastAsia="Arial" w:hAnsi="Arial"/>
          <w:sz w:val="16"/>
          <w:szCs w:val="16"/>
          <w:color w:val="auto"/>
        </w:rPr>
        <w:t>Changes in Subscription revenue lag changes in subscription billings. Subscription billings increased 31% and 24% during the three and six months ended July 31, 2014, respectively, as compared to the same periods in the prior fiscal year primarily due to an increase in maintenance subscription billings.</w:t>
      </w:r>
    </w:p>
    <w:p>
      <w:pPr>
        <w:spacing w:after="0" w:line="124"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Our deferred subscription revenue balance at July 31, 2014 and January 31, 2014 was $839.1 million and $789.3 million, respectively, and primarily related to customer maintenance agreements, which will be recognized as revenue ratably over the term of the maintenance agreement.</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584" w:right="279" w:bottom="1440" w:gutter="0" w:footer="0" w:header="0"/>
        </w:sectPr>
      </w:pPr>
    </w:p>
    <w:bookmarkStart w:id="34" w:name="page35"/>
    <w:bookmarkEnd w:id="34"/>
    <w:p>
      <w:pPr>
        <w:ind w:left="220"/>
        <w:spacing w:after="0"/>
        <w:rPr>
          <w:sz w:val="20"/>
          <w:szCs w:val="20"/>
          <w:color w:val="auto"/>
        </w:rPr>
      </w:pPr>
      <w:r>
        <w:rPr>
          <w:rFonts w:ascii="Arial" w:cs="Arial" w:eastAsia="Arial" w:hAnsi="Arial"/>
          <w:sz w:val="18"/>
          <w:szCs w:val="18"/>
          <w:i w:val="1"/>
          <w:iCs w:val="1"/>
          <w:color w:val="auto"/>
        </w:rPr>
        <w:t>Net Revenue by Geographic Area</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Net revenue in the Americas geography increased by 11% on an as reported basis and a constant currency basis, during the three months ended July 31, 2014, as compared to the same period in the prior fiscal year. This increase was primarily due to a 19% increase in our suites revenue and an 18% increase in our new and adjacent product revenue in this geography during the three months ended July 31, 2014 as compared to the three months ended July 31, 2013. The increase in our revenue in this geography was led by the U.S.</w:t>
      </w:r>
    </w:p>
    <w:p>
      <w:pPr>
        <w:spacing w:after="0" w:line="187"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Net revenue in the Americas geography increased by 6% on an as reported basis and on a constant currency basis, during the six months ended July 31, 2014, as compared to the same period in the prior fiscal year. This increase was primarily due to a 19% increase in our suites revenue partially offset by a 4% decrease in our flagship product revenue in this geography during the six months ended July 31, 2014 as compared to the six months ended July 31, 2013. The increase in our revenue in this geography was led by the U.S.</w:t>
      </w:r>
    </w:p>
    <w:p>
      <w:pPr>
        <w:spacing w:after="0" w:line="18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Net revenue in the EMEA geography increased by 21% on an as reported basis and 16% on a constant currency basis, during the three months ended July 31, 2014 as compared to the same period in the prior fiscal year. This increase was primarily due to a 28% increase in our suites revenue and a 10% increase in our flagship product revenue in this geography during the three months ended July 31, 2014 as compared to the three months ended July 31, 2013. The increase in our revenue in this geography was led by France and Germany.</w:t>
      </w:r>
    </w:p>
    <w:p>
      <w:pPr>
        <w:spacing w:after="0" w:line="18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Net revenue in the EMEA geography increased by 12% on an as reported basis and 9% on a constant currency basis, during the six months ended July 31, 2014 as compared to the same period in the prior fiscal year. This increase was primarily due to a 26% increase in our suites revenue and a 29% increase in our new and adjacent product revenue in this geography during the six months ended July 31, 2014 as compared to the six months ended July 31, 2013. The increase in our revenue in this geography was led by France and Germany.</w:t>
      </w:r>
    </w:p>
    <w:p>
      <w:pPr>
        <w:spacing w:after="0" w:line="187" w:lineRule="exact"/>
        <w:rPr>
          <w:sz w:val="20"/>
          <w:szCs w:val="20"/>
          <w:color w:val="auto"/>
        </w:rPr>
      </w:pPr>
    </w:p>
    <w:p>
      <w:pPr>
        <w:ind w:right="240" w:firstLine="432"/>
        <w:spacing w:after="0" w:line="279" w:lineRule="auto"/>
        <w:rPr>
          <w:sz w:val="20"/>
          <w:szCs w:val="20"/>
          <w:color w:val="auto"/>
        </w:rPr>
      </w:pPr>
      <w:r>
        <w:rPr>
          <w:rFonts w:ascii="Arial" w:cs="Arial" w:eastAsia="Arial" w:hAnsi="Arial"/>
          <w:sz w:val="17"/>
          <w:szCs w:val="17"/>
          <w:color w:val="auto"/>
        </w:rPr>
        <w:t>Net revenue in the APAC geography increased 8% on an as reported basis and 14% on a constant currency basis, during the three months ended July 31, 2014, as compared to the same period in the prior fiscal year. The increase was primarily due to a 6% increase in our flagship products and an 8% increase in our suites revenue in this geography during the three months ended July 31, 2014 as compared to the same period in the previous year. The increase in our revenue in this geography during the three months ended July 31, 2014 was led by South Korea and India.</w:t>
      </w:r>
    </w:p>
    <w:p>
      <w:pPr>
        <w:spacing w:after="0" w:line="171"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Net revenue in the APAC geography increased 7% on an as reported basis and 14% on a constant currency basis, during the six months ended July 31, 2014, as compared to the same period in the prior fiscal year. The increase was primarily due to a 7% increase in our flagship products and a 9% increase in our suites revenue in this geography during the six months ended July 31, 2014 as compared to the same period in the previous year. The increase in our revenue in this geography during the six months ended July 31, 2014 was led by Japan and South Korea.</w:t>
      </w:r>
    </w:p>
    <w:p>
      <w:pPr>
        <w:spacing w:after="0" w:line="171"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Net revenue in emerging economies increased by 14% during the three months ended July 31, 2014 as compared to the same period in the prior fiscal year, primarily due to increases in revenue from India and Brazil. Revenue from emerging economies represented 15% of total net revenue for both the three months ended July 31, 2014 and 2013.</w:t>
      </w:r>
    </w:p>
    <w:p>
      <w:pPr>
        <w:spacing w:after="0" w:line="181"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Net revenue in emerging economies increased by 10% during the six months ended July 31, 2014 as compared to the same period in the prior fiscal year, primarily due to increases in revenue from India, Taiwan, and Brazil partially offset by a decrease in revenue from China. Revenue from emerging economies represented 14% of total net revenue for both the six months ended July 31, 2014 and 2013.</w:t>
      </w:r>
    </w:p>
    <w:p>
      <w:pPr>
        <w:spacing w:after="0" w:line="181"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International net revenue represented 71% of our total net revenue for both the three and six months ended July 31, 2014 and 2013. We believe that international revenue will continue to comprise a majority of our total net revenue. Unfavorable economic conditions in the countries that contribute a significant portion of our net revenue, including in emerging economies, may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Additionally, weak global economic conditions that have been characterized by restructuring of sovereign debt, high unemployment, and volatility in the financial markets may impact our future financial results.</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584" w:right="299" w:bottom="1440" w:gutter="0" w:footer="0" w:header="0"/>
        </w:sectPr>
      </w:pPr>
    </w:p>
    <w:bookmarkStart w:id="35" w:name="page36"/>
    <w:bookmarkEnd w:id="35"/>
    <w:p>
      <w:pPr>
        <w:ind w:left="220"/>
        <w:spacing w:after="0"/>
        <w:rPr>
          <w:sz w:val="20"/>
          <w:szCs w:val="20"/>
          <w:color w:val="auto"/>
        </w:rPr>
      </w:pPr>
      <w:r>
        <w:rPr>
          <w:rFonts w:ascii="Arial" w:cs="Arial" w:eastAsia="Arial" w:hAnsi="Arial"/>
          <w:sz w:val="18"/>
          <w:szCs w:val="18"/>
          <w:i w:val="1"/>
          <w:iCs w:val="1"/>
          <w:color w:val="auto"/>
        </w:rPr>
        <w:t>Net Revenue by Operating Segment</w:t>
      </w:r>
    </w:p>
    <w:p>
      <w:pPr>
        <w:spacing w:after="0" w:line="22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We have four reportable segments: Platform Solutions and Emerging Business ("PSEB"), AEC, MFG and Media and Entertainment ("M&amp;E"). We have no material inter-segment revenue.</w:t>
      </w:r>
    </w:p>
    <w:p>
      <w:pPr>
        <w:spacing w:after="0" w:line="170" w:lineRule="exact"/>
        <w:rPr>
          <w:sz w:val="20"/>
          <w:szCs w:val="20"/>
          <w:color w:val="auto"/>
        </w:rPr>
      </w:pPr>
    </w:p>
    <w:p>
      <w:pPr>
        <w:jc w:val="both"/>
        <w:ind w:right="180" w:firstLine="432"/>
        <w:spacing w:after="0" w:line="277" w:lineRule="auto"/>
        <w:rPr>
          <w:sz w:val="20"/>
          <w:szCs w:val="20"/>
          <w:color w:val="auto"/>
        </w:rPr>
      </w:pPr>
      <w:r>
        <w:rPr>
          <w:rFonts w:ascii="Arial" w:cs="Arial" w:eastAsia="Arial" w:hAnsi="Arial"/>
          <w:sz w:val="18"/>
          <w:szCs w:val="18"/>
          <w:color w:val="auto"/>
        </w:rPr>
        <w:t>During the three months ended July 31, 2014, net revenue for PSEB increased by 5% as compared to the same period in the prior fiscal year primarily due to a 9% increase in AutoCAD LT and a 7% increase in AutoCAD.</w:t>
      </w:r>
    </w:p>
    <w:p>
      <w:pPr>
        <w:spacing w:after="0" w:line="17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During the six months ended July 31, 2014, net revenue for PSEB increased by 2% as compared to the same period in the prior fiscal year primarily due to a 6% increase in AutoCAD LT.</w:t>
      </w:r>
    </w:p>
    <w:p>
      <w:pPr>
        <w:spacing w:after="0" w:line="170"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During the three months ended July 31, 2014, net revenue for AEC increased by 23% as compared to the same period in the prior fiscal year primarily due to a 40% increase in revenue from our AEC suites, which was primarily driven by Autodesk Building Design Suite and Autodesk Infrastructure Design Suite.</w:t>
      </w:r>
    </w:p>
    <w:p>
      <w:pPr>
        <w:spacing w:after="0" w:line="181"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During the six months ended July 31, 2014, net revenue for AEC increased by 18% as compared to the same period in the prior fiscal year primarily due to a 38% increase in revenue from our AEC suites, which was primarily driven by Autodesk Building Design Suite and Autodesk Infrastructure Design Suite.</w:t>
      </w:r>
    </w:p>
    <w:p>
      <w:pPr>
        <w:spacing w:after="0" w:line="18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During the three months ended July 31, 2014, net revenue for MFG increased by 17% as compared to the same period of the prior fiscal year primarily due to a 9% increase in revenue from our MFG suites, which was primarily driven by the Autodesk Product Design Suite.</w:t>
      </w:r>
    </w:p>
    <w:p>
      <w:pPr>
        <w:spacing w:after="0" w:line="170"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During the six months ended July 31, 2014, net revenue for MFG increased by 11% as compared to the same period of the prior fiscal year primarily due to an 8% increase in revenue from our MFG suites, which was primarily driven by the Autodesk Product Design Suite.</w:t>
      </w:r>
    </w:p>
    <w:p>
      <w:pPr>
        <w:spacing w:after="0" w:line="170"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During the three months ended July 31, 2014, net revenue for M&amp;E was flat as compared to the same period in the prior fiscal year, due to a 7% increase in revenue from Creative Finishing partially offset by a 2% decrease in revenue from Animation. The increase in Creative Finishing was primarily due to a 71% increase in sales of our Creative Finishing hardware products. The decrease in Animation revenue was primarily due to a 20% decrease from our M&amp;E suites, in particular our Autodesk Entertainment Creation Suite.</w:t>
      </w:r>
    </w:p>
    <w:p>
      <w:pPr>
        <w:spacing w:after="0" w:line="187"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During the six months ended July 31, 2014, net revenue for M&amp;E decreased by 9% as compared to the same period in the prior fiscal year, due to a 7% decrease in revenue from Animation and a 17% decrease in revenue from Creative Finishing. The decrease in Animation revenue was primarily due to a 23% decrease from our M&amp;E suites, in particular our Autodesk Entertainment Creation Suite. The decline in Creative Finishing was impacted by a general decrease in M&amp;E industry end-market demand. M&amp;E revenue is impacted by a general decrease in the M&amp;E industry end-market demand, the planned inclusion of our M&amp;E products in other Autodesk industry suites, and our business model transition as customers are opting for desktop subscription.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Revenue and Operating Expenses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 of Revenue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220" w:type="dxa"/>
            <w:vAlign w:val="bottom"/>
          </w:tcPr>
          <w:p>
            <w:pPr>
              <w:spacing w:after="0"/>
              <w:rPr>
                <w:sz w:val="14"/>
                <w:szCs w:val="14"/>
                <w:color w:val="auto"/>
              </w:rPr>
            </w:pPr>
          </w:p>
        </w:tc>
        <w:tc>
          <w:tcPr>
            <w:tcW w:w="1880" w:type="dxa"/>
            <w:vAlign w:val="bottom"/>
            <w:gridSpan w:val="4"/>
          </w:tcPr>
          <w:p>
            <w:pPr>
              <w:ind w:left="140"/>
              <w:spacing w:after="0"/>
              <w:rPr>
                <w:sz w:val="20"/>
                <w:szCs w:val="20"/>
                <w:color w:val="auto"/>
              </w:rPr>
            </w:pPr>
            <w:r>
              <w:rPr>
                <w:rFonts w:ascii="Arial" w:cs="Arial" w:eastAsia="Arial" w:hAnsi="Arial"/>
                <w:sz w:val="14"/>
                <w:szCs w:val="14"/>
                <w:b w:val="1"/>
                <w:bCs w:val="1"/>
                <w:color w:val="auto"/>
              </w:rPr>
              <w:t>Increase compared to</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Six Months</w:t>
            </w:r>
          </w:p>
        </w:tc>
        <w:tc>
          <w:tcPr>
            <w:tcW w:w="220" w:type="dxa"/>
            <w:vAlign w:val="bottom"/>
          </w:tcPr>
          <w:p>
            <w:pPr>
              <w:spacing w:after="0"/>
              <w:rPr>
                <w:sz w:val="14"/>
                <w:szCs w:val="14"/>
                <w:color w:val="auto"/>
              </w:rPr>
            </w:pPr>
          </w:p>
        </w:tc>
        <w:tc>
          <w:tcPr>
            <w:tcW w:w="1860" w:type="dxa"/>
            <w:vAlign w:val="bottom"/>
            <w:gridSpan w:val="4"/>
          </w:tcPr>
          <w:p>
            <w:pPr>
              <w:ind w:left="120"/>
              <w:spacing w:after="0"/>
              <w:rPr>
                <w:sz w:val="20"/>
                <w:szCs w:val="20"/>
                <w:color w:val="auto"/>
              </w:rPr>
            </w:pPr>
            <w:r>
              <w:rPr>
                <w:rFonts w:ascii="Arial" w:cs="Arial" w:eastAsia="Arial" w:hAnsi="Arial"/>
                <w:sz w:val="14"/>
                <w:szCs w:val="14"/>
                <w:b w:val="1"/>
                <w:bCs w:val="1"/>
                <w:color w:val="auto"/>
              </w:rPr>
              <w:t>Increase compared to</w:t>
            </w:r>
          </w:p>
        </w:tc>
        <w:tc>
          <w:tcPr>
            <w:tcW w:w="120" w:type="dxa"/>
            <w:vAlign w:val="bottom"/>
          </w:tcPr>
          <w:p>
            <w:pPr>
              <w:spacing w:after="0"/>
              <w:rPr>
                <w:sz w:val="14"/>
                <w:szCs w:val="14"/>
                <w:color w:val="auto"/>
              </w:rPr>
            </w:pPr>
          </w:p>
        </w:tc>
        <w:tc>
          <w:tcPr>
            <w:tcW w:w="980" w:type="dxa"/>
            <w:vAlign w:val="bottom"/>
          </w:tcPr>
          <w:p>
            <w:pPr>
              <w:jc w:val="center"/>
              <w:ind w:right="43"/>
              <w:spacing w:after="0"/>
              <w:rPr>
                <w:sz w:val="20"/>
                <w:szCs w:val="20"/>
                <w:color w:val="auto"/>
              </w:rPr>
            </w:pPr>
            <w:r>
              <w:rPr>
                <w:rFonts w:ascii="Arial" w:cs="Arial" w:eastAsia="Arial" w:hAnsi="Arial"/>
                <w:sz w:val="14"/>
                <w:szCs w:val="14"/>
                <w:b w:val="1"/>
                <w:bCs w:val="1"/>
                <w:color w:val="auto"/>
                <w:w w:val="93"/>
              </w:rPr>
              <w:t>Six Months</w:t>
            </w:r>
          </w:p>
        </w:tc>
      </w:tr>
      <w:tr>
        <w:trPr>
          <w:trHeight w:val="192"/>
        </w:trPr>
        <w:tc>
          <w:tcPr>
            <w:tcW w:w="2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prior fiscal year</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22"/>
                <w:szCs w:val="2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July 31, 2014</w:t>
            </w:r>
          </w:p>
        </w:tc>
        <w:tc>
          <w:tcPr>
            <w:tcW w:w="220" w:type="dxa"/>
            <w:vAlign w:val="bottom"/>
          </w:tcPr>
          <w:p>
            <w:pPr>
              <w:spacing w:after="0"/>
              <w:rPr>
                <w:sz w:val="22"/>
                <w:szCs w:val="22"/>
                <w:color w:val="auto"/>
              </w:rPr>
            </w:pPr>
          </w:p>
        </w:tc>
        <w:tc>
          <w:tcPr>
            <w:tcW w:w="640" w:type="dxa"/>
            <w:vAlign w:val="bottom"/>
          </w:tcPr>
          <w:p>
            <w:pPr>
              <w:jc w:val="right"/>
              <w:ind w:right="383"/>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July 31, 2013</w:t>
            </w:r>
          </w:p>
        </w:tc>
        <w:tc>
          <w:tcPr>
            <w:tcW w:w="120" w:type="dxa"/>
            <w:vAlign w:val="bottom"/>
          </w:tcPr>
          <w:p>
            <w:pPr>
              <w:spacing w:after="0"/>
              <w:rPr>
                <w:sz w:val="22"/>
                <w:szCs w:val="22"/>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July 31, 2014</w:t>
            </w:r>
          </w:p>
        </w:tc>
        <w:tc>
          <w:tcPr>
            <w:tcW w:w="220" w:type="dxa"/>
            <w:vAlign w:val="bottom"/>
          </w:tcPr>
          <w:p>
            <w:pPr>
              <w:spacing w:after="0"/>
              <w:rPr>
                <w:sz w:val="22"/>
                <w:szCs w:val="22"/>
                <w:color w:val="auto"/>
              </w:rPr>
            </w:pPr>
          </w:p>
        </w:tc>
        <w:tc>
          <w:tcPr>
            <w:tcW w:w="640" w:type="dxa"/>
            <w:vAlign w:val="bottom"/>
          </w:tcPr>
          <w:p>
            <w:pPr>
              <w:jc w:val="right"/>
              <w:ind w:right="323"/>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center"/>
              <w:ind w:right="63"/>
              <w:spacing w:after="0"/>
              <w:rPr>
                <w:sz w:val="20"/>
                <w:szCs w:val="20"/>
                <w:color w:val="auto"/>
              </w:rPr>
            </w:pPr>
            <w:r>
              <w:rPr>
                <w:rFonts w:ascii="Arial" w:cs="Arial" w:eastAsia="Arial" w:hAnsi="Arial"/>
                <w:sz w:val="14"/>
                <w:szCs w:val="14"/>
                <w:b w:val="1"/>
                <w:bCs w:val="1"/>
                <w:color w:val="auto"/>
                <w:w w:val="92"/>
              </w:rPr>
              <w:t>July 31, 2013</w:t>
            </w:r>
          </w:p>
        </w:tc>
      </w:tr>
      <w:tr>
        <w:trPr>
          <w:trHeight w:val="210"/>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60"/>
        </w:trPr>
        <w:tc>
          <w:tcPr>
            <w:tcW w:w="24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r>
      <w:tr>
        <w:trPr>
          <w:trHeight w:val="237"/>
        </w:trPr>
        <w:tc>
          <w:tcPr>
            <w:tcW w:w="2420" w:type="dxa"/>
            <w:vAlign w:val="bottom"/>
          </w:tcPr>
          <w:p>
            <w:pPr>
              <w:ind w:left="380"/>
              <w:spacing w:after="0"/>
              <w:rPr>
                <w:sz w:val="20"/>
                <w:szCs w:val="20"/>
                <w:color w:val="auto"/>
              </w:rPr>
            </w:pPr>
            <w:r>
              <w:rPr>
                <w:rFonts w:ascii="Arial" w:cs="Arial" w:eastAsia="Arial" w:hAnsi="Arial"/>
                <w:sz w:val="16"/>
                <w:szCs w:val="16"/>
                <w:color w:val="auto"/>
              </w:rPr>
              <w:t>License and other</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83"/>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3"/>
              <w:spacing w:after="0"/>
              <w:rPr>
                <w:sz w:val="20"/>
                <w:szCs w:val="20"/>
                <w:color w:val="auto"/>
              </w:rPr>
            </w:pPr>
            <w:r>
              <w:rPr>
                <w:rFonts w:ascii="Arial" w:cs="Arial" w:eastAsia="Arial" w:hAnsi="Arial"/>
                <w:sz w:val="16"/>
                <w:szCs w:val="16"/>
                <w:color w:val="auto"/>
              </w:rPr>
              <w:t>10.6</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83"/>
              <w:spacing w:after="0"/>
              <w:rPr>
                <w:sz w:val="20"/>
                <w:szCs w:val="20"/>
                <w:color w:val="auto"/>
              </w:rPr>
            </w:pPr>
            <w:r>
              <w:rPr>
                <w:rFonts w:ascii="Arial" w:cs="Arial" w:eastAsia="Arial" w:hAnsi="Arial"/>
                <w:sz w:val="16"/>
                <w:szCs w:val="16"/>
                <w:color w:val="auto"/>
              </w:rPr>
              <w:t>42.8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83"/>
              <w:spacing w:after="0"/>
              <w:rPr>
                <w:sz w:val="20"/>
                <w:szCs w:val="20"/>
                <w:color w:val="auto"/>
              </w:rPr>
            </w:pPr>
            <w:r>
              <w:rPr>
                <w:rFonts w:ascii="Arial" w:cs="Arial" w:eastAsia="Arial" w:hAnsi="Arial"/>
                <w:sz w:val="16"/>
                <w:szCs w:val="16"/>
                <w:color w:val="auto"/>
              </w:rPr>
              <w:t>102.7</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3"/>
              <w:spacing w:after="0"/>
              <w:rPr>
                <w:sz w:val="20"/>
                <w:szCs w:val="20"/>
                <w:color w:val="auto"/>
              </w:rPr>
            </w:pPr>
            <w:r>
              <w:rPr>
                <w:rFonts w:ascii="Arial" w:cs="Arial" w:eastAsia="Arial" w:hAnsi="Arial"/>
                <w:sz w:val="16"/>
                <w:szCs w:val="16"/>
                <w:color w:val="auto"/>
              </w:rPr>
              <w:t>15.5</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83"/>
              <w:spacing w:after="0"/>
              <w:rPr>
                <w:sz w:val="20"/>
                <w:szCs w:val="20"/>
                <w:color w:val="auto"/>
              </w:rPr>
            </w:pPr>
            <w:r>
              <w:rPr>
                <w:rFonts w:ascii="Arial" w:cs="Arial" w:eastAsia="Arial" w:hAnsi="Arial"/>
                <w:sz w:val="16"/>
                <w:szCs w:val="16"/>
                <w:color w:val="auto"/>
              </w:rPr>
              <w:t>87.2</w:t>
            </w:r>
          </w:p>
        </w:tc>
      </w:tr>
      <w:tr>
        <w:trPr>
          <w:trHeight w:val="33"/>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Subscription</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34.5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9.5</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63.9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15.8</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48.1</w:t>
            </w:r>
          </w:p>
        </w:tc>
      </w:tr>
      <w:tr>
        <w:trPr>
          <w:trHeight w:val="284"/>
        </w:trPr>
        <w:tc>
          <w:tcPr>
            <w:tcW w:w="24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6"/>
                <w:szCs w:val="16"/>
                <w:color w:val="auto"/>
              </w:rPr>
              <w:t>87.9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20.1</w:t>
            </w:r>
          </w:p>
        </w:tc>
        <w:tc>
          <w:tcPr>
            <w:tcW w:w="11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6"/>
                <w:szCs w:val="16"/>
                <w:color w:val="auto"/>
              </w:rPr>
              <w:t>67.8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6"/>
                <w:szCs w:val="16"/>
                <w:color w:val="auto"/>
              </w:rPr>
              <w:t>166.6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31.3</w:t>
            </w:r>
          </w:p>
        </w:tc>
        <w:tc>
          <w:tcPr>
            <w:tcW w:w="110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6"/>
                <w:szCs w:val="16"/>
                <w:color w:val="auto"/>
              </w:rPr>
              <w:t>135.3</w:t>
            </w:r>
          </w:p>
        </w:tc>
      </w:tr>
      <w:tr>
        <w:trPr>
          <w:trHeight w:val="224"/>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 a percentage of net revenue</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2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Cost of license and other revenue includes labor costs associated with product setup and fulfillment and costs of consulting and training services contracts and collaborative project management services contracts. Cost of license and other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6" w:name="page37"/>
    <w:bookmarkEnd w:id="36"/>
    <w:p>
      <w:pPr>
        <w:jc w:val="both"/>
        <w:ind w:right="100"/>
        <w:spacing w:after="0" w:line="312" w:lineRule="auto"/>
        <w:rPr>
          <w:sz w:val="20"/>
          <w:szCs w:val="20"/>
          <w:color w:val="auto"/>
        </w:rPr>
      </w:pPr>
      <w:r>
        <w:rPr>
          <w:rFonts w:ascii="Arial" w:cs="Arial" w:eastAsia="Arial" w:hAnsi="Arial"/>
          <w:sz w:val="16"/>
          <w:szCs w:val="16"/>
          <w:color w:val="auto"/>
        </w:rPr>
        <w:t>revenue also includes stock-based compensation expense, direct material and overhead charges, amortization of purchased technology, professional services fees and royalties. Direct material and overhead charges include the cost of hardware sold (mainly PC-based workstations for Creative Finishing in the M&amp;E segment), costs associated with transferring our software to electronic media, physical media, packaging materials and shipping and handling costs.</w:t>
      </w:r>
    </w:p>
    <w:p>
      <w:pPr>
        <w:spacing w:after="0" w:line="14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Cost of license and other revenue increased 25% and 18% for the three and six months ended July 31, 2014, as compared to the same periods in the prior fiscal year, primarily due to higher employee-related costs related to salaries associated with an increased headcount, primarily from acquisitions such as Delcam.</w:t>
      </w:r>
    </w:p>
    <w:p>
      <w:pPr>
        <w:spacing w:after="0" w:line="181"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Cost of subscription revenue includes the labor costs of providing product support to our maintenance and cloud subscription customers, including rent and occupancy, shipping and handling costs, professional services fees related to operating our network and cloud infrastructure, including depreciation expense and operating lease payments associated with computer equipment, data center costs, salaries and related expenses of network operations.</w:t>
      </w:r>
    </w:p>
    <w:p>
      <w:pPr>
        <w:spacing w:after="0" w:line="147" w:lineRule="exact"/>
        <w:rPr>
          <w:sz w:val="20"/>
          <w:szCs w:val="20"/>
          <w:color w:val="auto"/>
        </w:rPr>
      </w:pPr>
    </w:p>
    <w:p>
      <w:pPr>
        <w:ind w:right="320" w:firstLine="432"/>
        <w:spacing w:after="0" w:line="312" w:lineRule="auto"/>
        <w:rPr>
          <w:sz w:val="20"/>
          <w:szCs w:val="20"/>
          <w:color w:val="auto"/>
        </w:rPr>
      </w:pPr>
      <w:r>
        <w:rPr>
          <w:rFonts w:ascii="Arial" w:cs="Arial" w:eastAsia="Arial" w:hAnsi="Arial"/>
          <w:sz w:val="16"/>
          <w:szCs w:val="16"/>
          <w:color w:val="auto"/>
        </w:rPr>
        <w:t>Cost of subscription revenue increased 38% during the three months ended July 31, 2014, as compared to the same period in the prior fiscal year, primarily due to higher cloud service-related expenses and increased product support expenses. Cost of subscription revenue increased 33% during the six months ended July 31, 2014, as compared to the same period in the prior fiscal year, primarily due to higher cloud services-related expenses.</w:t>
      </w:r>
    </w:p>
    <w:p>
      <w:pPr>
        <w:spacing w:after="0" w:line="14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Cost of revenue, at least over the near term, is affected by the volume and mix of product sales, mix of physical versus electronic fulfillment, fluctuations in consulting costs, amortization of purchased technology, new customer support offerings, royalty rates for licensed technology embedded in our products and employee stock-based compensation expense.</w:t>
      </w:r>
    </w:p>
    <w:p>
      <w:pPr>
        <w:spacing w:after="0" w:line="181"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We expect cost of revenue to increase in absolute dollars and slightly increase as a percentage of net revenue during the third quarter of fiscal 2015, as compared to the third quarter of fiscal 2014.</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Marketing and Sales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Three Months</w:t>
            </w:r>
          </w:p>
        </w:tc>
        <w:tc>
          <w:tcPr>
            <w:tcW w:w="200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rPr>
              <w:t>Increase compared to</w:t>
            </w: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Three Months</w:t>
            </w: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Six Months</w:t>
            </w:r>
          </w:p>
        </w:tc>
        <w:tc>
          <w:tcPr>
            <w:tcW w:w="220" w:type="dxa"/>
            <w:vAlign w:val="bottom"/>
          </w:tcPr>
          <w:p>
            <w:pPr>
              <w:spacing w:after="0"/>
              <w:rPr>
                <w:sz w:val="14"/>
                <w:szCs w:val="14"/>
                <w:color w:val="auto"/>
              </w:rPr>
            </w:pPr>
          </w:p>
        </w:tc>
        <w:tc>
          <w:tcPr>
            <w:tcW w:w="19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Increase compared to</w:t>
            </w:r>
          </w:p>
        </w:tc>
        <w:tc>
          <w:tcPr>
            <w:tcW w:w="140" w:type="dxa"/>
            <w:vAlign w:val="bottom"/>
          </w:tcPr>
          <w:p>
            <w:pPr>
              <w:spacing w:after="0"/>
              <w:rPr>
                <w:sz w:val="14"/>
                <w:szCs w:val="14"/>
                <w:color w:val="auto"/>
              </w:rPr>
            </w:pPr>
          </w:p>
        </w:tc>
        <w:tc>
          <w:tcPr>
            <w:tcW w:w="1000" w:type="dxa"/>
            <w:vAlign w:val="bottom"/>
          </w:tcPr>
          <w:p>
            <w:pPr>
              <w:jc w:val="center"/>
              <w:ind w:right="64"/>
              <w:spacing w:after="0"/>
              <w:rPr>
                <w:sz w:val="20"/>
                <w:szCs w:val="20"/>
                <w:color w:val="auto"/>
              </w:rPr>
            </w:pPr>
            <w:r>
              <w:rPr>
                <w:rFonts w:ascii="Arial" w:cs="Arial" w:eastAsia="Arial" w:hAnsi="Arial"/>
                <w:sz w:val="14"/>
                <w:szCs w:val="14"/>
                <w:b w:val="1"/>
                <w:bCs w:val="1"/>
                <w:color w:val="auto"/>
                <w:w w:val="93"/>
              </w:rPr>
              <w:t>Six Months</w:t>
            </w:r>
          </w:p>
        </w:tc>
      </w:tr>
      <w:tr>
        <w:trPr>
          <w:trHeight w:val="192"/>
        </w:trPr>
        <w:tc>
          <w:tcPr>
            <w:tcW w:w="2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5"/>
              </w:rPr>
              <w:t>prior fiscal year</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right="143"/>
              <w:spacing w:after="0"/>
              <w:rPr>
                <w:sz w:val="20"/>
                <w:szCs w:val="20"/>
                <w:color w:val="auto"/>
              </w:rPr>
            </w:pPr>
            <w:r>
              <w:rPr>
                <w:rFonts w:ascii="Arial" w:cs="Arial" w:eastAsia="Arial" w:hAnsi="Arial"/>
                <w:sz w:val="14"/>
                <w:szCs w:val="14"/>
                <w:b w:val="1"/>
                <w:bCs w:val="1"/>
                <w:color w:val="auto"/>
                <w:w w:val="93"/>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24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2"/>
              </w:rPr>
              <w:t>July 31, 2014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2"/>
              </w:rPr>
              <w:t>July 31, 2013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2"/>
              </w:rPr>
              <w:t>July 31, 2014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26"/>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2"/>
              </w:rPr>
              <w:t>July 31, 2013</w:t>
            </w:r>
          </w:p>
        </w:tc>
      </w:tr>
      <w:tr>
        <w:trPr>
          <w:trHeight w:val="236"/>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Marketing and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237.6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05"/>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39.5</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20%  $</w:t>
            </w:r>
          </w:p>
        </w:tc>
        <w:tc>
          <w:tcPr>
            <w:tcW w:w="10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198.1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463.0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56.1</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406.9</w:t>
            </w:r>
          </w:p>
        </w:tc>
      </w:tr>
      <w:tr>
        <w:trPr>
          <w:trHeight w:val="237"/>
        </w:trPr>
        <w:tc>
          <w:tcPr>
            <w:tcW w:w="246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w:t>
            </w:r>
          </w:p>
        </w:tc>
      </w:tr>
    </w:tbl>
    <w:p>
      <w:pPr>
        <w:spacing w:after="0" w:line="235" w:lineRule="exact"/>
        <w:rPr>
          <w:sz w:val="20"/>
          <w:szCs w:val="20"/>
          <w:color w:val="auto"/>
        </w:rPr>
      </w:pPr>
    </w:p>
    <w:p>
      <w:pPr>
        <w:ind w:right="340" w:firstLine="432"/>
        <w:spacing w:after="0" w:line="279" w:lineRule="auto"/>
        <w:rPr>
          <w:sz w:val="20"/>
          <w:szCs w:val="20"/>
          <w:color w:val="auto"/>
        </w:rPr>
      </w:pPr>
      <w:r>
        <w:rPr>
          <w:rFonts w:ascii="Arial" w:cs="Arial" w:eastAsia="Arial" w:hAnsi="Arial"/>
          <w:sz w:val="17"/>
          <w:szCs w:val="17"/>
          <w:color w:val="auto"/>
        </w:rPr>
        <w:t>Marketing and sales expenses include salaries, bonuses, benefits and stock-based compensation expense for our marketing and sales employees, the expense of travel, entertainment and training for such personnel, the costs of programs aimed at increasing revenue, such as advertising, trade shows and expositions, and various sales and promotional programs. Marketing and sales expenses also include labor costs of sales and order processing, sales and dealer commissions, rent and occupancy, and the cost of supplies and equipment.</w:t>
      </w:r>
    </w:p>
    <w:p>
      <w:pPr>
        <w:spacing w:after="0" w:line="171" w:lineRule="exact"/>
        <w:rPr>
          <w:sz w:val="20"/>
          <w:szCs w:val="20"/>
          <w:color w:val="auto"/>
        </w:rPr>
      </w:pPr>
    </w:p>
    <w:p>
      <w:pPr>
        <w:jc w:val="both"/>
        <w:ind w:right="120" w:firstLine="432"/>
        <w:spacing w:after="0" w:line="286" w:lineRule="auto"/>
        <w:rPr>
          <w:sz w:val="20"/>
          <w:szCs w:val="20"/>
          <w:color w:val="auto"/>
        </w:rPr>
      </w:pPr>
      <w:r>
        <w:rPr>
          <w:rFonts w:ascii="Arial" w:cs="Arial" w:eastAsia="Arial" w:hAnsi="Arial"/>
          <w:sz w:val="17"/>
          <w:szCs w:val="17"/>
          <w:color w:val="auto"/>
        </w:rPr>
        <w:t>Marketing and sales expenses increased 20% and 14% for the three and six months ended July 31, 2014, respectively, as compared to the same periods in the prior fiscal year primarily due to an increase in employee-related costs related to salaries, bonus, commissions and fringe benefits primarily associated with increased headcount, primarily from acquisitions such as Delcam and merit increases and professional fees.</w:t>
      </w:r>
    </w:p>
    <w:p>
      <w:pPr>
        <w:spacing w:after="0" w:line="166"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For the third quarter of fiscal 2015, as compared to the third quarter of fiscal 2014, we expect marketing and sales expense to increase in absolute dollars and slightly increase as a percentage of net revenue.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7" w:name="page38"/>
    <w:bookmarkEnd w:id="37"/>
    <w:p>
      <w:pPr>
        <w:ind w:left="220"/>
        <w:spacing w:after="0"/>
        <w:rPr>
          <w:sz w:val="20"/>
          <w:szCs w:val="20"/>
          <w:color w:val="auto"/>
        </w:rPr>
      </w:pPr>
      <w:r>
        <w:rPr>
          <w:rFonts w:ascii="Arial" w:cs="Arial" w:eastAsia="Arial" w:hAnsi="Arial"/>
          <w:sz w:val="18"/>
          <w:szCs w:val="18"/>
          <w:i w:val="1"/>
          <w:iCs w:val="1"/>
          <w:color w:val="auto"/>
        </w:rPr>
        <w:t>Research and Development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Three Months</w:t>
            </w:r>
          </w:p>
        </w:tc>
        <w:tc>
          <w:tcPr>
            <w:tcW w:w="220" w:type="dxa"/>
            <w:vAlign w:val="bottom"/>
          </w:tcPr>
          <w:p>
            <w:pPr>
              <w:spacing w:after="0"/>
              <w:rPr>
                <w:sz w:val="14"/>
                <w:szCs w:val="14"/>
                <w:color w:val="auto"/>
              </w:rPr>
            </w:pPr>
          </w:p>
        </w:tc>
        <w:tc>
          <w:tcPr>
            <w:tcW w:w="1860" w:type="dxa"/>
            <w:vAlign w:val="bottom"/>
            <w:gridSpan w:val="4"/>
          </w:tcPr>
          <w:p>
            <w:pPr>
              <w:ind w:left="120"/>
              <w:spacing w:after="0"/>
              <w:rPr>
                <w:sz w:val="20"/>
                <w:szCs w:val="20"/>
                <w:color w:val="auto"/>
              </w:rPr>
            </w:pPr>
            <w:r>
              <w:rPr>
                <w:rFonts w:ascii="Arial" w:cs="Arial" w:eastAsia="Arial" w:hAnsi="Arial"/>
                <w:sz w:val="14"/>
                <w:szCs w:val="14"/>
                <w:b w:val="1"/>
                <w:bCs w:val="1"/>
                <w:color w:val="auto"/>
              </w:rPr>
              <w:t>Increase compared to</w:t>
            </w: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Six Months</w:t>
            </w:r>
          </w:p>
        </w:tc>
        <w:tc>
          <w:tcPr>
            <w:tcW w:w="220" w:type="dxa"/>
            <w:vAlign w:val="bottom"/>
          </w:tcPr>
          <w:p>
            <w:pPr>
              <w:spacing w:after="0"/>
              <w:rPr>
                <w:sz w:val="14"/>
                <w:szCs w:val="14"/>
                <w:color w:val="auto"/>
              </w:rPr>
            </w:pPr>
          </w:p>
        </w:tc>
        <w:tc>
          <w:tcPr>
            <w:tcW w:w="18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Increase compared to</w:t>
            </w:r>
          </w:p>
        </w:tc>
        <w:tc>
          <w:tcPr>
            <w:tcW w:w="140" w:type="dxa"/>
            <w:vAlign w:val="bottom"/>
          </w:tcPr>
          <w:p>
            <w:pPr>
              <w:spacing w:after="0"/>
              <w:rPr>
                <w:sz w:val="14"/>
                <w:szCs w:val="14"/>
                <w:color w:val="auto"/>
              </w:rPr>
            </w:pPr>
          </w:p>
        </w:tc>
        <w:tc>
          <w:tcPr>
            <w:tcW w:w="1000" w:type="dxa"/>
            <w:vAlign w:val="bottom"/>
          </w:tcPr>
          <w:p>
            <w:pPr>
              <w:jc w:val="center"/>
              <w:ind w:right="64"/>
              <w:spacing w:after="0"/>
              <w:rPr>
                <w:sz w:val="20"/>
                <w:szCs w:val="20"/>
                <w:color w:val="auto"/>
              </w:rPr>
            </w:pPr>
            <w:r>
              <w:rPr>
                <w:rFonts w:ascii="Arial" w:cs="Arial" w:eastAsia="Arial" w:hAnsi="Arial"/>
                <w:sz w:val="14"/>
                <w:szCs w:val="14"/>
                <w:b w:val="1"/>
                <w:bCs w:val="1"/>
                <w:color w:val="auto"/>
                <w:w w:val="93"/>
              </w:rPr>
              <w:t>Six Months</w:t>
            </w:r>
          </w:p>
        </w:tc>
      </w:tr>
      <w:tr>
        <w:trPr>
          <w:trHeight w:val="192"/>
        </w:trPr>
        <w:tc>
          <w:tcPr>
            <w:tcW w:w="24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right="123"/>
              <w:spacing w:after="0"/>
              <w:rPr>
                <w:sz w:val="20"/>
                <w:szCs w:val="20"/>
                <w:color w:val="auto"/>
              </w:rPr>
            </w:pPr>
            <w:r>
              <w:rPr>
                <w:rFonts w:ascii="Arial" w:cs="Arial" w:eastAsia="Arial" w:hAnsi="Arial"/>
                <w:sz w:val="14"/>
                <w:szCs w:val="14"/>
                <w:b w:val="1"/>
                <w:bCs w:val="1"/>
                <w:color w:val="auto"/>
                <w:w w:val="95"/>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248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22"/>
                <w:szCs w:val="22"/>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July 31, 2014</w:t>
            </w:r>
          </w:p>
        </w:tc>
        <w:tc>
          <w:tcPr>
            <w:tcW w:w="220" w:type="dxa"/>
            <w:vAlign w:val="bottom"/>
          </w:tcPr>
          <w:p>
            <w:pPr>
              <w:spacing w:after="0"/>
              <w:rPr>
                <w:sz w:val="22"/>
                <w:szCs w:val="22"/>
                <w:color w:val="auto"/>
              </w:rPr>
            </w:pPr>
          </w:p>
        </w:tc>
        <w:tc>
          <w:tcPr>
            <w:tcW w:w="64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960" w:type="dxa"/>
            <w:vAlign w:val="bottom"/>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July 31, 2013</w:t>
            </w:r>
          </w:p>
        </w:tc>
        <w:tc>
          <w:tcPr>
            <w:tcW w:w="120" w:type="dxa"/>
            <w:vAlign w:val="bottom"/>
          </w:tcPr>
          <w:p>
            <w:pPr>
              <w:spacing w:after="0"/>
              <w:rPr>
                <w:sz w:val="22"/>
                <w:szCs w:val="2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July 31, 2014</w:t>
            </w:r>
          </w:p>
        </w:tc>
        <w:tc>
          <w:tcPr>
            <w:tcW w:w="220" w:type="dxa"/>
            <w:vAlign w:val="bottom"/>
          </w:tcPr>
          <w:p>
            <w:pPr>
              <w:spacing w:after="0"/>
              <w:rPr>
                <w:sz w:val="22"/>
                <w:szCs w:val="22"/>
                <w:color w:val="auto"/>
              </w:rPr>
            </w:pPr>
          </w:p>
        </w:tc>
        <w:tc>
          <w:tcPr>
            <w:tcW w:w="640" w:type="dxa"/>
            <w:vAlign w:val="bottom"/>
          </w:tcPr>
          <w:p>
            <w:pPr>
              <w:jc w:val="right"/>
              <w:ind w:right="326"/>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960" w:type="dxa"/>
            <w:vAlign w:val="bottom"/>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center"/>
              <w:ind w:right="44"/>
              <w:spacing w:after="0"/>
              <w:rPr>
                <w:sz w:val="20"/>
                <w:szCs w:val="20"/>
                <w:color w:val="auto"/>
              </w:rPr>
            </w:pPr>
            <w:r>
              <w:rPr>
                <w:rFonts w:ascii="Arial" w:cs="Arial" w:eastAsia="Arial" w:hAnsi="Arial"/>
                <w:sz w:val="14"/>
                <w:szCs w:val="14"/>
                <w:b w:val="1"/>
                <w:bCs w:val="1"/>
                <w:color w:val="auto"/>
                <w:w w:val="92"/>
              </w:rPr>
              <w:t>July 31, 2013</w:t>
            </w:r>
          </w:p>
        </w:tc>
      </w:tr>
      <w:tr>
        <w:trPr>
          <w:trHeight w:val="236"/>
        </w:trPr>
        <w:tc>
          <w:tcPr>
            <w:tcW w:w="2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179.3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6"/>
                <w:szCs w:val="16"/>
                <w:color w:val="auto"/>
              </w:rPr>
              <w:t>30.4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148.9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349.8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50.1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299.7</w:t>
            </w:r>
          </w:p>
        </w:tc>
      </w:tr>
      <w:tr>
        <w:trPr>
          <w:trHeight w:val="237"/>
        </w:trPr>
        <w:tc>
          <w:tcPr>
            <w:tcW w:w="248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w:t>
            </w:r>
          </w:p>
        </w:tc>
      </w:tr>
    </w:tbl>
    <w:p>
      <w:pPr>
        <w:spacing w:after="0" w:line="235"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Research and development expenses, which are expensed as incurred, consist primarily of salaries, bonuses, benefits and stock-based compensation expense for research and development employees, and the expense of travel, entertainment and training for such personnel, rent and occupancy, and professional services such as fees paid to software development firms and independent contractors.</w:t>
      </w:r>
    </w:p>
    <w:p>
      <w:pPr>
        <w:spacing w:after="0" w:line="181"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Research and development expenses increased 20% and 17% during the three and six months ended July 31, 2014, respectively, as compared to the same periods in the prior fiscal year, primarily due to an increase in employee-related costs related to salaries, bonus and fringe benefits primarily associated with increased headcount, primarily from acquisitions such as Delcam and merit increases and professional fees.</w:t>
      </w:r>
    </w:p>
    <w:p>
      <w:pPr>
        <w:spacing w:after="0" w:line="166"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For the third quarter of fiscal 2015, as compared to the third quarter of fiscal 2014, we expect research and development expense to increase in absolute dollars and slightly increase as a percentage of net revenue.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General and Administrative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Three Months</w:t>
            </w:r>
          </w:p>
        </w:tc>
        <w:tc>
          <w:tcPr>
            <w:tcW w:w="240" w:type="dxa"/>
            <w:vAlign w:val="bottom"/>
          </w:tcPr>
          <w:p>
            <w:pPr>
              <w:spacing w:after="0"/>
              <w:rPr>
                <w:sz w:val="14"/>
                <w:szCs w:val="14"/>
                <w:color w:val="auto"/>
              </w:rPr>
            </w:pPr>
          </w:p>
        </w:tc>
        <w:tc>
          <w:tcPr>
            <w:tcW w:w="1840" w:type="dxa"/>
            <w:vAlign w:val="bottom"/>
            <w:gridSpan w:val="4"/>
          </w:tcPr>
          <w:p>
            <w:pPr>
              <w:ind w:left="100"/>
              <w:spacing w:after="0"/>
              <w:rPr>
                <w:sz w:val="20"/>
                <w:szCs w:val="20"/>
                <w:color w:val="auto"/>
              </w:rPr>
            </w:pPr>
            <w:r>
              <w:rPr>
                <w:rFonts w:ascii="Arial" w:cs="Arial" w:eastAsia="Arial" w:hAnsi="Arial"/>
                <w:sz w:val="14"/>
                <w:szCs w:val="14"/>
                <w:b w:val="1"/>
                <w:bCs w:val="1"/>
                <w:color w:val="auto"/>
              </w:rPr>
              <w:t>Increase compared to</w:t>
            </w: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Three Months</w:t>
            </w: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Six Months</w:t>
            </w:r>
          </w:p>
        </w:tc>
        <w:tc>
          <w:tcPr>
            <w:tcW w:w="220" w:type="dxa"/>
            <w:vAlign w:val="bottom"/>
          </w:tcPr>
          <w:p>
            <w:pPr>
              <w:spacing w:after="0"/>
              <w:rPr>
                <w:sz w:val="14"/>
                <w:szCs w:val="14"/>
                <w:color w:val="auto"/>
              </w:rPr>
            </w:pPr>
          </w:p>
        </w:tc>
        <w:tc>
          <w:tcPr>
            <w:tcW w:w="18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Increase compared to</w:t>
            </w:r>
          </w:p>
        </w:tc>
        <w:tc>
          <w:tcPr>
            <w:tcW w:w="140" w:type="dxa"/>
            <w:vAlign w:val="bottom"/>
          </w:tcPr>
          <w:p>
            <w:pPr>
              <w:spacing w:after="0"/>
              <w:rPr>
                <w:sz w:val="14"/>
                <w:szCs w:val="14"/>
                <w:color w:val="auto"/>
              </w:rPr>
            </w:pPr>
          </w:p>
        </w:tc>
        <w:tc>
          <w:tcPr>
            <w:tcW w:w="960" w:type="dxa"/>
            <w:vAlign w:val="bottom"/>
          </w:tcPr>
          <w:p>
            <w:pPr>
              <w:jc w:val="center"/>
              <w:ind w:right="64"/>
              <w:spacing w:after="0"/>
              <w:rPr>
                <w:sz w:val="20"/>
                <w:szCs w:val="20"/>
                <w:color w:val="auto"/>
              </w:rPr>
            </w:pPr>
            <w:r>
              <w:rPr>
                <w:rFonts w:ascii="Arial" w:cs="Arial" w:eastAsia="Arial" w:hAnsi="Arial"/>
                <w:sz w:val="14"/>
                <w:szCs w:val="14"/>
                <w:b w:val="1"/>
                <w:bCs w:val="1"/>
                <w:color w:val="auto"/>
                <w:w w:val="93"/>
              </w:rPr>
              <w:t>Six Months</w:t>
            </w:r>
          </w:p>
        </w:tc>
      </w:tr>
      <w:tr>
        <w:trPr>
          <w:trHeight w:val="192"/>
        </w:trPr>
        <w:tc>
          <w:tcPr>
            <w:tcW w:w="25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right="123"/>
              <w:spacing w:after="0"/>
              <w:rPr>
                <w:sz w:val="20"/>
                <w:szCs w:val="20"/>
                <w:color w:val="auto"/>
              </w:rPr>
            </w:pPr>
            <w:r>
              <w:rPr>
                <w:rFonts w:ascii="Arial" w:cs="Arial" w:eastAsia="Arial" w:hAnsi="Arial"/>
                <w:sz w:val="14"/>
                <w:szCs w:val="14"/>
                <w:b w:val="1"/>
                <w:bCs w:val="1"/>
                <w:color w:val="auto"/>
                <w:w w:val="93"/>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256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22"/>
                <w:szCs w:val="22"/>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July 31, 2014</w:t>
            </w:r>
          </w:p>
        </w:tc>
        <w:tc>
          <w:tcPr>
            <w:tcW w:w="240" w:type="dxa"/>
            <w:vAlign w:val="bottom"/>
          </w:tcPr>
          <w:p>
            <w:pPr>
              <w:spacing w:after="0"/>
              <w:rPr>
                <w:sz w:val="22"/>
                <w:szCs w:val="22"/>
                <w:color w:val="auto"/>
              </w:rPr>
            </w:pPr>
          </w:p>
        </w:tc>
        <w:tc>
          <w:tcPr>
            <w:tcW w:w="68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900" w:type="dxa"/>
            <w:vAlign w:val="bottom"/>
          </w:tcPr>
          <w:p>
            <w:pPr>
              <w:jc w:val="right"/>
              <w:ind w:right="36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July 31, 2013</w:t>
            </w:r>
          </w:p>
        </w:tc>
        <w:tc>
          <w:tcPr>
            <w:tcW w:w="120" w:type="dxa"/>
            <w:vAlign w:val="bottom"/>
          </w:tcPr>
          <w:p>
            <w:pPr>
              <w:spacing w:after="0"/>
              <w:rPr>
                <w:sz w:val="22"/>
                <w:szCs w:val="22"/>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July 31, 2014</w:t>
            </w:r>
          </w:p>
        </w:tc>
        <w:tc>
          <w:tcPr>
            <w:tcW w:w="220" w:type="dxa"/>
            <w:vAlign w:val="bottom"/>
          </w:tcPr>
          <w:p>
            <w:pPr>
              <w:spacing w:after="0"/>
              <w:rPr>
                <w:sz w:val="22"/>
                <w:szCs w:val="22"/>
                <w:color w:val="auto"/>
              </w:rPr>
            </w:pPr>
          </w:p>
        </w:tc>
        <w:tc>
          <w:tcPr>
            <w:tcW w:w="720" w:type="dxa"/>
            <w:vAlign w:val="bottom"/>
          </w:tcPr>
          <w:p>
            <w:pPr>
              <w:jc w:val="right"/>
              <w:ind w:right="366"/>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900" w:type="dxa"/>
            <w:vAlign w:val="bottom"/>
          </w:tcPr>
          <w:p>
            <w:pPr>
              <w:jc w:val="right"/>
              <w:ind w:right="36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center"/>
              <w:ind w:right="44"/>
              <w:spacing w:after="0"/>
              <w:rPr>
                <w:sz w:val="20"/>
                <w:szCs w:val="20"/>
                <w:color w:val="auto"/>
              </w:rPr>
            </w:pPr>
            <w:r>
              <w:rPr>
                <w:rFonts w:ascii="Arial" w:cs="Arial" w:eastAsia="Arial" w:hAnsi="Arial"/>
                <w:sz w:val="14"/>
                <w:szCs w:val="14"/>
                <w:b w:val="1"/>
                <w:bCs w:val="1"/>
                <w:color w:val="auto"/>
                <w:w w:val="92"/>
              </w:rPr>
              <w:t>July 31, 2013</w:t>
            </w:r>
          </w:p>
        </w:tc>
      </w:tr>
      <w:tr>
        <w:trPr>
          <w:trHeight w:val="236"/>
        </w:trPr>
        <w:tc>
          <w:tcPr>
            <w:tcW w:w="2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71.5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6"/>
                <w:szCs w:val="16"/>
                <w:color w:val="auto"/>
              </w:rPr>
              <w:t>19.2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52.3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CCEEFF"/>
            </w:tcBorders>
            <w:shd w:val="clear" w:color="auto" w:fill="CCEEFF"/>
          </w:tcPr>
          <w:p>
            <w:pPr>
              <w:jc w:val="right"/>
              <w:ind w:right="104"/>
              <w:spacing w:after="0"/>
              <w:rPr>
                <w:sz w:val="20"/>
                <w:szCs w:val="20"/>
                <w:color w:val="auto"/>
              </w:rPr>
            </w:pPr>
            <w:r>
              <w:rPr>
                <w:rFonts w:ascii="Arial" w:cs="Arial" w:eastAsia="Arial" w:hAnsi="Arial"/>
                <w:sz w:val="16"/>
                <w:szCs w:val="16"/>
                <w:color w:val="auto"/>
              </w:rPr>
              <w:t>134.0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6"/>
                <w:szCs w:val="16"/>
                <w:color w:val="auto"/>
              </w:rPr>
              <w:t>31.0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103.0</w:t>
            </w:r>
          </w:p>
        </w:tc>
      </w:tr>
      <w:tr>
        <w:trPr>
          <w:trHeight w:val="237"/>
        </w:trPr>
        <w:tc>
          <w:tcPr>
            <w:tcW w:w="256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w:t>
            </w:r>
          </w:p>
        </w:tc>
      </w:tr>
    </w:tbl>
    <w:p>
      <w:pPr>
        <w:spacing w:after="0" w:line="23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General and administrative expenses include salaries, bonuses, benefits and stock-based compensation expense for our finance, human resources and legal employees, as well as professional fees for legal and accounting services, gains and losses on our operating expense cash flow hedges, expense of travel, entertainment and training, expense of communication and the cost of supplies and equipment.</w:t>
      </w:r>
    </w:p>
    <w:p>
      <w:pPr>
        <w:spacing w:after="0" w:line="181"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General and administrative expenses increased 37% during the three months ended July 31, 2014 as compared to the same period in the prior fiscal year, primarily due to an increase in professional fees and employee-related costs related to salaries, bonus and fringe benefits primarily associated with increased headcount and merit increases. General and administrative expenses increased 30% during the six months ended July 31, 2014 as compared to the same period in the prior fiscal year, primarily due to an increase in employee-related costs related to salaries, bonus and fringe benefits primarily associated with increased headcount, primarily from acquisitions such as Delcam and merit increases and professional fees.</w:t>
      </w:r>
    </w:p>
    <w:p>
      <w:pPr>
        <w:spacing w:after="0" w:line="173"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For the third quarter of fiscal 2015, as compared to the third quarter of fiscal 2014, we expect general and administrative expenses to increase in absolute dollars and slightly increase as a percentage of net revenue.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8" w:name="page39"/>
    <w:bookmarkEnd w:id="38"/>
    <w:p>
      <w:pPr>
        <w:ind w:left="220"/>
        <w:spacing w:after="0"/>
        <w:rPr>
          <w:sz w:val="20"/>
          <w:szCs w:val="20"/>
          <w:color w:val="auto"/>
        </w:rPr>
      </w:pPr>
      <w:r>
        <w:rPr>
          <w:rFonts w:ascii="Arial" w:cs="Arial" w:eastAsia="Arial" w:hAnsi="Arial"/>
          <w:sz w:val="18"/>
          <w:szCs w:val="18"/>
          <w:i w:val="1"/>
          <w:iCs w:val="1"/>
          <w:color w:val="auto"/>
        </w:rPr>
        <w:t>Amortization of Purchased Intangibles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c>
          <w:tcPr>
            <w:tcW w:w="22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Increase compared to</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Six Months</w:t>
            </w:r>
          </w:p>
        </w:tc>
        <w:tc>
          <w:tcPr>
            <w:tcW w:w="220" w:type="dxa"/>
            <w:vAlign w:val="bottom"/>
          </w:tcPr>
          <w:p>
            <w:pPr>
              <w:spacing w:after="0"/>
              <w:rPr>
                <w:sz w:val="14"/>
                <w:szCs w:val="14"/>
                <w:color w:val="auto"/>
              </w:rPr>
            </w:pPr>
          </w:p>
        </w:tc>
        <w:tc>
          <w:tcPr>
            <w:tcW w:w="1480" w:type="dxa"/>
            <w:vAlign w:val="bottom"/>
            <w:gridSpan w:val="4"/>
          </w:tcPr>
          <w:p>
            <w:pPr>
              <w:jc w:val="center"/>
              <w:ind w:left="8"/>
              <w:spacing w:after="0"/>
              <w:rPr>
                <w:sz w:val="20"/>
                <w:szCs w:val="20"/>
                <w:color w:val="auto"/>
              </w:rPr>
            </w:pPr>
            <w:r>
              <w:rPr>
                <w:rFonts w:ascii="Arial" w:cs="Arial" w:eastAsia="Arial" w:hAnsi="Arial"/>
                <w:sz w:val="14"/>
                <w:szCs w:val="14"/>
                <w:b w:val="1"/>
                <w:bCs w:val="1"/>
                <w:color w:val="auto"/>
                <w:w w:val="91"/>
              </w:rPr>
              <w:t>Increase compared to</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64"/>
              <w:spacing w:after="0"/>
              <w:rPr>
                <w:sz w:val="20"/>
                <w:szCs w:val="20"/>
                <w:color w:val="auto"/>
              </w:rPr>
            </w:pPr>
            <w:r>
              <w:rPr>
                <w:rFonts w:ascii="Arial" w:cs="Arial" w:eastAsia="Arial" w:hAnsi="Arial"/>
                <w:sz w:val="14"/>
                <w:szCs w:val="14"/>
                <w:b w:val="1"/>
                <w:bCs w:val="1"/>
                <w:color w:val="auto"/>
                <w:w w:val="93"/>
              </w:rPr>
              <w:t>Six Months</w:t>
            </w:r>
          </w:p>
        </w:tc>
      </w:tr>
      <w:tr>
        <w:trPr>
          <w:trHeight w:val="192"/>
        </w:trPr>
        <w:tc>
          <w:tcPr>
            <w:tcW w:w="25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3"/>
              </w:rPr>
              <w:t>prior fiscal year</w:t>
            </w: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center"/>
              <w:ind w:left="28"/>
              <w:spacing w:after="0"/>
              <w:rPr>
                <w:sz w:val="20"/>
                <w:szCs w:val="20"/>
                <w:color w:val="auto"/>
              </w:rPr>
            </w:pPr>
            <w:r>
              <w:rPr>
                <w:rFonts w:ascii="Arial" w:cs="Arial" w:eastAsia="Arial" w:hAnsi="Arial"/>
                <w:sz w:val="14"/>
                <w:szCs w:val="14"/>
                <w:b w:val="1"/>
                <w:bCs w:val="1"/>
                <w:color w:val="auto"/>
                <w:w w:val="93"/>
              </w:rPr>
              <w:t>prior fiscal year</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258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22"/>
                <w:szCs w:val="22"/>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July 31, 2014</w:t>
            </w:r>
          </w:p>
        </w:tc>
        <w:tc>
          <w:tcPr>
            <w:tcW w:w="2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July 31, 2013</w:t>
            </w:r>
          </w:p>
        </w:tc>
        <w:tc>
          <w:tcPr>
            <w:tcW w:w="140" w:type="dxa"/>
            <w:vAlign w:val="bottom"/>
          </w:tcPr>
          <w:p>
            <w:pPr>
              <w:spacing w:after="0"/>
              <w:rPr>
                <w:sz w:val="22"/>
                <w:szCs w:val="2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July 31, 2014</w:t>
            </w:r>
          </w:p>
        </w:tc>
        <w:tc>
          <w:tcPr>
            <w:tcW w:w="220" w:type="dxa"/>
            <w:vAlign w:val="bottom"/>
          </w:tcPr>
          <w:p>
            <w:pPr>
              <w:spacing w:after="0"/>
              <w:rPr>
                <w:sz w:val="22"/>
                <w:szCs w:val="22"/>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center"/>
              <w:ind w:right="44"/>
              <w:spacing w:after="0"/>
              <w:rPr>
                <w:sz w:val="20"/>
                <w:szCs w:val="20"/>
                <w:color w:val="auto"/>
              </w:rPr>
            </w:pPr>
            <w:r>
              <w:rPr>
                <w:rFonts w:ascii="Arial" w:cs="Arial" w:eastAsia="Arial" w:hAnsi="Arial"/>
                <w:sz w:val="14"/>
                <w:szCs w:val="14"/>
                <w:b w:val="1"/>
                <w:bCs w:val="1"/>
                <w:color w:val="auto"/>
                <w:w w:val="92"/>
              </w:rPr>
              <w:t>July 31, 2013</w:t>
            </w:r>
          </w:p>
        </w:tc>
      </w:tr>
      <w:tr>
        <w:trPr>
          <w:trHeight w:val="206"/>
        </w:trPr>
        <w:tc>
          <w:tcPr>
            <w:tcW w:w="2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purchased</w:t>
            </w: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19"/>
        </w:trPr>
        <w:tc>
          <w:tcPr>
            <w:tcW w:w="2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intangibles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2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0.8</w:t>
            </w: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00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0.9</w:t>
            </w:r>
          </w:p>
        </w:tc>
        <w:tc>
          <w:tcPr>
            <w:tcW w:w="1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  $</w:t>
            </w:r>
          </w:p>
        </w:tc>
        <w:tc>
          <w:tcPr>
            <w:tcW w:w="9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20.1</w:t>
            </w:r>
          </w:p>
        </w:tc>
      </w:tr>
      <w:tr>
        <w:trPr>
          <w:trHeight w:val="237"/>
        </w:trPr>
        <w:tc>
          <w:tcPr>
            <w:tcW w:w="258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r>
    </w:tbl>
    <w:p>
      <w:pPr>
        <w:spacing w:after="0" w:line="235"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Amortization of purchased intangibles increased 9% and 4% during the three and six months ended July 31, 2014 as compared to the same periods in the prior fiscal year, primarily related to the accumulated effects associated with amortization expense of intangible assets purchased over time, including $81.9 million in assets purchased in the current year.</w:t>
      </w:r>
    </w:p>
    <w:p>
      <w:pPr>
        <w:spacing w:after="0" w:line="18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For the third quarter of fiscal 2015, as compared to the third quarter of fiscal 2014, we expect amortization of purchased intangibles to remain relatively flat in absolute dollars and as a percentage of net revenue.</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Restructuring Charges, Net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Three Months</w:t>
            </w:r>
          </w:p>
        </w:tc>
        <w:tc>
          <w:tcPr>
            <w:tcW w:w="220" w:type="dxa"/>
            <w:vAlign w:val="bottom"/>
          </w:tcPr>
          <w:p>
            <w:pPr>
              <w:spacing w:after="0"/>
              <w:rPr>
                <w:sz w:val="14"/>
                <w:szCs w:val="14"/>
                <w:color w:val="auto"/>
              </w:rPr>
            </w:pPr>
          </w:p>
        </w:tc>
        <w:tc>
          <w:tcPr>
            <w:tcW w:w="186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Decrease compared to</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Six Months</w:t>
            </w:r>
          </w:p>
        </w:tc>
        <w:tc>
          <w:tcPr>
            <w:tcW w:w="240" w:type="dxa"/>
            <w:vAlign w:val="bottom"/>
          </w:tcPr>
          <w:p>
            <w:pPr>
              <w:spacing w:after="0"/>
              <w:rPr>
                <w:sz w:val="14"/>
                <w:szCs w:val="14"/>
                <w:color w:val="auto"/>
              </w:rPr>
            </w:pPr>
          </w:p>
        </w:tc>
        <w:tc>
          <w:tcPr>
            <w:tcW w:w="19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1"/>
              </w:rPr>
              <w:t>Increase compared to</w:t>
            </w:r>
          </w:p>
        </w:tc>
        <w:tc>
          <w:tcPr>
            <w:tcW w:w="120" w:type="dxa"/>
            <w:vAlign w:val="bottom"/>
          </w:tcPr>
          <w:p>
            <w:pPr>
              <w:spacing w:after="0"/>
              <w:rPr>
                <w:sz w:val="14"/>
                <w:szCs w:val="14"/>
                <w:color w:val="auto"/>
              </w:rPr>
            </w:pPr>
          </w:p>
        </w:tc>
        <w:tc>
          <w:tcPr>
            <w:tcW w:w="980" w:type="dxa"/>
            <w:vAlign w:val="bottom"/>
          </w:tcPr>
          <w:p>
            <w:pPr>
              <w:jc w:val="center"/>
              <w:ind w:right="44"/>
              <w:spacing w:after="0"/>
              <w:rPr>
                <w:sz w:val="20"/>
                <w:szCs w:val="20"/>
                <w:color w:val="auto"/>
              </w:rPr>
            </w:pPr>
            <w:r>
              <w:rPr>
                <w:rFonts w:ascii="Arial" w:cs="Arial" w:eastAsia="Arial" w:hAnsi="Arial"/>
                <w:sz w:val="14"/>
                <w:szCs w:val="14"/>
                <w:b w:val="1"/>
                <w:bCs w:val="1"/>
                <w:color w:val="auto"/>
                <w:w w:val="93"/>
              </w:rPr>
              <w:t>Six Months</w:t>
            </w:r>
          </w:p>
        </w:tc>
      </w:tr>
      <w:tr>
        <w:trPr>
          <w:trHeight w:val="192"/>
        </w:trPr>
        <w:tc>
          <w:tcPr>
            <w:tcW w:w="2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right="123"/>
              <w:spacing w:after="0"/>
              <w:rPr>
                <w:sz w:val="20"/>
                <w:szCs w:val="20"/>
                <w:color w:val="auto"/>
              </w:rPr>
            </w:pPr>
            <w:r>
              <w:rPr>
                <w:rFonts w:ascii="Arial" w:cs="Arial" w:eastAsia="Arial" w:hAnsi="Arial"/>
                <w:sz w:val="14"/>
                <w:szCs w:val="14"/>
                <w:b w:val="1"/>
                <w:bCs w:val="1"/>
                <w:color w:val="auto"/>
                <w:w w:val="95"/>
              </w:rPr>
              <w:t>prior fiscal year</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22"/>
                <w:szCs w:val="22"/>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July 31, 2014</w:t>
            </w:r>
          </w:p>
        </w:tc>
        <w:tc>
          <w:tcPr>
            <w:tcW w:w="220" w:type="dxa"/>
            <w:vAlign w:val="bottom"/>
          </w:tcPr>
          <w:p>
            <w:pPr>
              <w:spacing w:after="0"/>
              <w:rPr>
                <w:sz w:val="22"/>
                <w:szCs w:val="22"/>
                <w:color w:val="auto"/>
              </w:rPr>
            </w:pPr>
          </w:p>
        </w:tc>
        <w:tc>
          <w:tcPr>
            <w:tcW w:w="68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940" w:type="dxa"/>
            <w:vAlign w:val="bottom"/>
          </w:tcPr>
          <w:p>
            <w:pPr>
              <w:jc w:val="right"/>
              <w:ind w:right="38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July 31, 2013</w:t>
            </w:r>
          </w:p>
        </w:tc>
        <w:tc>
          <w:tcPr>
            <w:tcW w:w="120" w:type="dxa"/>
            <w:vAlign w:val="bottom"/>
          </w:tcPr>
          <w:p>
            <w:pPr>
              <w:spacing w:after="0"/>
              <w:rPr>
                <w:sz w:val="22"/>
                <w:szCs w:val="22"/>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July 31, 2014</w:t>
            </w:r>
          </w:p>
        </w:tc>
        <w:tc>
          <w:tcPr>
            <w:tcW w:w="240" w:type="dxa"/>
            <w:vAlign w:val="bottom"/>
          </w:tcPr>
          <w:p>
            <w:pPr>
              <w:spacing w:after="0"/>
              <w:rPr>
                <w:sz w:val="22"/>
                <w:szCs w:val="22"/>
                <w:color w:val="auto"/>
              </w:rPr>
            </w:pPr>
          </w:p>
        </w:tc>
        <w:tc>
          <w:tcPr>
            <w:tcW w:w="640" w:type="dxa"/>
            <w:vAlign w:val="bottom"/>
          </w:tcPr>
          <w:p>
            <w:pPr>
              <w:jc w:val="right"/>
              <w:ind w:right="326"/>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960" w:type="dxa"/>
            <w:vAlign w:val="bottom"/>
          </w:tcPr>
          <w:p>
            <w:pPr>
              <w:jc w:val="right"/>
              <w:ind w:right="40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center"/>
              <w:ind w:right="64"/>
              <w:spacing w:after="0"/>
              <w:rPr>
                <w:sz w:val="20"/>
                <w:szCs w:val="20"/>
                <w:color w:val="auto"/>
              </w:rPr>
            </w:pPr>
            <w:r>
              <w:rPr>
                <w:rFonts w:ascii="Arial" w:cs="Arial" w:eastAsia="Arial" w:hAnsi="Arial"/>
                <w:sz w:val="14"/>
                <w:szCs w:val="14"/>
                <w:b w:val="1"/>
                <w:bCs w:val="1"/>
                <w:color w:val="auto"/>
                <w:w w:val="92"/>
              </w:rPr>
              <w:t>July 31, 2013</w:t>
            </w:r>
          </w:p>
        </w:tc>
      </w:tr>
      <w:tr>
        <w:trPr>
          <w:trHeight w:val="236"/>
        </w:trPr>
        <w:tc>
          <w:tcPr>
            <w:tcW w:w="2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 charges, net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(0.9)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1.0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48%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2.1</w:t>
            </w:r>
          </w:p>
        </w:tc>
      </w:tr>
      <w:tr>
        <w:trPr>
          <w:trHeight w:val="237"/>
        </w:trPr>
        <w:tc>
          <w:tcPr>
            <w:tcW w:w="230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40" w:type="dxa"/>
            <w:vAlign w:val="bottom"/>
          </w:tcPr>
          <w:p>
            <w:pPr>
              <w:spacing w:after="0"/>
              <w:rPr>
                <w:sz w:val="20"/>
                <w:szCs w:val="20"/>
                <w:color w:val="auto"/>
              </w:rPr>
            </w:pPr>
          </w:p>
        </w:tc>
        <w:tc>
          <w:tcPr>
            <w:tcW w:w="11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35" w:lineRule="exact"/>
        <w:rPr>
          <w:sz w:val="20"/>
          <w:szCs w:val="20"/>
          <w:color w:val="auto"/>
        </w:rPr>
      </w:pPr>
    </w:p>
    <w:p>
      <w:pPr>
        <w:ind w:right="240" w:firstLine="405"/>
        <w:spacing w:after="0" w:line="312" w:lineRule="auto"/>
        <w:rPr>
          <w:sz w:val="20"/>
          <w:szCs w:val="20"/>
          <w:color w:val="auto"/>
        </w:rPr>
      </w:pPr>
      <w:r>
        <w:rPr>
          <w:rFonts w:ascii="Arial" w:cs="Arial" w:eastAsia="Arial" w:hAnsi="Arial"/>
          <w:sz w:val="16"/>
          <w:szCs w:val="16"/>
          <w:color w:val="auto"/>
        </w:rPr>
        <w:t>During the third quarter of fiscal 2014, the Board of Directors approved a world-wide restructuring plan in order to re-balance staffing levels to better align them with the evolving needs of the business. The authorized plan included a reduction of approximately 85 positions and the consolidation of four leased facilities, with a total cost of approximately $15.0 million. We have substantially completed the actions authorized under this plan.</w:t>
      </w:r>
    </w:p>
    <w:p>
      <w:pPr>
        <w:spacing w:after="0" w:line="147"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During the three months ended July 31, 2014, we recorded an incremental restructuring charge associated with the Fiscal 2014 Plan of $0.8 million. During the six months ended July 31, 2014, we recorded an incremental restructuring charge associated with the Fiscal 2014 Plan of $3.1 million. See Note 13, “Restructuring,” in the Notes to the Condensed Consolidated Financial Statements for further discussion.</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and Other (Expense) Income,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interest and other (expense) income, net:</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4"/>
                <w:szCs w:val="14"/>
                <w:b w:val="1"/>
                <w:bCs w:val="1"/>
                <w:color w:val="auto"/>
              </w:rPr>
              <w:t>Three Months Ended July 31,</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42"/>
              <w:spacing w:after="0"/>
              <w:rPr>
                <w:sz w:val="20"/>
                <w:szCs w:val="20"/>
                <w:color w:val="auto"/>
              </w:rPr>
            </w:pPr>
            <w:r>
              <w:rPr>
                <w:rFonts w:ascii="Arial" w:cs="Arial" w:eastAsia="Arial" w:hAnsi="Arial"/>
                <w:sz w:val="14"/>
                <w:szCs w:val="14"/>
                <w:b w:val="1"/>
                <w:bCs w:val="1"/>
                <w:color w:val="auto"/>
              </w:rPr>
              <w:t>Six Months Ended July 31,</w:t>
            </w:r>
          </w:p>
        </w:tc>
        <w:tc>
          <w:tcPr>
            <w:tcW w:w="500" w:type="dxa"/>
            <w:vAlign w:val="bottom"/>
            <w:tcBorders>
              <w:bottom w:val="single" w:sz="8" w:color="auto"/>
            </w:tcBorders>
          </w:tcPr>
          <w:p>
            <w:pPr>
              <w:spacing w:after="0"/>
              <w:rPr>
                <w:sz w:val="16"/>
                <w:szCs w:val="16"/>
                <w:color w:val="auto"/>
              </w:rPr>
            </w:pP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auto"/>
            </w:tcBorders>
          </w:tcPr>
          <w:p>
            <w:pPr>
              <w:spacing w:after="0"/>
              <w:rPr>
                <w:sz w:val="22"/>
                <w:szCs w:val="22"/>
                <w:color w:val="auto"/>
              </w:rPr>
            </w:pPr>
          </w:p>
        </w:tc>
      </w:tr>
      <w:tr>
        <w:trPr>
          <w:trHeight w:val="236"/>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investment (expense) income, net</w:t>
            </w:r>
          </w:p>
        </w:tc>
        <w:tc>
          <w:tcPr>
            <w:tcW w:w="880" w:type="dxa"/>
            <w:vAlign w:val="bottom"/>
            <w:tcBorders>
              <w:bottom w:val="single" w:sz="8" w:color="CCEEFF"/>
            </w:tcBorders>
            <w:shd w:val="clear" w:color="auto" w:fill="CCEEFF"/>
          </w:tcPr>
          <w:p>
            <w:pPr>
              <w:jc w:val="right"/>
              <w:ind w:right="703"/>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03"/>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37"/>
        </w:trPr>
        <w:tc>
          <w:tcPr>
            <w:tcW w:w="5540" w:type="dxa"/>
            <w:vAlign w:val="bottom"/>
          </w:tcPr>
          <w:p>
            <w:pPr>
              <w:ind w:left="40"/>
              <w:spacing w:after="0"/>
              <w:rPr>
                <w:sz w:val="20"/>
                <w:szCs w:val="20"/>
                <w:color w:val="auto"/>
              </w:rPr>
            </w:pPr>
            <w:r>
              <w:rPr>
                <w:rFonts w:ascii="Arial" w:cs="Arial" w:eastAsia="Arial" w:hAnsi="Arial"/>
                <w:sz w:val="16"/>
                <w:szCs w:val="16"/>
                <w:color w:val="auto"/>
              </w:rPr>
              <w:t>(Loss) gain on foreign currency</w:t>
            </w:r>
          </w:p>
        </w:tc>
        <w:tc>
          <w:tcPr>
            <w:tcW w:w="8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(0.3)</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33"/>
        </w:trPr>
        <w:tc>
          <w:tcPr>
            <w:tcW w:w="5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strategic investments</w:t>
            </w: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37"/>
        </w:trPr>
        <w:tc>
          <w:tcPr>
            <w:tcW w:w="5540" w:type="dxa"/>
            <w:vAlign w:val="bottom"/>
          </w:tcPr>
          <w:p>
            <w:pPr>
              <w:ind w:left="40"/>
              <w:spacing w:after="0"/>
              <w:rPr>
                <w:sz w:val="20"/>
                <w:szCs w:val="20"/>
                <w:color w:val="auto"/>
              </w:rPr>
            </w:pPr>
            <w:r>
              <w:rPr>
                <w:rFonts w:ascii="Arial" w:cs="Arial" w:eastAsia="Arial" w:hAnsi="Arial"/>
                <w:sz w:val="16"/>
                <w:szCs w:val="16"/>
                <w:color w:val="auto"/>
              </w:rPr>
              <w:t>Other (loss) income</w:t>
            </w:r>
          </w:p>
        </w:tc>
        <w:tc>
          <w:tcPr>
            <w:tcW w:w="8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(0.1)</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5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5"/>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(expense) income, net</w:t>
            </w:r>
          </w:p>
        </w:tc>
        <w:tc>
          <w:tcPr>
            <w:tcW w:w="880" w:type="dxa"/>
            <w:vAlign w:val="bottom"/>
            <w:tcBorders>
              <w:bottom w:val="single" w:sz="8" w:color="CCEEFF"/>
            </w:tcBorders>
            <w:shd w:val="clear" w:color="auto" w:fill="CCEEFF"/>
          </w:tcPr>
          <w:p>
            <w:pPr>
              <w:jc w:val="right"/>
              <w:ind w:right="703"/>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3"/>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00" w:firstLine="405"/>
        <w:spacing w:after="0" w:line="286" w:lineRule="auto"/>
        <w:rPr>
          <w:sz w:val="20"/>
          <w:szCs w:val="20"/>
          <w:color w:val="auto"/>
        </w:rPr>
      </w:pPr>
      <w:r>
        <w:rPr>
          <w:rFonts w:ascii="Arial" w:cs="Arial" w:eastAsia="Arial" w:hAnsi="Arial"/>
          <w:sz w:val="17"/>
          <w:szCs w:val="17"/>
          <w:color w:val="auto"/>
        </w:rPr>
        <w:t>Interest and other (expense) income, net, decreased $5.2 million and $3.0 million during the three and six months ended July 31, 2014, respectively, as compared to the same periods in the prior fiscal year, primarily due to an other-than-temporary impairment on one of our privately held strategic investments and losses on the derivative portion on certain of our strategic investments that are marked-to-market each period.</w:t>
      </w:r>
    </w:p>
    <w:p>
      <w:pPr>
        <w:spacing w:after="0" w:line="166"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Interest and investment income fluctuates based on average cash, marketable securities and debt balances, average maturities and interest rates.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39" w:name="page40"/>
    <w:bookmarkEnd w:id="39"/>
    <w:p>
      <w:pPr>
        <w:ind w:right="200" w:firstLine="405"/>
        <w:spacing w:after="0" w:line="264" w:lineRule="auto"/>
        <w:rPr>
          <w:sz w:val="20"/>
          <w:szCs w:val="20"/>
          <w:color w:val="auto"/>
        </w:rPr>
      </w:pPr>
      <w:r>
        <w:rPr>
          <w:rFonts w:ascii="Arial" w:cs="Arial" w:eastAsia="Arial" w:hAnsi="Arial"/>
          <w:sz w:val="18"/>
          <w:szCs w:val="18"/>
          <w:color w:val="auto"/>
        </w:rPr>
        <w:t>Gains and losses on foreign currency are primarily due to the impact of re-measuring foreign currency transactions and net monetary assets into the functional currency of the corresponding entity. The amount of the gain or loss on foreign currency is driven by the volume of foreign currency transactions and the foreign currency exchange rates for the period.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81"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Our effective tax rate was 27% and 24% during the three and six months ended July 31, 2014, respectively, compared to 25% and 24% during the three and six months ended July 31, 2013, respectively. Our effective tax rate increased 2% during the three months ended July 31, 2014 as compared to the same period in the prior fiscal year primarily due to stock-based compensation expense, accrual for uncertain tax positions, the tax impact of an increase in the forecasted annual rate from the previous quarter, and expiration of the federal research and development tax credit provision, partially offset by greater tax rate benefits from foreign earnings. Our effective tax rate remained flat during the six months ended July 31, 2014 as compared to the same period in the prior fiscal year primarily due to greater tax rate benefits from foreign earnings offset by tax rate detriments from stock-based compensation expense, accrual for uncertain tax positions and expiration of the federal research and development tax credit provision. Excluding the impact of discrete tax items, the effective tax rate for each of the three and six month periods ended July 31, 2014 was 29%, and was lower than the Federal statutory tax rate of 35%, primarily due to foreign income taxed at lower rates partially offset by the impact of non-deductible stock based compensation expense and accrual for uncertain tax positions.</w:t>
      </w:r>
    </w:p>
    <w:p>
      <w:pPr>
        <w:spacing w:after="0" w:line="167"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Our future effective tax rate may be materially impacted by the amount of benefits and charges from tax amounts associated with our foreign earnings that are taxed at rates different from the federal statutory rate, research credits, state income taxes, the tax impact of stock-based compensation, accounting for uncertain tax positions, business combinations, U.S. Manufacturer's deduction, closure of statute of limitations or settlement of tax audits, changes in valuation allowances and changes in tax laws including possible U.S. tax law changes that, if enacted, could significantly impact how U.S. multinational companies are taxed on foreign subsidiary earnings. A significant amount of our earnings is generated by our Europe and Asia Pacific subsidiaries. Our future effective tax rates may be adversely affected to the extent earnings are lower than anticipated in countries where we have lower statutory tax rates or we repatriate certain foreign earnings on which U.S. taxes have not previously been provided.</w:t>
      </w:r>
    </w:p>
    <w:p>
      <w:pPr>
        <w:spacing w:after="0" w:line="17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At July 31, 2014, we had net deferred tax assets of $163.1 million. Pursuant to the adoption of ASU 2013-11, $41.4 million of unrecognized tax benefits have been presented as a reduction of deferred tax assets at July 31, 2014. We believe that we will generate sufficient future taxable income in appropriate tax jurisdictions to realize these assets.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80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Other Financial Information</w:t>
      </w:r>
    </w:p>
    <w:p>
      <w:pPr>
        <w:spacing w:after="0" w:line="229"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In addition to our results determined under U.S. generally accepted accounting principles (“GAAP”) discussed above, we believe the following non-GAAP measures are useful to investors in evaluating our operating performance. For the three and six months ended July 31, 2014, and 2013, our gross profit, gross margin, income from operations, operating margin, net income and diluted earnings per share on a GAAP and non-GAAP basis were as follows (in millions except for gross margin, operating margin and per share data):</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6200"/>
        <w:spacing w:after="0"/>
        <w:rPr>
          <w:sz w:val="20"/>
          <w:szCs w:val="20"/>
          <w:color w:val="auto"/>
        </w:rPr>
      </w:pPr>
      <w:r>
        <w:rPr>
          <w:rFonts w:ascii="Arial" w:cs="Arial" w:eastAsia="Arial" w:hAnsi="Arial"/>
          <w:sz w:val="13"/>
          <w:szCs w:val="13"/>
          <w:b w:val="1"/>
          <w:bCs w:val="1"/>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31115</wp:posOffset>
            </wp:positionV>
            <wp:extent cx="18097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14" w:lineRule="exact"/>
        <w:rPr>
          <w:sz w:val="20"/>
          <w:szCs w:val="20"/>
          <w:color w:val="auto"/>
        </w:rPr>
      </w:pPr>
    </w:p>
    <w:p>
      <w:pPr>
        <w:ind w:left="6220"/>
        <w:spacing w:after="0"/>
        <w:tabs>
          <w:tab w:leader="none" w:pos="768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23495</wp:posOffset>
            </wp:positionV>
            <wp:extent cx="18097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9" w:lineRule="exact"/>
        <w:rPr>
          <w:sz w:val="20"/>
          <w:szCs w:val="20"/>
          <w:color w:val="auto"/>
        </w:rPr>
      </w:pPr>
    </w:p>
    <w:p>
      <w:pPr>
        <w:ind w:left="674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Six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31115</wp:posOffset>
            </wp:positionV>
            <wp:extent cx="17665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114" w:lineRule="exact"/>
        <w:rPr>
          <w:sz w:val="20"/>
          <w:szCs w:val="20"/>
          <w:color w:val="auto"/>
        </w:rPr>
      </w:pPr>
    </w:p>
    <w:p>
      <w:pPr>
        <w:spacing w:after="0"/>
        <w:tabs>
          <w:tab w:leader="none" w:pos="1440" w:val="left"/>
        </w:tabs>
        <w:rPr>
          <w:sz w:val="20"/>
          <w:szCs w:val="20"/>
          <w:color w:val="auto"/>
        </w:rPr>
      </w:pPr>
      <w:r>
        <w:rPr>
          <w:rFonts w:ascii="Arial" w:cs="Arial" w:eastAsia="Arial" w:hAnsi="Arial"/>
          <w:sz w:val="12"/>
          <w:szCs w:val="12"/>
          <w:b w:val="1"/>
          <w:bCs w:val="1"/>
          <w:color w:val="auto"/>
        </w:rPr>
        <w:t>2014</w:t>
      </w:r>
      <w:r>
        <w:rPr>
          <w:sz w:val="20"/>
          <w:szCs w:val="20"/>
          <w:color w:val="auto"/>
        </w:rPr>
        <w:tab/>
      </w:r>
      <w:r>
        <w:rPr>
          <w:rFonts w:ascii="Arial" w:cs="Arial" w:eastAsia="Arial" w:hAnsi="Arial"/>
          <w:sz w:val="12"/>
          <w:szCs w:val="12"/>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38100</wp:posOffset>
            </wp:positionV>
            <wp:extent cx="17665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112"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(Unaudited)</w:t>
      </w:r>
    </w:p>
    <w:p>
      <w:pPr>
        <w:spacing w:after="0" w:line="45" w:lineRule="exact"/>
        <w:rPr>
          <w:sz w:val="20"/>
          <w:szCs w:val="20"/>
          <w:color w:val="auto"/>
        </w:rPr>
      </w:pPr>
    </w:p>
    <w:p>
      <w:pPr>
        <w:sectPr>
          <w:pgSz w:w="11900" w:h="16838" w:orient="portrait"/>
          <w:cols w:equalWidth="0" w:num="2">
            <w:col w:w="8420" w:space="720"/>
            <w:col w:w="2280"/>
          </w:cols>
          <w:pgMar w:left="240" w:top="580" w:right="239" w:bottom="1440"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9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549.2</w:t>
            </w:r>
          </w:p>
        </w:tc>
        <w:tc>
          <w:tcPr>
            <w:tcW w:w="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493.9</w:t>
            </w:r>
          </w:p>
        </w:tc>
        <w:tc>
          <w:tcPr>
            <w:tcW w:w="4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1,063.0</w:t>
            </w:r>
          </w:p>
        </w:tc>
        <w:tc>
          <w:tcPr>
            <w:tcW w:w="4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996.8</w:t>
            </w:r>
          </w:p>
        </w:tc>
      </w:tr>
      <w:tr>
        <w:trPr>
          <w:trHeight w:val="237"/>
        </w:trPr>
        <w:tc>
          <w:tcPr>
            <w:tcW w:w="4220" w:type="dxa"/>
            <w:vAlign w:val="bottom"/>
          </w:tcPr>
          <w:p>
            <w:pPr>
              <w:ind w:left="40"/>
              <w:spacing w:after="0"/>
              <w:rPr>
                <w:sz w:val="20"/>
                <w:szCs w:val="20"/>
                <w:color w:val="auto"/>
              </w:rPr>
            </w:pPr>
            <w:r>
              <w:rPr>
                <w:rFonts w:ascii="Arial" w:cs="Arial" w:eastAsia="Arial" w:hAnsi="Arial"/>
                <w:sz w:val="16"/>
                <w:szCs w:val="16"/>
                <w:color w:val="auto"/>
              </w:rPr>
              <w:t>Non-GAAP gross profit</w:t>
            </w:r>
          </w:p>
        </w:tc>
        <w:tc>
          <w:tcPr>
            <w:tcW w:w="19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565.8</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506.3</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1,094.3</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1,021.5</w:t>
            </w:r>
          </w:p>
        </w:tc>
      </w:tr>
      <w:tr>
        <w:trPr>
          <w:trHeight w:val="33"/>
        </w:trPr>
        <w:tc>
          <w:tcPr>
            <w:tcW w:w="4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19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37"/>
        </w:trPr>
        <w:tc>
          <w:tcPr>
            <w:tcW w:w="4220" w:type="dxa"/>
            <w:vAlign w:val="bottom"/>
          </w:tcPr>
          <w:p>
            <w:pPr>
              <w:ind w:left="40"/>
              <w:spacing w:after="0"/>
              <w:rPr>
                <w:sz w:val="20"/>
                <w:szCs w:val="20"/>
                <w:color w:val="auto"/>
              </w:rPr>
            </w:pPr>
            <w:r>
              <w:rPr>
                <w:rFonts w:ascii="Arial" w:cs="Arial" w:eastAsia="Arial" w:hAnsi="Arial"/>
                <w:sz w:val="16"/>
                <w:szCs w:val="16"/>
                <w:color w:val="auto"/>
              </w:rPr>
              <w:t>Non-GAAP gross margin</w:t>
            </w:r>
          </w:p>
        </w:tc>
        <w:tc>
          <w:tcPr>
            <w:tcW w:w="19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89%</w:t>
            </w: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w:t>
            </w: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89%</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33"/>
        </w:trPr>
        <w:tc>
          <w:tcPr>
            <w:tcW w:w="4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19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49.9</w:t>
            </w:r>
          </w:p>
        </w:tc>
        <w:tc>
          <w:tcPr>
            <w:tcW w:w="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83.6</w:t>
            </w:r>
          </w:p>
        </w:tc>
        <w:tc>
          <w:tcPr>
            <w:tcW w:w="4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92.1</w:t>
            </w:r>
          </w:p>
        </w:tc>
        <w:tc>
          <w:tcPr>
            <w:tcW w:w="4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165.0</w:t>
            </w:r>
          </w:p>
        </w:tc>
      </w:tr>
      <w:tr>
        <w:trPr>
          <w:trHeight w:val="237"/>
        </w:trPr>
        <w:tc>
          <w:tcPr>
            <w:tcW w:w="4220" w:type="dxa"/>
            <w:vAlign w:val="bottom"/>
          </w:tcPr>
          <w:p>
            <w:pPr>
              <w:ind w:left="40"/>
              <w:spacing w:after="0"/>
              <w:rPr>
                <w:sz w:val="20"/>
                <w:szCs w:val="20"/>
                <w:color w:val="auto"/>
              </w:rPr>
            </w:pPr>
            <w:r>
              <w:rPr>
                <w:rFonts w:ascii="Arial" w:cs="Arial" w:eastAsia="Arial" w:hAnsi="Arial"/>
                <w:sz w:val="16"/>
                <w:szCs w:val="16"/>
                <w:color w:val="auto"/>
              </w:rPr>
              <w:t>Non-GAAP income from operations</w:t>
            </w:r>
          </w:p>
        </w:tc>
        <w:tc>
          <w:tcPr>
            <w:tcW w:w="19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115.1</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136.6</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217.1</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273.5</w:t>
            </w:r>
          </w:p>
        </w:tc>
      </w:tr>
      <w:tr>
        <w:trPr>
          <w:trHeight w:val="33"/>
        </w:trPr>
        <w:tc>
          <w:tcPr>
            <w:tcW w:w="4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margin</w:t>
            </w:r>
          </w:p>
        </w:tc>
        <w:tc>
          <w:tcPr>
            <w:tcW w:w="19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37"/>
        </w:trPr>
        <w:tc>
          <w:tcPr>
            <w:tcW w:w="4220" w:type="dxa"/>
            <w:vAlign w:val="bottom"/>
          </w:tcPr>
          <w:p>
            <w:pPr>
              <w:ind w:left="40"/>
              <w:spacing w:after="0"/>
              <w:rPr>
                <w:sz w:val="20"/>
                <w:szCs w:val="20"/>
                <w:color w:val="auto"/>
              </w:rPr>
            </w:pPr>
            <w:r>
              <w:rPr>
                <w:rFonts w:ascii="Arial" w:cs="Arial" w:eastAsia="Arial" w:hAnsi="Arial"/>
                <w:sz w:val="16"/>
                <w:szCs w:val="16"/>
                <w:color w:val="auto"/>
              </w:rPr>
              <w:t>Non-GAAP operating margin</w:t>
            </w:r>
          </w:p>
        </w:tc>
        <w:tc>
          <w:tcPr>
            <w:tcW w:w="19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w:t>
            </w: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w:t>
            </w: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3"/>
        </w:trPr>
        <w:tc>
          <w:tcPr>
            <w:tcW w:w="4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9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31.3</w:t>
            </w:r>
          </w:p>
        </w:tc>
        <w:tc>
          <w:tcPr>
            <w:tcW w:w="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61.7</w:t>
            </w:r>
          </w:p>
        </w:tc>
        <w:tc>
          <w:tcPr>
            <w:tcW w:w="4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59.6</w:t>
            </w:r>
          </w:p>
        </w:tc>
        <w:tc>
          <w:tcPr>
            <w:tcW w:w="4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117.3</w:t>
            </w:r>
          </w:p>
        </w:tc>
      </w:tr>
      <w:tr>
        <w:trPr>
          <w:trHeight w:val="237"/>
        </w:trPr>
        <w:tc>
          <w:tcPr>
            <w:tcW w:w="4220" w:type="dxa"/>
            <w:vAlign w:val="bottom"/>
          </w:tcPr>
          <w:p>
            <w:pPr>
              <w:ind w:left="40"/>
              <w:spacing w:after="0"/>
              <w:rPr>
                <w:sz w:val="20"/>
                <w:szCs w:val="20"/>
                <w:color w:val="auto"/>
              </w:rPr>
            </w:pPr>
            <w:r>
              <w:rPr>
                <w:rFonts w:ascii="Arial" w:cs="Arial" w:eastAsia="Arial" w:hAnsi="Arial"/>
                <w:sz w:val="16"/>
                <w:szCs w:val="16"/>
                <w:color w:val="auto"/>
              </w:rPr>
              <w:t>Non-GAAP net income</w:t>
            </w:r>
          </w:p>
        </w:tc>
        <w:tc>
          <w:tcPr>
            <w:tcW w:w="19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82.0</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101.8</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155.8</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198.1</w:t>
            </w:r>
          </w:p>
        </w:tc>
      </w:tr>
      <w:tr>
        <w:trPr>
          <w:trHeight w:val="33"/>
        </w:trPr>
        <w:tc>
          <w:tcPr>
            <w:tcW w:w="4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share (1)</w:t>
            </w:r>
          </w:p>
        </w:tc>
        <w:tc>
          <w:tcPr>
            <w:tcW w:w="19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0.13</w:t>
            </w:r>
          </w:p>
        </w:tc>
        <w:tc>
          <w:tcPr>
            <w:tcW w:w="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0.27</w:t>
            </w:r>
          </w:p>
        </w:tc>
        <w:tc>
          <w:tcPr>
            <w:tcW w:w="4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0.26</w:t>
            </w:r>
          </w:p>
        </w:tc>
        <w:tc>
          <w:tcPr>
            <w:tcW w:w="4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0.51</w:t>
            </w:r>
          </w:p>
        </w:tc>
      </w:tr>
      <w:tr>
        <w:trPr>
          <w:trHeight w:val="237"/>
        </w:trPr>
        <w:tc>
          <w:tcPr>
            <w:tcW w:w="4220" w:type="dxa"/>
            <w:vAlign w:val="bottom"/>
          </w:tcPr>
          <w:p>
            <w:pPr>
              <w:ind w:left="40"/>
              <w:spacing w:after="0"/>
              <w:rPr>
                <w:sz w:val="20"/>
                <w:szCs w:val="20"/>
                <w:color w:val="auto"/>
              </w:rPr>
            </w:pPr>
            <w:r>
              <w:rPr>
                <w:rFonts w:ascii="Arial" w:cs="Arial" w:eastAsia="Arial" w:hAnsi="Arial"/>
                <w:sz w:val="16"/>
                <w:szCs w:val="16"/>
                <w:color w:val="auto"/>
              </w:rPr>
              <w:t>Non-GAAP diluted earnings per share (1)</w:t>
            </w:r>
          </w:p>
        </w:tc>
        <w:tc>
          <w:tcPr>
            <w:tcW w:w="19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0.35</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0.45</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0.67</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0.86</w:t>
            </w:r>
          </w:p>
        </w:tc>
      </w:tr>
      <w:tr>
        <w:trPr>
          <w:trHeight w:val="249"/>
        </w:trPr>
        <w:tc>
          <w:tcPr>
            <w:tcW w:w="4220" w:type="dxa"/>
            <w:vAlign w:val="bottom"/>
          </w:tcPr>
          <w:p>
            <w:pPr>
              <w:spacing w:after="0"/>
              <w:rPr>
                <w:sz w:val="20"/>
                <w:szCs w:val="20"/>
                <w:color w:val="auto"/>
              </w:rPr>
            </w:pPr>
            <w:r>
              <w:rPr>
                <w:rFonts w:ascii="Arial" w:cs="Arial" w:eastAsia="Arial" w:hAnsi="Arial"/>
                <w:sz w:val="18"/>
                <w:szCs w:val="18"/>
                <w:color w:val="auto"/>
              </w:rPr>
              <w:t>_______________</w:t>
            </w:r>
          </w:p>
        </w:tc>
        <w:tc>
          <w:tcPr>
            <w:tcW w:w="19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spacing w:after="0" w:line="4" w:lineRule="exact"/>
        <w:rPr>
          <w:sz w:val="20"/>
          <w:szCs w:val="20"/>
          <w:color w:val="auto"/>
        </w:rPr>
      </w:pPr>
    </w:p>
    <w:p>
      <w:pPr>
        <w:ind w:left="420" w:right="40" w:hanging="412"/>
        <w:spacing w:after="0" w:line="281"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6"/>
          <w:szCs w:val="16"/>
          <w:color w:val="auto"/>
        </w:rPr>
        <w:t>Earnings per share were computed independently for each of the periods presented; therefore the sum of the earnings per share amount for the quarters may not equal the total for the year.</w:t>
      </w:r>
    </w:p>
    <w:p>
      <w:pPr>
        <w:spacing w:after="0" w:line="172"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For our internal budgeting and resource allocation process and as a means to evaluate period-to-period comparisons, we use non-GAAP measures to supplement our condensed consolidated financial statements presented on a GAAP basis. These non-GAAP measures do not include certain items that may have a material impact upon our reported financial results. We use non-GAAP measures in making operating decisions because we believe those measures provide meaningful supplemental information regarding our earning potential and performance for management by excluding certain expenses and charges that may not be indicative of our core business operating results. For the reasons set forth below,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This allows investors and others to better understand and evaluate our operating results and future prospects in the same manner as management, compare financial results across accounting periods and to those of peer companies and to better understand the long-term performance of our core business. We also use some of these measures for purposes of determining company-wide incentive compensation.</w:t>
      </w:r>
    </w:p>
    <w:p>
      <w:pPr>
        <w:spacing w:after="0" w:line="178"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GAAP financial measures included below, and not to rely on any single financial measure to evaluate our business.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0" w:right="2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Reconciliation of GAAP Financial Measures to 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for gross margin, operating margin and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Three Months Ended July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64"/>
        </w:trPr>
        <w:tc>
          <w:tcPr>
            <w:tcW w:w="5060" w:type="dxa"/>
            <w:vAlign w:val="bottom"/>
          </w:tcPr>
          <w:p>
            <w:pPr>
              <w:spacing w:after="0"/>
              <w:rPr>
                <w:sz w:val="22"/>
                <w:szCs w:val="22"/>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5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(Unaudited)</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80" w:type="dxa"/>
            <w:vAlign w:val="bottom"/>
            <w:gridSpan w:val="3"/>
          </w:tcPr>
          <w:p>
            <w:pPr>
              <w:ind w:left="820"/>
              <w:spacing w:after="0"/>
              <w:rPr>
                <w:sz w:val="20"/>
                <w:szCs w:val="20"/>
                <w:color w:val="auto"/>
              </w:rPr>
            </w:pPr>
            <w:r>
              <w:rPr>
                <w:rFonts w:ascii="Arial" w:cs="Arial" w:eastAsia="Arial" w:hAnsi="Arial"/>
                <w:sz w:val="14"/>
                <w:szCs w:val="14"/>
                <w:b w:val="1"/>
                <w:bCs w:val="1"/>
                <w:color w:val="auto"/>
              </w:rPr>
              <w:t>(Unaudited)</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549.2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493.9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1,063.0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996.8</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1060" w:type="dxa"/>
            <w:vAlign w:val="bottom"/>
          </w:tcPr>
          <w:p>
            <w:pPr>
              <w:spacing w:after="0"/>
              <w:rPr>
                <w:sz w:val="20"/>
                <w:szCs w:val="20"/>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10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17"/>
        </w:trPr>
        <w:tc>
          <w:tcPr>
            <w:tcW w:w="5060" w:type="dxa"/>
            <w:vAlign w:val="bottom"/>
          </w:tcPr>
          <w:p>
            <w:pPr>
              <w:ind w:left="40"/>
              <w:spacing w:after="0"/>
              <w:rPr>
                <w:sz w:val="20"/>
                <w:szCs w:val="20"/>
                <w:color w:val="auto"/>
              </w:rPr>
            </w:pPr>
            <w:r>
              <w:rPr>
                <w:rFonts w:ascii="Arial" w:cs="Arial" w:eastAsia="Arial" w:hAnsi="Arial"/>
                <w:sz w:val="16"/>
                <w:szCs w:val="16"/>
                <w:color w:val="auto"/>
              </w:rPr>
              <w:t>Non-GAAP gross profit</w:t>
            </w:r>
          </w:p>
        </w:tc>
        <w:tc>
          <w:tcPr>
            <w:tcW w:w="1060" w:type="dxa"/>
            <w:vAlign w:val="bottom"/>
            <w:tcBorders>
              <w:top w:val="single" w:sz="8" w:color="auto"/>
            </w:tcBorders>
          </w:tcPr>
          <w:p>
            <w:pPr>
              <w:jc w:val="right"/>
              <w:ind w:right="881"/>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565.8</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ind w:right="700"/>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506.3</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1,094.3</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1,021.5</w:t>
            </w:r>
          </w:p>
        </w:tc>
        <w:tc>
          <w:tcPr>
            <w:tcW w:w="0" w:type="dxa"/>
            <w:vAlign w:val="bottom"/>
          </w:tcPr>
          <w:p>
            <w:pPr>
              <w:spacing w:after="0"/>
              <w:rPr>
                <w:sz w:val="1"/>
                <w:szCs w:val="1"/>
                <w:color w:val="auto"/>
              </w:rPr>
            </w:pPr>
          </w:p>
        </w:tc>
      </w:tr>
      <w:tr>
        <w:trPr>
          <w:trHeight w:val="73"/>
        </w:trPr>
        <w:tc>
          <w:tcPr>
            <w:tcW w:w="506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0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Gross margin</w:t>
            </w:r>
          </w:p>
        </w:tc>
        <w:tc>
          <w:tcPr>
            <w:tcW w:w="10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1060" w:type="dxa"/>
            <w:vAlign w:val="bottom"/>
          </w:tcPr>
          <w:p>
            <w:pPr>
              <w:spacing w:after="0"/>
              <w:rPr>
                <w:sz w:val="20"/>
                <w:szCs w:val="20"/>
                <w:color w:val="auto"/>
              </w:rPr>
            </w:pPr>
          </w:p>
        </w:tc>
        <w:tc>
          <w:tcPr>
            <w:tcW w:w="70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20"/>
                <w:szCs w:val="20"/>
                <w:color w:val="auto"/>
              </w:rPr>
            </w:pPr>
          </w:p>
        </w:tc>
        <w:tc>
          <w:tcPr>
            <w:tcW w:w="6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10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5060" w:type="dxa"/>
            <w:vAlign w:val="bottom"/>
          </w:tcPr>
          <w:p>
            <w:pPr>
              <w:ind w:left="40"/>
              <w:spacing w:after="0"/>
              <w:rPr>
                <w:sz w:val="20"/>
                <w:szCs w:val="20"/>
                <w:color w:val="auto"/>
              </w:rPr>
            </w:pPr>
            <w:r>
              <w:rPr>
                <w:rFonts w:ascii="Arial" w:cs="Arial" w:eastAsia="Arial" w:hAnsi="Arial"/>
                <w:sz w:val="16"/>
                <w:szCs w:val="16"/>
                <w:color w:val="auto"/>
              </w:rPr>
              <w:t>Non-GAAP gross margin</w:t>
            </w:r>
          </w:p>
        </w:tc>
        <w:tc>
          <w:tcPr>
            <w:tcW w:w="10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73"/>
        </w:trPr>
        <w:tc>
          <w:tcPr>
            <w:tcW w:w="506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0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Income from operations</w:t>
            </w: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49.9</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83.6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92.1</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165.0</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1060" w:type="dxa"/>
            <w:vAlign w:val="bottom"/>
          </w:tcPr>
          <w:p>
            <w:pPr>
              <w:spacing w:after="0"/>
              <w:rPr>
                <w:sz w:val="20"/>
                <w:szCs w:val="20"/>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73.4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64.5</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1060" w:type="dxa"/>
            <w:vAlign w:val="bottom"/>
          </w:tcPr>
          <w:p>
            <w:pPr>
              <w:spacing w:after="0"/>
              <w:rPr>
                <w:sz w:val="20"/>
                <w:szCs w:val="20"/>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w:t>
            </w:r>
          </w:p>
        </w:tc>
        <w:tc>
          <w:tcPr>
            <w:tcW w:w="10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7"/>
        </w:trPr>
        <w:tc>
          <w:tcPr>
            <w:tcW w:w="5060" w:type="dxa"/>
            <w:vAlign w:val="bottom"/>
          </w:tcPr>
          <w:p>
            <w:pPr>
              <w:ind w:left="40"/>
              <w:spacing w:after="0"/>
              <w:rPr>
                <w:sz w:val="20"/>
                <w:szCs w:val="20"/>
                <w:color w:val="auto"/>
              </w:rPr>
            </w:pPr>
            <w:r>
              <w:rPr>
                <w:rFonts w:ascii="Arial" w:cs="Arial" w:eastAsia="Arial" w:hAnsi="Arial"/>
                <w:sz w:val="16"/>
                <w:szCs w:val="16"/>
                <w:color w:val="auto"/>
              </w:rPr>
              <w:t>Non-GAAP income from operations</w:t>
            </w:r>
          </w:p>
        </w:tc>
        <w:tc>
          <w:tcPr>
            <w:tcW w:w="1060" w:type="dxa"/>
            <w:vAlign w:val="bottom"/>
            <w:tcBorders>
              <w:top w:val="single" w:sz="8" w:color="auto"/>
            </w:tcBorders>
          </w:tcPr>
          <w:p>
            <w:pPr>
              <w:jc w:val="right"/>
              <w:ind w:right="881"/>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115.1</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ind w:right="700"/>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136.6</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217.1</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273.5</w:t>
            </w:r>
          </w:p>
        </w:tc>
        <w:tc>
          <w:tcPr>
            <w:tcW w:w="0" w:type="dxa"/>
            <w:vAlign w:val="bottom"/>
          </w:tcPr>
          <w:p>
            <w:pPr>
              <w:spacing w:after="0"/>
              <w:rPr>
                <w:sz w:val="1"/>
                <w:szCs w:val="1"/>
                <w:color w:val="auto"/>
              </w:rPr>
            </w:pPr>
          </w:p>
        </w:tc>
      </w:tr>
      <w:tr>
        <w:trPr>
          <w:trHeight w:val="73"/>
        </w:trPr>
        <w:tc>
          <w:tcPr>
            <w:tcW w:w="506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0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Operating margin</w:t>
            </w:r>
          </w:p>
        </w:tc>
        <w:tc>
          <w:tcPr>
            <w:tcW w:w="10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w:t>
            </w:r>
          </w:p>
        </w:tc>
        <w:tc>
          <w:tcPr>
            <w:tcW w:w="10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060" w:type="dxa"/>
            <w:vAlign w:val="bottom"/>
          </w:tcPr>
          <w:p>
            <w:pPr>
              <w:ind w:left="40"/>
              <w:spacing w:after="0"/>
              <w:rPr>
                <w:sz w:val="20"/>
                <w:szCs w:val="20"/>
                <w:color w:val="auto"/>
              </w:rPr>
            </w:pPr>
            <w:r>
              <w:rPr>
                <w:rFonts w:ascii="Arial" w:cs="Arial" w:eastAsia="Arial" w:hAnsi="Arial"/>
                <w:sz w:val="16"/>
                <w:szCs w:val="16"/>
                <w:color w:val="auto"/>
              </w:rPr>
              <w:t>Non-GAAP operating margin</w:t>
            </w:r>
          </w:p>
        </w:tc>
        <w:tc>
          <w:tcPr>
            <w:tcW w:w="10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73"/>
        </w:trPr>
        <w:tc>
          <w:tcPr>
            <w:tcW w:w="506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0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Net income</w:t>
            </w: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31.3</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59.6</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117.3</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1060" w:type="dxa"/>
            <w:vAlign w:val="bottom"/>
          </w:tcPr>
          <w:p>
            <w:pPr>
              <w:spacing w:after="0"/>
              <w:rPr>
                <w:sz w:val="20"/>
                <w:szCs w:val="20"/>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73.4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64.5</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1060" w:type="dxa"/>
            <w:vAlign w:val="bottom"/>
          </w:tcPr>
          <w:p>
            <w:pPr>
              <w:spacing w:after="0"/>
              <w:rPr>
                <w:sz w:val="20"/>
                <w:szCs w:val="20"/>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Loss on strategic investments</w:t>
            </w:r>
          </w:p>
        </w:tc>
        <w:tc>
          <w:tcPr>
            <w:tcW w:w="1060" w:type="dxa"/>
            <w:vAlign w:val="bottom"/>
          </w:tcPr>
          <w:p>
            <w:pPr>
              <w:spacing w:after="0"/>
              <w:rPr>
                <w:sz w:val="20"/>
                <w:szCs w:val="20"/>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Discrete tax provision items</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106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33"/>
        </w:trPr>
        <w:tc>
          <w:tcPr>
            <w:tcW w:w="5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net income</w:t>
            </w: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101.8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155.8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198.1</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income per share (1)</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60" w:type="dxa"/>
            <w:vAlign w:val="bottom"/>
            <w:vMerge w:val="continue"/>
          </w:tcPr>
          <w:p>
            <w:pPr>
              <w:spacing w:after="0"/>
              <w:rPr>
                <w:sz w:val="17"/>
                <w:szCs w:val="17"/>
                <w:color w:val="auto"/>
              </w:rPr>
            </w:pPr>
          </w:p>
        </w:tc>
        <w:tc>
          <w:tcPr>
            <w:tcW w:w="1060" w:type="dxa"/>
            <w:vAlign w:val="bottom"/>
          </w:tcPr>
          <w:p>
            <w:pPr>
              <w:jc w:val="right"/>
              <w:ind w:right="88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17"/>
                <w:szCs w:val="17"/>
                <w:color w:val="auto"/>
              </w:rPr>
            </w:pPr>
          </w:p>
        </w:tc>
        <w:tc>
          <w:tcPr>
            <w:tcW w:w="900" w:type="dxa"/>
            <w:vAlign w:val="bottom"/>
          </w:tcPr>
          <w:p>
            <w:pPr>
              <w:jc w:val="right"/>
              <w:ind w:right="70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0.27</w:t>
            </w:r>
          </w:p>
        </w:tc>
        <w:tc>
          <w:tcPr>
            <w:tcW w:w="100" w:type="dxa"/>
            <w:vAlign w:val="bottom"/>
          </w:tcPr>
          <w:p>
            <w:pPr>
              <w:spacing w:after="0"/>
              <w:rPr>
                <w:sz w:val="17"/>
                <w:szCs w:val="17"/>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17"/>
                <w:szCs w:val="17"/>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0.51</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1060" w:type="dxa"/>
            <w:vAlign w:val="bottom"/>
          </w:tcPr>
          <w:p>
            <w:pPr>
              <w:spacing w:after="0"/>
              <w:rPr>
                <w:sz w:val="20"/>
                <w:szCs w:val="20"/>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0.12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Restructuring charges</w:t>
            </w:r>
          </w:p>
        </w:tc>
        <w:tc>
          <w:tcPr>
            <w:tcW w:w="1060" w:type="dxa"/>
            <w:vAlign w:val="bottom"/>
          </w:tcPr>
          <w:p>
            <w:pPr>
              <w:spacing w:after="0"/>
              <w:rPr>
                <w:sz w:val="20"/>
                <w:szCs w:val="20"/>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strategic investments</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Discrete tax provision items</w:t>
            </w:r>
          </w:p>
        </w:tc>
        <w:tc>
          <w:tcPr>
            <w:tcW w:w="106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10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17"/>
        </w:trPr>
        <w:tc>
          <w:tcPr>
            <w:tcW w:w="5060" w:type="dxa"/>
            <w:vAlign w:val="bottom"/>
          </w:tcPr>
          <w:p>
            <w:pPr>
              <w:ind w:left="40"/>
              <w:spacing w:after="0"/>
              <w:rPr>
                <w:sz w:val="20"/>
                <w:szCs w:val="20"/>
                <w:color w:val="auto"/>
              </w:rPr>
            </w:pPr>
            <w:r>
              <w:rPr>
                <w:rFonts w:ascii="Arial" w:cs="Arial" w:eastAsia="Arial" w:hAnsi="Arial"/>
                <w:sz w:val="16"/>
                <w:szCs w:val="16"/>
                <w:color w:val="auto"/>
              </w:rPr>
              <w:t>Non-GAAP diluted net income per share (1)</w:t>
            </w:r>
          </w:p>
        </w:tc>
        <w:tc>
          <w:tcPr>
            <w:tcW w:w="1060" w:type="dxa"/>
            <w:vAlign w:val="bottom"/>
            <w:tcBorders>
              <w:top w:val="single" w:sz="8" w:color="auto"/>
            </w:tcBorders>
          </w:tcPr>
          <w:p>
            <w:pPr>
              <w:jc w:val="right"/>
              <w:ind w:right="881"/>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0.35</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ind w:right="700"/>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0.45</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0.67</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0.86</w:t>
            </w:r>
          </w:p>
        </w:tc>
        <w:tc>
          <w:tcPr>
            <w:tcW w:w="0" w:type="dxa"/>
            <w:vAlign w:val="bottom"/>
          </w:tcPr>
          <w:p>
            <w:pPr>
              <w:spacing w:after="0"/>
              <w:rPr>
                <w:sz w:val="1"/>
                <w:szCs w:val="1"/>
                <w:color w:val="auto"/>
              </w:rPr>
            </w:pPr>
          </w:p>
        </w:tc>
      </w:tr>
      <w:tr>
        <w:trPr>
          <w:trHeight w:val="33"/>
        </w:trPr>
        <w:tc>
          <w:tcPr>
            <w:tcW w:w="506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60" w:type="dxa"/>
            <w:vAlign w:val="bottom"/>
            <w:vMerge w:val="continue"/>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6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420" w:right="40" w:hanging="412"/>
        <w:spacing w:after="0" w:line="281"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6"/>
          <w:szCs w:val="16"/>
          <w:color w:val="auto"/>
        </w:rPr>
        <w:t>Earnings per share were computed independently for each of the periods presented; therefore the sum of the earnings per share amount for the quarters may not equal the total for the year.</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580" w:right="239" w:bottom="1440" w:gutter="0" w:footer="0" w:header="0"/>
          <w:type w:val="continuous"/>
        </w:sectPr>
      </w:pPr>
    </w:p>
    <w:bookmarkStart w:id="42" w:name="page43"/>
    <w:bookmarkEnd w:id="42"/>
    <w:p>
      <w:pPr>
        <w:ind w:left="420"/>
        <w:spacing w:after="0"/>
        <w:rPr>
          <w:sz w:val="20"/>
          <w:szCs w:val="20"/>
          <w:color w:val="auto"/>
        </w:rPr>
      </w:pPr>
      <w:r>
        <w:rPr>
          <w:rFonts w:ascii="Arial" w:cs="Arial" w:eastAsia="Arial" w:hAnsi="Arial"/>
          <w:sz w:val="18"/>
          <w:szCs w:val="18"/>
          <w:color w:val="auto"/>
        </w:rPr>
        <w:t>Our non-GAAP financial measures may exclude the following:</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 xml:space="preserve">Stock-based compensation expenses. </w:t>
      </w:r>
      <w:r>
        <w:rPr>
          <w:rFonts w:ascii="Arial" w:cs="Arial" w:eastAsia="Arial" w:hAnsi="Arial"/>
          <w:sz w:val="17"/>
          <w:szCs w:val="17"/>
          <w:color w:val="auto"/>
        </w:rPr>
        <w:t>We exclude stock-based compensation expenses from non-GAAP measures primarily because they are non-cash</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Topic 718, we believe excluding stock-based compensation expenses allows investors to make meaningful comparisons between our recurring core business operating results and those of other companies.</w:t>
      </w:r>
    </w:p>
    <w:p>
      <w:pPr>
        <w:spacing w:after="0" w:line="17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i w:val="1"/>
          <w:iCs w:val="1"/>
          <w:color w:val="auto"/>
        </w:rPr>
        <w:t xml:space="preserve">Amortization of developed technologies and purchased intangibles. </w:t>
      </w:r>
      <w:r>
        <w:rPr>
          <w:rFonts w:ascii="Arial" w:cs="Arial" w:eastAsia="Arial" w:hAnsi="Arial"/>
          <w:sz w:val="17"/>
          <w:szCs w:val="17"/>
          <w:color w:val="auto"/>
        </w:rPr>
        <w:t>We incur amortization of acquisition-related developed technology and purchased</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intangibles in connection with acquisitions of certain businesses and technologies. Amortization of developed technologies and purchased intangibles is inconsistent in amount and frequency and is significantly affected by the timing and size of our acquisitions. Management finds it useful to exclude these variable charges from our cost of revenues to assist in budgeting, planning and forecasting future periods. Investors should note that the use of intangible assets contributed to our revenues earned during the periods presented and will contribute to our future period revenues as well. Amortization of developed technologies and purchased intangible assets will recur in future periods.</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This is a non-cash charge to write-down goodwill to fair value when there was an indication that the asset was impaired. As</w:t>
      </w:r>
      <w:r>
        <w:rPr>
          <w:rFonts w:ascii="Arial" w:cs="Arial" w:eastAsia="Arial" w:hAnsi="Arial"/>
          <w:sz w:val="18"/>
          <w:szCs w:val="18"/>
          <w:i w:val="1"/>
          <w:iCs w:val="1"/>
          <w:color w:val="auto"/>
        </w:rPr>
        <w:t xml:space="preserve"> </w:t>
      </w:r>
      <w:r>
        <w:rPr>
          <w:rFonts w:ascii="Arial" w:cs="Arial" w:eastAsia="Arial" w:hAnsi="Arial"/>
          <w:sz w:val="18"/>
          <w:szCs w:val="18"/>
          <w:color w:val="auto"/>
        </w:rPr>
        <w:t>explained above, management finds it useful to exclude certain non-cash charges to assess the appropriate level of various operating expenses to assist in budgeting, planning and forecasting future periods.</w:t>
      </w:r>
    </w:p>
    <w:p>
      <w:pPr>
        <w:spacing w:after="0" w:line="18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 xml:space="preserve">Restructuring charges (benefits), net. </w:t>
      </w:r>
      <w:r>
        <w:rPr>
          <w:rFonts w:ascii="Arial" w:cs="Arial" w:eastAsia="Arial" w:hAnsi="Arial"/>
          <w:sz w:val="17"/>
          <w:szCs w:val="17"/>
          <w:color w:val="auto"/>
        </w:rPr>
        <w:t>These expenses are associated with realigning our business strategies based on current economic conditions.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these restructuring actions, we recognize costs related to termination benefits for former employees whose positions were eliminated, the closure of facilities and cancellation of certain contracts. We exclude these charges because these expenses are not reflective of ongoing business and operating results. We believe it is useful for investors to understand the effects of these items on our total operating expenses.</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 xml:space="preserve">Loss (gain) on strategic investments. </w:t>
      </w:r>
      <w:r>
        <w:rPr>
          <w:rFonts w:ascii="Arial" w:cs="Arial" w:eastAsia="Arial" w:hAnsi="Arial"/>
          <w:sz w:val="17"/>
          <w:szCs w:val="17"/>
          <w:color w:val="auto"/>
        </w:rPr>
        <w:t>We exclude gains and losses related to our strategic investments from our non-GAAP measures primarily because</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finds it useful to exclude these variable gains and losses on these investments in assessing our financial results. Included in these amounts are non-cash unrealized gains and losses on the derivative components, realized gains and losses on the sales or losses on the impairment of these investments. We believe excluding these items is useful to investors because these excluded items do not correlate to the underlying performance of our business and these losses or gains were incurred in connection with strategic investments which do not occur regularly.</w:t>
      </w:r>
    </w:p>
    <w:p>
      <w:pPr>
        <w:spacing w:after="0" w:line="17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Establishment of a valuation allowance on certain net deferred tax assets. </w:t>
      </w:r>
      <w:r>
        <w:rPr>
          <w:rFonts w:ascii="Arial" w:cs="Arial" w:eastAsia="Arial" w:hAnsi="Arial"/>
          <w:sz w:val="18"/>
          <w:szCs w:val="18"/>
          <w:color w:val="auto"/>
        </w:rPr>
        <w:t>This is a non-cash charge to record a valuation allowance on certain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tax assets. As explained above, management finds it useful to exclude certain non-cash charges to assess the appropriate level of various cash expenses to assist in budgeting, planning and forecasting future periods.</w:t>
      </w:r>
    </w:p>
    <w:p>
      <w:pPr>
        <w:spacing w:after="0" w:line="18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i w:val="1"/>
          <w:iCs w:val="1"/>
          <w:color w:val="auto"/>
        </w:rPr>
        <w:t xml:space="preserve">Discrete tax items. </w:t>
      </w:r>
      <w:r>
        <w:rPr>
          <w:rFonts w:ascii="Arial" w:cs="Arial" w:eastAsia="Arial" w:hAnsi="Arial"/>
          <w:sz w:val="16"/>
          <w:szCs w:val="16"/>
          <w:color w:val="auto"/>
        </w:rPr>
        <w:t>We exclude the GAAP tax provision, including discrete items, from the non-GAAP measure of income, and include a non-GAAP tax</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 law. Management believes this approach assists investors in understanding the tax provision and the effective tax rate related to ongoing operations. We believe the exclusion of these discrete tax items provides investors with useful supplemental information about the Company's operational performance.</w:t>
      </w:r>
    </w:p>
    <w:p>
      <w:pPr>
        <w:spacing w:after="0" w:line="16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Income tax effects on the difference between GAAP and non-GAAP costs and expenses. </w:t>
      </w:r>
      <w:r>
        <w:rPr>
          <w:rFonts w:ascii="Arial" w:cs="Arial" w:eastAsia="Arial" w:hAnsi="Arial"/>
          <w:sz w:val="18"/>
          <w:szCs w:val="18"/>
          <w:color w:val="auto"/>
        </w:rPr>
        <w:t>The income tax effects that are excluded from the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relate to the tax impact on the difference between GAAP and non-GAAP expenses, primarily due to stock-based compensation, amortization of purchased intangibles and restructuring charges (benefits) for GAAP and non-GAAP measures.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40" w:firstLine="405"/>
        <w:spacing w:after="0" w:line="264" w:lineRule="auto"/>
        <w:rPr>
          <w:sz w:val="20"/>
          <w:szCs w:val="20"/>
          <w:color w:val="auto"/>
        </w:rPr>
      </w:pPr>
      <w:r>
        <w:rPr>
          <w:rFonts w:ascii="Arial" w:cs="Arial" w:eastAsia="Arial" w:hAnsi="Arial"/>
          <w:sz w:val="18"/>
          <w:szCs w:val="18"/>
          <w:color w:val="auto"/>
        </w:rPr>
        <w:t>Our primary source of cash is from the sale of licenses to our products.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fund our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43" w:name="page44"/>
    <w:bookmarkEnd w:id="43"/>
    <w:p>
      <w:pPr>
        <w:ind w:right="240"/>
        <w:spacing w:after="0" w:line="277" w:lineRule="auto"/>
        <w:rPr>
          <w:sz w:val="20"/>
          <w:szCs w:val="20"/>
          <w:color w:val="auto"/>
        </w:rPr>
      </w:pPr>
      <w:r>
        <w:rPr>
          <w:rFonts w:ascii="Arial" w:cs="Arial" w:eastAsia="Arial" w:hAnsi="Arial"/>
          <w:sz w:val="18"/>
          <w:szCs w:val="18"/>
          <w:color w:val="auto"/>
        </w:rPr>
        <w:t>stock repurchase program and invest in our growth initiatives, which include acquisitions of products, technology and businesses. See further discussion of these items below.</w:t>
      </w:r>
    </w:p>
    <w:p>
      <w:pPr>
        <w:spacing w:after="0" w:line="170"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At July 31, 2014, our principal sources of liquidity were cash, cash equivalents and marketable securities totaling $2,168.5 million and net accounts receivable of $365.3 million.</w:t>
      </w:r>
    </w:p>
    <w:p>
      <w:pPr>
        <w:spacing w:after="0" w:line="170" w:lineRule="exact"/>
        <w:rPr>
          <w:sz w:val="20"/>
          <w:szCs w:val="20"/>
          <w:color w:val="auto"/>
        </w:rPr>
      </w:pPr>
    </w:p>
    <w:p>
      <w:pPr>
        <w:ind w:right="240" w:firstLine="405"/>
        <w:spacing w:after="0" w:line="297" w:lineRule="auto"/>
        <w:rPr>
          <w:sz w:val="20"/>
          <w:szCs w:val="20"/>
          <w:color w:val="auto"/>
        </w:rPr>
      </w:pPr>
      <w:r>
        <w:rPr>
          <w:rFonts w:ascii="Arial" w:cs="Arial" w:eastAsia="Arial" w:hAnsi="Arial"/>
          <w:sz w:val="16"/>
          <w:szCs w:val="16"/>
          <w:color w:val="auto"/>
        </w:rPr>
        <w:t>In fiscal 2013, we issued $400.0 million aggregate principal amount of 1.95% senior notes due December 15, 2017 and $350.0 million aggregate principal amount of 3.6% senior notes due December 15, 2022, (collectively, the “Senior Notes”). As of September 2, 2014, we have $750.0 million aggregate principal amount of Senior Notes outstanding. In addition, we have a line of credit facility that permits unsecured short-term borrowings of up to $400.0 million. As of September 2, 2014, we have no amounts outstanding under the credit facility. The credit facility expires in May 2018. Borrowings under the credit facility and the net proceeds from the offering of the Senior Notes are available for general corporate purposes.</w:t>
      </w:r>
    </w:p>
    <w:p>
      <w:pPr>
        <w:spacing w:after="0" w:line="158"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$400.0 million line of credit.</w:t>
      </w:r>
    </w:p>
    <w:p>
      <w:pPr>
        <w:spacing w:after="0" w:line="18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decrease in our cash, cash equivalents and marketable securities from $2,544.4 million at January 31, 2014 to $2,168.5 million at July 31, 2014 is primarily due to cash used for acquisitions, including business combination and technology purchases, repurchases of common stock, and capital expenditures partially offset by cash generated by operating activities, and proceeds from the issuance of common stock following stock option exercises and employee stock plan purchases. The cash proceeds from issuance of common stock varies based on our stock price, stock option exercise activity and the volume of employee purchases under the Employee Stock Purchase Plan.</w:t>
      </w:r>
    </w:p>
    <w:p>
      <w:pPr>
        <w:spacing w:after="0" w:line="188"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The primary sources for net cash provided by operating activities of $314.9 million for the six months ended July 31, 2014 were the cash effect of expenses totaling $146.7 million associated with depreciation, amortization and accretion and stock-based compensation, changes in operating assets and liabilities of $100.0 million and net income of $59.6 million. The primary source of working capital was a decrease in accounts receivable and increase in deferred revenue. Our days sales outstanding in trade receivables was 52 at July 31, 2014 compared to 66 days at January 31, 2014. The days sales outstanding decrease relates primarily to a seasonal billings linearity shift and lower maintenance renewal billings. The primary working capital uses of cash was a decrease in accrued compensation.</w:t>
      </w:r>
    </w:p>
    <w:p>
      <w:pPr>
        <w:spacing w:after="0" w:line="193"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At July 31, 2014, our short-term investment portfolio had an estimated fair value of $583.3 million and a cost basis of $578.0 million. The portfolio fair value consisted of $382.1 million invested in commercial paper and corporate securities, $116.6 million invested in certificates of deposit and time deposits with remaining maturities at the date of purchase greater than 90 days and less than one year, $42.9 million invested in mutual funds, $13.8 million invested in municipal securities, $9.7 million invested in other short-term securities, $6.2 million invested in U.S. treasury securities, $6.0 million invested in U.S. treasury bills and $6.0 million invested in U.S. government agency securities.</w:t>
      </w:r>
    </w:p>
    <w:p>
      <w:pPr>
        <w:spacing w:after="0" w:line="188" w:lineRule="exact"/>
        <w:rPr>
          <w:sz w:val="20"/>
          <w:szCs w:val="20"/>
          <w:color w:val="auto"/>
        </w:rPr>
      </w:pPr>
    </w:p>
    <w:p>
      <w:pPr>
        <w:ind w:right="560" w:firstLine="405"/>
        <w:spacing w:after="0" w:line="342" w:lineRule="auto"/>
        <w:rPr>
          <w:sz w:val="20"/>
          <w:szCs w:val="20"/>
          <w:color w:val="auto"/>
        </w:rPr>
      </w:pPr>
      <w:r>
        <w:rPr>
          <w:rFonts w:ascii="Arial" w:cs="Arial" w:eastAsia="Arial" w:hAnsi="Arial"/>
          <w:sz w:val="16"/>
          <w:szCs w:val="16"/>
          <w:color w:val="auto"/>
        </w:rPr>
        <w:t>At July 31, 2014, $42.9 million of trading securities were invested in a defined set of mutual funds as directed by the participants in our Deferred Compensation Plan (see Note 10, “Deferred Compensation,” in the Notes to Condensed Consolidated Financial Statements for further discussion).</w:t>
      </w:r>
    </w:p>
    <w:p>
      <w:pPr>
        <w:spacing w:after="0" w:line="124" w:lineRule="exact"/>
        <w:rPr>
          <w:sz w:val="20"/>
          <w:szCs w:val="20"/>
          <w:color w:val="auto"/>
        </w:rPr>
      </w:pPr>
    </w:p>
    <w:p>
      <w:pPr>
        <w:ind w:right="740" w:firstLine="405"/>
        <w:spacing w:after="0" w:line="264" w:lineRule="auto"/>
        <w:rPr>
          <w:sz w:val="20"/>
          <w:szCs w:val="20"/>
          <w:color w:val="auto"/>
        </w:rPr>
      </w:pPr>
      <w:r>
        <w:rPr>
          <w:rFonts w:ascii="Arial" w:cs="Arial" w:eastAsia="Arial" w:hAnsi="Arial"/>
          <w:sz w:val="18"/>
          <w:szCs w:val="18"/>
          <w:color w:val="auto"/>
        </w:rPr>
        <w:t>Long-term cash requirements for items other than normal operating expenses are anticipated for the following: common stock repurchases; the acquisition of businesses, software products, or technologies complementary to our business; and capital expenditures, including the purchase and implementation of internal-use software applications.</w:t>
      </w:r>
    </w:p>
    <w:p>
      <w:pPr>
        <w:spacing w:after="0" w:line="18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in certain instances, negatively impact our operating margins. We continually review these trade-offs in making decisions regarding acquisitions. We currently anticipate that we will continue to acquire products, technology and businesses as compelling opportunities become available. Our decision to acquire businesses or technology is dependent on our business needs, the availability of suitable sellers and technology, and our own financial condition.</w:t>
      </w:r>
    </w:p>
    <w:p>
      <w:pPr>
        <w:spacing w:after="0" w:line="193"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As of July 31, 2014, there have been no material changes in our contractual obligations or commercial commitments compared to those we disclosed in Management’s Discussion and Analysis of Financial Condition and Results of Operations included in our Annual Report on Form 10-K for the fiscal year ended January 31, 2014.</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4" w:name="page45"/>
    <w:bookmarkEnd w:id="44"/>
    <w:p>
      <w:pPr>
        <w:ind w:firstLine="405"/>
        <w:spacing w:after="0" w:line="253" w:lineRule="auto"/>
        <w:rPr>
          <w:sz w:val="20"/>
          <w:szCs w:val="20"/>
          <w:color w:val="auto"/>
        </w:rPr>
      </w:pPr>
      <w:r>
        <w:rPr>
          <w:rFonts w:ascii="Arial" w:cs="Arial" w:eastAsia="Arial" w:hAnsi="Arial"/>
          <w:sz w:val="18"/>
          <w:szCs w:val="18"/>
          <w:color w:val="auto"/>
        </w:rPr>
        <w:t>Our cash, cash equivalent and marketable securities balances are concentrated in a few locations around the world, with substantial amounts held outside of the U.S. As of July 31, 2014, approximately 78% of our total cash, cash equivalents and marketable securities are located offshore and will fluctuate subject to business needs. Certain amounts held outside the U.S. could be repatriated to the U.S. (subject to local law restrictions), but under current U.S. tax law, could be subject to U.S. income taxes less applicable foreign tax credits. We have provided for the U.S. income tax liability on foreign earnings, except for foreign earnings that are considered permanently reinvested outside the U.S. Our intent is that amounts related to foreign earnings permanently reinvested outside the U.S. will remain outside the U.S. and we will meet our U.S. liquidity needs through ongoing cash flows, external borrowings, or both. We regularly review our capital structure and consider a variety of potential financing alternatives and planning strategies to ensure we have the proper liquidity available in the locations in which it is needed and to fund our existing stock buy-back program with cash that has not been permanently reinvested outside the U.S.</w:t>
      </w:r>
    </w:p>
    <w:p>
      <w:pPr>
        <w:spacing w:after="0" w:line="19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Cash from operations could also be affected by various risks and uncertainties, including, but not limited to the risks detailed in Part II, Item 1A titled “Risk Factors.” However, based on our current business plan and revenue prospects, we believe that our existing balances, our anticipated cash flows from operations and our available credit facility will be sufficient to meet our working capital and operating resource expenditure requirements for at least the next 12 months.</w:t>
      </w:r>
    </w:p>
    <w:p>
      <w:pPr>
        <w:spacing w:after="0" w:line="18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Our revenue, earnings, cash flows, receivables and payables are subject to fluctuations due to changes in foreign currency exchange rates, for which we have put in place foreign currency contracts as part of our risk management strategy. See Part I, Item 3, “Quantitative and Qualitative Disclosures about Market Risk” for further discussion.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Autodesk's stock repurchase program is largely to help offset the dilution from the issuance of stock under our employee stock plans and for such other purposes as may be in the interests of Autodesk and its stockholders, and has the effect of returning excess cash generated from our business to stockholders. The number of shares acquired and the timing of the purchases are based on several factors, including general market conditions, the volume of employee stock option exercises, stock issuance, the trading price of our common stock, cash on hand and available in the U.S., and company defined trading windows. During the three and six months ended July 31, 2014, we repurchased 1.9 million and 3.9 million, respectively, of our common stock. At July 31, 2014, 17.9 million shares remained available for repurchase under the repurchase program approved by the Board of Directors. This program does not have a fixed expiration date. See Note 15, “Common Stock Repurchase Program,” in the Notes to Condensed Consolidated Financial Statements for further discussion.</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provides information about the repurchase of common stock in open-market transactions during the quarter ended July 31, 2014:</w:t>
      </w:r>
    </w:p>
    <w:p>
      <w:pPr>
        <w:sectPr>
          <w:pgSz w:w="11900" w:h="16838" w:orient="portrait"/>
          <w:cols w:equalWidth="0" w:num="1">
            <w:col w:w="11360"/>
          </w:cols>
          <w:pgMar w:left="240" w:top="584" w:right="299" w:bottom="1440" w:gutter="0" w:footer="0" w:header="0"/>
        </w:sectPr>
      </w:pPr>
    </w:p>
    <w:p>
      <w:pPr>
        <w:spacing w:after="0" w:line="36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2040" w:type="dxa"/>
            <w:vAlign w:val="bottom"/>
          </w:tcPr>
          <w:p>
            <w:pPr>
              <w:jc w:val="center"/>
              <w:ind w:left="388"/>
              <w:spacing w:after="0"/>
              <w:rPr>
                <w:sz w:val="20"/>
                <w:szCs w:val="20"/>
                <w:color w:val="auto"/>
              </w:rPr>
            </w:pPr>
            <w:r>
              <w:rPr>
                <w:rFonts w:ascii="Arial" w:cs="Arial" w:eastAsia="Arial" w:hAnsi="Arial"/>
                <w:sz w:val="14"/>
                <w:szCs w:val="14"/>
                <w:b w:val="1"/>
                <w:bCs w:val="1"/>
                <w:color w:val="auto"/>
                <w:w w:val="94"/>
              </w:rPr>
              <w:t>Total Number of</w:t>
            </w:r>
          </w:p>
        </w:tc>
        <w:tc>
          <w:tcPr>
            <w:tcW w:w="140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2"/>
              </w:rPr>
              <w:t>Average Price</w:t>
            </w:r>
          </w:p>
        </w:tc>
        <w:tc>
          <w:tcPr>
            <w:tcW w:w="296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1"/>
              </w:rPr>
              <w:t>Total Number of Shares Purchased as Part of</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2040" w:type="dxa"/>
            <w:vAlign w:val="bottom"/>
          </w:tcPr>
          <w:p>
            <w:pPr>
              <w:jc w:val="center"/>
              <w:ind w:left="388"/>
              <w:spacing w:after="0" w:line="149" w:lineRule="exact"/>
              <w:rPr>
                <w:sz w:val="20"/>
                <w:szCs w:val="20"/>
                <w:color w:val="auto"/>
              </w:rPr>
            </w:pPr>
            <w:r>
              <w:rPr>
                <w:rFonts w:ascii="Arial" w:cs="Arial" w:eastAsia="Arial" w:hAnsi="Arial"/>
                <w:sz w:val="14"/>
                <w:szCs w:val="14"/>
                <w:b w:val="1"/>
                <w:bCs w:val="1"/>
                <w:color w:val="auto"/>
                <w:w w:val="89"/>
              </w:rPr>
              <w:t>Shares</w:t>
            </w:r>
          </w:p>
        </w:tc>
        <w:tc>
          <w:tcPr>
            <w:tcW w:w="1400" w:type="dxa"/>
            <w:vAlign w:val="bottom"/>
            <w:vMerge w:val="continue"/>
          </w:tcPr>
          <w:p>
            <w:pPr>
              <w:spacing w:after="0"/>
              <w:rPr>
                <w:sz w:val="12"/>
                <w:szCs w:val="12"/>
                <w:color w:val="auto"/>
              </w:rPr>
            </w:pPr>
          </w:p>
        </w:tc>
        <w:tc>
          <w:tcPr>
            <w:tcW w:w="2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880" w:type="dxa"/>
            <w:vAlign w:val="bottom"/>
          </w:tcPr>
          <w:p>
            <w:pPr>
              <w:spacing w:after="0"/>
              <w:rPr>
                <w:sz w:val="20"/>
                <w:szCs w:val="20"/>
                <w:color w:val="auto"/>
              </w:rPr>
            </w:pPr>
            <w:r>
              <w:rPr>
                <w:rFonts w:ascii="Arial" w:cs="Arial" w:eastAsia="Arial" w:hAnsi="Arial"/>
                <w:sz w:val="14"/>
                <w:szCs w:val="14"/>
                <w:i w:val="1"/>
                <w:iCs w:val="1"/>
                <w:color w:val="auto"/>
              </w:rPr>
              <w:t>(Shares in millions)</w:t>
            </w:r>
          </w:p>
        </w:tc>
        <w:tc>
          <w:tcPr>
            <w:tcW w:w="2040" w:type="dxa"/>
            <w:vAlign w:val="bottom"/>
          </w:tcPr>
          <w:p>
            <w:pPr>
              <w:jc w:val="center"/>
              <w:ind w:left="388"/>
              <w:spacing w:after="0"/>
              <w:rPr>
                <w:sz w:val="20"/>
                <w:szCs w:val="20"/>
                <w:color w:val="auto"/>
              </w:rPr>
            </w:pPr>
            <w:r>
              <w:rPr>
                <w:rFonts w:ascii="Arial" w:cs="Arial" w:eastAsia="Arial" w:hAnsi="Arial"/>
                <w:sz w:val="14"/>
                <w:szCs w:val="14"/>
                <w:b w:val="1"/>
                <w:bCs w:val="1"/>
                <w:color w:val="auto"/>
                <w:w w:val="92"/>
              </w:rPr>
              <w:t>Purchased</w:t>
            </w:r>
          </w:p>
        </w:tc>
        <w:tc>
          <w:tcPr>
            <w:tcW w:w="1400" w:type="dxa"/>
            <w:vAlign w:val="bottom"/>
          </w:tcPr>
          <w:p>
            <w:pPr>
              <w:jc w:val="center"/>
              <w:ind w:left="28"/>
              <w:spacing w:after="0"/>
              <w:rPr>
                <w:sz w:val="20"/>
                <w:szCs w:val="20"/>
                <w:color w:val="auto"/>
              </w:rPr>
            </w:pPr>
            <w:r>
              <w:rPr>
                <w:rFonts w:ascii="Arial" w:cs="Arial" w:eastAsia="Arial" w:hAnsi="Arial"/>
                <w:sz w:val="14"/>
                <w:szCs w:val="14"/>
                <w:b w:val="1"/>
                <w:bCs w:val="1"/>
                <w:color w:val="auto"/>
                <w:w w:val="95"/>
              </w:rPr>
              <w:t>Paid per Share</w:t>
            </w:r>
          </w:p>
        </w:tc>
        <w:tc>
          <w:tcPr>
            <w:tcW w:w="2960" w:type="dxa"/>
            <w:vAlign w:val="bottom"/>
          </w:tcPr>
          <w:p>
            <w:pPr>
              <w:jc w:val="center"/>
              <w:ind w:left="128"/>
              <w:spacing w:after="0"/>
              <w:rPr>
                <w:sz w:val="20"/>
                <w:szCs w:val="20"/>
                <w:color w:val="auto"/>
              </w:rPr>
            </w:pPr>
            <w:r>
              <w:rPr>
                <w:rFonts w:ascii="Arial" w:cs="Arial" w:eastAsia="Arial" w:hAnsi="Arial"/>
                <w:sz w:val="14"/>
                <w:szCs w:val="14"/>
                <w:b w:val="1"/>
                <w:bCs w:val="1"/>
                <w:color w:val="auto"/>
                <w:w w:val="92"/>
              </w:rPr>
              <w:t>Publicly Announced Plans or Programs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jc w:val="center"/>
        <w:ind w:right="80"/>
        <w:spacing w:after="0" w:line="284" w:lineRule="auto"/>
        <w:rPr>
          <w:sz w:val="20"/>
          <w:szCs w:val="20"/>
          <w:color w:val="auto"/>
        </w:rPr>
      </w:pPr>
      <w:r>
        <w:rPr>
          <w:rFonts w:ascii="Arial" w:cs="Arial" w:eastAsia="Arial" w:hAnsi="Arial"/>
          <w:sz w:val="13"/>
          <w:szCs w:val="13"/>
          <w:b w:val="1"/>
          <w:bCs w:val="1"/>
          <w:color w:val="auto"/>
        </w:rPr>
        <w:t>Maximum Number of Shares that May Yet Be Purchased Under the Plans or Programs (2)</w:t>
      </w:r>
    </w:p>
    <w:p>
      <w:pPr>
        <w:spacing w:after="0" w:line="1" w:lineRule="exact"/>
        <w:rPr>
          <w:sz w:val="20"/>
          <w:szCs w:val="20"/>
          <w:color w:val="auto"/>
        </w:rPr>
      </w:pPr>
    </w:p>
    <w:p>
      <w:pPr>
        <w:sectPr>
          <w:pgSz w:w="11900" w:h="16838" w:orient="portrait"/>
          <w:cols w:equalWidth="0" w:num="2">
            <w:col w:w="8320" w:space="140"/>
            <w:col w:w="2900"/>
          </w:cols>
          <w:pgMar w:left="240" w:top="584" w:right="29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May 1 - May 31</w:t>
            </w:r>
          </w:p>
        </w:tc>
        <w:tc>
          <w:tcPr>
            <w:tcW w:w="14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49.52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37"/>
        </w:trPr>
        <w:tc>
          <w:tcPr>
            <w:tcW w:w="2460" w:type="dxa"/>
            <w:vAlign w:val="bottom"/>
          </w:tcPr>
          <w:p>
            <w:pPr>
              <w:ind w:left="40"/>
              <w:spacing w:after="0"/>
              <w:rPr>
                <w:sz w:val="20"/>
                <w:szCs w:val="20"/>
                <w:color w:val="auto"/>
              </w:rPr>
            </w:pPr>
            <w:r>
              <w:rPr>
                <w:rFonts w:ascii="Arial" w:cs="Arial" w:eastAsia="Arial" w:hAnsi="Arial"/>
                <w:sz w:val="16"/>
                <w:szCs w:val="16"/>
                <w:color w:val="auto"/>
              </w:rPr>
              <w:t>June 1 - June 30</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54.81</w:t>
            </w:r>
          </w:p>
        </w:tc>
        <w:tc>
          <w:tcPr>
            <w:tcW w:w="120" w:type="dxa"/>
            <w:vAlign w:val="bottom"/>
          </w:tcPr>
          <w:p>
            <w:pPr>
              <w:spacing w:after="0"/>
              <w:rPr>
                <w:sz w:val="20"/>
                <w:szCs w:val="20"/>
                <w:color w:val="auto"/>
              </w:rPr>
            </w:pPr>
          </w:p>
        </w:tc>
        <w:tc>
          <w:tcPr>
            <w:tcW w:w="282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2920" w:type="dxa"/>
            <w:vAlign w:val="bottom"/>
            <w:gridSpan w:val="2"/>
          </w:tcPr>
          <w:p>
            <w:pPr>
              <w:jc w:val="right"/>
              <w:ind w:right="19"/>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July 1 - July 31</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56.13</w:t>
            </w:r>
          </w:p>
        </w:tc>
        <w:tc>
          <w:tcPr>
            <w:tcW w:w="120" w:type="dxa"/>
            <w:vAlign w:val="bottom"/>
            <w:tcBorders>
              <w:bottom w:val="single" w:sz="8" w:color="CCEEFF"/>
            </w:tcBorders>
            <w:shd w:val="clear" w:color="auto" w:fill="CCEEFF"/>
          </w:tcPr>
          <w:p>
            <w:pPr>
              <w:spacing w:after="0"/>
              <w:rPr>
                <w:sz w:val="23"/>
                <w:szCs w:val="23"/>
                <w:color w:val="auto"/>
              </w:rPr>
            </w:pPr>
          </w:p>
        </w:tc>
        <w:tc>
          <w:tcPr>
            <w:tcW w:w="2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w:t>
            </w:r>
          </w:p>
        </w:tc>
        <w:tc>
          <w:tcPr>
            <w:tcW w:w="29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44"/>
        </w:trPr>
        <w:tc>
          <w:tcPr>
            <w:tcW w:w="2460" w:type="dxa"/>
            <w:vAlign w:val="bottom"/>
          </w:tcPr>
          <w:p>
            <w:pPr>
              <w:ind w:left="40"/>
              <w:spacing w:after="0"/>
              <w:rPr>
                <w:sz w:val="20"/>
                <w:szCs w:val="20"/>
                <w:color w:val="auto"/>
              </w:rPr>
            </w:pPr>
            <w:r>
              <w:rPr>
                <w:rFonts w:ascii="Arial" w:cs="Arial" w:eastAsia="Arial" w:hAnsi="Arial"/>
                <w:sz w:val="16"/>
                <w:szCs w:val="16"/>
                <w:color w:val="auto"/>
              </w:rPr>
              <w:t>Total</w:t>
            </w:r>
          </w:p>
        </w:tc>
        <w:tc>
          <w:tcPr>
            <w:tcW w:w="14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w:t>
            </w:r>
          </w:p>
        </w:tc>
        <w:tc>
          <w:tcPr>
            <w:tcW w:w="64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53.15</w:t>
            </w:r>
          </w:p>
        </w:tc>
        <w:tc>
          <w:tcPr>
            <w:tcW w:w="120" w:type="dxa"/>
            <w:vAlign w:val="bottom"/>
          </w:tcPr>
          <w:p>
            <w:pPr>
              <w:spacing w:after="0"/>
              <w:rPr>
                <w:sz w:val="21"/>
                <w:szCs w:val="21"/>
                <w:color w:val="auto"/>
              </w:rPr>
            </w:pPr>
          </w:p>
        </w:tc>
        <w:tc>
          <w:tcPr>
            <w:tcW w:w="2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60" w:type="dxa"/>
            <w:vAlign w:val="bottom"/>
            <w:vMerge w:val="restart"/>
          </w:tcPr>
          <w:p>
            <w:pPr>
              <w:ind w:left="60"/>
              <w:spacing w:after="0"/>
              <w:rPr>
                <w:sz w:val="20"/>
                <w:szCs w:val="20"/>
                <w:color w:val="auto"/>
              </w:rPr>
            </w:pPr>
            <w:r>
              <w:rPr>
                <w:rFonts w:ascii="Arial" w:cs="Arial" w:eastAsia="Arial" w:hAnsi="Arial"/>
                <w:sz w:val="18"/>
                <w:szCs w:val="18"/>
                <w:color w:val="auto"/>
              </w:rPr>
              <w:t>________________</w:t>
            </w: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60" w:type="dxa"/>
            <w:vAlign w:val="bottom"/>
            <w:vMerge w:val="continue"/>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shares purchased in open-market transactions under the stock repurchase plan approved by the Board of Directors.</w:t>
      </w:r>
    </w:p>
    <w:p>
      <w:pPr>
        <w:spacing w:after="0" w:line="9" w:lineRule="exact"/>
        <w:rPr>
          <w:rFonts w:ascii="Arial" w:cs="Arial" w:eastAsia="Arial" w:hAnsi="Arial"/>
          <w:sz w:val="16"/>
          <w:szCs w:val="16"/>
          <w:color w:val="auto"/>
        </w:rPr>
      </w:pPr>
    </w:p>
    <w:p>
      <w:pPr>
        <w:ind w:left="420" w:right="180" w:hanging="412"/>
        <w:spacing w:after="0" w:line="257" w:lineRule="auto"/>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These amounts correspond to the plan approved by the Board of Directors in June 2012 that authorized the repurchase of 30.0 million. This plan does not have a fixed expiration date.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six months ended July 31,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July 31, 2014, we did not have any significant off-balance sheet arrangements, as defined in Item 303(a)(4)(ii) of Regulation S-K.</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584" w:right="29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right="240" w:firstLine="405"/>
        <w:spacing w:after="0" w:line="266" w:lineRule="auto"/>
        <w:rPr>
          <w:sz w:val="20"/>
          <w:szCs w:val="20"/>
          <w:color w:val="auto"/>
        </w:rPr>
      </w:pPr>
      <w:r>
        <w:rPr>
          <w:rFonts w:ascii="Arial" w:cs="Arial" w:eastAsia="Arial" w:hAnsi="Arial"/>
          <w:sz w:val="18"/>
          <w:szCs w:val="18"/>
          <w:i w:val="1"/>
          <w:iCs w:val="1"/>
          <w:color w:val="auto"/>
        </w:rPr>
        <w:t>BIM (Building Information Modeling)</w:t>
      </w:r>
      <w:r>
        <w:rPr>
          <w:rFonts w:ascii="Arial" w:cs="Arial" w:eastAsia="Arial" w:hAnsi="Arial"/>
          <w:sz w:val="18"/>
          <w:szCs w:val="18"/>
          <w:b w:val="1"/>
          <w:bCs w:val="1"/>
          <w:color w:val="auto"/>
        </w:rPr>
        <w:t>—</w:t>
      </w:r>
      <w:r>
        <w:rPr>
          <w:rFonts w:ascii="Arial" w:cs="Arial" w:eastAsia="Arial" w:hAnsi="Arial"/>
          <w:sz w:val="18"/>
          <w:szCs w:val="18"/>
          <w:color w:val="auto"/>
        </w:rPr>
        <w:t>BIM describes a model-based technology linked with a database of project information, and is the process of</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generating and managing information throughout the life cycle of a building. BIM is used as a digital representation of the building process to facilitate exchange and interoperability of information in digital formats.</w:t>
      </w:r>
    </w:p>
    <w:p>
      <w:pPr>
        <w:spacing w:after="0" w:line="176" w:lineRule="exact"/>
        <w:rPr>
          <w:sz w:val="20"/>
          <w:szCs w:val="20"/>
          <w:color w:val="auto"/>
        </w:rPr>
      </w:pPr>
    </w:p>
    <w:p>
      <w:pPr>
        <w:ind w:right="300" w:firstLine="405"/>
        <w:spacing w:after="0" w:line="266" w:lineRule="auto"/>
        <w:rPr>
          <w:sz w:val="20"/>
          <w:szCs w:val="20"/>
          <w:color w:val="auto"/>
        </w:rPr>
      </w:pPr>
      <w:r>
        <w:rPr>
          <w:rFonts w:ascii="Arial" w:cs="Arial" w:eastAsia="Arial" w:hAnsi="Arial"/>
          <w:sz w:val="18"/>
          <w:szCs w:val="18"/>
          <w:i w:val="1"/>
          <w:iCs w:val="1"/>
          <w:color w:val="auto"/>
        </w:rPr>
        <w:t>Constant currency growth rates</w:t>
      </w:r>
      <w:r>
        <w:rPr>
          <w:rFonts w:ascii="Arial" w:cs="Arial" w:eastAsia="Arial" w:hAnsi="Arial"/>
          <w:sz w:val="18"/>
          <w:szCs w:val="18"/>
          <w:b w:val="1"/>
          <w:bCs w:val="1"/>
          <w:color w:val="auto"/>
        </w:rPr>
        <w:t>—</w:t>
      </w:r>
      <w:r>
        <w:rPr>
          <w:rFonts w:ascii="Arial" w:cs="Arial" w:eastAsia="Arial" w:hAnsi="Arial"/>
          <w:sz w:val="18"/>
          <w:szCs w:val="18"/>
          <w:color w:val="auto"/>
        </w:rPr>
        <w:t>We attempt to represent the changes in the underlying business operations by eliminating fluctuations caused by</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foreign currency exchange rates as well as eliminating hedge gains or losses recorded within the current and comparative periods. Our constant currency methodology removes all hedging gains and losses from the calculation.</w:t>
      </w:r>
    </w:p>
    <w:p>
      <w:pPr>
        <w:spacing w:after="0" w:line="176" w:lineRule="exact"/>
        <w:rPr>
          <w:sz w:val="20"/>
          <w:szCs w:val="20"/>
          <w:color w:val="auto"/>
        </w:rPr>
      </w:pPr>
    </w:p>
    <w:p>
      <w:pPr>
        <w:ind w:right="120" w:firstLine="405"/>
        <w:spacing w:after="0" w:line="282" w:lineRule="auto"/>
        <w:rPr>
          <w:sz w:val="20"/>
          <w:szCs w:val="20"/>
          <w:color w:val="auto"/>
        </w:rPr>
      </w:pPr>
      <w:r>
        <w:rPr>
          <w:rFonts w:ascii="Arial" w:cs="Arial" w:eastAsia="Arial" w:hAnsi="Arial"/>
          <w:sz w:val="18"/>
          <w:szCs w:val="18"/>
          <w:i w:val="1"/>
          <w:iCs w:val="1"/>
          <w:color w:val="auto"/>
        </w:rPr>
        <w:t>Digital prototyping</w:t>
      </w:r>
      <w:r>
        <w:rPr>
          <w:rFonts w:ascii="Arial" w:cs="Arial" w:eastAsia="Arial" w:hAnsi="Arial"/>
          <w:sz w:val="18"/>
          <w:szCs w:val="18"/>
          <w:b w:val="1"/>
          <w:bCs w:val="1"/>
          <w:color w:val="auto"/>
        </w:rPr>
        <w:t>—</w:t>
      </w:r>
      <w:r>
        <w:rPr>
          <w:rFonts w:ascii="Arial" w:cs="Arial" w:eastAsia="Arial" w:hAnsi="Arial"/>
          <w:sz w:val="18"/>
          <w:szCs w:val="18"/>
          <w:color w:val="auto"/>
        </w:rPr>
        <w:t>Digital prototyping allows designers, architects and engineers to analyze, simulate and visualize a design using a digital or virtual</w:t>
      </w:r>
      <w:r>
        <w:rPr>
          <w:rFonts w:ascii="Arial" w:cs="Arial" w:eastAsia="Arial" w:hAnsi="Arial"/>
          <w:sz w:val="18"/>
          <w:szCs w:val="18"/>
          <w:i w:val="1"/>
          <w:iCs w:val="1"/>
          <w:color w:val="auto"/>
        </w:rPr>
        <w:t xml:space="preserve"> </w:t>
      </w:r>
      <w:r>
        <w:rPr>
          <w:rFonts w:ascii="Arial" w:cs="Arial" w:eastAsia="Arial" w:hAnsi="Arial"/>
          <w:sz w:val="18"/>
          <w:szCs w:val="18"/>
          <w:color w:val="auto"/>
        </w:rPr>
        <w:t>model rather than a physical model.</w:t>
      </w:r>
    </w:p>
    <w:p>
      <w:pPr>
        <w:spacing w:after="0" w:line="162" w:lineRule="exact"/>
        <w:rPr>
          <w:sz w:val="20"/>
          <w:szCs w:val="20"/>
          <w:color w:val="auto"/>
        </w:rPr>
      </w:pPr>
    </w:p>
    <w:p>
      <w:pPr>
        <w:ind w:firstLine="405"/>
        <w:spacing w:after="0" w:line="266" w:lineRule="auto"/>
        <w:rPr>
          <w:sz w:val="20"/>
          <w:szCs w:val="20"/>
          <w:color w:val="auto"/>
        </w:rPr>
      </w:pPr>
      <w:r>
        <w:rPr>
          <w:rFonts w:ascii="Arial" w:cs="Arial" w:eastAsia="Arial" w:hAnsi="Arial"/>
          <w:sz w:val="18"/>
          <w:szCs w:val="18"/>
          <w:i w:val="1"/>
          <w:iCs w:val="1"/>
          <w:color w:val="auto"/>
        </w:rPr>
        <w:t>Flagship</w:t>
      </w:r>
      <w:r>
        <w:rPr>
          <w:rFonts w:ascii="Arial" w:cs="Arial" w:eastAsia="Arial" w:hAnsi="Arial"/>
          <w:sz w:val="18"/>
          <w:szCs w:val="18"/>
          <w:b w:val="1"/>
          <w:bCs w:val="1"/>
          <w:color w:val="auto"/>
        </w:rPr>
        <w:t>—</w:t>
      </w:r>
      <w:r>
        <w:rPr>
          <w:rFonts w:ascii="Arial" w:cs="Arial" w:eastAsia="Arial" w:hAnsi="Arial"/>
          <w:sz w:val="18"/>
          <w:szCs w:val="18"/>
          <w:color w:val="auto"/>
        </w:rPr>
        <w:t>Autodesk flagship products are our core design products. Flagship includes the following products: 3ds Max, AutoCAD, AutoCAD LT,</w:t>
      </w:r>
      <w:r>
        <w:rPr>
          <w:rFonts w:ascii="Arial" w:cs="Arial" w:eastAsia="Arial" w:hAnsi="Arial"/>
          <w:sz w:val="18"/>
          <w:szCs w:val="18"/>
          <w:i w:val="1"/>
          <w:iCs w:val="1"/>
          <w:color w:val="auto"/>
        </w:rPr>
        <w:t xml:space="preserve"> </w:t>
      </w:r>
      <w:r>
        <w:rPr>
          <w:rFonts w:ascii="Arial" w:cs="Arial" w:eastAsia="Arial" w:hAnsi="Arial"/>
          <w:sz w:val="18"/>
          <w:szCs w:val="18"/>
          <w:color w:val="auto"/>
        </w:rPr>
        <w:t>AutoCAD vertical products (such as AutoCAD Architecture and AutoCAD Mechanical), Civil 3D, Inventor products (standalone), Maya, Plant 3D, and Revit products (standalone).</w:t>
      </w:r>
    </w:p>
    <w:p>
      <w:pPr>
        <w:spacing w:after="0" w:line="176" w:lineRule="exact"/>
        <w:rPr>
          <w:sz w:val="20"/>
          <w:szCs w:val="20"/>
          <w:color w:val="auto"/>
        </w:rPr>
      </w:pPr>
    </w:p>
    <w:p>
      <w:pPr>
        <w:ind w:right="40" w:firstLine="405"/>
        <w:spacing w:after="0" w:line="303" w:lineRule="auto"/>
        <w:rPr>
          <w:sz w:val="20"/>
          <w:szCs w:val="20"/>
          <w:color w:val="auto"/>
        </w:rPr>
      </w:pPr>
      <w:r>
        <w:rPr>
          <w:rFonts w:ascii="Arial" w:cs="Arial" w:eastAsia="Arial" w:hAnsi="Arial"/>
          <w:sz w:val="16"/>
          <w:szCs w:val="16"/>
          <w:i w:val="1"/>
          <w:iCs w:val="1"/>
          <w:color w:val="auto"/>
        </w:rPr>
        <w:t>License and Other revenue</w:t>
      </w:r>
      <w:r>
        <w:rPr>
          <w:rFonts w:ascii="Arial" w:cs="Arial" w:eastAsia="Arial" w:hAnsi="Arial"/>
          <w:sz w:val="16"/>
          <w:szCs w:val="16"/>
          <w:b w:val="1"/>
          <w:bCs w:val="1"/>
          <w:color w:val="auto"/>
        </w:rPr>
        <w:t>—</w:t>
      </w:r>
      <w:r>
        <w:rPr>
          <w:rFonts w:ascii="Arial" w:cs="Arial" w:eastAsia="Arial" w:hAnsi="Arial"/>
          <w:sz w:val="16"/>
          <w:szCs w:val="16"/>
          <w:color w:val="auto"/>
        </w:rPr>
        <w:t>License and other revenue consists of two components: (1) all forms of product license revenue and (2) other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license revenue includes software license revenue from the sale of seat licenses, software license revenue from the sale of seat term-based licenses from our desktop subscription and enterprise offerings, and product revenue for Creative Finishing. Other revenue includes revenue from consulting, training, Autodesk Developers Network and Creative Finishing customer support, and is recognized over time, as the services are performed.</w:t>
      </w:r>
    </w:p>
    <w:p>
      <w:pPr>
        <w:spacing w:after="0" w:line="151" w:lineRule="exact"/>
        <w:rPr>
          <w:sz w:val="20"/>
          <w:szCs w:val="20"/>
          <w:color w:val="auto"/>
        </w:rPr>
      </w:pPr>
    </w:p>
    <w:p>
      <w:pPr>
        <w:ind w:right="100" w:firstLine="405"/>
        <w:spacing w:after="0" w:line="281" w:lineRule="auto"/>
        <w:rPr>
          <w:sz w:val="20"/>
          <w:szCs w:val="20"/>
          <w:color w:val="auto"/>
        </w:rPr>
      </w:pPr>
      <w:r>
        <w:rPr>
          <w:rFonts w:ascii="Arial" w:cs="Arial" w:eastAsia="Arial" w:hAnsi="Arial"/>
          <w:sz w:val="17"/>
          <w:szCs w:val="17"/>
          <w:i w:val="1"/>
          <w:iCs w:val="1"/>
          <w:color w:val="auto"/>
        </w:rPr>
        <w:t>Maintenance</w:t>
      </w:r>
      <w:r>
        <w:rPr>
          <w:rFonts w:ascii="Arial" w:cs="Arial" w:eastAsia="Arial" w:hAnsi="Arial"/>
          <w:sz w:val="17"/>
          <w:szCs w:val="17"/>
          <w:b w:val="1"/>
          <w:bCs w:val="1"/>
          <w:color w:val="auto"/>
        </w:rPr>
        <w:t>—</w:t>
      </w:r>
      <w:r>
        <w:rPr>
          <w:rFonts w:ascii="Arial" w:cs="Arial" w:eastAsia="Arial" w:hAnsi="Arial"/>
          <w:sz w:val="17"/>
          <w:szCs w:val="17"/>
          <w:color w:val="auto"/>
        </w:rPr>
        <w:t>Our maintenance program provides our commercial and educational customers with a cost effective and predictable budgetary option to</w:t>
      </w:r>
      <w:r>
        <w:rPr>
          <w:rFonts w:ascii="Arial" w:cs="Arial" w:eastAsia="Arial" w:hAnsi="Arial"/>
          <w:sz w:val="17"/>
          <w:szCs w:val="17"/>
          <w:i w:val="1"/>
          <w:iCs w:val="1"/>
          <w:color w:val="auto"/>
        </w:rPr>
        <w:t xml:space="preserve"> </w:t>
      </w:r>
      <w:r>
        <w:rPr>
          <w:rFonts w:ascii="Arial" w:cs="Arial" w:eastAsia="Arial" w:hAnsi="Arial"/>
          <w:sz w:val="17"/>
          <w:szCs w:val="17"/>
          <w:color w:val="auto"/>
        </w:rPr>
        <w:t>obtain the productivity benefits of our new releases and enhancements when and if released during the term of their contracts. Under our maintenance program, customers are eligible to receive unspecified upgrades when and if available, downloadable training courses and online support. We recognize maintenance revenue over the term of the agreements, generally between one and three years.</w:t>
      </w:r>
    </w:p>
    <w:p>
      <w:pPr>
        <w:spacing w:after="0" w:line="165" w:lineRule="exact"/>
        <w:rPr>
          <w:sz w:val="20"/>
          <w:szCs w:val="20"/>
          <w:color w:val="auto"/>
        </w:rPr>
      </w:pPr>
    </w:p>
    <w:p>
      <w:pPr>
        <w:ind w:right="80" w:firstLine="405"/>
        <w:spacing w:after="0" w:line="258" w:lineRule="auto"/>
        <w:rPr>
          <w:sz w:val="20"/>
          <w:szCs w:val="20"/>
          <w:color w:val="auto"/>
        </w:rPr>
      </w:pPr>
      <w:r>
        <w:rPr>
          <w:rFonts w:ascii="Arial" w:cs="Arial" w:eastAsia="Arial" w:hAnsi="Arial"/>
          <w:sz w:val="18"/>
          <w:szCs w:val="18"/>
          <w:i w:val="1"/>
          <w:iCs w:val="1"/>
          <w:color w:val="auto"/>
        </w:rPr>
        <w:t>New and Adjacent</w:t>
      </w:r>
      <w:r>
        <w:rPr>
          <w:rFonts w:ascii="Arial" w:cs="Arial" w:eastAsia="Arial" w:hAnsi="Arial"/>
          <w:sz w:val="18"/>
          <w:szCs w:val="18"/>
          <w:b w:val="1"/>
          <w:bCs w:val="1"/>
          <w:color w:val="auto"/>
        </w:rPr>
        <w:t>—</w:t>
      </w:r>
      <w:r>
        <w:rPr>
          <w:rFonts w:ascii="Arial" w:cs="Arial" w:eastAsia="Arial" w:hAnsi="Arial"/>
          <w:sz w:val="18"/>
          <w:szCs w:val="18"/>
          <w:color w:val="auto"/>
        </w:rPr>
        <w:t>Autodesk new and adjacent products include Autodesk's new product offerings as well as products that are not included in flagship</w:t>
      </w:r>
      <w:r>
        <w:rPr>
          <w:rFonts w:ascii="Arial" w:cs="Arial" w:eastAsia="Arial" w:hAnsi="Arial"/>
          <w:sz w:val="18"/>
          <w:szCs w:val="18"/>
          <w:i w:val="1"/>
          <w:iCs w:val="1"/>
          <w:color w:val="auto"/>
        </w:rPr>
        <w:t xml:space="preserve"> </w:t>
      </w:r>
      <w:r>
        <w:rPr>
          <w:rFonts w:ascii="Arial" w:cs="Arial" w:eastAsia="Arial" w:hAnsi="Arial"/>
          <w:sz w:val="18"/>
          <w:szCs w:val="18"/>
          <w:color w:val="auto"/>
        </w:rPr>
        <w:t>or suites. New and adjacent includes the following services and products: Autodesk Alias Design products, Autodesk 360 products, Autodesk Consulting, Autodesk Simulation, Autodesk Simulation Multiphysics, Autodesk Buzzsaw, Autodesk CF Design, Autodesk Constructware, Autodesk consumer products, Autodesk Creative Finishing products, Autodesk Moldflow products, Autodesk Navisworks, Autodesk Scaleform, Autodesk Vault products and all other products.</w:t>
      </w:r>
    </w:p>
    <w:p>
      <w:pPr>
        <w:spacing w:after="0" w:line="184" w:lineRule="exact"/>
        <w:rPr>
          <w:sz w:val="20"/>
          <w:szCs w:val="20"/>
          <w:color w:val="auto"/>
        </w:rPr>
      </w:pPr>
    </w:p>
    <w:p>
      <w:pPr>
        <w:ind w:right="200" w:firstLine="405"/>
        <w:spacing w:after="0" w:line="261" w:lineRule="auto"/>
        <w:rPr>
          <w:sz w:val="20"/>
          <w:szCs w:val="20"/>
          <w:color w:val="auto"/>
        </w:rPr>
      </w:pPr>
      <w:r>
        <w:rPr>
          <w:rFonts w:ascii="Arial" w:cs="Arial" w:eastAsia="Arial" w:hAnsi="Arial"/>
          <w:sz w:val="18"/>
          <w:szCs w:val="18"/>
          <w:i w:val="1"/>
          <w:iCs w:val="1"/>
          <w:color w:val="auto"/>
        </w:rPr>
        <w:t>Suites</w:t>
      </w:r>
      <w:r>
        <w:rPr>
          <w:rFonts w:ascii="Arial" w:cs="Arial" w:eastAsia="Arial" w:hAnsi="Arial"/>
          <w:sz w:val="18"/>
          <w:szCs w:val="18"/>
          <w:b w:val="1"/>
          <w:bCs w:val="1"/>
          <w:color w:val="auto"/>
        </w:rPr>
        <w:t>—</w:t>
      </w:r>
      <w:r>
        <w:rPr>
          <w:rFonts w:ascii="Arial" w:cs="Arial" w:eastAsia="Arial" w:hAnsi="Arial"/>
          <w:sz w:val="18"/>
          <w:szCs w:val="18"/>
          <w:color w:val="auto"/>
        </w:rPr>
        <w:t>Autodesk design suites are a combination of products that target a specific user objective (product design, building design, etc.) and support a</w:t>
      </w:r>
      <w:r>
        <w:rPr>
          <w:rFonts w:ascii="Arial" w:cs="Arial" w:eastAsia="Arial" w:hAnsi="Arial"/>
          <w:sz w:val="18"/>
          <w:szCs w:val="18"/>
          <w:i w:val="1"/>
          <w:iCs w:val="1"/>
          <w:color w:val="auto"/>
        </w:rPr>
        <w:t xml:space="preserve"> </w:t>
      </w:r>
      <w:r>
        <w:rPr>
          <w:rFonts w:ascii="Arial" w:cs="Arial" w:eastAsia="Arial" w:hAnsi="Arial"/>
          <w:sz w:val="18"/>
          <w:szCs w:val="18"/>
          <w:color w:val="auto"/>
        </w:rPr>
        <w:t>set of workflows for that objective. Our current design and creation suites include: AutoCAD Design Suite, Autodesk Building Design Suite, Autodesk Entertainment Creation Suite, Autodesk Factory Design Suite, Autodesk Infrastructure Design Suite, Autodesk Plant Design Suite, and Autodesk Product Design Suite.</w:t>
      </w:r>
    </w:p>
    <w:p>
      <w:pPr>
        <w:spacing w:after="0" w:line="180" w:lineRule="exact"/>
        <w:rPr>
          <w:sz w:val="20"/>
          <w:szCs w:val="20"/>
          <w:color w:val="auto"/>
        </w:rPr>
      </w:pPr>
    </w:p>
    <w:p>
      <w:pPr>
        <w:ind w:right="720" w:firstLine="405"/>
        <w:spacing w:after="0" w:line="347" w:lineRule="auto"/>
        <w:rPr>
          <w:sz w:val="20"/>
          <w:szCs w:val="20"/>
          <w:color w:val="auto"/>
        </w:rPr>
      </w:pPr>
      <w:r>
        <w:rPr>
          <w:rFonts w:ascii="Arial" w:cs="Arial" w:eastAsia="Arial" w:hAnsi="Arial"/>
          <w:sz w:val="16"/>
          <w:szCs w:val="16"/>
          <w:i w:val="1"/>
          <w:iCs w:val="1"/>
          <w:color w:val="auto"/>
        </w:rPr>
        <w:t>Subscription revenue</w:t>
      </w:r>
      <w:r>
        <w:rPr>
          <w:rFonts w:ascii="Arial" w:cs="Arial" w:eastAsia="Arial" w:hAnsi="Arial"/>
          <w:sz w:val="16"/>
          <w:szCs w:val="16"/>
          <w:b w:val="1"/>
          <w:bCs w:val="1"/>
          <w:color w:val="auto"/>
        </w:rPr>
        <w:t>—</w:t>
      </w:r>
      <w:r>
        <w:rPr>
          <w:rFonts w:ascii="Arial" w:cs="Arial" w:eastAsia="Arial" w:hAnsi="Arial"/>
          <w:sz w:val="16"/>
          <w:szCs w:val="16"/>
          <w:color w:val="auto"/>
        </w:rPr>
        <w:t>Autodesk subscription revenue consists of three components: (1) maintenance revenue from our software products; (2)</w:t>
      </w:r>
      <w:r>
        <w:rPr>
          <w:rFonts w:ascii="Arial" w:cs="Arial" w:eastAsia="Arial" w:hAnsi="Arial"/>
          <w:sz w:val="16"/>
          <w:szCs w:val="16"/>
          <w:i w:val="1"/>
          <w:iCs w:val="1"/>
          <w:color w:val="auto"/>
        </w:rPr>
        <w:t xml:space="preserve"> </w:t>
      </w:r>
      <w:r>
        <w:rPr>
          <w:rFonts w:ascii="Arial" w:cs="Arial" w:eastAsia="Arial" w:hAnsi="Arial"/>
          <w:sz w:val="16"/>
          <w:szCs w:val="16"/>
          <w:color w:val="auto"/>
        </w:rPr>
        <w:t>maintenance revenue from our term-based desktop subscription and enterprise offerings; and (3) revenue from our cloud service offerings.</w:t>
      </w:r>
    </w:p>
    <w:p>
      <w:pPr>
        <w:spacing w:after="0" w:line="120"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i w:val="1"/>
          <w:iCs w:val="1"/>
          <w:color w:val="auto"/>
        </w:rPr>
        <w:t>Total Subscriptions</w:t>
      </w:r>
      <w:r>
        <w:rPr>
          <w:rFonts w:ascii="Arial" w:cs="Arial" w:eastAsia="Arial" w:hAnsi="Arial"/>
          <w:sz w:val="18"/>
          <w:szCs w:val="18"/>
          <w:color w:val="auto"/>
        </w:rPr>
        <w:t>—Consists of subscriptions from our maintenance, desktop, cloud service and enterprise license offerings that are active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end date. For certain cloud based and enterprise license offerings, subscriptions represent the monthly average activity within the last three months of the quarter end date. Total subscriptions do not include data from education offerings, consumer product offerings, certain Creative Finishing product offerings, Autodesk Buzzsaw, Autodesk Constructware, third party products and Delcam products. Subscriptions acquired with the acquisition of a business are captured once the data conforms to our subscription count methodology and when added, may cause variability in the quarterly comparisons of this calculation.</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Billings</w:t>
      </w:r>
      <w:r>
        <w:rPr>
          <w:rFonts w:ascii="Arial" w:cs="Arial" w:eastAsia="Arial" w:hAnsi="Arial"/>
          <w:sz w:val="18"/>
          <w:szCs w:val="18"/>
          <w:b w:val="1"/>
          <w:bCs w:val="1"/>
          <w:color w:val="auto"/>
        </w:rPr>
        <w:t>—</w:t>
      </w:r>
      <w:r>
        <w:rPr>
          <w:rFonts w:ascii="Arial" w:cs="Arial" w:eastAsia="Arial" w:hAnsi="Arial"/>
          <w:sz w:val="18"/>
          <w:szCs w:val="18"/>
          <w:color w:val="auto"/>
        </w:rPr>
        <w:t>Amounts billed to customers during the current fiscal period net of any partner incentives or other discounts.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0" w:right="239" w:bottom="1440" w:gutter="0" w:footer="0" w:header="0"/>
        </w:sectPr>
      </w:pPr>
    </w:p>
    <w:bookmarkStart w:id="46" w:name="page47"/>
    <w:bookmarkEnd w:id="46"/>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July 31, 2014 and January 31, 2014, we had open cash flow and balance sheet hedge contracts with future settlements within one to twelve months. Contracts were primarily denominated in euros, Japanese yen, Swiss francs, British pounds, Canadian dollars and Australian dollars. We do not enter into any foreign exchange derivative instruments for trading or speculative purposes. The notional amount of our option and forward contracts was $408.2 million and $557.2 million at July 31, 2014 and January 31, 2014, respectively.</w:t>
      </w:r>
    </w:p>
    <w:p>
      <w:pPr>
        <w:spacing w:after="0" w:line="179"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We utilize foreign currency contracts to reduce the exchange rate impact on the net revenue and operating expenses of certain anticipated transactions. A sensitivity analysis performed on our hedging portfolio as of July 31, 2014 indicated that a hypothetical 10% appreciation of the U.S. dollar from its value at July 31, 2014 and January 31, 2014 would increase the fair value of our foreign currency contracts by $35.9 million and $7.9 million, respectively. A hypothetical 10% depreciation of the dollar from its value at July 31, 2014 would decrease the fair value of our foreign currency contracts by $15.2 million. A hypothetical 10% depreciation of the dollar from its value at January 31, 2014 would increase the fair value of our foreign currency contracts by $3.7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Interest rate movements affect both the interest income we earn on our short term investments and the market value of certain longer term securities. At July 31, 2014, we had $1,367.8 million of cash equivalents and marketable securities, including $583.3 million classified as short-term marketable securities and $262.1 million classified as long-term marketable securities. If interest rates were to move up or down by 50 or 100 basis points over a twelve month period, the market value change of our marketable securities would have a unrealized gain or loss of $3.2 million and $6.5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Risk</w:t>
      </w:r>
    </w:p>
    <w:p>
      <w:pPr>
        <w:spacing w:after="0" w:line="229"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From time to time we make direct investments in privately held companies. The privately held companies in which we invest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Our management evaluated, with the participation of our Chief Executive Officer and Interim Chief Financial Officer, the effectiveness of our disclosure controls and procedures as of the end of the period covered by this Quarterly Report on Form 10-Q. Based on this evaluation, our Chief Executive Officer and Interim Chief Financial Officer have concluded that our disclosure controls and procedures are effective at the reasonable assurance level to ensure that information we are required to disclose in reports that we file or submit under the Securities Exchange Act of 1934 (i) is recorded, processed, summarized and reported within the time periods specified in Securities and Exchange Commission rules and forms, and (ii) is accumulated and communicated to Autodesk’s management, including our Chief Executive Officer and Interim Chief Financial Officer, as appropriate to allow timely decisions regarding required disclosure. Our disclosure controls and procedures are designed to provide reasonable assurance that such information is accumulated and communicated to our management.</w:t>
      </w:r>
    </w:p>
    <w:p>
      <w:pPr>
        <w:spacing w:after="0" w:line="192" w:lineRule="exact"/>
        <w:rPr>
          <w:sz w:val="20"/>
          <w:szCs w:val="20"/>
          <w:color w:val="auto"/>
        </w:rPr>
      </w:pPr>
    </w:p>
    <w:p>
      <w:pPr>
        <w:ind w:right="360" w:firstLine="432"/>
        <w:spacing w:after="0" w:line="302" w:lineRule="auto"/>
        <w:rPr>
          <w:sz w:val="20"/>
          <w:szCs w:val="20"/>
          <w:color w:val="auto"/>
        </w:rPr>
      </w:pPr>
      <w:r>
        <w:rPr>
          <w:rFonts w:ascii="Arial" w:cs="Arial" w:eastAsia="Arial" w:hAnsi="Arial"/>
          <w:sz w:val="16"/>
          <w:szCs w:val="16"/>
          <w:color w:val="auto"/>
        </w:rPr>
        <w:t>Our disclosure controls and procedures include components of our internal control over financial reporting. Our management, including our Chief Executive Officer and Interim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580" w:right="259" w:bottom="1440" w:gutter="0" w:footer="0" w:header="0"/>
        </w:sectPr>
      </w:pPr>
    </w:p>
    <w:bookmarkStart w:id="47" w:name="page48"/>
    <w:bookmarkEnd w:id="47"/>
    <w:p>
      <w:pPr>
        <w:spacing w:after="0" w:line="308" w:lineRule="auto"/>
        <w:rPr>
          <w:sz w:val="20"/>
          <w:szCs w:val="20"/>
          <w:color w:val="auto"/>
        </w:rPr>
      </w:pPr>
      <w:r>
        <w:rPr>
          <w:rFonts w:ascii="Arial" w:cs="Arial" w:eastAsia="Arial" w:hAnsi="Arial"/>
          <w:sz w:val="17"/>
          <w:szCs w:val="17"/>
          <w:color w:val="auto"/>
        </w:rPr>
        <w:t>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There were no changes in our internal controls over financial reporting (as such term is defined in Rules 13a-15(f) and 15d-15(f) under the Securities Exchange Act of 1934, as amended) during the quarter ended July 31, 2014 that have materially affected, or are reasonably likely to materially affect, our internal controls over financial reporting.</w:t>
      </w: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60"/>
          </w:cols>
          <w:pgMar w:left="240" w:top="584" w:right="39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We are involved in a variety of claims, suits, investigations and proceedings in the normal course of business activities including claims of alleged infringement of intellectual property rights, commercial, employment, piracy prosecution,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operate in a rapidly changing environment that involves significant risks, a number of which are beyond our control. In addition to the other information contained in this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10-Q and in the documents incorporated herein by reference. They could affect our actual results of operations, causing them to differ materially from those expressed in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economic and political conditions may further impact our business, financial results and financial condition.</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As our business has expanded globally, we have increasingly become subject to risks arising from adverse changes in global economic and political conditions. The past several years were characterized by weak global economic conditions, a tightening in the credit markets, relatively high unemployment, a low level of liquidity in many financial markets, increased government deficit spending and debt levels, uncertainty about certain governments' abilities to repay such debt or to address certain fiscal issues (such as “austerity” measures in Southern Europe), and volatility in many financial instrument markets. We are optimistic about the macroeconomic environment but are cautious of indicators suggesting mixed trends in economic activity among the different geographical regions and markets.</w:t>
      </w:r>
    </w:p>
    <w:p>
      <w:pPr>
        <w:spacing w:after="0" w:line="193"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Over the past several years, many of our customers have experienced tighter credit, negative financial news and weaker financial performance of their businesses and have reduced their workforces, thereby reducing the number of licenses and the number of maintenance contracts they purchase from us. In addition, a number of our customers rely, directly and indirectly, on government spending. Current debt balances of many countries without proportionate increases in revenues have caused many countries to reduce spending and in some cases have forced those countries to restructure their debt in an effort to avoid defaulting under those obligations. This has not only impacted those countries but others that are holders of such debt and those assisting in such restructuring.</w:t>
      </w:r>
    </w:p>
    <w:p>
      <w:pPr>
        <w:spacing w:after="0" w:line="193"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These actions may impact, and over the past several years have negatively impacted, our business, financial results and financial condition. Moreover, our financial performance may be negatively impacted by:</w:t>
      </w:r>
    </w:p>
    <w:p>
      <w:pPr>
        <w:spacing w:after="0" w:line="17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lack of credit available to and the insolvency of key channel partners, which may impair our distribution channels and cash flows;</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counterparty failures negatively impacting our treasury functions, including timely access to our cash reserves and third-party fulfillment of hedging transactions;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counterparty failures negatively affecting our insured risks;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of banks to honor our existing line of credit, which could increase our borrowing expenses or eliminate our ability to obtain short-term financing;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decreased borrowing and spending by our end users on small and large projects in the industries we serve, thereby reducing demand for our products.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96" w:right="239" w:bottom="1440" w:gutter="0" w:footer="0" w:header="0"/>
        </w:sectPr>
      </w:pPr>
    </w:p>
    <w:bookmarkStart w:id="49" w:name="page50"/>
    <w:bookmarkEnd w:id="49"/>
    <w:p>
      <w:pPr>
        <w:ind w:right="240" w:firstLine="405"/>
        <w:spacing w:after="0" w:line="264" w:lineRule="auto"/>
        <w:rPr>
          <w:sz w:val="20"/>
          <w:szCs w:val="20"/>
          <w:color w:val="auto"/>
        </w:rPr>
      </w:pPr>
      <w:r>
        <w:rPr>
          <w:rFonts w:ascii="Arial" w:cs="Arial" w:eastAsia="Arial" w:hAnsi="Arial"/>
          <w:sz w:val="18"/>
          <w:szCs w:val="18"/>
          <w:color w:val="auto"/>
        </w:rPr>
        <w:t>A slower economic recovery in industries important to our business, such as the manufacturing and digital media and entertainment industries, may adversely affect our business, financial results and financial condition. If a macro-economic recovery does not occur as rapidly as anticipated, our ability to meet our long-term financial targets may also be adversely affected.</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If we fail to successfully manage our business model transition to cloud-based products and more flexible product licenses, our results of operations could be negatively impacted.</w:t>
      </w:r>
    </w:p>
    <w:p>
      <w:pPr>
        <w:spacing w:after="0" w:line="130"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To address the industry transition from personal computer to cloud, social, and mobile computing, we have accelerated our move to the cloud and are offering more flexible product licenses. While we expect to increase our total subscriptions, customer value, billings, bookings, ratable and recurring revenue over time as a result of this business model transition, our ability to achieve these financial objectives is subject to risks and uncertainties. The new offerings require a considerable investment of technical, financial, legal and sales resources, and a scalable organization. Market acceptance of such offerings is affected by a variety of factors, including but not limited to: security, reliability, performance, current license terms, customer preference, social/community engagement, customer concerns with entrusting a third party to store and manage their data, public concerns regarding privacy and the enactment of restrictive laws or regulations. Whether our business model transition will prove successful and will accomplish our business and financial objectives is subject to numerous uncertainties, including but not limited to: customer demand, attach and renewal rates, channel acceptance, our ability to further develop and scale infrastructure, our ability to include functionality and usability in such offerings that address customer requirements, tax and accounting implications, pricing and our costs. In addition, the metrics we use to gauge the status of our business model transition may evolve over the course of the transition as significant trends emerge. If we are unable to successfully establish these new offerings and navigate our business model transition in light of the foregoing risks and uncertainties, our results of operations could be negatively impacted.</w:t>
      </w:r>
    </w:p>
    <w:p>
      <w:pPr>
        <w:spacing w:after="0" w:line="13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Our strategy to develop and introduce new products and services exposes us to risks such as limited customer acceptance, costs related to product defects and large expenditures that may not result in additional net revenue or could result in decreased net revenue.</w:t>
      </w:r>
    </w:p>
    <w:p>
      <w:pPr>
        <w:spacing w:after="0" w:line="170"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Rapid technological changes, as well as changes in customer requirements and preferences, characterize the software industry. Just as the transition from mainframes to personal computers transformed the industry 30 years ago, we believe our industry is undergoing a similar transition from the personal computer to cloud, mobile and social computing. Customers are also reconsidering the manner in which they license software products, which requires us to constantly evaluate our business model and strategy. In response, we are focused on providing solutions to enable our customers to be more agile and collaborative on their projects. We are also developing consumer products for digital art, personal design and creativity, and home design. We devote significant resources to the development of new technologies. In addition, we frequently introduce new business models or methods that require a considerable investment of technical and financial resources such as an increase in our portfolio of, and focus on, suites and, most recently, our introduction of flexible license and service offerings. We are making such investments through further development and enhancement of our existing products and services, as well as through acquisitions of new product lines. Such investments may not result in sufficient revenue generation to justify their costs and could result in decreased net revenue. If we are not able to meet customer requirements, either with respect to our software products or the manner in which we provide such products, or if we are not able to adapt our business model to meet our customers' requirements, our business, financial condition or results of operations may be adversely impacted.</w:t>
      </w:r>
    </w:p>
    <w:p>
      <w:pPr>
        <w:spacing w:after="0" w:line="180"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color w:val="auto"/>
        </w:rPr>
        <w:t>In particular, a critical component of our growth strategy is to have customers of our AutoCAD and AutoCAD LT products expand their portfolios to include our suites and cloud-based services. Over time, we aim to migrate customers using standalone Autodesk products to expand their portfolio with our suites and cloud-based offerings. At times, sales of licenses of our AutoCAD and AutoCAD LT or standalone Autodesk flagship products have decreased without a corresponding increase in suites product or cloud-based services revenue or without purchases of customer seats to our suites. Should this continue, our results of operations will be adversely affected. Also, adoption of our cloud and mobile computing offerings and changes in the delivery of our software and services to our customers, such as desktop subscription (formally referred to as rental) offerings, will change the way in which we recognize revenue relating to our software and services, with a potential negative impact on our financial performance. The accounting impact of these offerings and other business decisions are expected to result in an increase in the percentage of our ratable revenue, as well as recurring revenue, making for a more predictable business over time, while potentially reducing our upfront perpetual revenue stream. Additionally, the software products we offer are complex, and despite extensive testing and quality control, may contain errors or defects. These errors or defects could result in the need for corrective releases to our software products, damage to our reputation, loss of revenue, an increase in product returns or lack of market acceptance of our products, any of which would likely harm our business.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4" w:right="239" w:bottom="1440" w:gutter="0" w:footer="0" w:header="0"/>
        </w:sectPr>
      </w:pPr>
    </w:p>
    <w:bookmarkStart w:id="50" w:name="page51"/>
    <w:bookmarkEnd w:id="50"/>
    <w:p>
      <w:pPr>
        <w:ind w:right="120" w:firstLine="432"/>
        <w:spacing w:after="0" w:line="293" w:lineRule="auto"/>
        <w:rPr>
          <w:sz w:val="20"/>
          <w:szCs w:val="20"/>
          <w:color w:val="auto"/>
        </w:rPr>
      </w:pPr>
      <w:r>
        <w:rPr>
          <w:rFonts w:ascii="Arial" w:cs="Arial" w:eastAsia="Arial" w:hAnsi="Arial"/>
          <w:sz w:val="16"/>
          <w:szCs w:val="16"/>
          <w:color w:val="auto"/>
        </w:rPr>
        <w:t>Our executive management team must act quickly, continuously and with vision, given the rapidly changing customer expectations and technology advancements inherent in the software industry, the extensive and complex efforts required to create useful and widely accepted products and the rapid evolution of cloud computing, mobile devices, new computing platforms and other technologies, such as consumer products. Although we have articulated a strategy that we believe will fulfill these challenges, if we fail to execute properly on that strategy, adapt that strategy as market conditions evolve or fail to internalize and execute on that strategy, we may fail to meet our customers' expectations, fail to compete with our competitors' products and technology and lose the confidence of our channel partners and employees. This in turn could adversely affect our business and financial performance.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Existing and increased competition and rapidly evolving technological changes may reduce our revenue and profits.</w:t>
      </w:r>
    </w:p>
    <w:p>
      <w:pPr>
        <w:spacing w:after="0" w:line="225"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color w:val="auto"/>
        </w:rPr>
        <w:t>The software industry has limited barriers to entry, and the availability of computing devices with continually expanding performance at progressively lower prices contributes to the ease of market entry. The industry is presently undergoing a platform shift from the personal computer to cloud and mobile computing. This shift further lowers barriers to entry and poses a disruptive challenge to established software companies. The markets in which we compete are characterized by vigorous competition, both by entry of competitors with innovative technologies and by consolidation of companies with complementary products and technologies. In addition, some of our competitors in certain markets have greater financial, technical, sales and marketing and other resources.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products.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16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We believe that our future results largely depend upon our ability to offer products that compete favorably with respect to reliability, performance, ease of use, range of useful features, continuing product enhancements, reputation and price.</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regulatory, global economic, intellectual property, collections, currency exchange rate, taxation, political instability and other risks, which could adversely impact our financial results.</w:t>
      </w:r>
    </w:p>
    <w:p>
      <w:pPr>
        <w:spacing w:after="0" w:line="17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are dependent on our international operations for a significant portion of our revenue. International net revenue represented 71% of our net revenue for both the three and six months ended July 31, 2014. Our international revenue, including that from emerging economies, is subject to general economic and political conditions in foreign markets, including conditions in foreign markets resulting from economic and political conditions in the U.S. Our revenue is also impacted by the relative geographical and country mix of our revenue over time. At times, these factors adversely impact our international revenue, and consequently our business as a whole. Our dependency on international revenue makes us much more exposed to global economic and political trends, which can negatively impact our financial results, even if our results in the U.S. are strong for a particular period. Further, a significant portion of our earnings from our international operations may not be freely transferable to the U.S. due to remittance restrictions, adverse tax consequences or other factors. Our intent is that amounts related to foreign earnings permanently reinvested outside the U.S. will remain outside the U.S., and we will meet our U.S. liquidity needs through ongoing cash flows, external borrowings (such as our Senior Notes), or both. However, if, in the future, amounts held by foreign subsidiaries are needed to fund our operations in the U.S., or to service our external borrowings, the repatriation of such amounts to the U.S. could result in a significant incremental tax liability in the period in which the decision to repatriate occurs and payment of any such tax liability would reduce the cash available to fund our operations.</w:t>
      </w:r>
    </w:p>
    <w:p>
      <w:pPr>
        <w:spacing w:after="0" w:line="180"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 Risks inherent in our international operations include fluctuating currency exchange rates, including risks related to any hedging activities we undertake, unexpected changes in regulatory requirements and practices, delays resulting from difficulty in obtaining export licenses for certain technology, tariffs, quotas and other trade barriers and restrictions, transportation delays, operating in locations with a higher incidence of corruption and fraudulent business practices, particularly in emerging economies, increasing enforcement by the U.S. under the Foreign Corrupt Practices Act, adoption of stricter anti-corruption laws in certain countries, including the United Kingdom, difficulties in staffing and managing foreign sales and development operations, longer collection cycles for accounts receivable, potential changes in tax laws, including possible U.S. and foreign tax law changes that, if enacted, could significantly impact how multinational companies are taxed, tax arrangements with foreign governments, including our ability to meet and renew the terms of those tax arrangements, and laws regarding the management of and access to data and public networks, possible future limitations upon foreign owned businesses, increased financial accounting and reporting burdens and complexities, inadequate local</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4" w:right="239" w:bottom="1440" w:gutter="0" w:footer="0" w:header="0"/>
        </w:sectPr>
      </w:pPr>
    </w:p>
    <w:bookmarkStart w:id="51" w:name="page52"/>
    <w:bookmarkEnd w:id="51"/>
    <w:p>
      <w:pPr>
        <w:ind w:right="200"/>
        <w:spacing w:after="0" w:line="277" w:lineRule="auto"/>
        <w:rPr>
          <w:sz w:val="20"/>
          <w:szCs w:val="20"/>
          <w:color w:val="auto"/>
        </w:rPr>
      </w:pPr>
      <w:r>
        <w:rPr>
          <w:rFonts w:ascii="Arial" w:cs="Arial" w:eastAsia="Arial" w:hAnsi="Arial"/>
          <w:sz w:val="18"/>
          <w:szCs w:val="18"/>
          <w:color w:val="auto"/>
        </w:rPr>
        <w:t>infrastructure, greater difficulty in protecting intellectual property, and other factors beyond our control, including popular uprisings, terrorism, war, natural disasters and diseases.</w:t>
      </w:r>
    </w:p>
    <w:p>
      <w:pPr>
        <w:spacing w:after="0" w:line="17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i w:val="1"/>
          <w:iCs w:val="1"/>
          <w:color w:val="auto"/>
        </w:rPr>
        <w:t>If we do not maintain good relationships with the members of our distribution channel, or achieve anticipated levels of sell-through, our ability to generate revenue will be adversely affected. If our distribution channel suffers financial losses, becomes financially unstable or insolvent, or is not provided the right mix of incentives to sell our products, our ability to generate revenue will be adversely affected.</w:t>
      </w:r>
    </w:p>
    <w:p>
      <w:pPr>
        <w:spacing w:after="0" w:line="18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sell our software products both directly to end-users and through a network of distributors and resellers. For both the three and six months ended July 31, 2014, approximately 85% of our revenue was derived from indirect channel sales through distributors and resellers and we expect that the majority of our revenue will continue to be derived from indirect channel sales in the future. Our ability to effectively distribute our products depends in part upon the financial and business condition of our distributor and reseller network. Computer software distributors and resellers typically are not highly capitalized, have previously experienced difficulties during times of economic contraction and experienced difficulties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providing temporary discounts.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182"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We rely significantly upon major distributors and resellers in both the U.S. and international regions, including the distributor Tech Data Corporation and its global affiliates (“Tech Data”). Tech Data accounted for 26% of our total net revenue for both the three and six months ended July 31, 2014, as compared to 24% and 25% of our total net revenue for the three and six months ended July 31, 2013, respectively. Although we believe that we are not substantially dependent on Tech Data, if Tech Data were to experience a significant disruption with its business or if our relationship with Tech Data were to significantly deteriorate, it is possible that our ability to sell to end users would be, at least temporarily, negatively impacted. This could in turn negatively impact our financial results.</w:t>
      </w:r>
    </w:p>
    <w:p>
      <w:pPr>
        <w:spacing w:after="0" w:line="193"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In addition, the loss of or a significant reduction in business with those distributors or resellers or the failure to achieve anticipated levels of sell-through with any one of our major international distributors or large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results fluctuate within each quarter and from quarter to quarter making our future revenue and financial results difficult to predict.</w:t>
      </w:r>
    </w:p>
    <w:p>
      <w:pPr>
        <w:spacing w:after="0" w:line="225"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Our quarterly financial results have fluctuated in the past and will continue to do so in the future. These fluctuations could cause our stock price to change significantly or experience declines. In addition to the other factors described in this Part II, Item 1A, some of the factors that could cause our financial results to fluctuate include:</w:t>
      </w:r>
    </w:p>
    <w:p>
      <w:pPr>
        <w:spacing w:after="0" w:line="18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market, economic, business and political conditions in particular geographies, including Europe and emerging economies;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produce sufficient revenue, billings or subscription growth and profitability;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results and future projections related to our business model transition;</w:t>
      </w:r>
    </w:p>
    <w:p>
      <w:pPr>
        <w:spacing w:after="0" w:line="225"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confusion on the part of analysts and investors about the short-term and long-term impact to our business resulting from our business model transition;</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weak or negative growth in one or more of the industries we serve, including architecture, engineering and construction, manufacturing, education and digital media and entertainment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achieve and maintain planned cost reductions and productivity increases;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584" w:right="259" w:bottom="1440" w:gutter="0" w:footer="0" w:header="0"/>
        </w:sectPr>
      </w:pPr>
    </w:p>
    <w:bookmarkStart w:id="52" w:name="page53"/>
    <w:bookmarkEnd w:id="52"/>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dependence on and the timing of large transactions;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product mix, pricing pressure or changes in product pricing;</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billings linearity;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the effectiveness of our hedging activity;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ability of governments around the world to adopt fiscal policies, meet their financial and debt obligations, and to finance infrastructure projects;</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lower growth or contraction of our maintenance program;</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restructuring or other accounting charges and unexpected costs or other operating expenses;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expand our AutoCAD and AutoCAD LT products customer base to related design products;</w:t>
      </w:r>
    </w:p>
    <w:p>
      <w:pPr>
        <w:spacing w:after="0" w:line="225"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rapidly adapt to technological and customer preference changes, including those related to cloud computing, mobile devices, and new computing platforms;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the introduction of new products by us or our competitors;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success of new business or sales initiatives and increasing our portfolio of product suites;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financial and business condition of our reseller and distribution channels;</w:t>
      </w:r>
    </w:p>
    <w:p>
      <w:pPr>
        <w:spacing w:after="0" w:line="225" w:lineRule="exact"/>
        <w:rPr>
          <w:rFonts w:ascii="Arial" w:cs="Arial" w:eastAsia="Arial" w:hAnsi="Arial"/>
          <w:sz w:val="18"/>
          <w:szCs w:val="18"/>
          <w:color w:val="auto"/>
        </w:rPr>
      </w:pPr>
    </w:p>
    <w:p>
      <w:pPr>
        <w:ind w:left="328" w:right="400" w:hanging="328"/>
        <w:spacing w:after="0" w:line="277"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perceived or actual technical or other problems with a product or combination of products;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unexpected or negative outcomes of matters and expenses relating to litigation or regulatory inquiries;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achieve anticipated levels of customer acceptance of key new applications;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cloud services-related expenses;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security breaches and potential financial penalties to customers and government entities;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timing of additional investments in the development of our platform or deployment of our services;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timing of product releases and retirements;</w:t>
      </w:r>
    </w:p>
    <w:p>
      <w:pPr>
        <w:spacing w:after="0" w:line="225" w:lineRule="exact"/>
        <w:rPr>
          <w:rFonts w:ascii="Arial" w:cs="Arial" w:eastAsia="Arial" w:hAnsi="Arial"/>
          <w:sz w:val="18"/>
          <w:szCs w:val="18"/>
          <w:color w:val="auto"/>
        </w:rPr>
      </w:pPr>
    </w:p>
    <w:p>
      <w:pPr>
        <w:ind w:left="328" w:right="320" w:hanging="328"/>
        <w:spacing w:after="0" w:line="277"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continue momentum of frequent release cycles or to move a significant number of customers from prior product versions in connection with our programs to retire major products;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tax laws or regulations, tax arrangements with foreign governments or accounting rules, such as increased use of fair value measures;</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sales compensation practices;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effectively implement our copyright legalization programs, especially in developing countries;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achieve sufficient sell-through in our channels for new or existing products;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renegotiation or termination of royalty or intellectual property arrangements;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interruptions or terminations in the business of our consultants or third party developers;</w:t>
      </w:r>
    </w:p>
    <w:p>
      <w:pPr>
        <w:spacing w:after="0" w:line="252"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68"/>
          </w:cols>
          <w:pgMar w:left="572" w:top="800" w:right="259" w:bottom="1440" w:gutter="0" w:footer="0" w:header="0"/>
        </w:sectPr>
      </w:pPr>
    </w:p>
    <w:bookmarkStart w:id="53" w:name="page54"/>
    <w:bookmarkEnd w:id="53"/>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and degree of expected investments in growth and efficiency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achieve continued success in technology advancements;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catastrophic events or natural disasters;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compliance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associated with acquisitions of companies and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goodwill impairment charges related to prior acquisitions;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adjustments arising from ongoing or future tax examinations.</w:t>
      </w:r>
    </w:p>
    <w:p>
      <w:pPr>
        <w:spacing w:after="0" w:line="22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We have also experienced fluctuations in financial results in interim periods in certain geographic regions due to seasonality or regional economic or political conditions. In particular, our financial results in Europe during our third quarter are usually affected by a slower summer period, and our Asia Pacific operations typically experience seasonal slowing in our third and fourth quarters.</w:t>
      </w:r>
    </w:p>
    <w:p>
      <w:pPr>
        <w:spacing w:after="0" w:line="195"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Our operating expenses are based in part on our expectations for future revenue and are relatively fixed in the short term. Accordingly, any revenue shortfall below expectations have had, and in the future could have, an immediate and significant adverse effect on our profitability. Greater than anticipated expenses or a failure to maintain rigorous cost controls would also negatively affect profitability.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suffer as a result of risks, costs and charges associated with strategic acquisitions and investments.</w:t>
      </w:r>
    </w:p>
    <w:p>
      <w:pPr>
        <w:spacing w:after="0" w:line="225"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We regularly acquire or invest in businesses, software products and technologies that are complementary to our business through acquisitions, strategic alliances or equity or debt investments. For example, we recently acquired Delcam plc (“Delcam”). a leading supplier of advanced CADCAM and industrial measurement solutions for the manufacturing industry. The risks associated with such acquisitions include, among others, the difficulty of assimilating products, operations and personnel, inheriting liabilities such as intellectual property infringement claims,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such acquisitions and investments involve other risks such as:</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inability to retain customers, key employees, vendors, distributors, business partners, and other entities associated with the acquired business;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potential impact on relationships with existing customers, vendors and distributors as business partners as a result of acquiring another business;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that due diligence of the acquired business or product does not identify significant problems;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for incompatible business cultures;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significant higher than anticipated transaction or integration-related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additional exposure to fluctuations in currency exchange rates; and</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exposure to litigation or other claims in connection with, or inheritance of claims or litigation risk as a result of, an acquisition, including but not limited to, claims from terminated employees, customers, or other third parties.</w:t>
      </w:r>
    </w:p>
    <w:p>
      <w:pPr>
        <w:spacing w:after="0" w:line="17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may not be successful in overcoming such risks, and such acquisitions and investments may negatively impact our business. In addition, such acquisitions and investments have in the past and may in the future contribute to potential fluctuations in our quarterly financial results. These fluctuations could arise from transaction-related costs and charges associated with eliminating redundant expenses or write-offs of impaired assets recorded in connection with acquisitions and</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800" w:right="279" w:bottom="1440" w:gutter="0" w:footer="0" w:header="0"/>
        </w:sectPr>
      </w:pPr>
    </w:p>
    <w:bookmarkStart w:id="54" w:name="page55"/>
    <w:bookmarkEnd w:id="54"/>
    <w:p>
      <w:pPr>
        <w:ind w:right="40"/>
        <w:spacing w:after="0" w:line="277" w:lineRule="auto"/>
        <w:rPr>
          <w:sz w:val="20"/>
          <w:szCs w:val="20"/>
          <w:color w:val="auto"/>
        </w:rPr>
      </w:pPr>
      <w:r>
        <w:rPr>
          <w:rFonts w:ascii="Arial" w:cs="Arial" w:eastAsia="Arial" w:hAnsi="Arial"/>
          <w:sz w:val="18"/>
          <w:szCs w:val="18"/>
          <w:color w:val="auto"/>
        </w:rPr>
        <w:t>investments. These costs or charges could negatively impact our financial results for a given period, cause quarter to quarter variability in our financial results or negatively impact our financial results for several future periods.</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A breach of security in our products, services or computer systems may compromise the integrity of our products or services, harm our reputation, create additional liability and adversely impact our financial results.</w:t>
      </w:r>
    </w:p>
    <w:p>
      <w:pPr>
        <w:spacing w:after="0" w:line="184" w:lineRule="exact"/>
        <w:rPr>
          <w:sz w:val="20"/>
          <w:szCs w:val="20"/>
          <w:color w:val="auto"/>
        </w:rPr>
      </w:pPr>
    </w:p>
    <w:p>
      <w:pPr>
        <w:ind w:right="40" w:firstLine="432"/>
        <w:spacing w:after="0" w:line="303" w:lineRule="auto"/>
        <w:rPr>
          <w:sz w:val="20"/>
          <w:szCs w:val="20"/>
          <w:color w:val="auto"/>
        </w:rPr>
      </w:pPr>
      <w:r>
        <w:rPr>
          <w:rFonts w:ascii="Arial" w:cs="Arial" w:eastAsia="Arial" w:hAnsi="Arial"/>
          <w:sz w:val="16"/>
          <w:szCs w:val="16"/>
          <w:color w:val="auto"/>
        </w:rPr>
        <w:t xml:space="preserve">We make significant efforts to maintain the security and integrity of our source code and computer systems. The risk of a security breach or disruption, particularly through cyber attack or cyber intrusion, including by computer hackers, foreign governments and cyber terrorists, has increased as the number, intensity and sophistication of attempted attacks and intrusions from around the world have increased. These threats include but are not limited to identity theft, unauthorized access, DNS attacks, wireless network attacks, viruses and worms, advanced persistent threat (APT), application centric attacks, peer-to-peer attacks, phishing, backdoor trojans and distributed denial of service (DDoS) attacks. Any of the foregoing could attack our products, services or computer systems. Despite significant efforts to create security barriers to such programs, it is virtually impossible for us to entirely eliminate this risk. Like all software, our software is vulnerable to cyber attacks. In the past, hackers have targeted our software, and they may do so in the future. The impact of cyber attacks could disrupt the proper functioning of our software products or services, cause errors in the output of our customers' work, allow unauthorized access to sensitive, proprietary or confidential information of ours or our customers, and other destructive outcomes. </w:t>
      </w:r>
      <w:r>
        <w:rPr>
          <w:rFonts w:ascii="Arial" w:cs="Arial" w:eastAsia="Arial" w:hAnsi="Arial"/>
          <w:sz w:val="17"/>
          <w:szCs w:val="17"/>
          <w:color w:val="auto"/>
        </w:rPr>
        <w:t>M</w:t>
      </w:r>
      <w:r>
        <w:rPr>
          <w:rFonts w:ascii="Arial" w:cs="Arial" w:eastAsia="Arial" w:hAnsi="Arial"/>
          <w:sz w:val="16"/>
          <w:szCs w:val="16"/>
          <w:color w:val="auto"/>
        </w:rPr>
        <w:t>oreover, as we continue to invest in new lines of consumer products and services we are exposed to increased security risks and the potential for unauthorized access to, or improper use of, the information of our consumer users. If any of the foregoing were to occur, our reputation may suffer, customers may stop buying our products or services, we could face lawsuits and potential liability, and our financial performance could be negatively impacted.</w:t>
      </w:r>
    </w:p>
    <w:p>
      <w:pPr>
        <w:spacing w:after="0" w:line="15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We rely on third-parties to provide us with a number of operational services, including hosting and delivery and certain of our customer services and other operations; any interruption or delay in service from these third parties, breaches of security or privacy, or failures in data collection could expose us to liability, harm our reputation and adversely impact our financial performance.</w:t>
      </w:r>
    </w:p>
    <w:p>
      <w:pPr>
        <w:spacing w:after="0" w:line="18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rely on hosted computer services from third parties for services that we provide our customers and computer operations for our internal use. As we gather customer data and host certain customer data in third-party facilities, a security breach could compromise the integrity or availability or result in the theft of customer data. In addition, our operations could be negatively affected in the event of a security breach, and we could be subject to the loss or theft of confidential or proprietary information, including source code.</w:t>
      </w:r>
    </w:p>
    <w:p>
      <w:pPr>
        <w:spacing w:after="0" w:line="187"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Unauthorized access to this data may be obtained through break-ins, breaches of our secure networks by unauthorized parties, employee theft or misuse, or other misconduct. We rely on a number of third party suppliers in the operation of our business for the provision of various services and materials that we use in the operation of our business and production of our products. Although we seek to diversify our third party suppliers, we may from time to time rely on a single or limited number of suppliers, or upon suppliers in a single country, for these services or materials. The inability of such third parties to satisfy our requirements could disrupt our business operations or make it more difficult for us to implement our business strategy. If any of these situations were to occur, our reputation could be harmed, we could be subject to third party liability, including under data protection and privacy laws in certain jurisdictions, and our financial performance could be negatively impacted.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products or have obtained and used information that we regard as proprietary. Policing unauthorized use of our software products is time-consuming and costly. While we have recovered some revenue resulting from the unauthorized use of our software products, we are unable to measure the extent to which piracy of our software products exists and we expect that software piracy will remain a persistent problem, particularly in emerging economies. Furthermore, our means of protecting our proprietary rights may not be adequate.</w:t>
      </w:r>
    </w:p>
    <w:p>
      <w:pPr>
        <w:spacing w:after="0" w:line="193"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The loss of future trade secret protection could make it easier for third-parties to compete with our products by copying functionality, which could adversely affect our financial performance and our reputation. We also seek to protect our confidential information and trade secrets through the use of non-disclosure agreements with our customers, contractors, vendors and partners. However, it is possible that our confidential information and trade secrets may be disclosed or published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4" w:right="239" w:bottom="1440" w:gutter="0" w:footer="0" w:header="0"/>
        </w:sectPr>
      </w:pPr>
    </w:p>
    <w:bookmarkStart w:id="55" w:name="page56"/>
    <w:bookmarkEnd w:id="55"/>
    <w:p>
      <w:pPr>
        <w:ind w:right="380"/>
        <w:spacing w:after="0" w:line="277" w:lineRule="auto"/>
        <w:rPr>
          <w:sz w:val="20"/>
          <w:szCs w:val="20"/>
          <w:color w:val="auto"/>
        </w:rPr>
      </w:pPr>
      <w:r>
        <w:rPr>
          <w:rFonts w:ascii="Arial" w:cs="Arial" w:eastAsia="Arial" w:hAnsi="Arial"/>
          <w:sz w:val="18"/>
          <w:szCs w:val="18"/>
          <w:color w:val="auto"/>
        </w:rPr>
        <w:t>without our authorization. If this were to occur, it may be difficult and/or costly for us to enforce our rights, and our financial performance and reputation could be negatively impacted.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the loss of significant rights.</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more software patents are granted worldwide, the number of products and competitors in our industry segments grows and the functionality of products in different industry segments overlaps, we expect that software product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cause product shipment delays or require us to enter into royalty or licensing agreements. In addition, such royalty or license agreements, if required, may not be available on acceptable terms, if at all, which would likely harm our business.</w:t>
      </w:r>
    </w:p>
    <w:p>
      <w:pPr>
        <w:spacing w:after="0" w:line="16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Because we derive a substantial portion of our net revenue from a small number of products, including our AutoCAD-based software products and suites, if these products are not successful, our revenue will be adversely affected.</w:t>
      </w:r>
    </w:p>
    <w:p>
      <w:pPr>
        <w:spacing w:after="0" w:line="170"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We derive a substantial portion of our net revenue from sales of licenses of a limited number of our products, including AutoCAD software, products based on AutoCAD, which include our suites that serve specific markets and products that are interoperable with AutoCAD. Any factor adversely affecting sales of these products, including the product release cycle, market acceptance, product competition, performance and reliability, reputation, price competition, economic and market conditions and the availability of third-party applications, would likely harm our financial results. During the three and six months ended July 31, 2014, combined revenue from our AutoCAD and AutoCAD LT products, not including suites having AutoCAD or AutoCAD LT as a component, represented 29% and 30% of our total net revenue, respectively.</w:t>
      </w:r>
    </w:p>
    <w:p>
      <w:pPr>
        <w:spacing w:after="0" w:line="17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A significant portion of our revenue is generated through maintenance revenue; decreases in maintenance attach or renewal rates or a decrease in the number of new licenses we sell would negatively impact our future revenue and financial results.</w:t>
      </w:r>
    </w:p>
    <w:p>
      <w:pPr>
        <w:spacing w:after="0" w:line="17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Our maintenance customers have no obligation to attach maintenance to their initial license or renew their maintenance contract after the expiration of their initial maintenance period, which is typically one year. Our customers' attach and renewal rates may decline or fluctuate as a result of a number of factors, including the overall global economy, the health of their businesses, and the perceived value of the maintenance program. If our customers do not attach maintenance to their initial license or renew their maintenance contract for our products, our maintenance revenue will decline and our financial results will suffer.</w:t>
      </w:r>
    </w:p>
    <w:p>
      <w:pPr>
        <w:spacing w:after="0" w:line="188"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In addition, a portion of the growth of our maintenance revenue has typically been associated with growth of the number of licenses that we sell. Any reduction in the number of licenses that we sell, even if our customers' attach rates do not change, will have a negative impact on our future maintenance revenue. This in turn would impact our business and harm our financial results.</w:t>
      </w:r>
    </w:p>
    <w:p>
      <w:pPr>
        <w:spacing w:after="0" w:line="181"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We recognize maintenance revenue ratably over the term of the maintenance contracts, which is predominantly one year, but may also range up to five years. Decreases in maintenance billings will negatively impact future maintenance revenue, however future maintenance revenue will also be impacted by other factors such as the amount, timing and mix of contract terms of future billings.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restructuring and cost reduction actions may not be as effective as anticipated.</w:t>
      </w:r>
    </w:p>
    <w:p>
      <w:pPr>
        <w:spacing w:after="0" w:line="225" w:lineRule="exact"/>
        <w:rPr>
          <w:sz w:val="20"/>
          <w:szCs w:val="20"/>
          <w:color w:val="auto"/>
        </w:rPr>
      </w:pPr>
    </w:p>
    <w:p>
      <w:pPr>
        <w:ind w:right="260" w:firstLine="405"/>
        <w:spacing w:after="0" w:line="254" w:lineRule="auto"/>
        <w:rPr>
          <w:sz w:val="20"/>
          <w:szCs w:val="20"/>
          <w:color w:val="auto"/>
        </w:rPr>
      </w:pPr>
      <w:r>
        <w:rPr>
          <w:rFonts w:ascii="Arial" w:cs="Arial" w:eastAsia="Arial" w:hAnsi="Arial"/>
          <w:sz w:val="18"/>
          <w:szCs w:val="18"/>
          <w:color w:val="auto"/>
        </w:rPr>
        <w:t>In the past, we have undertaken restructuring plans. In the future, we may need to undertake additional restructuring efforts, and our business and operating results may be harmed. In taking any future restructuring actions, we may incur additional costs that negatively impact our operating margins. Additionally, a prolonged and slow economic recovery or a renewed recession in U.S. or foreign markets could also lead to additional restructuring actions and associated costs.</w:t>
      </w:r>
    </w:p>
    <w:p>
      <w:pPr>
        <w:spacing w:after="0" w:line="2" w:lineRule="exact"/>
        <w:rPr>
          <w:sz w:val="20"/>
          <w:szCs w:val="20"/>
          <w:color w:val="auto"/>
        </w:rPr>
      </w:pPr>
    </w:p>
    <w:p>
      <w:pPr>
        <w:jc w:val="both"/>
        <w:ind w:right="160" w:firstLine="405"/>
        <w:spacing w:after="0" w:line="295" w:lineRule="auto"/>
        <w:rPr>
          <w:sz w:val="20"/>
          <w:szCs w:val="20"/>
          <w:color w:val="auto"/>
        </w:rPr>
      </w:pPr>
      <w:r>
        <w:rPr>
          <w:rFonts w:ascii="Arial" w:cs="Arial" w:eastAsia="Arial" w:hAnsi="Arial"/>
          <w:sz w:val="16"/>
          <w:szCs w:val="16"/>
          <w:color w:val="auto"/>
        </w:rPr>
        <w:t>In the past, we have taken actions to reduce our cost structure to more closely align our costs with our revenue levels. In taking these actions, we have attempted to balance the cost of such initiatives against their longer term benefits. If we do not achieve the proper balance of these cost reduction initiatives, we may eliminate critical elements of our operations, the loss of which could negatively impact our ability to benefit from an economic recovery. We cannot assure that our cost cutting efforts will achieve appropriate levels of expenses, and we may take additional actions in the future.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84"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225"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Because we conduct a substantial portion of our business outside the U.S. and we make certain business and resource decisions based on assumptions about foreign currency, we face exposure to adverse movements in foreign currency exchange rates. These exposures may change over time as business practices evolve and economic conditions change, and they could have a material adverse impact on our financial results and cash flows.</w:t>
      </w:r>
    </w:p>
    <w:p>
      <w:pPr>
        <w:spacing w:after="0" w:line="147" w:lineRule="exact"/>
        <w:rPr>
          <w:sz w:val="20"/>
          <w:szCs w:val="20"/>
          <w:color w:val="auto"/>
        </w:rPr>
      </w:pPr>
    </w:p>
    <w:p>
      <w:pPr>
        <w:jc w:val="both"/>
        <w:ind w:right="120" w:firstLine="432"/>
        <w:spacing w:after="0" w:line="257" w:lineRule="auto"/>
        <w:rPr>
          <w:sz w:val="20"/>
          <w:szCs w:val="20"/>
          <w:color w:val="auto"/>
        </w:rPr>
      </w:pPr>
      <w:r>
        <w:rPr>
          <w:rFonts w:ascii="Arial" w:cs="Arial" w:eastAsia="Arial" w:hAnsi="Arial"/>
          <w:sz w:val="18"/>
          <w:szCs w:val="18"/>
          <w:color w:val="auto"/>
        </w:rPr>
        <w:t>We use derivative instruments to manage a portion of our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one to twelve months in the future, and provide us with some protection against currency exposures. However, our attempts to hedge against these risks may not be completely successful, resulting in an adverse impact on our financial results.</w:t>
      </w:r>
    </w:p>
    <w:p>
      <w:pPr>
        <w:spacing w:after="0" w:line="188"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The fluctuations of currencies in which we conduct business can both increase and decrease our overall revenue and expenses for any given fiscal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 or earnings shortfalls or the volatility of the market generally may cause the market price of our stock to decline.</w:t>
      </w:r>
    </w:p>
    <w:p>
      <w:pPr>
        <w:spacing w:after="0" w:line="225"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The market price for our common stock has experienced significant fluctuations and may continue to fluctuate significantly. The market price for our common stock may be affected by a number of factors, including the other factors described in this Part II, Item 1A and the following:</w:t>
      </w:r>
    </w:p>
    <w:p>
      <w:pPr>
        <w:spacing w:after="0" w:line="14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shortfalls in our expected financial results, including net revenue, earnings, billings, subscriptions or other key performance metrics;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socio-economic, political or market conditions;</w:t>
      </w:r>
    </w:p>
    <w:p>
      <w:pPr>
        <w:spacing w:after="0" w:line="225"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confusion on the part of analysts and investors about the short-term and long-term impact to our business resulting from our business model transition;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uncertainty about certain governments' abilities to repay debt or effect fiscal policy;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estimates of future results or recommendations by securities analysts;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unusual events such as significant acquisitions, divestitures, regulatory actions and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laws, rules or regulations applicable to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outstanding debt service obligations;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factors, including factors unrelated to our operating performance, such as instability affecting the economy or the operating performance of our competitors.</w:t>
      </w:r>
    </w:p>
    <w:p>
      <w:pPr>
        <w:spacing w:after="0" w:line="170"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Significant changes in the price of our common stock could expose us to additional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584" w:right="27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170"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As part of our effort to accommodate our customers' needs and demands and the rapid evolution of technology, we from time to time evolve our business and sales initiatives such as realigning our development and marketing organizations, and expanding our portfolio of suites and our offering of software as a service, and realigning our internal resources in an effort to improve efficiency.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20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Changes in laws and/or regulations related to the Internet or related to privacy and data security concerns may impact our business or expose us to increased liability.</w:t>
      </w:r>
    </w:p>
    <w:p>
      <w:pPr>
        <w:spacing w:after="0" w:line="170" w:lineRule="exact"/>
        <w:rPr>
          <w:sz w:val="20"/>
          <w:szCs w:val="20"/>
          <w:color w:val="auto"/>
        </w:rPr>
      </w:pPr>
    </w:p>
    <w:p>
      <w:pPr>
        <w:ind w:right="20" w:firstLine="432"/>
        <w:spacing w:after="0" w:line="285" w:lineRule="auto"/>
        <w:rPr>
          <w:sz w:val="20"/>
          <w:szCs w:val="20"/>
          <w:color w:val="auto"/>
        </w:rPr>
      </w:pPr>
      <w:r>
        <w:rPr>
          <w:rFonts w:ascii="Arial" w:cs="Arial" w:eastAsia="Arial" w:hAnsi="Arial"/>
          <w:sz w:val="16"/>
          <w:szCs w:val="16"/>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data privacy and the transmission of certain types of content using the Internet. For example, the State of California has adopted legislation requiring operators of commercial websites and mobile applications that collect personal information from California residents to conspicuously post and comply with privacy policies that satisfy certain requirements. Several other U.S. states have adopted legislation requiring companies to protect the security of personal information that they collect from consumers over the Internet, and more states may adopt similar legislation in the future. Additionally, the Federal Trade Commission has used its authority under Section 5 of the Federal Trade Commission Act to bring actions against companies for failing to maintain adequate security for personal information collected from consumers over the Internet and for failing to comply with privacy-related representations made to Internet users. The U.S. Congress has at various times proposed federal legislation intended to protect the privacy of Internet users and the security of personal information collected from Internet users that would impose additional compliance burdens upon companies collecting personal information from Internet users, and the U.S. Congress may adopt such legislation in the future. The European Union also has adopted various directives regulating data privacy and security and the transmission of content using the Internet involving residents of the European Union, including those directives known as the Data Protection Directive, the E-Privacy Directive, and the Privacy and Electronic Communications Directive, and may adopt similar directives in the future. Several other countries, including Canada and several Latin American and Asian countries, have constitutional protections for, or have adopted legislation protecting, individuals' personal information. Additionally, some federal, state, or foreign governmental bodies have established laws which seek to censor the transmission of certain types of content over the Internet or require that individuals be provided with the ability to permanently delete all electronic personal information, such as the German Multimedia Law of 1997.</w:t>
      </w:r>
    </w:p>
    <w:p>
      <w:pPr>
        <w:spacing w:after="0" w:line="394"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Given the variety of global privacy and data protection regimes, it is possible we may find ourselves subject to inconsistent obligations. For instance, the USA Patriot Act is considered by some to be in conflict with certain directives of the European Union. Situations such as these require that we make prospective determinations regarding compliance with conflicting regulations. Increased enforcement of existing laws and regulations, as well as any laws, regulations or changes that may be adopted or implemented in the future, could limit the growth of the use of public cloud applications or communications generally, result in a decline in the use of the Internet and the viability of Internet-based applications, and require implementation of additional technological safeguards.</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Our investment portfolio is composed of a variety of investment vehicles in a number of countries that are subject to interest rate trends, market volatility and other economic factors. If general economic conditions decline, this could cause the credit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84" w:right="239" w:bottom="1440" w:gutter="0" w:footer="0" w:header="0"/>
        </w:sectPr>
      </w:pPr>
    </w:p>
    <w:bookmarkStart w:id="58" w:name="page59"/>
    <w:bookmarkEnd w:id="58"/>
    <w:p>
      <w:pPr>
        <w:ind w:right="120"/>
        <w:spacing w:after="0" w:line="277" w:lineRule="auto"/>
        <w:rPr>
          <w:sz w:val="20"/>
          <w:szCs w:val="20"/>
          <w:color w:val="auto"/>
        </w:rPr>
      </w:pPr>
      <w:r>
        <w:rPr>
          <w:rFonts w:ascii="Arial" w:cs="Arial" w:eastAsia="Arial" w:hAnsi="Arial"/>
          <w:sz w:val="18"/>
          <w:szCs w:val="18"/>
          <w:i w:val="1"/>
          <w:iCs w:val="1"/>
          <w:color w:val="auto"/>
        </w:rPr>
        <w:t>ratings of our investments to deteriorate, illiquidity in the financial marketplace, and we may experience a decline in interest income, and an inability to sell our investments, leading to impairment in the value of our investments.</w:t>
      </w:r>
    </w:p>
    <w:p>
      <w:pPr>
        <w:spacing w:after="0" w:line="170"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In the U.S., for example, the yields on our portfolio securities are very low due to general economic conditions. Any one of these factors could reduce our investment income, or result in material charges, which in turn could impact our overall net income and earnings per share.</w:t>
      </w:r>
    </w:p>
    <w:p>
      <w:pPr>
        <w:spacing w:after="0" w:line="178"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From time to time we make direct investments in privately held companies. The privately held companies in which we invest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173"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A loss on any of our investments may cause us to record an other-than-temporary impairment charge. The effect of this charge could impact our overall net income and earnings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 for our securities.</w:t>
      </w:r>
    </w:p>
    <w:p>
      <w:pPr>
        <w:spacing w:after="0" w:line="181"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We are involved in legal proceedings and receive inquiries from regulatory agencies. As the global economy has changed and our business has evolved, we have seen an increase in litigation activity and regulatory inquiries. Like many other high technology companies, the number and frequency of inquiries from U.S. and foreign regulatory agencies we have received regarding our business and our business practices, and the business practices of others in our industry, have increased in recent years. In the event that we are involved in significant disputes or are the subject of a formal action by a regulatory agency, we could be exposed to costly and time consuming legal proceedings that could result in any number of outcomes. Although outcomes of such actions vary, any claims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could be negatively impacted.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225" w:lineRule="exact"/>
        <w:rPr>
          <w:sz w:val="20"/>
          <w:szCs w:val="20"/>
          <w:color w:val="auto"/>
        </w:rPr>
      </w:pPr>
    </w:p>
    <w:p>
      <w:pPr>
        <w:jc w:val="both"/>
        <w:ind w:right="240" w:firstLine="432"/>
        <w:spacing w:after="0" w:line="286" w:lineRule="auto"/>
        <w:rPr>
          <w:sz w:val="20"/>
          <w:szCs w:val="20"/>
          <w:color w:val="auto"/>
        </w:rPr>
      </w:pPr>
      <w:r>
        <w:rPr>
          <w:rFonts w:ascii="Arial" w:cs="Arial" w:eastAsia="Arial" w:hAnsi="Arial"/>
          <w:sz w:val="17"/>
          <w:szCs w:val="17"/>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manner in which we conduct our business. Further, such changes could potentially affect our reporting of transactions completed before such changes are effective.</w:t>
      </w:r>
    </w:p>
    <w:p>
      <w:pPr>
        <w:spacing w:after="0" w:line="166" w:lineRule="exact"/>
        <w:rPr>
          <w:sz w:val="20"/>
          <w:szCs w:val="20"/>
          <w:color w:val="auto"/>
        </w:rPr>
      </w:pPr>
    </w:p>
    <w:p>
      <w:pPr>
        <w:ind w:right="240" w:firstLine="432"/>
        <w:spacing w:after="0" w:line="276" w:lineRule="auto"/>
        <w:rPr>
          <w:sz w:val="20"/>
          <w:szCs w:val="20"/>
          <w:color w:val="auto"/>
        </w:rPr>
      </w:pPr>
      <w:r>
        <w:rPr>
          <w:rFonts w:ascii="Arial" w:cs="Arial" w:eastAsia="Arial" w:hAnsi="Arial"/>
          <w:sz w:val="17"/>
          <w:szCs w:val="17"/>
          <w:color w:val="auto"/>
        </w:rPr>
        <w:t>For example, the U.S.-based Financial Accounting Standards Board (“FASB”) is currently working together with the International Accounting Standards Board (“IASB”) on several projects to further align accounting principles and facilitate more comparable financial reporting between companies who are required to follow U.S. Generally Accepted Accounting Principles (“GAAP”) under SEC regulations and those who are required to follow IFRS outside of the U.S. These efforts by the FASB and IASB may result in different accounting principles under GAAP that may result in materially different financial results for us in areas including, but not limited to principles for recognizing revenue and lease accounting.</w:t>
      </w:r>
    </w:p>
    <w:p>
      <w:pPr>
        <w:spacing w:after="0" w:line="17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It is not clear if or when these potential changes in accounting principles may become effective, whether we have the proper systems and controls in place to accommodate such changes and the impact that any such changes may have on our consolidated financial position, results of operations and cash flows. In addition, as we evolve and change our business and sales models, we are currently unable to determine how these potential changes may impact our new models, particularly in the area of revenue recognition.</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584" w:right="259" w:bottom="1440" w:gutter="0" w:footer="0" w:header="0"/>
        </w:sectPr>
      </w:pPr>
    </w:p>
    <w:bookmarkStart w:id="59" w:name="page60"/>
    <w:bookmarkEnd w:id="59"/>
    <w:p>
      <w:pPr>
        <w:ind w:right="200"/>
        <w:spacing w:after="0" w:line="264" w:lineRule="auto"/>
        <w:rPr>
          <w:sz w:val="20"/>
          <w:szCs w:val="20"/>
          <w:color w:val="auto"/>
        </w:rPr>
      </w:pPr>
      <w:r>
        <w:rPr>
          <w:rFonts w:ascii="Arial" w:cs="Arial" w:eastAsia="Arial" w:hAnsi="Arial"/>
          <w:sz w:val="18"/>
          <w:szCs w:val="18"/>
          <w:i w:val="1"/>
          <w:iCs w:val="1"/>
          <w:color w:val="auto"/>
        </w:rPr>
        <w:t>Although we believe we currently have adequate internal control over financial reporting, 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181"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Pursuant to Section 404, we are required to furnish a report by our management on our internal control over financial reporting. The report contains, among other matters,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w:t>
      </w:r>
    </w:p>
    <w:p>
      <w:pPr>
        <w:spacing w:after="0" w:line="187" w:lineRule="exact"/>
        <w:rPr>
          <w:sz w:val="20"/>
          <w:szCs w:val="20"/>
          <w:color w:val="auto"/>
        </w:rPr>
      </w:pPr>
    </w:p>
    <w:p>
      <w:pPr>
        <w:ind w:right="140" w:firstLine="432"/>
        <w:spacing w:after="0" w:line="271" w:lineRule="auto"/>
        <w:rPr>
          <w:sz w:val="20"/>
          <w:szCs w:val="20"/>
          <w:color w:val="auto"/>
        </w:rPr>
      </w:pPr>
      <w:r>
        <w:rPr>
          <w:rFonts w:ascii="Arial" w:cs="Arial" w:eastAsia="Arial" w:hAnsi="Arial"/>
          <w:sz w:val="17"/>
          <w:szCs w:val="17"/>
          <w:color w:val="auto"/>
        </w:rPr>
        <w:t>Although we have determined that our internal control over financial reporting was effective as of January 31, 2014, as indicated in our Management Report on Internal Control over Financial Reporting, included in our Annual Report on Form 10-K for the fiscal year ended January 31, 2014, we must continue to monitor and assess our internal control over financial reporting. If our management identifies one or more material weaknesses in our internal control over financial reporting and such weakness remains uncorrected at fiscal year-end, we will be unable to assert such internal control is effective at fiscal year-end. If we are unable to assert that our internal control over financial reporting is effective at fiscal year-end (or if our independent registered public accounting firm is unable to express an opinion on the effectiveness of our internal controls or concludes that we have a material weakness in our internal controls), we could lose investor confidence in the accuracy and completeness of our financial reports, which would likely have an adverse effect on our business and stock price.</w:t>
      </w:r>
    </w:p>
    <w:p>
      <w:pPr>
        <w:spacing w:after="0" w:line="1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17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make assumptions, judgments and estimates for a number of items, including the fair value of financial instruments, goodwill, long-lived assets and other intangible assets, the realizability of deferred tax assets and the fair value of stock awards. We also make assumptions, judgments and estimates in determining the accruals for employee related liabilities including commissions, bonuses, and sabbaticals; and in determining the accruals for uncertain tax positions, partner incentive programs, product returns reserves, allowances for doubtful accounts, asset retirement obligations and legal contingencies.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results could be negatively impacted if our tax positions are overturned by tax authorities.</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based on our expected geographic mix of earnings, statutory rates, intercompany transfer pricing, and enacted tax rules. Significant judgment is required in determining our effective tax rate and in evaluating our tax positions on a worldwide basis. We believe our tax positions, including intercompany transfer pricing policies, are consistent with the tax laws in the jurisdictions in which we conduct our business. It is possible that these positions may be overturned by jurisdictional tax authorities and may have a significant impact on our effective tax rate.</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We rely on third party technologies and if we are unable to use or integrate these technologies, our product and service development may be delayed and our financial results negatively impacted.</w:t>
      </w:r>
    </w:p>
    <w:p>
      <w:pPr>
        <w:spacing w:after="0" w:line="170" w:lineRule="exact"/>
        <w:rPr>
          <w:sz w:val="20"/>
          <w:szCs w:val="20"/>
          <w:color w:val="auto"/>
        </w:rPr>
      </w:pPr>
    </w:p>
    <w:p>
      <w:pPr>
        <w:jc w:val="both"/>
        <w:ind w:right="160" w:firstLine="432"/>
        <w:spacing w:after="0" w:line="257"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products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in delays or reductions in product shipments until equivalent software can be developed, identified, licensed and integrated, which would likely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with licensing relationships and third party developers could adversely impact our business.</w:t>
      </w:r>
    </w:p>
    <w:p>
      <w:pPr>
        <w:spacing w:after="0" w:line="22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800" w:right="239" w:bottom="1440" w:gutter="0" w:footer="0" w:header="0"/>
        </w:sectPr>
      </w:pPr>
    </w:p>
    <w:bookmarkStart w:id="60" w:name="page61"/>
    <w:bookmarkEnd w:id="60"/>
    <w:p>
      <w:pPr>
        <w:ind w:right="60" w:firstLine="432"/>
        <w:spacing w:after="0" w:line="259" w:lineRule="auto"/>
        <w:rPr>
          <w:sz w:val="20"/>
          <w:szCs w:val="20"/>
          <w:color w:val="auto"/>
        </w:rPr>
      </w:pPr>
      <w:r>
        <w:rPr>
          <w:rFonts w:ascii="Arial" w:cs="Arial" w:eastAsia="Arial" w:hAnsi="Arial"/>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187"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Additionally, technology created by outsourced product development, whether outsourced to third parties or developed externally and transferred to us through business or technology acquisitions, have certain additional risks such as effective integration into existing products, adequate transfer of technology know-how and ownership and protection of transferred intellectual property.</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7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products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19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We regularly invest resources to update and improve our internal information technology systems. Should our investments not succeed, or if delays or other issues with new or existing internal technology systems disrupt our operations, our business could be harmed.</w:t>
      </w:r>
    </w:p>
    <w:p>
      <w:pPr>
        <w:spacing w:after="0" w:line="17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rely on our network and data center infrastructure, internal technology systems and our websites for our development, marketing, operational, support, sales, accounting and financial reporting activities. We are continually investing resources to update and improve these systems and environments in order to meet the growing requirements of our business and customers. Such improvements are often complex, costly and time consuming. In addition, such improvements can be challenging to integrate with our existing technology systems, or uncover problems with our existing technology systems. Unsuccessful implementation of hardware or software updates and improvements could result in disruption in our business operations, loss of revenue, errors in our accounting and financial reporting or damage to our reputation.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may be significantly disrupted upon the occurrence of a catastrophic event.</w:t>
      </w:r>
    </w:p>
    <w:p>
      <w:pPr>
        <w:spacing w:after="0" w:line="225"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or war, could adversely impact our business, financial results and financial condition.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thereby negatively impacting our financial results.</w:t>
      </w:r>
    </w:p>
    <w:p>
      <w:pPr>
        <w:spacing w:after="0" w:line="192"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i w:val="1"/>
          <w:iCs w:val="1"/>
          <w:color w:val="auto"/>
        </w:rPr>
        <w:t>We issued $750.0 million aggregate principal amount of senior unsecured notes in a debt offering in December 2012 and have an existing $400.0 million revolving credit facility, and may incur other debt in the future, which may adversely affect our financial condition and future financial results.</w:t>
      </w:r>
    </w:p>
    <w:p>
      <w:pPr>
        <w:spacing w:after="0" w:line="147" w:lineRule="exact"/>
        <w:rPr>
          <w:sz w:val="20"/>
          <w:szCs w:val="20"/>
          <w:color w:val="auto"/>
        </w:rPr>
      </w:pPr>
    </w:p>
    <w:p>
      <w:pPr>
        <w:ind w:right="260" w:firstLine="405"/>
        <w:spacing w:after="0" w:line="279" w:lineRule="auto"/>
        <w:rPr>
          <w:sz w:val="20"/>
          <w:szCs w:val="20"/>
          <w:color w:val="auto"/>
        </w:rPr>
      </w:pPr>
      <w:r>
        <w:rPr>
          <w:rFonts w:ascii="Arial" w:cs="Arial" w:eastAsia="Arial" w:hAnsi="Arial"/>
          <w:sz w:val="17"/>
          <w:szCs w:val="17"/>
          <w:color w:val="auto"/>
        </w:rPr>
        <w:t>In December 2012, we issued 1.95% notes due December 15, 2017 in an aggregate principal amount of $400.0 million and 3.6% notes due December 15, 2022 in an aggregate principal amount of $350.0 million. As the December 2017 and December 2022 debt matures, we will have to expend significant resources to either repay or refinance these notes. If we decide to refinance the notes, we may be required to do so on different or less favorable terms or we may be unable to refinance the notes at all, both of which may adversely affect our financial condition.</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584" w:right="259" w:bottom="1440" w:gutter="0" w:footer="0" w:header="0"/>
        </w:sectPr>
      </w:pPr>
    </w:p>
    <w:bookmarkStart w:id="61" w:name="page62"/>
    <w:bookmarkEnd w:id="61"/>
    <w:p>
      <w:pPr>
        <w:ind w:right="20" w:firstLine="405"/>
        <w:spacing w:after="0" w:line="259" w:lineRule="auto"/>
        <w:rPr>
          <w:sz w:val="20"/>
          <w:szCs w:val="20"/>
          <w:color w:val="auto"/>
        </w:rPr>
      </w:pPr>
      <w:r>
        <w:rPr>
          <w:rFonts w:ascii="Arial" w:cs="Arial" w:eastAsia="Arial" w:hAnsi="Arial"/>
          <w:sz w:val="18"/>
          <w:szCs w:val="18"/>
          <w:color w:val="auto"/>
        </w:rPr>
        <w:t>We also have a $400.0 million revolving credit facility. As of July 31, 2014, we had no outstanding borrowings on the line of credit. Although we have no current plans to borrow under this credit facility, we may use the proceeds of any future borrowing for general corporate purposes, or for future acquisitions or expansion of our business. Our existing and future levels of indebtedness may adversely affect our financial condition and future financial results by, among other things:</w:t>
      </w:r>
    </w:p>
    <w:p>
      <w:pPr>
        <w:spacing w:after="0" w:line="18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increasing our vulnerability to adverse changes in general economic, industry and competitive conditions;</w:t>
      </w:r>
    </w:p>
    <w:p>
      <w:pPr>
        <w:spacing w:after="0" w:line="225" w:lineRule="exact"/>
        <w:rPr>
          <w:rFonts w:ascii="Arial" w:cs="Arial" w:eastAsia="Arial" w:hAnsi="Arial"/>
          <w:sz w:val="18"/>
          <w:szCs w:val="18"/>
          <w:color w:val="auto"/>
        </w:rPr>
      </w:pPr>
    </w:p>
    <w:p>
      <w:pPr>
        <w:ind w:left="660" w:right="16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requiring the dedication of a greater than expected portion of our expected cash from operations to service our indebtedness, thereby reducing the amount of expected cash flow available for other purposes, including capital expenditures and acquisitions;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w:t>
      </w:r>
    </w:p>
    <w:p>
      <w:pPr>
        <w:spacing w:after="0" w:line="22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We are required to comply with the covenants set forth in our senior unsecured notes and revolving credit facility. Our ability to comply with these covenants may be affected by events beyond our control. If we breach any of the covenants and do not obtain a waiver from the noteholders or lenders, then, subject to applicable cure periods, any outstanding indebtedness may be declared immediately due and payable. In addition, changes by any rating agency to our credit rating may negatively impact the value and liquidity of our securities. Under certain circumstances, if our credit ratings are downgraded or other negative action is taken, the interest rate payable by us under our revolving credit facility could increase. Downgrades in our credit ratings could also restrict our ability to obtain additional financing in the future and could affect the terms of any such financing.</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three months ended July 31, 2014.</w:t>
      </w:r>
    </w:p>
    <w:p>
      <w:pPr>
        <w:spacing w:after="0" w:line="22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information concerning issuer purchases of equity securities required by this Item is incorporated by reference herein to the section of this Report entitled “Issuer Purchases of Equity Securities” in Part I, Item 2 above.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00"/>
          </w:cols>
          <w:pgMar w:left="240" w:top="584" w:right="359" w:bottom="1440" w:gutter="0" w:footer="0" w:header="0"/>
        </w:sectPr>
      </w:pPr>
    </w:p>
    <w:bookmarkStart w:id="62" w:name="page63"/>
    <w:bookmarkEnd w:id="62"/>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Exhibits listed below are filed or incorporated by reference as part of this Form 10-Q.</w:t>
      </w:r>
    </w:p>
    <w:p>
      <w:pPr>
        <w:spacing w:after="0" w:line="200" w:lineRule="exact"/>
        <w:rPr>
          <w:sz w:val="20"/>
          <w:szCs w:val="20"/>
          <w:color w:val="auto"/>
        </w:rPr>
      </w:pP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3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620" w:type="dxa"/>
            <w:vAlign w:val="bottom"/>
          </w:tcPr>
          <w:p>
            <w:pPr>
              <w:spacing w:after="0"/>
              <w:rPr>
                <w:sz w:val="14"/>
                <w:szCs w:val="14"/>
                <w:color w:val="auto"/>
              </w:rPr>
            </w:pPr>
          </w:p>
        </w:tc>
      </w:tr>
      <w:tr>
        <w:trPr>
          <w:trHeight w:val="379"/>
        </w:trPr>
        <w:tc>
          <w:tcPr>
            <w:tcW w:w="700" w:type="dxa"/>
            <w:vAlign w:val="bottom"/>
          </w:tcPr>
          <w:p>
            <w:pPr>
              <w:spacing w:after="0"/>
              <w:rPr>
                <w:sz w:val="20"/>
                <w:szCs w:val="20"/>
                <w:color w:val="auto"/>
              </w:rPr>
            </w:pPr>
            <w:r>
              <w:rPr>
                <w:rFonts w:ascii="Arial" w:cs="Arial" w:eastAsia="Arial" w:hAnsi="Arial"/>
                <w:sz w:val="16"/>
                <w:szCs w:val="16"/>
                <w:color w:val="auto"/>
              </w:rPr>
              <w:t>10.1*</w:t>
            </w:r>
          </w:p>
        </w:tc>
        <w:tc>
          <w:tcPr>
            <w:tcW w:w="320" w:type="dxa"/>
            <w:vAlign w:val="bottom"/>
          </w:tcPr>
          <w:p>
            <w:pPr>
              <w:spacing w:after="0"/>
              <w:rPr>
                <w:sz w:val="24"/>
                <w:szCs w:val="24"/>
                <w:color w:val="auto"/>
              </w:rPr>
            </w:pPr>
          </w:p>
        </w:tc>
        <w:tc>
          <w:tcPr>
            <w:tcW w:w="10260" w:type="dxa"/>
            <w:vAlign w:val="bottom"/>
            <w:gridSpan w:val="3"/>
          </w:tcPr>
          <w:p>
            <w:pPr>
              <w:ind w:left="240"/>
              <w:spacing w:after="0"/>
              <w:rPr>
                <w:sz w:val="20"/>
                <w:szCs w:val="20"/>
                <w:color w:val="auto"/>
              </w:rPr>
            </w:pPr>
            <w:r>
              <w:rPr>
                <w:rFonts w:ascii="Arial" w:cs="Arial" w:eastAsia="Arial" w:hAnsi="Arial"/>
                <w:sz w:val="16"/>
                <w:szCs w:val="16"/>
                <w:color w:val="auto"/>
              </w:rPr>
              <w:t>Registrant’s 1998 Employee Qualified Stock Purchase Plan Form of Agreement (non-U.S. Employees)</w:t>
            </w:r>
          </w:p>
        </w:tc>
      </w:tr>
      <w:tr>
        <w:trPr>
          <w:trHeight w:val="432"/>
        </w:trPr>
        <w:tc>
          <w:tcPr>
            <w:tcW w:w="700" w:type="dxa"/>
            <w:vAlign w:val="bottom"/>
          </w:tcPr>
          <w:p>
            <w:pPr>
              <w:spacing w:after="0"/>
              <w:rPr>
                <w:sz w:val="20"/>
                <w:szCs w:val="20"/>
                <w:color w:val="auto"/>
              </w:rPr>
            </w:pPr>
            <w:r>
              <w:rPr>
                <w:rFonts w:ascii="Arial" w:cs="Arial" w:eastAsia="Arial" w:hAnsi="Arial"/>
                <w:sz w:val="16"/>
                <w:szCs w:val="16"/>
                <w:color w:val="auto"/>
              </w:rPr>
              <w:t>10.2*</w:t>
            </w:r>
          </w:p>
        </w:tc>
        <w:tc>
          <w:tcPr>
            <w:tcW w:w="320" w:type="dxa"/>
            <w:vAlign w:val="bottom"/>
          </w:tcPr>
          <w:p>
            <w:pPr>
              <w:spacing w:after="0"/>
              <w:rPr>
                <w:sz w:val="24"/>
                <w:szCs w:val="24"/>
                <w:color w:val="auto"/>
              </w:rPr>
            </w:pPr>
          </w:p>
        </w:tc>
        <w:tc>
          <w:tcPr>
            <w:tcW w:w="10260" w:type="dxa"/>
            <w:vAlign w:val="bottom"/>
            <w:gridSpan w:val="3"/>
          </w:tcPr>
          <w:p>
            <w:pPr>
              <w:ind w:left="240"/>
              <w:spacing w:after="0"/>
              <w:rPr>
                <w:sz w:val="20"/>
                <w:szCs w:val="20"/>
                <w:color w:val="auto"/>
              </w:rPr>
            </w:pPr>
            <w:r>
              <w:rPr>
                <w:rFonts w:ascii="Arial" w:cs="Arial" w:eastAsia="Arial" w:hAnsi="Arial"/>
                <w:sz w:val="16"/>
                <w:szCs w:val="16"/>
                <w:color w:val="auto"/>
              </w:rPr>
              <w:t>Sub-Plan of the Autodesk, Inc. 1998 Employee Qualified Stock Purchase Plan, as amended and restated</w:t>
            </w:r>
          </w:p>
        </w:tc>
      </w:tr>
      <w:tr>
        <w:trPr>
          <w:trHeight w:val="378"/>
        </w:trPr>
        <w:tc>
          <w:tcPr>
            <w:tcW w:w="700" w:type="dxa"/>
            <w:vAlign w:val="bottom"/>
          </w:tcPr>
          <w:p>
            <w:pPr>
              <w:spacing w:after="0"/>
              <w:rPr>
                <w:sz w:val="20"/>
                <w:szCs w:val="20"/>
                <w:color w:val="auto"/>
              </w:rPr>
            </w:pPr>
            <w:r>
              <w:rPr>
                <w:rFonts w:ascii="Arial" w:cs="Arial" w:eastAsia="Arial" w:hAnsi="Arial"/>
                <w:sz w:val="16"/>
                <w:szCs w:val="16"/>
                <w:color w:val="auto"/>
              </w:rPr>
              <w:t>31</w:t>
            </w:r>
          </w:p>
        </w:tc>
        <w:tc>
          <w:tcPr>
            <w:tcW w:w="320" w:type="dxa"/>
            <w:vAlign w:val="bottom"/>
          </w:tcPr>
          <w:p>
            <w:pPr>
              <w:spacing w:after="0"/>
              <w:rPr>
                <w:sz w:val="24"/>
                <w:szCs w:val="24"/>
                <w:color w:val="auto"/>
              </w:rPr>
            </w:pPr>
          </w:p>
        </w:tc>
        <w:tc>
          <w:tcPr>
            <w:tcW w:w="10260" w:type="dxa"/>
            <w:vAlign w:val="bottom"/>
            <w:gridSpan w:val="3"/>
          </w:tcPr>
          <w:p>
            <w:pPr>
              <w:ind w:left="240"/>
              <w:spacing w:after="0"/>
              <w:rPr>
                <w:sz w:val="20"/>
                <w:szCs w:val="20"/>
                <w:color w:val="auto"/>
              </w:rPr>
            </w:pPr>
            <w:r>
              <w:rPr>
                <w:rFonts w:ascii="Arial" w:cs="Arial" w:eastAsia="Arial" w:hAnsi="Arial"/>
                <w:sz w:val="16"/>
                <w:szCs w:val="16"/>
                <w:color w:val="auto"/>
              </w:rPr>
              <w:t>Certification of Chief Executive Officer and Interim Chief Financial Officer pursuant to Rule 13a-14(a) of the Securities Exchange Act of 1934</w:t>
            </w:r>
          </w:p>
        </w:tc>
      </w:tr>
      <w:tr>
        <w:trPr>
          <w:trHeight w:val="388"/>
        </w:trPr>
        <w:tc>
          <w:tcPr>
            <w:tcW w:w="1020" w:type="dxa"/>
            <w:vAlign w:val="bottom"/>
            <w:gridSpan w:val="2"/>
          </w:tcPr>
          <w:p>
            <w:pPr>
              <w:spacing w:after="0"/>
              <w:rPr>
                <w:sz w:val="20"/>
                <w:szCs w:val="20"/>
                <w:color w:val="auto"/>
              </w:rPr>
            </w:pPr>
            <w:r>
              <w:rPr>
                <w:rFonts w:ascii="Arial" w:cs="Arial" w:eastAsia="Arial" w:hAnsi="Arial"/>
                <w:sz w:val="16"/>
                <w:szCs w:val="16"/>
                <w:color w:val="auto"/>
              </w:rPr>
              <w:t>32 †</w:t>
            </w:r>
          </w:p>
        </w:tc>
        <w:tc>
          <w:tcPr>
            <w:tcW w:w="10260" w:type="dxa"/>
            <w:vAlign w:val="bottom"/>
            <w:gridSpan w:val="3"/>
          </w:tcPr>
          <w:p>
            <w:pPr>
              <w:ind w:left="240"/>
              <w:spacing w:after="0"/>
              <w:rPr>
                <w:sz w:val="20"/>
                <w:szCs w:val="20"/>
                <w:color w:val="auto"/>
              </w:rPr>
            </w:pPr>
            <w:r>
              <w:rPr>
                <w:rFonts w:ascii="Arial" w:cs="Arial" w:eastAsia="Arial" w:hAnsi="Arial"/>
                <w:sz w:val="16"/>
                <w:szCs w:val="16"/>
                <w:color w:val="auto"/>
                <w:w w:val="92"/>
              </w:rPr>
              <w:t>Certification of Chief Executive Officer and Interim Chief Financial Officer pursuant to 18 U.S.C. Section 1350, as adopted pursuant to Section 906 of the</w:t>
            </w: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60" w:type="dxa"/>
            <w:vAlign w:val="bottom"/>
            <w:gridSpan w:val="3"/>
          </w:tcPr>
          <w:p>
            <w:pPr>
              <w:ind w:left="240"/>
              <w:spacing w:after="0"/>
              <w:rPr>
                <w:sz w:val="20"/>
                <w:szCs w:val="20"/>
                <w:color w:val="auto"/>
              </w:rPr>
            </w:pPr>
            <w:r>
              <w:rPr>
                <w:rFonts w:ascii="Arial" w:cs="Arial" w:eastAsia="Arial" w:hAnsi="Arial"/>
                <w:sz w:val="16"/>
                <w:szCs w:val="16"/>
                <w:color w:val="auto"/>
              </w:rPr>
              <w:t>Sarbanes-Oxley Act of 2002</w:t>
            </w:r>
          </w:p>
        </w:tc>
      </w:tr>
      <w:tr>
        <w:trPr>
          <w:trHeight w:val="378"/>
        </w:trPr>
        <w:tc>
          <w:tcPr>
            <w:tcW w:w="1020" w:type="dxa"/>
            <w:vAlign w:val="bottom"/>
            <w:gridSpan w:val="2"/>
          </w:tcPr>
          <w:p>
            <w:pPr>
              <w:spacing w:after="0"/>
              <w:rPr>
                <w:sz w:val="20"/>
                <w:szCs w:val="20"/>
                <w:color w:val="auto"/>
              </w:rPr>
            </w:pPr>
            <w:r>
              <w:rPr>
                <w:rFonts w:ascii="Arial" w:cs="Arial" w:eastAsia="Arial" w:hAnsi="Arial"/>
                <w:sz w:val="16"/>
                <w:szCs w:val="16"/>
                <w:color w:val="auto"/>
              </w:rPr>
              <w:t>101.INS ††</w:t>
            </w:r>
          </w:p>
        </w:tc>
        <w:tc>
          <w:tcPr>
            <w:tcW w:w="10260" w:type="dxa"/>
            <w:vAlign w:val="bottom"/>
            <w:gridSpan w:val="3"/>
          </w:tcPr>
          <w:p>
            <w:pPr>
              <w:ind w:left="240"/>
              <w:spacing w:after="0"/>
              <w:rPr>
                <w:sz w:val="20"/>
                <w:szCs w:val="20"/>
                <w:color w:val="auto"/>
              </w:rPr>
            </w:pPr>
            <w:r>
              <w:rPr>
                <w:rFonts w:ascii="Arial" w:cs="Arial" w:eastAsia="Arial" w:hAnsi="Arial"/>
                <w:sz w:val="16"/>
                <w:szCs w:val="16"/>
                <w:color w:val="auto"/>
              </w:rPr>
              <w:t>XBRL Instance Document</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101.SCH ††</w:t>
            </w:r>
          </w:p>
        </w:tc>
        <w:tc>
          <w:tcPr>
            <w:tcW w:w="10260" w:type="dxa"/>
            <w:vAlign w:val="bottom"/>
            <w:gridSpan w:val="3"/>
          </w:tcPr>
          <w:p>
            <w:pPr>
              <w:ind w:left="240"/>
              <w:spacing w:after="0"/>
              <w:rPr>
                <w:sz w:val="20"/>
                <w:szCs w:val="20"/>
                <w:color w:val="auto"/>
              </w:rPr>
            </w:pPr>
            <w:r>
              <w:rPr>
                <w:rFonts w:ascii="Arial" w:cs="Arial" w:eastAsia="Arial" w:hAnsi="Arial"/>
                <w:sz w:val="16"/>
                <w:szCs w:val="16"/>
                <w:color w:val="auto"/>
              </w:rPr>
              <w:t>XBRL Taxonomy Extension Schema</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101.CAL ††</w:t>
            </w:r>
          </w:p>
        </w:tc>
        <w:tc>
          <w:tcPr>
            <w:tcW w:w="10260" w:type="dxa"/>
            <w:vAlign w:val="bottom"/>
            <w:gridSpan w:val="3"/>
          </w:tcPr>
          <w:p>
            <w:pPr>
              <w:ind w:left="240"/>
              <w:spacing w:after="0"/>
              <w:rPr>
                <w:sz w:val="20"/>
                <w:szCs w:val="20"/>
                <w:color w:val="auto"/>
              </w:rPr>
            </w:pPr>
            <w:r>
              <w:rPr>
                <w:rFonts w:ascii="Arial" w:cs="Arial" w:eastAsia="Arial" w:hAnsi="Arial"/>
                <w:sz w:val="16"/>
                <w:szCs w:val="16"/>
                <w:color w:val="auto"/>
              </w:rPr>
              <w:t>XBRL Taxonomy Extension Calculation Linkbase</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101.DEF ††</w:t>
            </w:r>
          </w:p>
        </w:tc>
        <w:tc>
          <w:tcPr>
            <w:tcW w:w="10260" w:type="dxa"/>
            <w:vAlign w:val="bottom"/>
            <w:gridSpan w:val="3"/>
          </w:tcPr>
          <w:p>
            <w:pPr>
              <w:ind w:left="240"/>
              <w:spacing w:after="0"/>
              <w:rPr>
                <w:sz w:val="20"/>
                <w:szCs w:val="20"/>
                <w:color w:val="auto"/>
              </w:rPr>
            </w:pPr>
            <w:r>
              <w:rPr>
                <w:rFonts w:ascii="Arial" w:cs="Arial" w:eastAsia="Arial" w:hAnsi="Arial"/>
                <w:sz w:val="16"/>
                <w:szCs w:val="16"/>
                <w:color w:val="auto"/>
              </w:rPr>
              <w:t>XBRL Taxonomy Definition Linkbase</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101.LAB ††</w:t>
            </w:r>
          </w:p>
        </w:tc>
        <w:tc>
          <w:tcPr>
            <w:tcW w:w="10260" w:type="dxa"/>
            <w:vAlign w:val="bottom"/>
            <w:gridSpan w:val="3"/>
          </w:tcPr>
          <w:p>
            <w:pPr>
              <w:ind w:left="240"/>
              <w:spacing w:after="0"/>
              <w:rPr>
                <w:sz w:val="20"/>
                <w:szCs w:val="20"/>
                <w:color w:val="auto"/>
              </w:rPr>
            </w:pPr>
            <w:r>
              <w:rPr>
                <w:rFonts w:ascii="Arial" w:cs="Arial" w:eastAsia="Arial" w:hAnsi="Arial"/>
                <w:sz w:val="16"/>
                <w:szCs w:val="16"/>
                <w:color w:val="auto"/>
              </w:rPr>
              <w:t>XBRL Taxonomy Extension Label Linkbase</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101.PRE ††</w:t>
            </w:r>
          </w:p>
        </w:tc>
        <w:tc>
          <w:tcPr>
            <w:tcW w:w="10260" w:type="dxa"/>
            <w:vAlign w:val="bottom"/>
            <w:gridSpan w:val="3"/>
          </w:tcPr>
          <w:p>
            <w:pPr>
              <w:ind w:left="240"/>
              <w:spacing w:after="0"/>
              <w:rPr>
                <w:sz w:val="20"/>
                <w:szCs w:val="20"/>
                <w:color w:val="auto"/>
              </w:rPr>
            </w:pPr>
            <w:r>
              <w:rPr>
                <w:rFonts w:ascii="Arial" w:cs="Arial" w:eastAsia="Arial" w:hAnsi="Arial"/>
                <w:sz w:val="16"/>
                <w:szCs w:val="16"/>
                <w:color w:val="auto"/>
              </w:rPr>
              <w:t>XBRL Taxonomy Extension Presentation Linkbase</w:t>
            </w:r>
          </w:p>
        </w:tc>
      </w:tr>
    </w:tbl>
    <w:p>
      <w:pPr>
        <w:spacing w:after="0" w:line="199" w:lineRule="exact"/>
        <w:rPr>
          <w:sz w:val="20"/>
          <w:szCs w:val="20"/>
          <w:color w:val="auto"/>
        </w:rPr>
      </w:pPr>
    </w:p>
    <w:p>
      <w:pPr>
        <w:ind w:left="720" w:hanging="685"/>
        <w:spacing w:after="0"/>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Denotes a management contract or compensatory plan or arrangement.</w:t>
      </w:r>
    </w:p>
    <w:p>
      <w:pPr>
        <w:spacing w:after="0" w:line="248" w:lineRule="exact"/>
        <w:rPr>
          <w:sz w:val="20"/>
          <w:szCs w:val="20"/>
          <w:color w:val="auto"/>
        </w:rPr>
      </w:pPr>
    </w:p>
    <w:p>
      <w:pPr>
        <w:jc w:val="both"/>
        <w:ind w:left="720" w:right="40" w:hanging="685"/>
        <w:spacing w:after="0" w:line="335" w:lineRule="auto"/>
        <w:tabs>
          <w:tab w:leader="none" w:pos="7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certifications attached as Exhibit 32 that accompany this Quarterly Report on Form 10-Q,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10-Q, irrespective of any general incorporation language contained in such filing.</w:t>
      </w:r>
    </w:p>
    <w:p>
      <w:pPr>
        <w:spacing w:after="0" w:line="109" w:lineRule="exact"/>
        <w:rPr>
          <w:sz w:val="20"/>
          <w:szCs w:val="20"/>
          <w:color w:val="auto"/>
        </w:rPr>
      </w:pPr>
    </w:p>
    <w:p>
      <w:pPr>
        <w:ind w:left="720" w:hanging="685"/>
        <w:spacing w:after="0"/>
        <w:tabs>
          <w:tab w:leader="none" w:pos="7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w:t>
      </w:r>
    </w:p>
    <w:p>
      <w:pPr>
        <w:spacing w:after="0" w:line="284"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63</w:t>
      </w:r>
    </w:p>
    <w:p>
      <w:pPr>
        <w:sectPr>
          <w:pgSz w:w="11900" w:h="16838" w:orient="portrait"/>
          <w:cols w:equalWidth="0" w:num="1">
            <w:col w:w="11320"/>
          </w:cols>
          <w:pgMar w:left="240" w:top="580" w:right="339" w:bottom="1440" w:gutter="0" w:footer="0" w:header="0"/>
        </w:sectPr>
      </w:pPr>
    </w:p>
    <w:bookmarkStart w:id="63" w:name="page64"/>
    <w:bookmarkEnd w:id="63"/>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 2014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AUTODESK, INC.</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7460"/>
        <w:spacing w:after="0"/>
        <w:tabs>
          <w:tab w:leader="none" w:pos="78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PAUL UNDERWOOD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31750</wp:posOffset>
            </wp:positionV>
            <wp:extent cx="36791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Paul Underwood</w:t>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Vice President and Corporate Controller</w:t>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(Principal Accounting Officer)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720"/>
          </w:cols>
          <w:pgMar w:left="240" w:top="580" w:right="939" w:bottom="1440" w:gutter="0" w:footer="0" w:header="0"/>
        </w:sectPr>
      </w:pPr>
    </w:p>
    <w:bookmarkStart w:id="64" w:name="page65"/>
    <w:bookmarkEnd w:id="64"/>
    <w:p>
      <w:pPr>
        <w:jc w:val="right"/>
        <w:spacing w:after="0"/>
        <w:rPr>
          <w:sz w:val="20"/>
          <w:szCs w:val="20"/>
          <w:color w:val="auto"/>
        </w:rPr>
      </w:pPr>
      <w:r>
        <w:rPr>
          <w:rFonts w:ascii="Arial" w:cs="Arial" w:eastAsia="Arial" w:hAnsi="Arial"/>
          <w:sz w:val="22"/>
          <w:szCs w:val="22"/>
          <w:b w:val="1"/>
          <w:bCs w:val="1"/>
          <w:color w:val="auto"/>
        </w:rPr>
        <w:t>Exhibit 10.1</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AUTODESK, INC.</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EMPLOYEE QUALIFIED STOCK PURCHASE PLAN</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SUBSCRIPTION AGREEMENT</w:t>
      </w:r>
    </w:p>
    <w:tbl>
      <w:tblPr>
        <w:tblLayout w:type="fixed"/>
        <w:tblInd w:w="0" w:type="dxa"/>
        <w:tblCellMar>
          <w:top w:w="0" w:type="dxa"/>
          <w:left w:w="0" w:type="dxa"/>
          <w:bottom w:w="0" w:type="dxa"/>
          <w:right w:w="0" w:type="dxa"/>
        </w:tblCellMar>
      </w:tblPr>
      <w:tr>
        <w:trPr>
          <w:trHeight w:val="210"/>
        </w:trPr>
        <w:tc>
          <w:tcPr>
            <w:tcW w:w="27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20" w:type="dxa"/>
            <w:vAlign w:val="bottom"/>
            <w:tcBorders>
              <w:bottom w:val="single" w:sz="8" w:color="auto"/>
            </w:tcBorders>
          </w:tcPr>
          <w:p>
            <w:pPr>
              <w:spacing w:after="0" w:line="209" w:lineRule="exact"/>
              <w:rPr>
                <w:sz w:val="20"/>
                <w:szCs w:val="20"/>
                <w:color w:val="auto"/>
              </w:rPr>
            </w:pPr>
            <w:r>
              <w:rPr>
                <w:rFonts w:ascii="Arial" w:cs="Arial" w:eastAsia="Arial" w:hAnsi="Arial"/>
                <w:sz w:val="22"/>
                <w:szCs w:val="22"/>
                <w:color w:val="auto"/>
                <w:w w:val="98"/>
              </w:rPr>
              <w:t>AUSTRALIA</w:t>
            </w:r>
          </w:p>
        </w:tc>
      </w:tr>
      <w:tr>
        <w:trPr>
          <w:trHeight w:val="719"/>
        </w:trPr>
        <w:tc>
          <w:tcPr>
            <w:tcW w:w="2760" w:type="dxa"/>
            <w:vAlign w:val="bottom"/>
          </w:tcPr>
          <w:p>
            <w:pPr>
              <w:spacing w:after="0"/>
              <w:rPr>
                <w:sz w:val="20"/>
                <w:szCs w:val="20"/>
                <w:color w:val="auto"/>
              </w:rPr>
            </w:pPr>
            <w:r>
              <w:rPr>
                <w:rFonts w:ascii="Arial" w:cs="Arial" w:eastAsia="Arial" w:hAnsi="Arial"/>
                <w:sz w:val="22"/>
                <w:szCs w:val="22"/>
                <w:color w:val="auto"/>
              </w:rPr>
              <w:t>_____ Original Application</w:t>
            </w:r>
          </w:p>
        </w:tc>
        <w:tc>
          <w:tcPr>
            <w:tcW w:w="3560" w:type="dxa"/>
            <w:vAlign w:val="bottom"/>
            <w:gridSpan w:val="2"/>
          </w:tcPr>
          <w:p>
            <w:pPr>
              <w:ind w:left="360"/>
              <w:spacing w:after="0"/>
              <w:rPr>
                <w:sz w:val="20"/>
                <w:szCs w:val="20"/>
                <w:color w:val="auto"/>
              </w:rPr>
            </w:pPr>
            <w:r>
              <w:rPr>
                <w:rFonts w:ascii="Arial" w:cs="Arial" w:eastAsia="Arial" w:hAnsi="Arial"/>
                <w:sz w:val="22"/>
                <w:szCs w:val="22"/>
                <w:color w:val="auto"/>
              </w:rPr>
              <w:t>Date:</w:t>
            </w:r>
          </w:p>
        </w:tc>
      </w:tr>
    </w:tbl>
    <w:p>
      <w:pPr>
        <w:spacing w:after="0"/>
        <w:rPr>
          <w:sz w:val="20"/>
          <w:szCs w:val="20"/>
          <w:color w:val="auto"/>
        </w:rPr>
      </w:pPr>
      <w:r>
        <w:rPr>
          <w:rFonts w:ascii="Arial" w:cs="Arial" w:eastAsia="Arial" w:hAnsi="Arial"/>
          <w:sz w:val="22"/>
          <w:szCs w:val="22"/>
          <w:color w:val="auto"/>
        </w:rPr>
        <w:t>_____ Change in Payroll Deduction / Approved Contribution Rate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_____ Change of Beneficiary(ies)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_____ Withdrawal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right="40" w:hanging="652"/>
        <w:spacing w:after="0" w:line="302" w:lineRule="auto"/>
        <w:tabs>
          <w:tab w:leader="none" w:pos="6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I, __________________________________ hereby elect to participate in the Autodesk, Inc. (collectively, with its subsidiaries and affiliates, the “Company”) International Employee Stock Purchase Plan (the "Stock Purchase Plan"), a sub-plan of the Company’s 1998 Employee Qualified Stock Purchase Plan, and subscribe to purchase shares of the Company's Common Stock, without par value, in accordance with this Subscription Agreement and the Stock Purchase Plan.</w:t>
      </w:r>
    </w:p>
    <w:p>
      <w:pPr>
        <w:spacing w:after="0" w:line="142" w:lineRule="exact"/>
        <w:rPr>
          <w:rFonts w:ascii="Arial" w:cs="Arial" w:eastAsia="Arial" w:hAnsi="Arial"/>
          <w:sz w:val="19"/>
          <w:szCs w:val="19"/>
          <w:color w:val="auto"/>
        </w:rPr>
      </w:pPr>
    </w:p>
    <w:p>
      <w:pPr>
        <w:ind w:left="660" w:right="100" w:hanging="652"/>
        <w:spacing w:after="0" w:line="343" w:lineRule="auto"/>
        <w:tabs>
          <w:tab w:leader="none" w:pos="6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I hereby authorize payroll deductions from each paycheck in the amount of _____% (maximum 15%) of my Compensation (as varied from time to time) on each payday during the Offering Period in accordance with the Stock Purchase Plan.</w:t>
      </w:r>
    </w:p>
    <w:p>
      <w:pPr>
        <w:spacing w:after="0" w:line="104" w:lineRule="exact"/>
        <w:rPr>
          <w:rFonts w:ascii="Arial" w:cs="Arial" w:eastAsia="Arial" w:hAnsi="Arial"/>
          <w:sz w:val="19"/>
          <w:szCs w:val="19"/>
          <w:color w:val="auto"/>
        </w:rPr>
      </w:pPr>
    </w:p>
    <w:p>
      <w:pPr>
        <w:ind w:left="660" w:right="40" w:hanging="652"/>
        <w:spacing w:after="0" w:line="263" w:lineRule="auto"/>
        <w:tabs>
          <w:tab w:leader="none" w:pos="660" w:val="left"/>
        </w:tabs>
        <w:numPr>
          <w:ilvl w:val="0"/>
          <w:numId w:val="29"/>
        </w:numPr>
        <w:rPr>
          <w:rFonts w:ascii="Arial" w:cs="Arial" w:eastAsia="Arial" w:hAnsi="Arial"/>
          <w:sz w:val="21"/>
          <w:szCs w:val="21"/>
          <w:color w:val="auto"/>
        </w:rPr>
      </w:pPr>
      <w:r>
        <w:rPr>
          <w:rFonts w:ascii="Arial" w:cs="Arial" w:eastAsia="Arial" w:hAnsi="Arial"/>
          <w:sz w:val="21"/>
          <w:szCs w:val="21"/>
          <w:color w:val="auto"/>
        </w:rPr>
        <w:t>I understand that any payroll deductions or approved contributions through other means shall be accumulated for the purchase of shares of Common Stock, without par value, at the applicable purchase price determined in accordance with the Stock Purchase Plan. I further understand that, except as otherwise set forth in the Stock Purchase Plan, shares will be purchased for me automatically on each Exercise Date of the offering period unless I otherwise withdraw from the Stock Purchase Plan by giving written notice to the Company for such purpose.</w:t>
      </w:r>
    </w:p>
    <w:p>
      <w:pPr>
        <w:spacing w:after="0" w:line="175" w:lineRule="exact"/>
        <w:rPr>
          <w:rFonts w:ascii="Arial" w:cs="Arial" w:eastAsia="Arial" w:hAnsi="Arial"/>
          <w:sz w:val="21"/>
          <w:szCs w:val="21"/>
          <w:color w:val="auto"/>
        </w:rPr>
      </w:pPr>
    </w:p>
    <w:p>
      <w:pPr>
        <w:ind w:left="660" w:right="60" w:hanging="652"/>
        <w:spacing w:after="0" w:line="260" w:lineRule="auto"/>
        <w:tabs>
          <w:tab w:leader="none" w:pos="660" w:val="left"/>
        </w:tabs>
        <w:numPr>
          <w:ilvl w:val="0"/>
          <w:numId w:val="29"/>
        </w:numPr>
        <w:rPr>
          <w:rFonts w:ascii="Arial" w:cs="Arial" w:eastAsia="Arial" w:hAnsi="Arial"/>
          <w:sz w:val="21"/>
          <w:szCs w:val="21"/>
          <w:color w:val="auto"/>
        </w:rPr>
      </w:pPr>
      <w:r>
        <w:rPr>
          <w:rFonts w:ascii="Arial" w:cs="Arial" w:eastAsia="Arial" w:hAnsi="Arial"/>
          <w:sz w:val="21"/>
          <w:szCs w:val="21"/>
          <w:color w:val="auto"/>
        </w:rPr>
        <w:t>I understand that my participation in the Stock Purchase Plan is in all respects subject to its terms. Any interpretation of this Subscription Agreement shall be made in accordance with the Stock Purchase Plan. In the event there is any contradiction between the provisions of this Subscription Agreement and the Stock Purchase Plan, the provisions of this Subscription Agreement shall prevail. All capitalized terms used in this Subscription Agreement that are not defined herein have the meanings defined in the Stock Purchase Plan. I understand that I may withdraw from the Stock Purchase Plan and have payroll deductions or other approved contributions refunded (without interest) on the next payroll date following notice of withdrawal at any time during the Offering Period.</w:t>
      </w:r>
    </w:p>
    <w:p>
      <w:pPr>
        <w:spacing w:after="0" w:line="181" w:lineRule="exact"/>
        <w:rPr>
          <w:rFonts w:ascii="Arial" w:cs="Arial" w:eastAsia="Arial" w:hAnsi="Arial"/>
          <w:sz w:val="21"/>
          <w:szCs w:val="21"/>
          <w:color w:val="auto"/>
        </w:rPr>
      </w:pPr>
    </w:p>
    <w:p>
      <w:pPr>
        <w:ind w:left="660" w:hanging="652"/>
        <w:spacing w:after="0"/>
        <w:tabs>
          <w:tab w:leader="none" w:pos="6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Shares purchased by me under the Stock Purchase Plan should be issued in the name(s) of:</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660" w:right="120" w:hanging="652"/>
        <w:spacing w:after="0" w:line="263" w:lineRule="auto"/>
        <w:tabs>
          <w:tab w:leader="none" w:pos="660" w:val="left"/>
        </w:tabs>
        <w:numPr>
          <w:ilvl w:val="0"/>
          <w:numId w:val="29"/>
        </w:numPr>
        <w:rPr>
          <w:rFonts w:ascii="Arial" w:cs="Arial" w:eastAsia="Arial" w:hAnsi="Arial"/>
          <w:sz w:val="21"/>
          <w:szCs w:val="21"/>
          <w:color w:val="auto"/>
        </w:rPr>
      </w:pPr>
      <w:r>
        <w:rPr>
          <w:rFonts w:ascii="Arial" w:cs="Arial" w:eastAsia="Arial" w:hAnsi="Arial"/>
          <w:sz w:val="21"/>
          <w:szCs w:val="21"/>
          <w:color w:val="auto"/>
        </w:rPr>
        <w:t>The Company shall assess tax and social insurance liability and requirements in connection with my participation in the Stock Purchase Plan, including, without limitation, tax liability associated with the subscription, purchase, or sale of shares acquired under the Stock Purchase Plan (the “Tax Liability”). These requirements may change from time to time as laws or interpretations change. Regardless of the Company’s actions in this regard, I hereby acknowledge and agree that the Tax Liability shall be my responsibility and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-997585</wp:posOffset>
            </wp:positionV>
            <wp:extent cx="46996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699635"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65" w:name="page66"/>
    <w:bookmarkEnd w:id="65"/>
    <w:p>
      <w:pPr>
        <w:ind w:left="652" w:hanging="652"/>
        <w:spacing w:after="0" w:line="288" w:lineRule="auto"/>
        <w:tabs>
          <w:tab w:leader="none" w:pos="652" w:val="left"/>
        </w:tabs>
        <w:numPr>
          <w:ilvl w:val="0"/>
          <w:numId w:val="30"/>
        </w:numPr>
        <w:rPr>
          <w:rFonts w:ascii="Arial" w:cs="Arial" w:eastAsia="Arial" w:hAnsi="Arial"/>
          <w:sz w:val="19"/>
          <w:szCs w:val="19"/>
          <w:color w:val="auto"/>
        </w:rPr>
      </w:pPr>
      <w:r>
        <w:rPr>
          <w:rFonts w:ascii="Arial" w:cs="Arial" w:eastAsia="Arial" w:hAnsi="Arial"/>
          <w:sz w:val="19"/>
          <w:szCs w:val="19"/>
          <w:color w:val="auto"/>
        </w:rPr>
        <w:t>I agree as a condition of my participation in the Stock Purchase Plan to make arrangements satisfactory to the Company to enable it to satisfy all withholding, payment and/or collection requirements associated with the satisfaction of the Tax Liability, including authorizing the Company to: (i) withhold all applicable amounts from my wages or other cash compensation due to me, in accordance with any requirements under the laws, rules, and regulations of the country of which I am a resident (“Local Law”), and (ii) act as my agent to sell sufficient shares for the proceeds to settle such requirements. Furthermore, I agree to pay the Company any amount the Company may be required to withhold, collect or pay as a result of my participation in the Stock Purchase Plan or that cannot be satisfied by deduction from the my wages or other cash compensation paid to me by the Company or sale of the shares acquired under the Stock Purchase Plan. I acknowledge that I may not participate in the Stock Purchase Plan or exercise any purchase right to receive shares under the Stock Purchase Plan unless the tax withholding, payment and/or collection obligations of the Company are satisfied.</w:t>
      </w:r>
    </w:p>
    <w:p>
      <w:pPr>
        <w:spacing w:after="0" w:line="52" w:lineRule="exact"/>
        <w:rPr>
          <w:rFonts w:ascii="Arial" w:cs="Arial" w:eastAsia="Arial" w:hAnsi="Arial"/>
          <w:sz w:val="19"/>
          <w:szCs w:val="19"/>
          <w:color w:val="auto"/>
        </w:rPr>
      </w:pPr>
    </w:p>
    <w:p>
      <w:pPr>
        <w:ind w:left="652" w:right="20" w:hanging="652"/>
        <w:spacing w:after="0" w:line="286" w:lineRule="auto"/>
        <w:tabs>
          <w:tab w:leader="none" w:pos="652" w:val="left"/>
        </w:tabs>
        <w:numPr>
          <w:ilvl w:val="0"/>
          <w:numId w:val="30"/>
        </w:numPr>
        <w:rPr>
          <w:rFonts w:ascii="Arial" w:cs="Arial" w:eastAsia="Arial" w:hAnsi="Arial"/>
          <w:sz w:val="19"/>
          <w:szCs w:val="19"/>
          <w:color w:val="auto"/>
        </w:rPr>
      </w:pPr>
      <w:r>
        <w:rPr>
          <w:rFonts w:ascii="Arial" w:cs="Arial" w:eastAsia="Arial" w:hAnsi="Arial"/>
          <w:sz w:val="19"/>
          <w:szCs w:val="19"/>
          <w:i w:val="1"/>
          <w:iCs w:val="1"/>
          <w:color w:val="auto"/>
        </w:rPr>
        <w:t>I understand that the Company may hold certain personal information about me, including but not limited to my name, home address and telephone number, date of birth, social security number or other identification number, salary, nationality, job title, any shares or directorships held in the Company, details of all rights to purchase or any other entitlement to shares awarded, canceled, purchased or outstanding in my favor, for the purpose of implementing, administering or managing the Stock Purchase Plan (the “Data”). I further understand that Data may be transferred to any third parties assisting the Company in the administration of the Stock Purchase Plan. I understand that these recipients may be located within or outside my country of residence, or elsewhere, and that the recipient’s country may have different data privacy laws and protections than my country of residence. I authorize the Company or the recipients to receive, possess, use, retain and transfer the Data, in electronic or other form, for the purposes of implementing, administering or managing my participation in the Stock Purchase Plan, including any requisite transfer of the Data as may be required for the administration of the Stock Purchase Plan and/or the subsequent holding of shares on my behalf to a broker or other third party to deposit any shares acquired pursuant to the Stock Purchase Plan. I understand that the Data will be held only as long as necessary to implement, administer or manage my participation in the Stock Purchase Plan. I understand that I may, at any time, review the Data, require any necessary amendments to Data or withdraw the consents herein in writing by contacting the Company. I understand that withdrawing my consent may affect my ability to participate in the Stock Purchase Plan.</w:t>
      </w:r>
    </w:p>
    <w:p>
      <w:pPr>
        <w:spacing w:after="0" w:line="308" w:lineRule="exact"/>
        <w:rPr>
          <w:rFonts w:ascii="Arial" w:cs="Arial" w:eastAsia="Arial" w:hAnsi="Arial"/>
          <w:sz w:val="19"/>
          <w:szCs w:val="19"/>
          <w:color w:val="auto"/>
        </w:rPr>
      </w:pPr>
    </w:p>
    <w:p>
      <w:pPr>
        <w:ind w:left="652" w:right="20" w:hanging="652"/>
        <w:spacing w:after="0" w:line="286" w:lineRule="auto"/>
        <w:tabs>
          <w:tab w:leader="none" w:pos="652" w:val="left"/>
        </w:tabs>
        <w:numPr>
          <w:ilvl w:val="0"/>
          <w:numId w:val="30"/>
        </w:numPr>
        <w:rPr>
          <w:rFonts w:ascii="Arial" w:cs="Arial" w:eastAsia="Arial" w:hAnsi="Arial"/>
          <w:sz w:val="19"/>
          <w:szCs w:val="19"/>
          <w:color w:val="auto"/>
        </w:rPr>
      </w:pPr>
      <w:r>
        <w:rPr>
          <w:rFonts w:ascii="Arial" w:cs="Arial" w:eastAsia="Arial" w:hAnsi="Arial"/>
          <w:sz w:val="19"/>
          <w:szCs w:val="19"/>
          <w:color w:val="auto"/>
        </w:rPr>
        <w:t>By signing this Subscription Agreement and participating in the Stock Purchase Plan, I agree and acknowledge that: (a) the Stock Purchase Plan is discretionary in nature and the Company can amend, cancel, or terminate the Stock Purchase Plan at any time; (b) participation in the Stock Purchase Plan is voluntary and occasional, and does not create any contractual or other future rights to purchase shares, or benefits in lieu of such rights; (c) my right to purchase shares under the Stock Purchase Plan ceases upon my termination of employment for any reason except as may otherwise be explicitly provided in this Subscription Agreement and the Stock Purchase Plan; (d) my right to participate in the Stock Purchase Plan and to purchase shares under the Stock Purchase Plan, if any, will cease as of the date that I am no longer actively performing services following the provision of a notification of termination or resignation from employment or services, regardless of any reasonable notice period mandated under local law, without reference to any other agreement, written or oral, express or implied, including my contract of employment; (e) my participation in the Stock Purchase Plan is voluntary; (f) my right to purchase shares under the Stock Purchase Plan is an extraordinary item of compensation, which is outside the scope of my employment agreement, if any; (g) my right to purchase shares under the Stock Purchase Plan is not part of normal or expected compensation or salary for any purpose, including, but not limited</w:t>
      </w:r>
    </w:p>
    <w:p>
      <w:pPr>
        <w:sectPr>
          <w:pgSz w:w="11900" w:h="16838" w:orient="portrait"/>
          <w:cols w:equalWidth="0" w:num="1">
            <w:col w:w="11412"/>
          </w:cols>
          <w:pgMar w:left="248" w:top="591" w:right="239" w:bottom="1440" w:gutter="0" w:footer="0" w:header="0"/>
        </w:sectPr>
      </w:pPr>
    </w:p>
    <w:bookmarkStart w:id="66" w:name="page67"/>
    <w:bookmarkEnd w:id="66"/>
    <w:p>
      <w:pPr>
        <w:ind w:left="660" w:right="40"/>
        <w:spacing w:after="0" w:line="288" w:lineRule="auto"/>
        <w:rPr>
          <w:sz w:val="20"/>
          <w:szCs w:val="20"/>
          <w:color w:val="auto"/>
        </w:rPr>
      </w:pPr>
      <w:r>
        <w:rPr>
          <w:rFonts w:ascii="Arial" w:cs="Arial" w:eastAsia="Arial" w:hAnsi="Arial"/>
          <w:sz w:val="19"/>
          <w:szCs w:val="19"/>
          <w:color w:val="auto"/>
        </w:rPr>
        <w:t>to, calculating any termination, severance, resignation, redundancy, end of service payments, bonuses, long-service awards, pension or retirement benefits, or similar payments; (h) the future value of the shares purchased under the Stock Purchase Plan is unknown and cannot be predicted with certainty, and the Company makes no express or implied promise about the financial gain or loss to be achieved through participation in the Stock Purchase Plan; (i) the right to participate in the Stock Purchase Plan has been granted to me in my status as an employee of my employer and can in no event be understood or interpreted to mean that an entity other than my employer has an employment relationship with me; (j) no claim or entitlement to compensation or damages arises from the diminution in value of the right to purchase shares under the Stock Purchase Plan, or shares purchased under the Stock Purchase Plan, and if I did acquire any such rights, I am deemed to have irrevocably released the Company and/or my employer subsidiary from any such claim or entitlement that may arise by participating in the Stock Purchase Plan; and (k) neither the Stock Purchase Plan nor this Subscription Agreement shall obligate my employer to employ me for any particular length of time nor confer any right with respect to continuing my status as an employee.</w:t>
      </w:r>
    </w:p>
    <w:p>
      <w:pPr>
        <w:spacing w:after="0" w:line="55" w:lineRule="exact"/>
        <w:rPr>
          <w:sz w:val="20"/>
          <w:szCs w:val="20"/>
          <w:color w:val="auto"/>
        </w:rPr>
      </w:pPr>
    </w:p>
    <w:p>
      <w:pPr>
        <w:jc w:val="both"/>
        <w:ind w:left="660" w:right="40" w:hanging="652"/>
        <w:spacing w:after="0" w:line="250" w:lineRule="auto"/>
        <w:tabs>
          <w:tab w:leader="none" w:pos="6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I agree and acknowledge that I shall bear any and all risk associated with the exchange or fluctuation of currency associated with my participation under the Stock Purchase Plan, including without limitation the purchase of shares of Common Stock or sale of such shares (the “Currency Exchange Risk”). I waive and release the Company from any potential claims arising out of the Currency Exchange Risk.</w:t>
      </w:r>
    </w:p>
    <w:p>
      <w:pPr>
        <w:spacing w:after="0" w:line="80" w:lineRule="exact"/>
        <w:rPr>
          <w:rFonts w:ascii="Arial" w:cs="Arial" w:eastAsia="Arial" w:hAnsi="Arial"/>
          <w:sz w:val="22"/>
          <w:szCs w:val="22"/>
          <w:color w:val="auto"/>
        </w:rPr>
      </w:pPr>
    </w:p>
    <w:p>
      <w:pPr>
        <w:ind w:left="660" w:right="100" w:hanging="652"/>
        <w:spacing w:after="0" w:line="297" w:lineRule="auto"/>
        <w:tabs>
          <w:tab w:leader="none" w:pos="660" w:val="left"/>
        </w:tabs>
        <w:numPr>
          <w:ilvl w:val="0"/>
          <w:numId w:val="31"/>
        </w:numPr>
        <w:rPr>
          <w:rFonts w:ascii="Arial" w:cs="Arial" w:eastAsia="Arial" w:hAnsi="Arial"/>
          <w:sz w:val="19"/>
          <w:szCs w:val="19"/>
          <w:color w:val="auto"/>
        </w:rPr>
      </w:pPr>
      <w:r>
        <w:rPr>
          <w:rFonts w:ascii="Arial" w:cs="Arial" w:eastAsia="Arial" w:hAnsi="Arial"/>
          <w:sz w:val="19"/>
          <w:szCs w:val="19"/>
          <w:color w:val="auto"/>
        </w:rPr>
        <w:t>I hereby agree to be bound by the terms of the Stock Purchase Plan. The effectiveness of this Subscription Agreement is dependent upon my eligibility to participate in the Stock Purchase Plan. I further agree to be bound by any policies relating to the plan, including but not limited to the ESPP Share Transfer Blocking Policy, which provides as of the date hereof that shares acquired pursuant to the Stock Purchase Plan may not be transferred from my E*TRADE employee stock plan account, other than to another broker or third party where the shares are to be gifted to another individual or to charity.</w:t>
      </w:r>
    </w:p>
    <w:p>
      <w:pPr>
        <w:spacing w:after="0" w:line="147" w:lineRule="exact"/>
        <w:rPr>
          <w:rFonts w:ascii="Arial" w:cs="Arial" w:eastAsia="Arial" w:hAnsi="Arial"/>
          <w:sz w:val="19"/>
          <w:szCs w:val="19"/>
          <w:color w:val="auto"/>
        </w:rPr>
      </w:pPr>
    </w:p>
    <w:p>
      <w:pPr>
        <w:ind w:left="660" w:right="20" w:hanging="652"/>
        <w:spacing w:after="0" w:line="265" w:lineRule="auto"/>
        <w:tabs>
          <w:tab w:leader="none" w:pos="660" w:val="left"/>
        </w:tabs>
        <w:numPr>
          <w:ilvl w:val="0"/>
          <w:numId w:val="31"/>
        </w:numPr>
        <w:rPr>
          <w:rFonts w:ascii="Arial" w:cs="Arial" w:eastAsia="Arial" w:hAnsi="Arial"/>
          <w:sz w:val="21"/>
          <w:szCs w:val="21"/>
          <w:color w:val="auto"/>
        </w:rPr>
      </w:pPr>
      <w:r>
        <w:rPr>
          <w:rFonts w:ascii="Arial" w:cs="Arial" w:eastAsia="Arial" w:hAnsi="Arial"/>
          <w:sz w:val="21"/>
          <w:szCs w:val="21"/>
          <w:color w:val="auto"/>
        </w:rPr>
        <w:t>I understand that the exercise of a purchase right to receive shares under the Stock Purchase Plan and the issuance, transfer, assignment, sale, or other dealings of such shares shall be subject to compliance by the Company and me with all applicable requirements of Local Law. Furthermore, I agree that I will not acquire shares of Common Stock pursuant to the Stock Purchase Plan except in compliance with all requirements of Local Law.</w:t>
      </w:r>
    </w:p>
    <w:p>
      <w:pPr>
        <w:spacing w:after="0" w:line="175" w:lineRule="exact"/>
        <w:rPr>
          <w:rFonts w:ascii="Arial" w:cs="Arial" w:eastAsia="Arial" w:hAnsi="Arial"/>
          <w:sz w:val="21"/>
          <w:szCs w:val="21"/>
          <w:color w:val="auto"/>
        </w:rPr>
      </w:pPr>
    </w:p>
    <w:p>
      <w:pPr>
        <w:ind w:left="660" w:hanging="652"/>
        <w:spacing w:after="0" w:line="292" w:lineRule="auto"/>
        <w:tabs>
          <w:tab w:leader="none" w:pos="660" w:val="left"/>
        </w:tabs>
        <w:numPr>
          <w:ilvl w:val="0"/>
          <w:numId w:val="31"/>
        </w:numPr>
        <w:rPr>
          <w:rFonts w:ascii="Arial" w:cs="Arial" w:eastAsia="Arial" w:hAnsi="Arial"/>
          <w:sz w:val="19"/>
          <w:szCs w:val="19"/>
          <w:color w:val="auto"/>
        </w:rPr>
      </w:pPr>
      <w:r>
        <w:rPr>
          <w:rFonts w:ascii="Arial" w:cs="Arial" w:eastAsia="Arial" w:hAnsi="Arial"/>
          <w:sz w:val="19"/>
          <w:szCs w:val="19"/>
          <w:color w:val="auto"/>
        </w:rPr>
        <w:t>I have received a copy of the Stock Purchase Plan and a prospectus describing the Stock Purchase Plan and I represent that I am familiar with the terms and provisions thereof. I represent and acknowledge that I have reviewed the Stock Purchase Plan and this Subscription Agreement in their entirety, have had an opportunity to obtain the advice of counsel prior to executing this Subscription Agreement, and fully understand all provisions of the Stock Purchase Plan and this Subscription Agreement. I agree to be bound by all of the terms and provisions of the Stock Purchase Plan and this Subscription Agreement. I agree to accept as binding, conclusive, and final all decisions and interpretations of the Board upon any questions arising under the Stock Purchase Plan or this Subscription Agreement.</w:t>
      </w:r>
    </w:p>
    <w:p>
      <w:pPr>
        <w:spacing w:after="0" w:line="151" w:lineRule="exact"/>
        <w:rPr>
          <w:rFonts w:ascii="Arial" w:cs="Arial" w:eastAsia="Arial" w:hAnsi="Arial"/>
          <w:sz w:val="19"/>
          <w:szCs w:val="19"/>
          <w:color w:val="auto"/>
        </w:rPr>
      </w:pPr>
    </w:p>
    <w:p>
      <w:pPr>
        <w:ind w:left="660" w:right="160" w:hanging="652"/>
        <w:spacing w:after="0" w:line="263" w:lineRule="auto"/>
        <w:tabs>
          <w:tab w:leader="none" w:pos="6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In the event of my death, I hereby designate the following as my beneficiary(ies) to receive all payments due me under the Stock Purchase Plan:</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NAME: (Please print)</w:t>
      </w:r>
    </w:p>
    <w:p>
      <w:pPr>
        <w:sectPr>
          <w:pgSz w:w="11900" w:h="16838" w:orient="portrait"/>
          <w:cols w:equalWidth="0" w:num="1">
            <w:col w:w="11400"/>
          </w:cols>
          <w:pgMar w:left="240" w:top="591" w:right="259" w:bottom="1440" w:gutter="0" w:footer="0" w:header="0"/>
        </w:sectPr>
      </w:pPr>
    </w:p>
    <w:bookmarkStart w:id="67" w:name="page68"/>
    <w:bookmarkEnd w:id="67"/>
    <w:p>
      <w:pPr>
        <w:ind w:left="2600"/>
        <w:spacing w:after="0"/>
        <w:tabs>
          <w:tab w:leader="none" w:pos="3660" w:val="left"/>
          <w:tab w:leader="none" w:pos="4780" w:val="left"/>
        </w:tabs>
        <w:rPr>
          <w:sz w:val="20"/>
          <w:szCs w:val="20"/>
          <w:color w:val="auto"/>
        </w:rPr>
      </w:pPr>
      <w:r>
        <w:rPr>
          <w:rFonts w:ascii="Arial" w:cs="Arial" w:eastAsia="Arial" w:hAnsi="Arial"/>
          <w:sz w:val="22"/>
          <w:szCs w:val="22"/>
          <w:color w:val="auto"/>
        </w:rPr>
        <w:t>(First)</w:t>
      </w:r>
      <w:r>
        <w:rPr>
          <w:sz w:val="20"/>
          <w:szCs w:val="20"/>
          <w:color w:val="auto"/>
        </w:rPr>
        <w:tab/>
      </w:r>
      <w:r>
        <w:rPr>
          <w:rFonts w:ascii="Arial" w:cs="Arial" w:eastAsia="Arial" w:hAnsi="Arial"/>
          <w:sz w:val="22"/>
          <w:szCs w:val="22"/>
          <w:color w:val="auto"/>
        </w:rPr>
        <w:t>(Middle)</w:t>
      </w:r>
      <w:r>
        <w:rPr>
          <w:sz w:val="20"/>
          <w:szCs w:val="20"/>
          <w:color w:val="auto"/>
        </w:rPr>
        <w:tab/>
      </w:r>
      <w:r>
        <w:rPr>
          <w:rFonts w:ascii="Arial" w:cs="Arial" w:eastAsia="Arial" w:hAnsi="Arial"/>
          <w:sz w:val="19"/>
          <w:szCs w:val="19"/>
          <w:color w:val="auto"/>
        </w:rPr>
        <w:t>(Last)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Relationship</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NAME: (Please print)</w:t>
      </w:r>
    </w:p>
    <w:p>
      <w:pPr>
        <w:spacing w:after="0" w:line="22" w:lineRule="exact"/>
        <w:rPr>
          <w:sz w:val="20"/>
          <w:szCs w:val="20"/>
          <w:color w:val="auto"/>
        </w:rPr>
      </w:pPr>
    </w:p>
    <w:p>
      <w:pPr>
        <w:ind w:left="2600"/>
        <w:spacing w:after="0"/>
        <w:tabs>
          <w:tab w:leader="none" w:pos="3660" w:val="left"/>
          <w:tab w:leader="none" w:pos="4780" w:val="left"/>
        </w:tabs>
        <w:rPr>
          <w:sz w:val="20"/>
          <w:szCs w:val="20"/>
          <w:color w:val="auto"/>
        </w:rPr>
      </w:pPr>
      <w:r>
        <w:rPr>
          <w:rFonts w:ascii="Arial" w:cs="Arial" w:eastAsia="Arial" w:hAnsi="Arial"/>
          <w:sz w:val="22"/>
          <w:szCs w:val="22"/>
          <w:color w:val="auto"/>
        </w:rPr>
        <w:t>(First)</w:t>
      </w:r>
      <w:r>
        <w:rPr>
          <w:sz w:val="20"/>
          <w:szCs w:val="20"/>
          <w:color w:val="auto"/>
        </w:rPr>
        <w:tab/>
      </w:r>
      <w:r>
        <w:rPr>
          <w:rFonts w:ascii="Arial" w:cs="Arial" w:eastAsia="Arial" w:hAnsi="Arial"/>
          <w:sz w:val="22"/>
          <w:szCs w:val="22"/>
          <w:color w:val="auto"/>
        </w:rPr>
        <w:t>(Middle)</w:t>
      </w:r>
      <w:r>
        <w:rPr>
          <w:sz w:val="20"/>
          <w:szCs w:val="20"/>
          <w:color w:val="auto"/>
        </w:rPr>
        <w:tab/>
      </w:r>
      <w:r>
        <w:rPr>
          <w:rFonts w:ascii="Arial" w:cs="Arial" w:eastAsia="Arial" w:hAnsi="Arial"/>
          <w:sz w:val="19"/>
          <w:szCs w:val="19"/>
          <w:color w:val="auto"/>
        </w:rPr>
        <w:t>(Last)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Relationship</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20" w:lineRule="exact"/>
        <w:rPr>
          <w:sz w:val="20"/>
          <w:szCs w:val="20"/>
          <w:color w:val="auto"/>
        </w:rPr>
      </w:pPr>
    </w:p>
    <w:p>
      <w:pPr>
        <w:ind w:left="660" w:hanging="652"/>
        <w:spacing w:after="0" w:line="263" w:lineRule="auto"/>
        <w:tabs>
          <w:tab w:leader="none" w:pos="6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For the purpose of maintaining the Company’s obligations in respect of the Stock Purchase Plan, residential address and Tax File Number are as follows: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Tax File Number**:</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Employee's Address:</w:t>
      </w:r>
      <w:r>
        <w:rPr>
          <w:rFonts w:ascii="Arial" w:cs="Arial" w:eastAsia="Arial" w:hAnsi="Arial"/>
          <w:sz w:val="26"/>
          <w:szCs w:val="26"/>
          <w:color w:val="auto"/>
          <w:vertAlign w:val="superscript"/>
        </w:rPr>
        <w:t>****</w:t>
      </w:r>
      <w:r>
        <w:rPr>
          <w:rFonts w:ascii="Arial" w:cs="Arial" w:eastAsia="Arial" w:hAnsi="Arial"/>
          <w:sz w:val="20"/>
          <w:szCs w:val="20"/>
          <w:color w:val="auto"/>
        </w:rPr>
        <w:t xml:space="preserve"> It is not compulsory to provide your TFN, and it is not an offence if you decline to provide your TFN.</w:t>
      </w:r>
    </w:p>
    <w:p>
      <w:pPr>
        <w:spacing w:after="0" w:line="184"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It is the participant's responsibility to notify the Company's stock administrator in the event of a change of address.</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color w:val="auto"/>
        </w:rPr>
        <w:t>I UNDERSTAND THAT THIS SUBSCRIPTION AGREEMENT SHALL REMAIN IN EFFECT THROUGHOUT SUCCESSIVE OFFERING PERIODS UNLESS TERMINATED BY ME.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Signature of Employee</w:t>
      </w:r>
    </w:p>
    <w:p>
      <w:pPr>
        <w:sectPr>
          <w:pgSz w:w="11900" w:h="16838" w:orient="portrait"/>
          <w:cols w:equalWidth="0" w:num="1">
            <w:col w:w="11420"/>
          </w:cols>
          <w:pgMar w:left="240" w:top="591" w:right="239" w:bottom="1440" w:gutter="0" w:footer="0" w:header="0"/>
        </w:sectPr>
      </w:pPr>
    </w:p>
    <w:bookmarkStart w:id="68" w:name="page69"/>
    <w:bookmarkEnd w:id="68"/>
    <w:p>
      <w:pPr>
        <w:ind w:left="660"/>
        <w:spacing w:after="0"/>
        <w:rPr>
          <w:sz w:val="20"/>
          <w:szCs w:val="20"/>
          <w:color w:val="auto"/>
        </w:rPr>
      </w:pPr>
      <w:r>
        <w:rPr>
          <w:rFonts w:ascii="Arial" w:cs="Arial" w:eastAsia="Arial" w:hAnsi="Arial"/>
          <w:sz w:val="22"/>
          <w:szCs w:val="22"/>
          <w:u w:val="single" w:color="auto"/>
          <w:color w:val="auto"/>
        </w:rPr>
        <w:t>AUTODESK, INC.</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EMPLOYEE QUALIFIED STOCK PURCHASE PLAN</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SUBSCRIPTION AGREEMENT FOR</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CHINA - LOCAL NATIONALS</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(See below for Locally Hired Foreigners Subscription Agreement)</w:t>
      </w:r>
    </w:p>
    <w:p>
      <w:pPr>
        <w:spacing w:after="0" w:line="200" w:lineRule="exact"/>
        <w:rPr>
          <w:sz w:val="20"/>
          <w:szCs w:val="20"/>
          <w:color w:val="auto"/>
        </w:rPr>
      </w:pPr>
    </w:p>
    <w:p>
      <w:pPr>
        <w:spacing w:after="0" w:line="218" w:lineRule="exact"/>
        <w:rPr>
          <w:sz w:val="20"/>
          <w:szCs w:val="20"/>
          <w:color w:val="auto"/>
        </w:rPr>
      </w:pPr>
    </w:p>
    <w:p>
      <w:pPr>
        <w:spacing w:after="0"/>
        <w:tabs>
          <w:tab w:leader="none" w:pos="3100" w:val="left"/>
        </w:tabs>
        <w:rPr>
          <w:sz w:val="20"/>
          <w:szCs w:val="20"/>
          <w:color w:val="auto"/>
        </w:rPr>
      </w:pPr>
      <w:r>
        <w:rPr>
          <w:rFonts w:ascii="Arial" w:cs="Arial" w:eastAsia="Arial" w:hAnsi="Arial"/>
          <w:sz w:val="22"/>
          <w:szCs w:val="22"/>
          <w:color w:val="auto"/>
        </w:rPr>
        <w:t>_____ Original Application</w:t>
      </w:r>
      <w:r>
        <w:rPr>
          <w:sz w:val="20"/>
          <w:szCs w:val="20"/>
          <w:color w:val="auto"/>
        </w:rPr>
        <w:tab/>
      </w:r>
      <w:r>
        <w:rPr>
          <w:rFonts w:ascii="Arial" w:cs="Arial" w:eastAsia="Arial" w:hAnsi="Arial"/>
          <w:sz w:val="19"/>
          <w:szCs w:val="19"/>
          <w:color w:val="auto"/>
        </w:rPr>
        <w:t>Date: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_____ Change in Payroll Deduction / Approved Contribution Rate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_____ Change of Beneficiary(ies)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_____ Withdrawal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hanging="652"/>
        <w:spacing w:after="0" w:line="302" w:lineRule="auto"/>
        <w:tabs>
          <w:tab w:leader="none" w:pos="660" w:val="left"/>
        </w:tabs>
        <w:numPr>
          <w:ilvl w:val="0"/>
          <w:numId w:val="33"/>
        </w:numPr>
        <w:rPr>
          <w:rFonts w:ascii="Arial" w:cs="Arial" w:eastAsia="Arial" w:hAnsi="Arial"/>
          <w:sz w:val="19"/>
          <w:szCs w:val="19"/>
          <w:color w:val="auto"/>
        </w:rPr>
      </w:pPr>
      <w:r>
        <w:rPr>
          <w:rFonts w:ascii="Arial" w:cs="Arial" w:eastAsia="Arial" w:hAnsi="Arial"/>
          <w:sz w:val="19"/>
          <w:szCs w:val="19"/>
          <w:color w:val="auto"/>
        </w:rPr>
        <w:t>I, __________________________________ hereby elect to participate in the Autodesk, Inc. (collectively, with its subsidiaries and affiliates, the “Company”) International Employee Stock Purchase Plan (the "Stock Purchase Plan"), a sub-plan of the Company’s 1998 Employee Qualified Stock Purchase Plan, and subscribe to purchase shares of the Company's Common Stock, without par value, in accordance with this Subscription Agreement and the Stock Purchase Plan.</w:t>
      </w:r>
    </w:p>
    <w:p>
      <w:pPr>
        <w:spacing w:after="0" w:line="142" w:lineRule="exact"/>
        <w:rPr>
          <w:rFonts w:ascii="Arial" w:cs="Arial" w:eastAsia="Arial" w:hAnsi="Arial"/>
          <w:sz w:val="19"/>
          <w:szCs w:val="19"/>
          <w:color w:val="auto"/>
        </w:rPr>
      </w:pPr>
    </w:p>
    <w:p>
      <w:pPr>
        <w:jc w:val="both"/>
        <w:ind w:left="660" w:right="40" w:hanging="652"/>
        <w:spacing w:after="0" w:line="312" w:lineRule="auto"/>
        <w:tabs>
          <w:tab w:leader="none" w:pos="660" w:val="left"/>
        </w:tabs>
        <w:numPr>
          <w:ilvl w:val="0"/>
          <w:numId w:val="33"/>
        </w:numPr>
        <w:rPr>
          <w:rFonts w:ascii="Arial" w:cs="Arial" w:eastAsia="Arial" w:hAnsi="Arial"/>
          <w:sz w:val="19"/>
          <w:szCs w:val="19"/>
          <w:color w:val="auto"/>
        </w:rPr>
      </w:pPr>
      <w:r>
        <w:rPr>
          <w:rFonts w:ascii="Arial" w:cs="Arial" w:eastAsia="Arial" w:hAnsi="Arial"/>
          <w:sz w:val="19"/>
          <w:szCs w:val="19"/>
          <w:color w:val="auto"/>
        </w:rPr>
        <w:t>I hereby authorize payroll deductions from each paycheck in the amount of _____% (maximum 15%) of my Compensation on each payday during the Offering Period in accordance with the Stock Purchase Plan. Such deductions are to continue for succeeding Offering Periods until I give written instructions for a change in or termination of such deductions.</w:t>
      </w:r>
    </w:p>
    <w:p>
      <w:pPr>
        <w:spacing w:after="0" w:line="133" w:lineRule="exact"/>
        <w:rPr>
          <w:rFonts w:ascii="Arial" w:cs="Arial" w:eastAsia="Arial" w:hAnsi="Arial"/>
          <w:sz w:val="19"/>
          <w:szCs w:val="19"/>
          <w:color w:val="auto"/>
        </w:rPr>
      </w:pPr>
    </w:p>
    <w:p>
      <w:pPr>
        <w:ind w:left="660" w:hanging="652"/>
        <w:spacing w:after="0" w:line="263" w:lineRule="auto"/>
        <w:tabs>
          <w:tab w:leader="none" w:pos="660" w:val="left"/>
        </w:tabs>
        <w:numPr>
          <w:ilvl w:val="0"/>
          <w:numId w:val="33"/>
        </w:numPr>
        <w:rPr>
          <w:rFonts w:ascii="Arial" w:cs="Arial" w:eastAsia="Arial" w:hAnsi="Arial"/>
          <w:sz w:val="21"/>
          <w:szCs w:val="21"/>
          <w:color w:val="auto"/>
        </w:rPr>
      </w:pPr>
      <w:r>
        <w:rPr>
          <w:rFonts w:ascii="Arial" w:cs="Arial" w:eastAsia="Arial" w:hAnsi="Arial"/>
          <w:sz w:val="21"/>
          <w:szCs w:val="21"/>
          <w:color w:val="auto"/>
        </w:rPr>
        <w:t>I understand that any payroll deductions or approved contributions through other means shall be accumulated for the purchase of shares of Common Stock, without par value, at the applicable purchase price determined in accordance with the Stock Purchase Plan. I further understand that, except as otherwise set forth in the Stock Purchase Plan, shares will be purchased for me automatically on each Exercise Date of the offering period unless I otherwise withdraw from the Stock Purchase Plan by giving written notice to the Company for such purpose.</w:t>
      </w:r>
    </w:p>
    <w:p>
      <w:pPr>
        <w:spacing w:after="0" w:line="175" w:lineRule="exact"/>
        <w:rPr>
          <w:rFonts w:ascii="Arial" w:cs="Arial" w:eastAsia="Arial" w:hAnsi="Arial"/>
          <w:sz w:val="21"/>
          <w:szCs w:val="21"/>
          <w:color w:val="auto"/>
        </w:rPr>
      </w:pPr>
    </w:p>
    <w:p>
      <w:pPr>
        <w:ind w:left="660" w:right="20" w:hanging="652"/>
        <w:spacing w:after="0" w:line="260" w:lineRule="auto"/>
        <w:tabs>
          <w:tab w:leader="none" w:pos="660" w:val="left"/>
        </w:tabs>
        <w:numPr>
          <w:ilvl w:val="0"/>
          <w:numId w:val="33"/>
        </w:numPr>
        <w:rPr>
          <w:rFonts w:ascii="Arial" w:cs="Arial" w:eastAsia="Arial" w:hAnsi="Arial"/>
          <w:sz w:val="21"/>
          <w:szCs w:val="21"/>
          <w:color w:val="auto"/>
        </w:rPr>
      </w:pPr>
      <w:r>
        <w:rPr>
          <w:rFonts w:ascii="Arial" w:cs="Arial" w:eastAsia="Arial" w:hAnsi="Arial"/>
          <w:sz w:val="21"/>
          <w:szCs w:val="21"/>
          <w:color w:val="auto"/>
        </w:rPr>
        <w:t>I understand that my participation in the Stock Purchase Plan is in all respects subject to its terms. Any interpretation of this Subscription Agreement shall be made in accordance with the Stock Purchase Plan. In the event there is any contradiction between the provisions of this Subscription Agreement and the Stock Purchase Plan, the provisions of this Subscription Agreement shall prevail. All capitalized terms used in this Subscription Agreement that are not defined herein have the meanings defined in the Stock Purchase Plan. I understand that I may withdraw from the Stock Purchase Plan and have payroll deductions or other approved contributions refunded (without interest) on the next payroll date following notice of withdrawal at any time during the Offering Period.</w:t>
      </w:r>
    </w:p>
    <w:p>
      <w:pPr>
        <w:spacing w:after="0" w:line="397" w:lineRule="exact"/>
        <w:rPr>
          <w:rFonts w:ascii="Arial" w:cs="Arial" w:eastAsia="Arial" w:hAnsi="Arial"/>
          <w:sz w:val="21"/>
          <w:szCs w:val="21"/>
          <w:color w:val="auto"/>
        </w:rPr>
      </w:pPr>
    </w:p>
    <w:p>
      <w:pPr>
        <w:ind w:left="660" w:hanging="652"/>
        <w:spacing w:after="0"/>
        <w:tabs>
          <w:tab w:leader="none" w:pos="660" w:val="left"/>
        </w:tabs>
        <w:numPr>
          <w:ilvl w:val="0"/>
          <w:numId w:val="33"/>
        </w:numPr>
        <w:rPr>
          <w:rFonts w:ascii="Arial" w:cs="Arial" w:eastAsia="Arial" w:hAnsi="Arial"/>
          <w:sz w:val="22"/>
          <w:szCs w:val="22"/>
          <w:color w:val="auto"/>
        </w:rPr>
      </w:pPr>
      <w:r>
        <w:rPr>
          <w:rFonts w:ascii="Arial" w:cs="Arial" w:eastAsia="Arial" w:hAnsi="Arial"/>
          <w:sz w:val="22"/>
          <w:szCs w:val="22"/>
          <w:color w:val="auto"/>
        </w:rPr>
        <w:t>Shares purchased by me under the Stock Purchase Plan should be issued in the name(s) of:</w:t>
      </w:r>
    </w:p>
    <w:p>
      <w:pPr>
        <w:spacing w:after="0" w:line="219" w:lineRule="exact"/>
        <w:rPr>
          <w:rFonts w:ascii="Arial" w:cs="Arial" w:eastAsia="Arial" w:hAnsi="Arial"/>
          <w:sz w:val="22"/>
          <w:szCs w:val="22"/>
          <w:color w:val="auto"/>
        </w:rPr>
      </w:pPr>
    </w:p>
    <w:p>
      <w:pPr>
        <w:ind w:left="660" w:right="80" w:hanging="652"/>
        <w:spacing w:after="0" w:line="250" w:lineRule="auto"/>
        <w:tabs>
          <w:tab w:leader="none" w:pos="660"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Company shall assess tax and social insurance liability and requirements in connection with my participation in the Stock Purchase Plan, including, without limitation, tax liability associated with the subscription, purchase, or sale of shares acquired under the Stock Purchase Plan (the “Tax Liability”). These requirements may change from time to time as laws or interpretations change.</w:t>
      </w:r>
    </w:p>
    <w:p>
      <w:pPr>
        <w:sectPr>
          <w:pgSz w:w="11900" w:h="16838" w:orient="portrait"/>
          <w:cols w:equalWidth="0" w:num="1">
            <w:col w:w="11380"/>
          </w:cols>
          <w:pgMar w:left="240" w:top="807" w:right="279" w:bottom="1440" w:gutter="0" w:footer="0" w:header="0"/>
        </w:sectPr>
      </w:pPr>
    </w:p>
    <w:bookmarkStart w:id="69" w:name="page70"/>
    <w:bookmarkEnd w:id="69"/>
    <w:p>
      <w:pPr>
        <w:ind w:left="652" w:right="540"/>
        <w:spacing w:after="0" w:line="263" w:lineRule="auto"/>
        <w:rPr>
          <w:sz w:val="20"/>
          <w:szCs w:val="20"/>
          <w:color w:val="auto"/>
        </w:rPr>
      </w:pPr>
      <w:r>
        <w:rPr>
          <w:rFonts w:ascii="Arial" w:cs="Arial" w:eastAsia="Arial" w:hAnsi="Arial"/>
          <w:sz w:val="22"/>
          <w:szCs w:val="22"/>
          <w:color w:val="auto"/>
        </w:rPr>
        <w:t>Regardless of the Company’s actions in this regard, I hereby acknowledge and agree that the Tax Liability shall be my responsibility and liability.</w:t>
      </w:r>
    </w:p>
    <w:p>
      <w:pPr>
        <w:spacing w:after="0" w:line="67" w:lineRule="exact"/>
        <w:rPr>
          <w:sz w:val="20"/>
          <w:szCs w:val="20"/>
          <w:color w:val="auto"/>
        </w:rPr>
      </w:pPr>
    </w:p>
    <w:p>
      <w:pPr>
        <w:ind w:left="652" w:right="120" w:hanging="652"/>
        <w:spacing w:after="0" w:line="258" w:lineRule="auto"/>
        <w:tabs>
          <w:tab w:leader="none" w:pos="652" w:val="left"/>
        </w:tabs>
        <w:numPr>
          <w:ilvl w:val="0"/>
          <w:numId w:val="34"/>
        </w:numPr>
        <w:rPr>
          <w:rFonts w:ascii="Arial" w:cs="Arial" w:eastAsia="Arial" w:hAnsi="Arial"/>
          <w:sz w:val="21"/>
          <w:szCs w:val="21"/>
          <w:color w:val="auto"/>
        </w:rPr>
      </w:pPr>
      <w:r>
        <w:rPr>
          <w:rFonts w:ascii="Arial" w:cs="Arial" w:eastAsia="Arial" w:hAnsi="Arial"/>
          <w:sz w:val="21"/>
          <w:szCs w:val="21"/>
          <w:color w:val="auto"/>
        </w:rPr>
        <w:t>I agree as a condition of my participation in the Stock Purchase Plan to make arrangements satisfactory to the Company to enable it to satisfy all withholding, payment and/or collection requirements associated with the satisfaction of the Tax Liability, including authorizing the Company to: (i) withhold all applicable amounts from my wages or other cash compensation due to me, in accordance with any requirements under the local laws, rules, and regulations of the country of which I am a resident, and (ii) act as my agent to sell sufficient shares for the proceeds to settle such requirements. Furthermore, I agree to pay the Company any amount the Company may be required to withhold, collect or pay as a result of my participation in the Stock Purchase Plan or that cannot be satisfied by deduction from the my wages or other cash compensation paid to me by the Company or sale of the shares acquired under the Stock Purchase Plan. I acknowledge that I may not participate in the Stock Purchase Plan unless the tax withholding, payment and/or collection obligations of the Company are satisfied.</w:t>
      </w:r>
    </w:p>
    <w:p>
      <w:pPr>
        <w:spacing w:after="0" w:line="78" w:lineRule="exact"/>
        <w:rPr>
          <w:rFonts w:ascii="Arial" w:cs="Arial" w:eastAsia="Arial" w:hAnsi="Arial"/>
          <w:sz w:val="21"/>
          <w:szCs w:val="21"/>
          <w:color w:val="auto"/>
        </w:rPr>
      </w:pPr>
    </w:p>
    <w:p>
      <w:pPr>
        <w:ind w:left="652" w:hanging="652"/>
        <w:spacing w:after="0" w:line="292" w:lineRule="auto"/>
        <w:tabs>
          <w:tab w:leader="none" w:pos="652" w:val="left"/>
        </w:tabs>
        <w:numPr>
          <w:ilvl w:val="0"/>
          <w:numId w:val="34"/>
        </w:numPr>
        <w:rPr>
          <w:rFonts w:ascii="Arial" w:cs="Arial" w:eastAsia="Arial" w:hAnsi="Arial"/>
          <w:sz w:val="19"/>
          <w:szCs w:val="19"/>
          <w:color w:val="auto"/>
        </w:rPr>
      </w:pPr>
      <w:r>
        <w:rPr>
          <w:rFonts w:ascii="Arial" w:cs="Arial" w:eastAsia="Arial" w:hAnsi="Arial"/>
          <w:sz w:val="19"/>
          <w:szCs w:val="19"/>
          <w:color w:val="auto"/>
        </w:rPr>
        <w:t>I understand and agree that the Shares that I purchase under the Stock Purchase Plan will be subject to the same-day-sale process. Under the same-day-sale process, the Company will transfer the Shares that I purchase on the Exercise Date to a designated brokerage firm. The brokerage firm, on my behalf, will sell the Shares at the current market price. From the sale proceeds, the brokerage firm will withhold an amount equal to its fees and deliver the remainder to the Company, which will remit such amount to the SAFE Account described in the paragraph immediately below. As a result of the same-day-sale of the Shares, the Shares that I purchase under the Stock Purchase Plan will not be delivered to me. Upon the sale of the Shares, I will not have any rights as a shareholder of the Company based on the purchase of the Shares.</w:t>
      </w:r>
    </w:p>
    <w:p>
      <w:pPr>
        <w:spacing w:after="0" w:line="300" w:lineRule="exact"/>
        <w:rPr>
          <w:rFonts w:ascii="Arial" w:cs="Arial" w:eastAsia="Arial" w:hAnsi="Arial"/>
          <w:sz w:val="19"/>
          <w:szCs w:val="19"/>
          <w:color w:val="auto"/>
        </w:rPr>
      </w:pPr>
    </w:p>
    <w:p>
      <w:pPr>
        <w:ind w:left="652" w:right="40" w:hanging="652"/>
        <w:spacing w:after="0" w:line="297" w:lineRule="auto"/>
        <w:tabs>
          <w:tab w:leader="none" w:pos="652" w:val="left"/>
        </w:tabs>
        <w:numPr>
          <w:ilvl w:val="0"/>
          <w:numId w:val="34"/>
        </w:numPr>
        <w:rPr>
          <w:rFonts w:ascii="Arial" w:cs="Arial" w:eastAsia="Arial" w:hAnsi="Arial"/>
          <w:sz w:val="19"/>
          <w:szCs w:val="19"/>
          <w:color w:val="auto"/>
        </w:rPr>
      </w:pPr>
      <w:r>
        <w:rPr>
          <w:rFonts w:ascii="Arial" w:cs="Arial" w:eastAsia="Arial" w:hAnsi="Arial"/>
          <w:sz w:val="19"/>
          <w:szCs w:val="19"/>
          <w:color w:val="auto"/>
        </w:rPr>
        <w:t>I understand and agree that the receipt of funds by me from the sale of Shares that I purchase under the Stock Purchase Plan and the conversion of those funds to the local currency must be approved by State Administration of Foreign Exchange (“SAFE”). In order to comply with the SAFE regulations, the proceeds from the sale of Shares that I have purchased under the Stock Purchase Plan must be repatriated into China through a SAFE approved bank account set up and monitored by the Company (“SAFE Account”). My local HR office may provide me more details about the SAFE Account.</w:t>
      </w:r>
    </w:p>
    <w:p>
      <w:pPr>
        <w:spacing w:after="0" w:line="147" w:lineRule="exact"/>
        <w:rPr>
          <w:rFonts w:ascii="Arial" w:cs="Arial" w:eastAsia="Arial" w:hAnsi="Arial"/>
          <w:sz w:val="19"/>
          <w:szCs w:val="19"/>
          <w:color w:val="auto"/>
        </w:rPr>
      </w:pPr>
    </w:p>
    <w:p>
      <w:pPr>
        <w:ind w:left="652" w:right="460" w:hanging="652"/>
        <w:spacing w:after="0" w:line="312" w:lineRule="auto"/>
        <w:tabs>
          <w:tab w:leader="none" w:pos="652" w:val="left"/>
        </w:tabs>
        <w:numPr>
          <w:ilvl w:val="0"/>
          <w:numId w:val="34"/>
        </w:numPr>
        <w:rPr>
          <w:rFonts w:ascii="Arial" w:cs="Arial" w:eastAsia="Arial" w:hAnsi="Arial"/>
          <w:sz w:val="19"/>
          <w:szCs w:val="19"/>
          <w:color w:val="auto"/>
        </w:rPr>
      </w:pPr>
      <w:r>
        <w:rPr>
          <w:rFonts w:ascii="Arial" w:cs="Arial" w:eastAsia="Arial" w:hAnsi="Arial"/>
          <w:sz w:val="19"/>
          <w:szCs w:val="19"/>
          <w:color w:val="auto"/>
        </w:rPr>
        <w:t>I understand and agree that any purchase of Shares under the Stock Purchase Plan is contingent upon the Company receiving SAFE approval of the SAFE Account. If the SAFE approval for the SAFE Account is not received before the Exercise Date, the Company will return to me all of the payroll deductions made during the Offering Period.</w:t>
      </w:r>
    </w:p>
    <w:p>
      <w:pPr>
        <w:spacing w:after="0" w:line="241" w:lineRule="exact"/>
        <w:rPr>
          <w:rFonts w:ascii="Arial" w:cs="Arial" w:eastAsia="Arial" w:hAnsi="Arial"/>
          <w:sz w:val="19"/>
          <w:szCs w:val="19"/>
          <w:color w:val="auto"/>
        </w:rPr>
      </w:pPr>
    </w:p>
    <w:p>
      <w:pPr>
        <w:ind w:left="652" w:right="60" w:hanging="652"/>
        <w:spacing w:after="0" w:line="289" w:lineRule="auto"/>
        <w:tabs>
          <w:tab w:leader="none" w:pos="652" w:val="left"/>
        </w:tabs>
        <w:numPr>
          <w:ilvl w:val="0"/>
          <w:numId w:val="34"/>
        </w:numPr>
        <w:rPr>
          <w:rFonts w:ascii="Arial" w:cs="Arial" w:eastAsia="Arial" w:hAnsi="Arial"/>
          <w:sz w:val="19"/>
          <w:szCs w:val="19"/>
          <w:color w:val="auto"/>
        </w:rPr>
      </w:pPr>
      <w:r>
        <w:rPr>
          <w:rFonts w:ascii="Arial" w:cs="Arial" w:eastAsia="Arial" w:hAnsi="Arial"/>
          <w:sz w:val="19"/>
          <w:szCs w:val="19"/>
          <w:color w:val="auto"/>
        </w:rPr>
        <w:t>I understand that the Company may hold certain personal information about me, including but not limited to my name, home address and telephone number, date of birth, social security number or other identification number, salary, nationality, job title, any shares or directorships held in the Company, details of all rights to purchase or any other entitlement to shares awarded, canceled, purchased or outstanding in my favor, for the purpose of implementing, administering or managing the Stock Purchase Plan (the “Data”). I further understand that Data may be transferred to any third parties assisting the Company in the administration of the Stock Purchase Plan. I understand that these recipients may be located within or outside my country of residence, or elsewhere, and that the recipient’s country may have different data privacy laws and protections than my country of residence. I authorize the Company or the recipients to receive, possess, use, retain and transfer the Data, in electronic or other form, for the purposes of implementing, administering or</w:t>
      </w:r>
    </w:p>
    <w:p>
      <w:pPr>
        <w:sectPr>
          <w:pgSz w:w="11900" w:h="16838" w:orient="portrait"/>
          <w:cols w:equalWidth="0" w:num="1">
            <w:col w:w="11412"/>
          </w:cols>
          <w:pgMar w:left="248" w:top="591" w:right="239" w:bottom="1440" w:gutter="0" w:footer="0" w:header="0"/>
        </w:sectPr>
      </w:pPr>
    </w:p>
    <w:bookmarkStart w:id="70" w:name="page71"/>
    <w:bookmarkEnd w:id="70"/>
    <w:p>
      <w:pPr>
        <w:ind w:left="652" w:right="100"/>
        <w:spacing w:after="0" w:line="260" w:lineRule="auto"/>
        <w:rPr>
          <w:sz w:val="20"/>
          <w:szCs w:val="20"/>
          <w:color w:val="auto"/>
        </w:rPr>
      </w:pPr>
      <w:r>
        <w:rPr>
          <w:rFonts w:ascii="Arial" w:cs="Arial" w:eastAsia="Arial" w:hAnsi="Arial"/>
          <w:sz w:val="21"/>
          <w:szCs w:val="21"/>
          <w:color w:val="auto"/>
        </w:rPr>
        <w:t>managing my participation in the Stock Purchase Plan, including any requisite transfer of the Data as may be required for the administration of the Stock Purchase Plan and/or the subsequent holding of shares on my behalf to a broker or other third party with whom I may elect to deposit any shares acquired pursuant to the Stock Purchase Plan. I understand that the Data will be held only as long as necessary to implement, administer or manage my participation in the Stock Purchase Plan. I understand that I may, at any time, review the Data, require any necessary amendments to Data or withdraw the consents herein in writing by contacting the Company. I understand that withdrawing my consent may affect my ability to participate in the Stock Purchase Plan.</w:t>
      </w:r>
    </w:p>
    <w:p>
      <w:pPr>
        <w:spacing w:after="0" w:line="73" w:lineRule="exact"/>
        <w:rPr>
          <w:sz w:val="20"/>
          <w:szCs w:val="20"/>
          <w:color w:val="auto"/>
        </w:rPr>
      </w:pPr>
    </w:p>
    <w:p>
      <w:pPr>
        <w:ind w:left="652" w:hanging="652"/>
        <w:spacing w:after="0" w:line="285" w:lineRule="auto"/>
        <w:tabs>
          <w:tab w:leader="none" w:pos="652" w:val="left"/>
        </w:tabs>
        <w:numPr>
          <w:ilvl w:val="0"/>
          <w:numId w:val="35"/>
        </w:numPr>
        <w:rPr>
          <w:rFonts w:ascii="Arial" w:cs="Arial" w:eastAsia="Arial" w:hAnsi="Arial"/>
          <w:sz w:val="19"/>
          <w:szCs w:val="19"/>
          <w:color w:val="auto"/>
        </w:rPr>
      </w:pPr>
      <w:r>
        <w:rPr>
          <w:rFonts w:ascii="Arial" w:cs="Arial" w:eastAsia="Arial" w:hAnsi="Arial"/>
          <w:sz w:val="19"/>
          <w:szCs w:val="19"/>
          <w:color w:val="auto"/>
        </w:rPr>
        <w:t>By signing this Subscription Agreement and participating in the Stock Purchase Plan, I agree and acknowledge that: (a) the Stock Purchase Plan is discretionary in nature and the Company can amend, cancel, or terminate the Stock Purchase Plan at any time; (b) participation in the Stock Purchase Plan is voluntary and occasional, and does not create any contractual or other future rights to purchase shares, or benefits in lieu of such rights; (c) my right to purchase shares under the Stock Purchase Plan ceases upon my termination of employment for any reason except as may otherwise be explicitly provided in this Subscription Agreement and the Stock Purchase Plan; (d) my right to participate in the Stock Purchase Plan and to purchase shares under the Stock Purchase Plan, if any, will cease as of the date that I am no longer actively performing services following the provision of a notification of termination or resignation from employment or services, regardless of any reasonable notice period mandated under local law, without reference to any other agreement, written or oral, express or implied, including my contract of employment; (e) my participation in the Stock Purchase Plan is voluntary; (e) my right to purchase shares under the Stock Purchase Plan is an extraordinary item of compensation, which is outside the scope of my employment agreement, if any; (f) my right to purchase shares under the Stock Purchase Plan is not part of normal or expected compensation or salary for any purpose, including, but not limited to, calculating any termination, severance, resignation, redundancy, end of service payments, bonuses, long-service awards, pension or retirement benefits, or similar payments; (g) the future value of the shares purchased under the Stock Purchase Plan is unknown and cannot be predicted with certainty, and the Company makes no express or implied promise about the financial gain or loss to be achieved through participation in the Stock Purchase Plan; (h) the right to participate in the Stock Purchase Plan has been granted to me in my status as an employee of my employer and can in no event be understood or interpreted to mean that an entity other than my employer has an employment relationship with me; (i) no claim or entitlement to compensation or damages arises from the diminution in value of the right to purchase shares under the Stock Purchase Plan, or shares purchased under the Stock Purchase Plan, and if I did acquire any such rights, I am deemed to have irrevocably released the Company and/or my employer subsidiary from any such claim or entitlement that may arise by participating in the Stock Purchase Plan; and (j) neither the Stock Purchase Plan nor this Subscription Agreement shall obligate my employer to employ me for any particular length of time nor confer any right with respect to continuing my status as an employee.</w:t>
      </w:r>
    </w:p>
    <w:p>
      <w:pPr>
        <w:spacing w:after="0" w:line="269" w:lineRule="exact"/>
        <w:rPr>
          <w:rFonts w:ascii="Arial" w:cs="Arial" w:eastAsia="Arial" w:hAnsi="Arial"/>
          <w:sz w:val="19"/>
          <w:szCs w:val="19"/>
          <w:color w:val="auto"/>
        </w:rPr>
      </w:pPr>
    </w:p>
    <w:p>
      <w:pPr>
        <w:ind w:left="652" w:right="100" w:hanging="652"/>
        <w:spacing w:after="0" w:line="297" w:lineRule="auto"/>
        <w:tabs>
          <w:tab w:leader="none" w:pos="652" w:val="left"/>
        </w:tabs>
        <w:numPr>
          <w:ilvl w:val="0"/>
          <w:numId w:val="35"/>
        </w:numPr>
        <w:rPr>
          <w:rFonts w:ascii="Arial" w:cs="Arial" w:eastAsia="Arial" w:hAnsi="Arial"/>
          <w:sz w:val="19"/>
          <w:szCs w:val="19"/>
          <w:color w:val="auto"/>
        </w:rPr>
      </w:pPr>
      <w:r>
        <w:rPr>
          <w:rFonts w:ascii="Arial" w:cs="Arial" w:eastAsia="Arial" w:hAnsi="Arial"/>
          <w:sz w:val="19"/>
          <w:szCs w:val="19"/>
          <w:color w:val="auto"/>
        </w:rPr>
        <w:t>I hereby agree to be bound by the terms of the Stock Purchase Plan. The effectiveness of this Subscription Agreement is dependent upon my eligibility to participate in the Stock Purchase Plan. I further agree to be bound by any policies relating to the plan, including but not limited to the ESPP Share Transfer Blocking Policy, which provides as of the date hereof that shares acquired pursuant to the Stock Purchase Plan may not be transferred from my E*TRADE employee stock plan account, other than to another broker or third party where the shares are to be gifted to another individual or to charity.</w:t>
      </w:r>
    </w:p>
    <w:p>
      <w:pPr>
        <w:sectPr>
          <w:pgSz w:w="11900" w:h="16838" w:orient="portrait"/>
          <w:cols w:equalWidth="0" w:num="1">
            <w:col w:w="11392"/>
          </w:cols>
          <w:pgMar w:left="248" w:top="591" w:right="259" w:bottom="1440" w:gutter="0" w:footer="0" w:header="0"/>
        </w:sectPr>
      </w:pPr>
    </w:p>
    <w:bookmarkStart w:id="71" w:name="page72"/>
    <w:bookmarkEnd w:id="71"/>
    <w:p>
      <w:pPr>
        <w:ind w:left="660" w:right="20" w:hanging="652"/>
        <w:spacing w:after="0" w:line="265" w:lineRule="auto"/>
        <w:tabs>
          <w:tab w:leader="none" w:pos="660" w:val="left"/>
        </w:tabs>
        <w:numPr>
          <w:ilvl w:val="0"/>
          <w:numId w:val="36"/>
        </w:numPr>
        <w:rPr>
          <w:rFonts w:ascii="Arial" w:cs="Arial" w:eastAsia="Arial" w:hAnsi="Arial"/>
          <w:sz w:val="21"/>
          <w:szCs w:val="21"/>
          <w:color w:val="auto"/>
        </w:rPr>
      </w:pPr>
      <w:r>
        <w:rPr>
          <w:rFonts w:ascii="Arial" w:cs="Arial" w:eastAsia="Arial" w:hAnsi="Arial"/>
          <w:sz w:val="21"/>
          <w:szCs w:val="21"/>
          <w:color w:val="auto"/>
        </w:rPr>
        <w:t>I understand that the exercise of a purchase right to receive shares under the Stock Purchase Plan and the issuance, transfer, assignment, sale, or other dealings of such shares shall be subject to compliance by the Company and me with all applicable requirements of local Law. Furthermore, I agree that I will not acquire shares of Common Stock pursuant to the Stock Purchase Plan except in compliance with all requirements of local Law.</w:t>
      </w:r>
    </w:p>
    <w:p>
      <w:pPr>
        <w:spacing w:after="0" w:line="392" w:lineRule="exact"/>
        <w:rPr>
          <w:rFonts w:ascii="Arial" w:cs="Arial" w:eastAsia="Arial" w:hAnsi="Arial"/>
          <w:sz w:val="21"/>
          <w:szCs w:val="21"/>
          <w:color w:val="auto"/>
        </w:rPr>
      </w:pPr>
    </w:p>
    <w:p>
      <w:pPr>
        <w:ind w:left="660" w:hanging="652"/>
        <w:spacing w:after="0" w:line="292" w:lineRule="auto"/>
        <w:tabs>
          <w:tab w:leader="none" w:pos="6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I have received a copy of the Stock Purchase Plan and a prospectus describing the Stock Purchase Plan and I represent that I am familiar with the terms and provisions thereof. I represent and acknowledge that I have reviewed the Stock Purchase Plan and this Subscription Agreement in their entirety, have had an opportunity to obtain the advice of counsel prior to executing this Subscription Agreement, and fully understand all provisions of the Stock Purchase Plan and this Subscription Agreement. I agree to be bound by all of the terms and provisions of the Stock Purchase Plan and this Subscription Agreement. I agree to accept as binding, conclusive, and final all decisions and interpretations of the Board upon any questions arising under the Stock Purchase Plan or this Subscription Agreement.</w:t>
      </w:r>
    </w:p>
    <w:p>
      <w:pPr>
        <w:spacing w:after="0" w:line="151" w:lineRule="exact"/>
        <w:rPr>
          <w:rFonts w:ascii="Arial" w:cs="Arial" w:eastAsia="Arial" w:hAnsi="Arial"/>
          <w:sz w:val="19"/>
          <w:szCs w:val="19"/>
          <w:color w:val="auto"/>
        </w:rPr>
      </w:pPr>
    </w:p>
    <w:p>
      <w:pPr>
        <w:ind w:left="660" w:right="160" w:hanging="652"/>
        <w:spacing w:after="0" w:line="263" w:lineRule="auto"/>
        <w:tabs>
          <w:tab w:leader="none" w:pos="6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In the event of my death, I hereby designate the following as my beneficiary(ies) to receive all payments due me under the Stock Purchase Plan:</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NAME: (Please print)</w:t>
      </w:r>
    </w:p>
    <w:p>
      <w:pPr>
        <w:spacing w:after="0" w:line="22" w:lineRule="exact"/>
        <w:rPr>
          <w:sz w:val="20"/>
          <w:szCs w:val="20"/>
          <w:color w:val="auto"/>
        </w:rPr>
      </w:pPr>
    </w:p>
    <w:p>
      <w:pPr>
        <w:ind w:left="2600"/>
        <w:spacing w:after="0"/>
        <w:tabs>
          <w:tab w:leader="none" w:pos="3660" w:val="left"/>
          <w:tab w:leader="none" w:pos="4780" w:val="left"/>
        </w:tabs>
        <w:rPr>
          <w:sz w:val="20"/>
          <w:szCs w:val="20"/>
          <w:color w:val="auto"/>
        </w:rPr>
      </w:pPr>
      <w:r>
        <w:rPr>
          <w:rFonts w:ascii="Arial" w:cs="Arial" w:eastAsia="Arial" w:hAnsi="Arial"/>
          <w:sz w:val="22"/>
          <w:szCs w:val="22"/>
          <w:color w:val="auto"/>
        </w:rPr>
        <w:t>(First)</w:t>
      </w:r>
      <w:r>
        <w:rPr>
          <w:sz w:val="20"/>
          <w:szCs w:val="20"/>
          <w:color w:val="auto"/>
        </w:rPr>
        <w:tab/>
      </w:r>
      <w:r>
        <w:rPr>
          <w:rFonts w:ascii="Arial" w:cs="Arial" w:eastAsia="Arial" w:hAnsi="Arial"/>
          <w:sz w:val="22"/>
          <w:szCs w:val="22"/>
          <w:color w:val="auto"/>
        </w:rPr>
        <w:t>(Middle)</w:t>
      </w:r>
      <w:r>
        <w:rPr>
          <w:sz w:val="20"/>
          <w:szCs w:val="20"/>
          <w:color w:val="auto"/>
        </w:rPr>
        <w:tab/>
      </w:r>
      <w:r>
        <w:rPr>
          <w:rFonts w:ascii="Arial" w:cs="Arial" w:eastAsia="Arial" w:hAnsi="Arial"/>
          <w:sz w:val="19"/>
          <w:szCs w:val="19"/>
          <w:color w:val="auto"/>
        </w:rPr>
        <w:t>(Last)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Relationship</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NAME: (Please print)</w:t>
      </w:r>
    </w:p>
    <w:p>
      <w:pPr>
        <w:spacing w:after="0" w:line="22" w:lineRule="exact"/>
        <w:rPr>
          <w:sz w:val="20"/>
          <w:szCs w:val="20"/>
          <w:color w:val="auto"/>
        </w:rPr>
      </w:pPr>
    </w:p>
    <w:p>
      <w:pPr>
        <w:ind w:left="2600"/>
        <w:spacing w:after="0"/>
        <w:tabs>
          <w:tab w:leader="none" w:pos="3660" w:val="left"/>
          <w:tab w:leader="none" w:pos="4780" w:val="left"/>
        </w:tabs>
        <w:rPr>
          <w:sz w:val="20"/>
          <w:szCs w:val="20"/>
          <w:color w:val="auto"/>
        </w:rPr>
      </w:pPr>
      <w:r>
        <w:rPr>
          <w:rFonts w:ascii="Arial" w:cs="Arial" w:eastAsia="Arial" w:hAnsi="Arial"/>
          <w:sz w:val="22"/>
          <w:szCs w:val="22"/>
          <w:color w:val="auto"/>
        </w:rPr>
        <w:t>(First)</w:t>
      </w:r>
      <w:r>
        <w:rPr>
          <w:sz w:val="20"/>
          <w:szCs w:val="20"/>
          <w:color w:val="auto"/>
        </w:rPr>
        <w:tab/>
      </w:r>
      <w:r>
        <w:rPr>
          <w:rFonts w:ascii="Arial" w:cs="Arial" w:eastAsia="Arial" w:hAnsi="Arial"/>
          <w:sz w:val="22"/>
          <w:szCs w:val="22"/>
          <w:color w:val="auto"/>
        </w:rPr>
        <w:t>(Middle)</w:t>
      </w:r>
      <w:r>
        <w:rPr>
          <w:sz w:val="20"/>
          <w:szCs w:val="20"/>
          <w:color w:val="auto"/>
        </w:rPr>
        <w:tab/>
      </w:r>
      <w:r>
        <w:rPr>
          <w:rFonts w:ascii="Arial" w:cs="Arial" w:eastAsia="Arial" w:hAnsi="Arial"/>
          <w:sz w:val="19"/>
          <w:szCs w:val="19"/>
          <w:color w:val="auto"/>
        </w:rPr>
        <w:t>(Last)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Relationship</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231" w:lineRule="auto"/>
        <w:rPr>
          <w:sz w:val="20"/>
          <w:szCs w:val="20"/>
          <w:color w:val="auto"/>
        </w:rPr>
      </w:pPr>
      <w:r>
        <w:rPr>
          <w:rFonts w:ascii="Arial" w:cs="Arial" w:eastAsia="Arial" w:hAnsi="Arial"/>
          <w:sz w:val="22"/>
          <w:szCs w:val="22"/>
          <w:color w:val="auto"/>
        </w:rPr>
        <w:t>Employee's Address:</w:t>
      </w:r>
      <w:r>
        <w:rPr>
          <w:rFonts w:ascii="Arial" w:cs="Arial" w:eastAsia="Arial" w:hAnsi="Arial"/>
          <w:sz w:val="28"/>
          <w:szCs w:val="28"/>
          <w:color w:val="auto"/>
          <w:vertAlign w:val="superscript"/>
        </w:rPr>
        <w:t>***</w:t>
      </w:r>
      <w:r>
        <w:rPr>
          <w:rFonts w:ascii="Arial" w:cs="Arial" w:eastAsia="Arial" w:hAnsi="Arial"/>
          <w:sz w:val="22"/>
          <w:szCs w:val="22"/>
          <w:color w:val="auto"/>
        </w:rPr>
        <w:t xml:space="preserve"> It is the participant's responsibility to notify the Company's stock administrator in the event of a change of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I UNDERSTAND THAT THIS SUBSCRIPTION AGREEMENT SHALL REMAIN IN EFFECT THROUGHOUT SUCCESSIVE OFFERING PERIODS UNLESS TERMINATED BY ME.</w:t>
      </w:r>
    </w:p>
    <w:p>
      <w:pPr>
        <w:sectPr>
          <w:pgSz w:w="11900" w:h="16838" w:orient="portrait"/>
          <w:cols w:equalWidth="0" w:num="1">
            <w:col w:w="11400"/>
          </w:cols>
          <w:pgMar w:left="240" w:top="807" w:right="259" w:bottom="1440" w:gutter="0" w:footer="0" w:header="0"/>
        </w:sectPr>
      </w:pPr>
    </w:p>
    <w:bookmarkStart w:id="72" w:name="page73"/>
    <w:bookmarkEnd w:id="72"/>
    <w:p>
      <w:pPr>
        <w:spacing w:after="0"/>
        <w:tabs>
          <w:tab w:leader="none" w:pos="206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u w:val="single" w:color="auto"/>
          <w:color w:val="auto"/>
        </w:rPr>
        <w:t>____________</w:t>
      </w:r>
    </w:p>
    <w:p>
      <w:pPr>
        <w:spacing w:after="0" w:line="22" w:lineRule="exact"/>
        <w:rPr>
          <w:sz w:val="20"/>
          <w:szCs w:val="20"/>
          <w:color w:val="auto"/>
        </w:rPr>
      </w:pPr>
    </w:p>
    <w:p>
      <w:pPr>
        <w:jc w:val="right"/>
        <w:ind w:right="4319"/>
        <w:spacing w:after="0"/>
        <w:rPr>
          <w:sz w:val="20"/>
          <w:szCs w:val="20"/>
          <w:color w:val="auto"/>
        </w:rPr>
      </w:pPr>
      <w:r>
        <w:rPr>
          <w:rFonts w:ascii="Arial" w:cs="Arial" w:eastAsia="Arial" w:hAnsi="Arial"/>
          <w:sz w:val="22"/>
          <w:szCs w:val="22"/>
          <w:color w:val="auto"/>
        </w:rPr>
        <w:t>Signature of Employee</w:t>
      </w:r>
    </w:p>
    <w:p>
      <w:pPr>
        <w:sectPr>
          <w:pgSz w:w="11900" w:h="16838" w:orient="portrait"/>
          <w:cols w:equalWidth="0" w:num="1">
            <w:col w:w="10219"/>
          </w:cols>
          <w:pgMar w:left="240" w:top="1023" w:right="1440" w:bottom="1440" w:gutter="0" w:footer="0" w:header="0"/>
        </w:sectPr>
      </w:pPr>
    </w:p>
    <w:bookmarkStart w:id="73" w:name="page74"/>
    <w:bookmarkEnd w:id="73"/>
    <w:p>
      <w:pPr>
        <w:ind w:left="4860"/>
        <w:spacing w:after="0"/>
        <w:rPr>
          <w:sz w:val="20"/>
          <w:szCs w:val="20"/>
          <w:color w:val="auto"/>
        </w:rPr>
      </w:pPr>
      <w:r>
        <w:rPr>
          <w:rFonts w:ascii="Arial" w:cs="Arial" w:eastAsia="Arial" w:hAnsi="Arial"/>
          <w:sz w:val="22"/>
          <w:szCs w:val="22"/>
          <w:u w:val="single" w:color="auto"/>
          <w:color w:val="auto"/>
        </w:rPr>
        <w:t>AUTODESK, INC.</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EMPLOYEE QUALIFIED STOCK PURCHASE PLAN</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SUBSCRIPTION AGREEMENT FOR</w:t>
      </w:r>
    </w:p>
    <w:p>
      <w:pPr>
        <w:spacing w:after="0" w:line="4" w:lineRule="exact"/>
        <w:rPr>
          <w:sz w:val="20"/>
          <w:szCs w:val="20"/>
          <w:color w:val="auto"/>
        </w:rPr>
      </w:pPr>
    </w:p>
    <w:p>
      <w:pPr>
        <w:ind w:left="3500"/>
        <w:spacing w:after="0"/>
        <w:rPr>
          <w:sz w:val="20"/>
          <w:szCs w:val="20"/>
          <w:color w:val="auto"/>
        </w:rPr>
      </w:pPr>
      <w:r>
        <w:rPr>
          <w:rFonts w:ascii="Arial" w:cs="Arial" w:eastAsia="Arial" w:hAnsi="Arial"/>
          <w:sz w:val="22"/>
          <w:szCs w:val="22"/>
          <w:u w:val="single" w:color="auto"/>
          <w:color w:val="auto"/>
        </w:rPr>
        <w:t>CHINA -LOCALLY HIRED FOREIGNER ONLY</w:t>
      </w:r>
    </w:p>
    <w:p>
      <w:pPr>
        <w:spacing w:after="0" w:line="200" w:lineRule="exact"/>
        <w:rPr>
          <w:sz w:val="20"/>
          <w:szCs w:val="20"/>
          <w:color w:val="auto"/>
        </w:rPr>
      </w:pPr>
    </w:p>
    <w:p>
      <w:pPr>
        <w:spacing w:after="0" w:line="218" w:lineRule="exact"/>
        <w:rPr>
          <w:sz w:val="20"/>
          <w:szCs w:val="20"/>
          <w:color w:val="auto"/>
        </w:rPr>
      </w:pPr>
    </w:p>
    <w:p>
      <w:pPr>
        <w:spacing w:after="0"/>
        <w:tabs>
          <w:tab w:leader="none" w:pos="3100" w:val="left"/>
        </w:tabs>
        <w:rPr>
          <w:sz w:val="20"/>
          <w:szCs w:val="20"/>
          <w:color w:val="auto"/>
        </w:rPr>
      </w:pPr>
      <w:r>
        <w:rPr>
          <w:rFonts w:ascii="Arial" w:cs="Arial" w:eastAsia="Arial" w:hAnsi="Arial"/>
          <w:sz w:val="22"/>
          <w:szCs w:val="22"/>
          <w:color w:val="auto"/>
        </w:rPr>
        <w:t>_____ Original Application</w:t>
      </w:r>
      <w:r>
        <w:rPr>
          <w:sz w:val="20"/>
          <w:szCs w:val="20"/>
          <w:color w:val="auto"/>
        </w:rPr>
        <w:tab/>
      </w:r>
      <w:r>
        <w:rPr>
          <w:rFonts w:ascii="Arial" w:cs="Arial" w:eastAsia="Arial" w:hAnsi="Arial"/>
          <w:sz w:val="19"/>
          <w:szCs w:val="19"/>
          <w:color w:val="auto"/>
        </w:rPr>
        <w:t>Date: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_____ Change in Payroll Deduction / Approved Contribution Rate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_____ Change of Beneficiary(ies)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_____ Withdrawal</w:t>
      </w:r>
    </w:p>
    <w:p>
      <w:pPr>
        <w:spacing w:after="0" w:line="200" w:lineRule="exact"/>
        <w:rPr>
          <w:sz w:val="20"/>
          <w:szCs w:val="20"/>
          <w:color w:val="auto"/>
        </w:rPr>
      </w:pPr>
    </w:p>
    <w:p>
      <w:pPr>
        <w:spacing w:after="0" w:line="218" w:lineRule="exact"/>
        <w:rPr>
          <w:sz w:val="20"/>
          <w:szCs w:val="20"/>
          <w:color w:val="auto"/>
        </w:rPr>
      </w:pPr>
    </w:p>
    <w:p>
      <w:pPr>
        <w:jc w:val="both"/>
        <w:ind w:left="660" w:hanging="652"/>
        <w:spacing w:after="0" w:line="302" w:lineRule="auto"/>
        <w:tabs>
          <w:tab w:leader="none" w:pos="6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I, __________________________________ hereby elect to participate in the Autodesk, Inc. (collectively, with its subsidiaries and affiliates, the “Company”) International Employee Stock Purchase Plan (the "Stock Purchase Plan"), a sub-plan of the Company’s 1998 Employee Qualified Stock Purchase Plan, and subscribe to purchase shares of the Company's Common Stock, without par value, in accordance with this Subscription Agreement and the Stock Purchase Plan.</w:t>
      </w:r>
    </w:p>
    <w:p>
      <w:pPr>
        <w:spacing w:after="0" w:line="142" w:lineRule="exact"/>
        <w:rPr>
          <w:rFonts w:ascii="Arial" w:cs="Arial" w:eastAsia="Arial" w:hAnsi="Arial"/>
          <w:sz w:val="19"/>
          <w:szCs w:val="19"/>
          <w:color w:val="auto"/>
        </w:rPr>
      </w:pPr>
    </w:p>
    <w:p>
      <w:pPr>
        <w:jc w:val="both"/>
        <w:ind w:left="660" w:hanging="652"/>
        <w:spacing w:after="0" w:line="250" w:lineRule="auto"/>
        <w:tabs>
          <w:tab w:leader="none" w:pos="6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I hereby authorize payroll deductions from each paycheck in China in the amount of _____% (maximum 15%) of my Compensation on each payday during the Offering Period in accordance with the Stock Purchase Plan. Such deductions are to continue for succeeding Offering Periods until I give written instructions for a change in or termination of such deductions.</w:t>
      </w:r>
    </w:p>
    <w:p>
      <w:pPr>
        <w:spacing w:after="0" w:line="188" w:lineRule="exact"/>
        <w:rPr>
          <w:rFonts w:ascii="Arial" w:cs="Arial" w:eastAsia="Arial" w:hAnsi="Arial"/>
          <w:sz w:val="22"/>
          <w:szCs w:val="22"/>
          <w:color w:val="auto"/>
        </w:rPr>
      </w:pPr>
    </w:p>
    <w:p>
      <w:pPr>
        <w:jc w:val="both"/>
        <w:ind w:left="660" w:hanging="652"/>
        <w:spacing w:after="0" w:line="261" w:lineRule="auto"/>
        <w:tabs>
          <w:tab w:leader="none" w:pos="660" w:val="left"/>
        </w:tabs>
        <w:numPr>
          <w:ilvl w:val="0"/>
          <w:numId w:val="37"/>
        </w:numPr>
        <w:rPr>
          <w:rFonts w:ascii="Arial" w:cs="Arial" w:eastAsia="Arial" w:hAnsi="Arial"/>
          <w:sz w:val="21"/>
          <w:szCs w:val="21"/>
          <w:color w:val="auto"/>
        </w:rPr>
      </w:pPr>
      <w:r>
        <w:rPr>
          <w:rFonts w:ascii="Arial" w:cs="Arial" w:eastAsia="Arial" w:hAnsi="Arial"/>
          <w:sz w:val="21"/>
          <w:szCs w:val="21"/>
          <w:color w:val="auto"/>
        </w:rPr>
        <w:t>I understand that any payroll deductions or approved contributions through other means shall be accumulated and kept in an account in China designated by the Company (“Payroll Reserve”). The Company shall purchase shares of Common Stock based on the Payroll Reserve, without par value, at the applicable purchase price determined in accordance with the Stock Purchase Plan. I further understand that, except as otherwise set forth in the Stock Purchase Plan, shares will be purchased for me automatically on each Exercise Date of the offering period unless I otherwise withdraw from the Stock Purchase Plan by giving written notice to the Company for such purpose.</w:t>
      </w:r>
    </w:p>
    <w:p>
      <w:pPr>
        <w:spacing w:after="0" w:line="180" w:lineRule="exact"/>
        <w:rPr>
          <w:rFonts w:ascii="Arial" w:cs="Arial" w:eastAsia="Arial" w:hAnsi="Arial"/>
          <w:sz w:val="21"/>
          <w:szCs w:val="21"/>
          <w:color w:val="auto"/>
        </w:rPr>
      </w:pPr>
    </w:p>
    <w:p>
      <w:pPr>
        <w:jc w:val="both"/>
        <w:ind w:left="660" w:hanging="652"/>
        <w:spacing w:after="0" w:line="260" w:lineRule="auto"/>
        <w:tabs>
          <w:tab w:leader="none" w:pos="660" w:val="left"/>
        </w:tabs>
        <w:numPr>
          <w:ilvl w:val="0"/>
          <w:numId w:val="37"/>
        </w:numPr>
        <w:rPr>
          <w:rFonts w:ascii="Arial" w:cs="Arial" w:eastAsia="Arial" w:hAnsi="Arial"/>
          <w:sz w:val="21"/>
          <w:szCs w:val="21"/>
          <w:color w:val="auto"/>
        </w:rPr>
      </w:pPr>
      <w:r>
        <w:rPr>
          <w:rFonts w:ascii="Arial" w:cs="Arial" w:eastAsia="Arial" w:hAnsi="Arial"/>
          <w:sz w:val="21"/>
          <w:szCs w:val="21"/>
          <w:color w:val="auto"/>
        </w:rPr>
        <w:t>I understand that my participation in the Stock Purchase Plan is in all respects subject to its terms. Any interpretation of this Subscription Agreement shall be made in accordance with the Stock Purchase Plan. In the event there is any contradiction between the provisions of this Subscription Agreement and the Stock Purchase Plan, the provisions of this Subscription Agreement shall prevail. All capitalized terms used in this Subscription Agreement that are not defined herein have the meanings defined in the Stock Purchase Plan. I understand that I may withdraw from the Stock Purchase Plan and have payroll deductions or other approved contributions refunded (without interest) on the next payroll date following notice of withdrawal at any time during the Offering Period.</w:t>
      </w:r>
    </w:p>
    <w:p>
      <w:pPr>
        <w:spacing w:after="0" w:line="397" w:lineRule="exact"/>
        <w:rPr>
          <w:rFonts w:ascii="Arial" w:cs="Arial" w:eastAsia="Arial" w:hAnsi="Arial"/>
          <w:sz w:val="21"/>
          <w:szCs w:val="21"/>
          <w:color w:val="auto"/>
        </w:rPr>
      </w:pPr>
    </w:p>
    <w:p>
      <w:pPr>
        <w:ind w:left="660" w:hanging="652"/>
        <w:spacing w:after="0"/>
        <w:tabs>
          <w:tab w:leader="none" w:pos="6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Shares purchased by me under the Stock Purchase Plan should be issued in the name(s) of:</w:t>
      </w:r>
    </w:p>
    <w:p>
      <w:pPr>
        <w:spacing w:after="0" w:line="219" w:lineRule="exact"/>
        <w:rPr>
          <w:rFonts w:ascii="Arial" w:cs="Arial" w:eastAsia="Arial" w:hAnsi="Arial"/>
          <w:sz w:val="22"/>
          <w:szCs w:val="22"/>
          <w:color w:val="auto"/>
        </w:rPr>
      </w:pPr>
    </w:p>
    <w:p>
      <w:pPr>
        <w:jc w:val="both"/>
        <w:ind w:left="660" w:hanging="652"/>
        <w:spacing w:after="0" w:line="263" w:lineRule="auto"/>
        <w:tabs>
          <w:tab w:leader="none" w:pos="660"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Company shall assess tax and social insurance liability and requirements in connection with my participation in the Stock Purchase Plan, including, without limitation, tax liability associated with the subscription, purchase, or sale of shares acquired under the Stock Purchase Plan (the “Tax Liability”). These requirements may change from time to time as laws or interpretations change. Regardless of the Company’s actions in this regard, I hereby acknowledge and agree that the Tax Liability shall be my responsibility and liability.</w:t>
      </w:r>
    </w:p>
    <w:p>
      <w:pPr>
        <w:sectPr>
          <w:pgSz w:w="11900" w:h="16838" w:orient="portrait"/>
          <w:cols w:equalWidth="0" w:num="1">
            <w:col w:w="11420"/>
          </w:cols>
          <w:pgMar w:left="240" w:top="591" w:right="239" w:bottom="1440" w:gutter="0" w:footer="0" w:header="0"/>
        </w:sectPr>
      </w:pPr>
    </w:p>
    <w:bookmarkStart w:id="74" w:name="page75"/>
    <w:bookmarkEnd w:id="74"/>
    <w:p>
      <w:pPr>
        <w:jc w:val="both"/>
        <w:ind w:left="652" w:hanging="652"/>
        <w:spacing w:after="0" w:line="258" w:lineRule="auto"/>
        <w:tabs>
          <w:tab w:leader="none" w:pos="652" w:val="left"/>
        </w:tabs>
        <w:numPr>
          <w:ilvl w:val="0"/>
          <w:numId w:val="38"/>
        </w:numPr>
        <w:rPr>
          <w:rFonts w:ascii="Arial" w:cs="Arial" w:eastAsia="Arial" w:hAnsi="Arial"/>
          <w:sz w:val="21"/>
          <w:szCs w:val="21"/>
          <w:color w:val="auto"/>
        </w:rPr>
      </w:pPr>
      <w:r>
        <w:rPr>
          <w:rFonts w:ascii="Arial" w:cs="Arial" w:eastAsia="Arial" w:hAnsi="Arial"/>
          <w:sz w:val="21"/>
          <w:szCs w:val="21"/>
          <w:color w:val="auto"/>
        </w:rPr>
        <w:t>I agree as a condition of my participation in the Stock Purchase Plan to make arrangements satisfactory to the Company to enable it to satisfy all withholding, payment and/or collection requirements associated with the satisfaction of the Tax Liability, including authorizing the Company to: (i) withhold all applicable amounts from my wages or other cash compensation due to me, in accordance with any requirements under the local laws, rules, and regulations of the country of which I am a resident, and (ii) act as my agent to sell sufficient shares for the proceeds to settle such requirements. Furthermore, I agree to pay the Company any amount the Company may be required to withhold, collect or pay as a result of my participation in the Stock Purchase Plan or that cannot be satisfied by deduction from the my wages or other cash compensation paid to me by the Company or sale of the shares acquired under the Stock Purchase Plan. I acknowledge that I may not participate in the Stock Purchase Plan unless the tax withholding, payment and/or collection obligations of the Company are satisfied.</w:t>
      </w:r>
    </w:p>
    <w:p>
      <w:pPr>
        <w:spacing w:after="0" w:line="78" w:lineRule="exact"/>
        <w:rPr>
          <w:rFonts w:ascii="Arial" w:cs="Arial" w:eastAsia="Arial" w:hAnsi="Arial"/>
          <w:sz w:val="21"/>
          <w:szCs w:val="21"/>
          <w:color w:val="auto"/>
        </w:rPr>
      </w:pPr>
    </w:p>
    <w:p>
      <w:pPr>
        <w:jc w:val="both"/>
        <w:ind w:left="652" w:hanging="652"/>
        <w:spacing w:after="0" w:line="289" w:lineRule="auto"/>
        <w:tabs>
          <w:tab w:leader="none" w:pos="652" w:val="left"/>
        </w:tabs>
        <w:numPr>
          <w:ilvl w:val="0"/>
          <w:numId w:val="38"/>
        </w:numPr>
        <w:rPr>
          <w:rFonts w:ascii="Arial" w:cs="Arial" w:eastAsia="Arial" w:hAnsi="Arial"/>
          <w:sz w:val="19"/>
          <w:szCs w:val="19"/>
          <w:color w:val="auto"/>
        </w:rPr>
      </w:pPr>
      <w:r>
        <w:rPr>
          <w:rFonts w:ascii="Arial" w:cs="Arial" w:eastAsia="Arial" w:hAnsi="Arial"/>
          <w:sz w:val="19"/>
          <w:szCs w:val="19"/>
          <w:color w:val="auto"/>
        </w:rPr>
        <w:t>I understand and agree that the Shares that I purchase under the Stock Purchase Plan will be subject to the same-day-sale process. Under the same-day-sale process, the Company will transfer the Shares that I purchase on the Exercise Date to a designated brokerage firm. The brokerage firm, on my behalf, will sell the Shares at the current market price. From the sale proceeds, the brokerage firm will withhold an amount equal to its fees and deliver the remainder to the Company. The Company shall split up such amount into contribution amount, which shall be equal to the Payroll Reserve and shall be paid to me by refunding the corresponding Payroll Reserve in China, and if any, the gain, which shall be the balance between such amount and Payroll Reserve and shall be paid to my designated account in the United States. As a result of the same-day-sale of the Shares, the Shares that I purchase under the Stock Purchase Plan will not be delivered to me. Upon the sale of the Shares, I will not have any rights as a shareholder of the Company based on the purchase of the Shares.</w:t>
      </w:r>
    </w:p>
    <w:p>
      <w:pPr>
        <w:spacing w:after="0" w:line="373" w:lineRule="exact"/>
        <w:rPr>
          <w:rFonts w:ascii="Arial" w:cs="Arial" w:eastAsia="Arial" w:hAnsi="Arial"/>
          <w:sz w:val="19"/>
          <w:szCs w:val="19"/>
          <w:color w:val="auto"/>
        </w:rPr>
      </w:pPr>
    </w:p>
    <w:p>
      <w:pPr>
        <w:jc w:val="both"/>
        <w:ind w:left="652" w:hanging="652"/>
        <w:spacing w:after="0" w:line="286" w:lineRule="auto"/>
        <w:tabs>
          <w:tab w:leader="none" w:pos="652" w:val="left"/>
        </w:tabs>
        <w:numPr>
          <w:ilvl w:val="0"/>
          <w:numId w:val="38"/>
        </w:numPr>
        <w:rPr>
          <w:rFonts w:ascii="Arial" w:cs="Arial" w:eastAsia="Arial" w:hAnsi="Arial"/>
          <w:sz w:val="19"/>
          <w:szCs w:val="19"/>
          <w:color w:val="auto"/>
        </w:rPr>
      </w:pPr>
      <w:r>
        <w:rPr>
          <w:rFonts w:ascii="Arial" w:cs="Arial" w:eastAsia="Arial" w:hAnsi="Arial"/>
          <w:sz w:val="19"/>
          <w:szCs w:val="19"/>
          <w:color w:val="auto"/>
        </w:rPr>
        <w:t>I understand that the Company may hold certain personal information about me, including but not limited to my name, home address and telephone number, date of birth, social security number or other identification number, salary, nationality, job title, any shares or directorships held in the Company, details of all rights to purchase or any other entitlement to shares awarded, canceled, purchased or outstanding in my favor, for the purpose of implementing, administering or managing the Stock Purchase Plan (the “Data”). I further understand that Data may be transferred to any third parties assisting the Company in the administration of the Stock Purchase Plan. I understand that these recipients may be located within or outside my country of residence, or elsewhere, and that the recipient’s country may have different data privacy laws and protections than my country of residence. I authorize the Company or the recipients to receive, possess, use, retain and transfer the Data, in electronic or other form, for the purposes of implementing, administering or managing my participation in the Stock Purchase Plan, including any requisite transfer of the Data as may be required for the administration of the Stock Purchase Plan and/or the subsequent holding of shares on my behalf to a broker or other third party with whom I may elect to deposit any shares acquired pursuant to the Stock Purchase Plan. I understand that the Data will be held only as long as necessary to implement, administer or manage my participation in the Stock Purchase Plan. I understand that I may, at any time, review the Data, require any necessary amendments to Data or withdraw the consents herein in writing by contacting the Company. I understand that withdrawing my consent may affect my ability to participate in the Stock Purchase Plan.</w:t>
      </w:r>
    </w:p>
    <w:p>
      <w:pPr>
        <w:spacing w:after="0" w:line="308" w:lineRule="exact"/>
        <w:rPr>
          <w:rFonts w:ascii="Arial" w:cs="Arial" w:eastAsia="Arial" w:hAnsi="Arial"/>
          <w:sz w:val="19"/>
          <w:szCs w:val="19"/>
          <w:color w:val="auto"/>
        </w:rPr>
      </w:pPr>
    </w:p>
    <w:p>
      <w:pPr>
        <w:jc w:val="both"/>
        <w:ind w:left="652" w:hanging="652"/>
        <w:spacing w:after="0" w:line="250" w:lineRule="auto"/>
        <w:tabs>
          <w:tab w:leader="none" w:pos="652" w:val="left"/>
        </w:tabs>
        <w:numPr>
          <w:ilvl w:val="0"/>
          <w:numId w:val="38"/>
        </w:numPr>
        <w:rPr>
          <w:rFonts w:ascii="Arial" w:cs="Arial" w:eastAsia="Arial" w:hAnsi="Arial"/>
          <w:sz w:val="22"/>
          <w:szCs w:val="22"/>
          <w:color w:val="auto"/>
        </w:rPr>
      </w:pPr>
      <w:r>
        <w:rPr>
          <w:rFonts w:ascii="Arial" w:cs="Arial" w:eastAsia="Arial" w:hAnsi="Arial"/>
          <w:sz w:val="22"/>
          <w:szCs w:val="22"/>
          <w:color w:val="auto"/>
        </w:rPr>
        <w:t>By signing this Subscription Agreement and participating in the Stock Purchase Plan, I agree and acknowledge that: (a) the Stock Purchase Plan is discretionary in nature and the Company can amend, cancel, or terminate the Stock Purchase Plan at any time; (b) participation in the Stock Purchase Plan is voluntary and occasional, and does not create any contractual or other future rights to purchase</w:t>
      </w:r>
    </w:p>
    <w:p>
      <w:pPr>
        <w:sectPr>
          <w:pgSz w:w="11900" w:h="16838" w:orient="portrait"/>
          <w:cols w:equalWidth="0" w:num="1">
            <w:col w:w="11412"/>
          </w:cols>
          <w:pgMar w:left="248" w:top="591" w:right="239" w:bottom="1440" w:gutter="0" w:footer="0" w:header="0"/>
        </w:sectPr>
      </w:pPr>
    </w:p>
    <w:bookmarkStart w:id="75" w:name="page76"/>
    <w:bookmarkEnd w:id="75"/>
    <w:p>
      <w:pPr>
        <w:jc w:val="both"/>
        <w:ind w:left="652"/>
        <w:spacing w:after="0" w:line="284" w:lineRule="auto"/>
        <w:rPr>
          <w:sz w:val="20"/>
          <w:szCs w:val="20"/>
          <w:color w:val="auto"/>
        </w:rPr>
      </w:pPr>
      <w:r>
        <w:rPr>
          <w:rFonts w:ascii="Arial" w:cs="Arial" w:eastAsia="Arial" w:hAnsi="Arial"/>
          <w:sz w:val="19"/>
          <w:szCs w:val="19"/>
          <w:color w:val="auto"/>
        </w:rPr>
        <w:t>shares, or benefits in lieu of such rights; (c) my right to purchase shares under the Stock Purchase Plan ceases upon my termination of employment for any reason except as may otherwise be explicitly provided in this Subscription Agreement and the Stock Purchase Plan; (d) my right to participate in the Stock Purchase Plan and to purchase shares under the Stock Purchase Plan, if any, will cease as of the date that I am no longer actively performing services following the provision of a notification of termination or resignation from employment or services, regardless of any reasonable notice period mandated under local law, without reference to any other agreement, written or oral, express or implied, including my contract of employment; (e) my participation in the Stock Purchase Plan is voluntary; (e) my right to purchase shares under the Stock Purchase Plan is an extraordinary item of compensation, which is outside the scope of my employment agreement, if any; (f) my right to purchase shares under the Stock Purchase Plan is not part of normal or expected compensation or salary for any purpose, including, but not limited to, calculating any termination, severance, resignation, redundancy, end of service payments, bonuses, long-service awards, pension or retirement benefits, or similar payments; (g) the future value of the shares purchased under the Stock Purchase Plan is unknown and cannot be predicted with certainty, and the Company makes no express or implied promise about the financial gain or loss to be achieved through participation in the Stock Purchase Plan; (h) the right to participate in the Stock Purchase Plan has been granted to me in my status as an employee of my employer and can in no event be understood or interpreted to mean that an entity other than my employer has an employment relationship with me; (i) no claim or entitlement to compensation or damages arises from the diminution in value of the right to purchase shares under the Stock Purchase Plan, or shares purchased under the Stock Purchase Plan, and if I did acquire any such rights, I am deemed to have irrevocably released the Company and/or my employer subsidiary from any such claim or entitlement that may arise by participating in the Stock Purchase Plan; and (j) neither the Stock Purchase Plan nor this Subscription Agreement shall obligate my employer to employ me for any particular length of time nor confer any right with respect to continuing my status as an employee.</w:t>
      </w:r>
    </w:p>
    <w:p>
      <w:pPr>
        <w:spacing w:after="0" w:line="283" w:lineRule="exact"/>
        <w:rPr>
          <w:sz w:val="20"/>
          <w:szCs w:val="20"/>
          <w:color w:val="auto"/>
        </w:rPr>
      </w:pPr>
    </w:p>
    <w:p>
      <w:pPr>
        <w:ind w:left="652" w:hanging="652"/>
        <w:spacing w:after="0" w:line="263" w:lineRule="auto"/>
        <w:tabs>
          <w:tab w:leader="none" w:pos="652" w:val="left"/>
        </w:tabs>
        <w:numPr>
          <w:ilvl w:val="0"/>
          <w:numId w:val="39"/>
        </w:numPr>
        <w:rPr>
          <w:rFonts w:ascii="Arial" w:cs="Arial" w:eastAsia="Arial" w:hAnsi="Arial"/>
          <w:sz w:val="22"/>
          <w:szCs w:val="22"/>
          <w:color w:val="auto"/>
        </w:rPr>
      </w:pPr>
      <w:r>
        <w:rPr>
          <w:rFonts w:ascii="Arial" w:cs="Arial" w:eastAsia="Arial" w:hAnsi="Arial"/>
          <w:sz w:val="22"/>
          <w:szCs w:val="22"/>
          <w:color w:val="auto"/>
        </w:rPr>
        <w:t>I hereby agree to be bound by the terms of the Stock Purchase Plan. The effectiveness of this Subscription Agreement is dependent upon my eligibility to participate in the Stock Purchase Plan.</w:t>
      </w:r>
    </w:p>
    <w:p>
      <w:pPr>
        <w:spacing w:after="0" w:line="174" w:lineRule="exact"/>
        <w:rPr>
          <w:rFonts w:ascii="Arial" w:cs="Arial" w:eastAsia="Arial" w:hAnsi="Arial"/>
          <w:sz w:val="22"/>
          <w:szCs w:val="22"/>
          <w:color w:val="auto"/>
        </w:rPr>
      </w:pPr>
    </w:p>
    <w:p>
      <w:pPr>
        <w:ind w:left="652" w:right="40" w:hanging="652"/>
        <w:spacing w:after="0" w:line="265" w:lineRule="auto"/>
        <w:tabs>
          <w:tab w:leader="none" w:pos="652" w:val="left"/>
        </w:tabs>
        <w:numPr>
          <w:ilvl w:val="0"/>
          <w:numId w:val="39"/>
        </w:numPr>
        <w:rPr>
          <w:rFonts w:ascii="Arial" w:cs="Arial" w:eastAsia="Arial" w:hAnsi="Arial"/>
          <w:sz w:val="21"/>
          <w:szCs w:val="21"/>
          <w:color w:val="auto"/>
        </w:rPr>
      </w:pPr>
      <w:r>
        <w:rPr>
          <w:rFonts w:ascii="Arial" w:cs="Arial" w:eastAsia="Arial" w:hAnsi="Arial"/>
          <w:sz w:val="21"/>
          <w:szCs w:val="21"/>
          <w:color w:val="auto"/>
        </w:rPr>
        <w:t>I understand that the exercise of a purchase right to receive shares under the Stock Purchase Plan and the issuance, transfer, assignment, sale, or other dealings of such shares shall be subject to compliance by the Company and me with all applicable requirements of local Law. Furthermore, I agree that I will not acquire shares of Common Stock pursuant to the Stock Purchase Plan except in compliance with all requirements of local Law.</w:t>
      </w:r>
    </w:p>
    <w:p>
      <w:pPr>
        <w:spacing w:after="0" w:line="392" w:lineRule="exact"/>
        <w:rPr>
          <w:rFonts w:ascii="Arial" w:cs="Arial" w:eastAsia="Arial" w:hAnsi="Arial"/>
          <w:sz w:val="21"/>
          <w:szCs w:val="21"/>
          <w:color w:val="auto"/>
        </w:rPr>
      </w:pPr>
    </w:p>
    <w:p>
      <w:pPr>
        <w:jc w:val="both"/>
        <w:ind w:left="652" w:hanging="652"/>
        <w:spacing w:after="0" w:line="292" w:lineRule="auto"/>
        <w:tabs>
          <w:tab w:leader="none" w:pos="652" w:val="left"/>
        </w:tabs>
        <w:numPr>
          <w:ilvl w:val="0"/>
          <w:numId w:val="39"/>
        </w:numPr>
        <w:rPr>
          <w:rFonts w:ascii="Arial" w:cs="Arial" w:eastAsia="Arial" w:hAnsi="Arial"/>
          <w:sz w:val="19"/>
          <w:szCs w:val="19"/>
          <w:color w:val="auto"/>
        </w:rPr>
      </w:pPr>
      <w:r>
        <w:rPr>
          <w:rFonts w:ascii="Arial" w:cs="Arial" w:eastAsia="Arial" w:hAnsi="Arial"/>
          <w:sz w:val="19"/>
          <w:szCs w:val="19"/>
          <w:color w:val="auto"/>
        </w:rPr>
        <w:t>I have received a copy of the Stock Purchase Plan and a prospectus describing the Stock Purchase Plan and I represent that I am familiar with the terms and provisions thereof. I represent and acknowledge that I have reviewed the Stock Purchase Plan and this Subscription Agreement in their entirety, have had an opportunity to obtain the advice of counsel prior to executing this Subscription Agreement, and fully understand all provisions of the Stock Purchase Plan and this Subscription Agreement. I agree to be bound by all of the terms and provisions of the Stock Purchase Plan and this Subscription Agreement. I agree to accept as binding, conclusive, and final all decisions and interpretations of the Board upon any questions arising under the Stock Purchase Plan or this Subscription Agreement.</w:t>
      </w:r>
    </w:p>
    <w:p>
      <w:pPr>
        <w:spacing w:after="0" w:line="151" w:lineRule="exact"/>
        <w:rPr>
          <w:rFonts w:ascii="Arial" w:cs="Arial" w:eastAsia="Arial" w:hAnsi="Arial"/>
          <w:sz w:val="19"/>
          <w:szCs w:val="19"/>
          <w:color w:val="auto"/>
        </w:rPr>
      </w:pPr>
    </w:p>
    <w:p>
      <w:pPr>
        <w:ind w:left="652" w:right="180" w:hanging="652"/>
        <w:spacing w:after="0" w:line="263" w:lineRule="auto"/>
        <w:tabs>
          <w:tab w:leader="none" w:pos="652" w:val="left"/>
        </w:tabs>
        <w:numPr>
          <w:ilvl w:val="0"/>
          <w:numId w:val="39"/>
        </w:numPr>
        <w:rPr>
          <w:rFonts w:ascii="Arial" w:cs="Arial" w:eastAsia="Arial" w:hAnsi="Arial"/>
          <w:sz w:val="22"/>
          <w:szCs w:val="22"/>
          <w:color w:val="auto"/>
        </w:rPr>
      </w:pPr>
      <w:r>
        <w:rPr>
          <w:rFonts w:ascii="Arial" w:cs="Arial" w:eastAsia="Arial" w:hAnsi="Arial"/>
          <w:sz w:val="22"/>
          <w:szCs w:val="22"/>
          <w:color w:val="auto"/>
        </w:rPr>
        <w:t>In the event of my death, I hereby designate the following as my beneficiary(ies) to receive all payments due me under the Stock Purchase Plan:</w:t>
      </w:r>
    </w:p>
    <w:p>
      <w:pPr>
        <w:sectPr>
          <w:pgSz w:w="11900" w:h="16838" w:orient="portrait"/>
          <w:cols w:equalWidth="0" w:num="1">
            <w:col w:w="11412"/>
          </w:cols>
          <w:pgMar w:left="248" w:top="591" w:right="239" w:bottom="1440" w:gutter="0" w:footer="0" w:header="0"/>
        </w:sectPr>
      </w:pPr>
    </w:p>
    <w:bookmarkStart w:id="76" w:name="page77"/>
    <w:bookmarkEnd w:id="76"/>
    <w:p>
      <w:pPr>
        <w:spacing w:after="0"/>
        <w:rPr>
          <w:sz w:val="20"/>
          <w:szCs w:val="20"/>
          <w:color w:val="auto"/>
        </w:rPr>
      </w:pPr>
      <w:r>
        <w:rPr>
          <w:rFonts w:ascii="Arial" w:cs="Arial" w:eastAsia="Arial" w:hAnsi="Arial"/>
          <w:sz w:val="22"/>
          <w:szCs w:val="22"/>
          <w:color w:val="auto"/>
        </w:rPr>
        <w:t>NAME: (Please print)</w:t>
      </w:r>
    </w:p>
    <w:p>
      <w:pPr>
        <w:spacing w:after="0" w:line="22" w:lineRule="exact"/>
        <w:rPr>
          <w:sz w:val="20"/>
          <w:szCs w:val="20"/>
          <w:color w:val="auto"/>
        </w:rPr>
      </w:pPr>
    </w:p>
    <w:p>
      <w:pPr>
        <w:ind w:left="2600"/>
        <w:spacing w:after="0"/>
        <w:tabs>
          <w:tab w:leader="none" w:pos="3660" w:val="left"/>
          <w:tab w:leader="none" w:pos="4780" w:val="left"/>
        </w:tabs>
        <w:rPr>
          <w:sz w:val="20"/>
          <w:szCs w:val="20"/>
          <w:color w:val="auto"/>
        </w:rPr>
      </w:pPr>
      <w:r>
        <w:rPr>
          <w:rFonts w:ascii="Arial" w:cs="Arial" w:eastAsia="Arial" w:hAnsi="Arial"/>
          <w:sz w:val="22"/>
          <w:szCs w:val="22"/>
          <w:color w:val="auto"/>
        </w:rPr>
        <w:t>(First)</w:t>
      </w:r>
      <w:r>
        <w:rPr>
          <w:sz w:val="20"/>
          <w:szCs w:val="20"/>
          <w:color w:val="auto"/>
        </w:rPr>
        <w:tab/>
      </w:r>
      <w:r>
        <w:rPr>
          <w:rFonts w:ascii="Arial" w:cs="Arial" w:eastAsia="Arial" w:hAnsi="Arial"/>
          <w:sz w:val="22"/>
          <w:szCs w:val="22"/>
          <w:color w:val="auto"/>
        </w:rPr>
        <w:t>(Middle)</w:t>
      </w:r>
      <w:r>
        <w:rPr>
          <w:sz w:val="20"/>
          <w:szCs w:val="20"/>
          <w:color w:val="auto"/>
        </w:rPr>
        <w:tab/>
      </w:r>
      <w:r>
        <w:rPr>
          <w:rFonts w:ascii="Arial" w:cs="Arial" w:eastAsia="Arial" w:hAnsi="Arial"/>
          <w:sz w:val="19"/>
          <w:szCs w:val="19"/>
          <w:color w:val="auto"/>
        </w:rPr>
        <w:t>(Last)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Relationship</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NAME: (Please print)</w:t>
      </w:r>
    </w:p>
    <w:p>
      <w:pPr>
        <w:spacing w:after="0" w:line="22" w:lineRule="exact"/>
        <w:rPr>
          <w:sz w:val="20"/>
          <w:szCs w:val="20"/>
          <w:color w:val="auto"/>
        </w:rPr>
      </w:pPr>
    </w:p>
    <w:p>
      <w:pPr>
        <w:ind w:left="2600"/>
        <w:spacing w:after="0"/>
        <w:tabs>
          <w:tab w:leader="none" w:pos="3660" w:val="left"/>
          <w:tab w:leader="none" w:pos="4780" w:val="left"/>
        </w:tabs>
        <w:rPr>
          <w:sz w:val="20"/>
          <w:szCs w:val="20"/>
          <w:color w:val="auto"/>
        </w:rPr>
      </w:pPr>
      <w:r>
        <w:rPr>
          <w:rFonts w:ascii="Arial" w:cs="Arial" w:eastAsia="Arial" w:hAnsi="Arial"/>
          <w:sz w:val="22"/>
          <w:szCs w:val="22"/>
          <w:color w:val="auto"/>
        </w:rPr>
        <w:t>(First)</w:t>
      </w:r>
      <w:r>
        <w:rPr>
          <w:sz w:val="20"/>
          <w:szCs w:val="20"/>
          <w:color w:val="auto"/>
        </w:rPr>
        <w:tab/>
      </w:r>
      <w:r>
        <w:rPr>
          <w:rFonts w:ascii="Arial" w:cs="Arial" w:eastAsia="Arial" w:hAnsi="Arial"/>
          <w:sz w:val="22"/>
          <w:szCs w:val="22"/>
          <w:color w:val="auto"/>
        </w:rPr>
        <w:t>(Middle)</w:t>
      </w:r>
      <w:r>
        <w:rPr>
          <w:sz w:val="20"/>
          <w:szCs w:val="20"/>
          <w:color w:val="auto"/>
        </w:rPr>
        <w:tab/>
      </w:r>
      <w:r>
        <w:rPr>
          <w:rFonts w:ascii="Arial" w:cs="Arial" w:eastAsia="Arial" w:hAnsi="Arial"/>
          <w:sz w:val="19"/>
          <w:szCs w:val="19"/>
          <w:color w:val="auto"/>
        </w:rPr>
        <w:t>(Last)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Relationship</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25" w:lineRule="exact"/>
        <w:rPr>
          <w:sz w:val="20"/>
          <w:szCs w:val="20"/>
          <w:color w:val="auto"/>
        </w:rPr>
      </w:pPr>
    </w:p>
    <w:p>
      <w:pPr>
        <w:spacing w:after="0" w:line="231" w:lineRule="auto"/>
        <w:rPr>
          <w:sz w:val="20"/>
          <w:szCs w:val="20"/>
          <w:color w:val="auto"/>
        </w:rPr>
      </w:pPr>
      <w:r>
        <w:rPr>
          <w:rFonts w:ascii="Arial" w:cs="Arial" w:eastAsia="Arial" w:hAnsi="Arial"/>
          <w:sz w:val="22"/>
          <w:szCs w:val="22"/>
          <w:color w:val="auto"/>
        </w:rPr>
        <w:t>Employee's Address:</w:t>
      </w:r>
      <w:r>
        <w:rPr>
          <w:rFonts w:ascii="Arial" w:cs="Arial" w:eastAsia="Arial" w:hAnsi="Arial"/>
          <w:sz w:val="28"/>
          <w:szCs w:val="28"/>
          <w:color w:val="auto"/>
          <w:vertAlign w:val="superscript"/>
        </w:rPr>
        <w:t>***</w:t>
      </w:r>
      <w:r>
        <w:rPr>
          <w:rFonts w:ascii="Arial" w:cs="Arial" w:eastAsia="Arial" w:hAnsi="Arial"/>
          <w:sz w:val="22"/>
          <w:szCs w:val="22"/>
          <w:color w:val="auto"/>
        </w:rPr>
        <w:t xml:space="preserve"> It is the participant's responsibility to notify the Company's stock administrator in the event of a change of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I UNDERSTAND THAT THIS SUBSCRIPTION AGREEMENT SHALL REMAIN IN EFFECT THROUGHOUT SUCCESSIVE OFFERING PERIODS UNLESS TERMINATED BY ME.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Signature of Employee</w:t>
      </w:r>
    </w:p>
    <w:p>
      <w:pPr>
        <w:sectPr>
          <w:pgSz w:w="11900" w:h="16838" w:orient="portrait"/>
          <w:cols w:equalWidth="0" w:num="1">
            <w:col w:w="11400"/>
          </w:cols>
          <w:pgMar w:left="240" w:top="1023" w:right="259" w:bottom="1440" w:gutter="0" w:footer="0" w:header="0"/>
        </w:sectPr>
      </w:pPr>
    </w:p>
    <w:bookmarkStart w:id="77" w:name="page78"/>
    <w:bookmarkEnd w:id="77"/>
    <w:p>
      <w:pPr>
        <w:ind w:left="660"/>
        <w:spacing w:after="0"/>
        <w:rPr>
          <w:sz w:val="20"/>
          <w:szCs w:val="20"/>
          <w:color w:val="auto"/>
        </w:rPr>
      </w:pPr>
      <w:r>
        <w:rPr>
          <w:rFonts w:ascii="Arial" w:cs="Arial" w:eastAsia="Arial" w:hAnsi="Arial"/>
          <w:sz w:val="22"/>
          <w:szCs w:val="22"/>
          <w:u w:val="single" w:color="auto"/>
          <w:color w:val="auto"/>
        </w:rPr>
        <w:t>AUTODESK, INC.</w:t>
      </w:r>
    </w:p>
    <w:p>
      <w:pPr>
        <w:spacing w:after="0" w:line="22" w:lineRule="exact"/>
        <w:rPr>
          <w:sz w:val="20"/>
          <w:szCs w:val="20"/>
          <w:color w:val="auto"/>
        </w:rPr>
      </w:pPr>
    </w:p>
    <w:p>
      <w:pPr>
        <w:ind w:left="4260" w:right="4200" w:hanging="3595"/>
        <w:spacing w:after="0" w:line="281" w:lineRule="auto"/>
        <w:rPr>
          <w:sz w:val="20"/>
          <w:szCs w:val="20"/>
          <w:color w:val="auto"/>
        </w:rPr>
      </w:pPr>
      <w:r>
        <w:rPr>
          <w:rFonts w:ascii="Arial" w:cs="Arial" w:eastAsia="Arial" w:hAnsi="Arial"/>
          <w:sz w:val="19"/>
          <w:szCs w:val="19"/>
          <w:u w:val="single" w:color="auto"/>
          <w:color w:val="auto"/>
        </w:rPr>
        <w:t>EMPLOYEE QUALIFIED STOCK PURCHASE PLAN SUBSCRIPTION AGREEMENT</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(INTERNATIONAL)</w:t>
      </w:r>
    </w:p>
    <w:p>
      <w:pPr>
        <w:spacing w:after="0" w:line="200" w:lineRule="exact"/>
        <w:rPr>
          <w:sz w:val="20"/>
          <w:szCs w:val="20"/>
          <w:color w:val="auto"/>
        </w:rPr>
      </w:pPr>
    </w:p>
    <w:p>
      <w:pPr>
        <w:spacing w:after="0" w:line="218" w:lineRule="exact"/>
        <w:rPr>
          <w:sz w:val="20"/>
          <w:szCs w:val="20"/>
          <w:color w:val="auto"/>
        </w:rPr>
      </w:pPr>
    </w:p>
    <w:p>
      <w:pPr>
        <w:spacing w:after="0"/>
        <w:tabs>
          <w:tab w:leader="none" w:pos="3100" w:val="left"/>
        </w:tabs>
        <w:rPr>
          <w:sz w:val="20"/>
          <w:szCs w:val="20"/>
          <w:color w:val="auto"/>
        </w:rPr>
      </w:pPr>
      <w:r>
        <w:rPr>
          <w:rFonts w:ascii="Arial" w:cs="Arial" w:eastAsia="Arial" w:hAnsi="Arial"/>
          <w:sz w:val="22"/>
          <w:szCs w:val="22"/>
          <w:color w:val="auto"/>
        </w:rPr>
        <w:t>_____ Original Application</w:t>
      </w:r>
      <w:r>
        <w:rPr>
          <w:sz w:val="20"/>
          <w:szCs w:val="20"/>
          <w:color w:val="auto"/>
        </w:rPr>
        <w:tab/>
      </w:r>
      <w:r>
        <w:rPr>
          <w:rFonts w:ascii="Arial" w:cs="Arial" w:eastAsia="Arial" w:hAnsi="Arial"/>
          <w:sz w:val="19"/>
          <w:szCs w:val="19"/>
          <w:color w:val="auto"/>
        </w:rPr>
        <w:t>Date: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_____ Change in Payroll Deduction/Approved Contribution Rate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_____ Change of Beneficiary(ies)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_____ Withdrawal</w:t>
      </w:r>
    </w:p>
    <w:p>
      <w:pPr>
        <w:spacing w:after="0" w:line="200" w:lineRule="exact"/>
        <w:rPr>
          <w:sz w:val="20"/>
          <w:szCs w:val="20"/>
          <w:color w:val="auto"/>
        </w:rPr>
      </w:pPr>
    </w:p>
    <w:p>
      <w:pPr>
        <w:spacing w:after="0" w:line="218" w:lineRule="exact"/>
        <w:rPr>
          <w:sz w:val="20"/>
          <w:szCs w:val="20"/>
          <w:color w:val="auto"/>
        </w:rPr>
      </w:pPr>
    </w:p>
    <w:p>
      <w:pPr>
        <w:ind w:left="660" w:hanging="652"/>
        <w:spacing w:after="0" w:line="302" w:lineRule="auto"/>
        <w:tabs>
          <w:tab w:leader="none" w:pos="660" w:val="left"/>
        </w:tabs>
        <w:numPr>
          <w:ilvl w:val="0"/>
          <w:numId w:val="40"/>
        </w:numPr>
        <w:rPr>
          <w:rFonts w:ascii="Arial" w:cs="Arial" w:eastAsia="Arial" w:hAnsi="Arial"/>
          <w:sz w:val="19"/>
          <w:szCs w:val="19"/>
          <w:color w:val="auto"/>
        </w:rPr>
      </w:pPr>
      <w:r>
        <w:rPr>
          <w:rFonts w:ascii="Arial" w:cs="Arial" w:eastAsia="Arial" w:hAnsi="Arial"/>
          <w:sz w:val="19"/>
          <w:szCs w:val="19"/>
          <w:color w:val="auto"/>
        </w:rPr>
        <w:t>I, __________________________________ hereby elect to participate in the Autodesk, Inc. (collectively, with its subsidiaries and affiliates, the “Company”) International Employee Stock Purchase Plan (the "Stock Purchase Plan"), a sub-plan of the Company’s 1998 Employee Qualified Stock Purchase Plan, and subscribe to purchase shares of the Company's Common Stock, without par value, in accordance with this Subscription Agreement and the Stock Purchase Plan.</w:t>
      </w:r>
    </w:p>
    <w:p>
      <w:pPr>
        <w:spacing w:after="0" w:line="142" w:lineRule="exact"/>
        <w:rPr>
          <w:rFonts w:ascii="Arial" w:cs="Arial" w:eastAsia="Arial" w:hAnsi="Arial"/>
          <w:sz w:val="19"/>
          <w:szCs w:val="19"/>
          <w:color w:val="auto"/>
        </w:rPr>
      </w:pPr>
    </w:p>
    <w:p>
      <w:pPr>
        <w:jc w:val="both"/>
        <w:ind w:left="660" w:right="40" w:hanging="652"/>
        <w:spacing w:after="0" w:line="312" w:lineRule="auto"/>
        <w:tabs>
          <w:tab w:leader="none" w:pos="660" w:val="left"/>
        </w:tabs>
        <w:numPr>
          <w:ilvl w:val="0"/>
          <w:numId w:val="40"/>
        </w:numPr>
        <w:rPr>
          <w:rFonts w:ascii="Arial" w:cs="Arial" w:eastAsia="Arial" w:hAnsi="Arial"/>
          <w:sz w:val="19"/>
          <w:szCs w:val="19"/>
          <w:color w:val="auto"/>
        </w:rPr>
      </w:pPr>
      <w:r>
        <w:rPr>
          <w:rFonts w:ascii="Arial" w:cs="Arial" w:eastAsia="Arial" w:hAnsi="Arial"/>
          <w:sz w:val="19"/>
          <w:szCs w:val="19"/>
          <w:color w:val="auto"/>
        </w:rPr>
        <w:t>I hereby authorize payroll deductions from each paycheck in the amount of _____% (maximum 15%) of my Compensation on each payday during the Offering Period in accordance with the Stock Purchase Plan. Such deductions are to continue for succeeding Offering Periods until I give written instructions for a change in or termination of such deductions.</w:t>
      </w:r>
    </w:p>
    <w:p>
      <w:pPr>
        <w:spacing w:after="0" w:line="133" w:lineRule="exact"/>
        <w:rPr>
          <w:rFonts w:ascii="Arial" w:cs="Arial" w:eastAsia="Arial" w:hAnsi="Arial"/>
          <w:sz w:val="19"/>
          <w:szCs w:val="19"/>
          <w:color w:val="auto"/>
        </w:rPr>
      </w:pPr>
    </w:p>
    <w:p>
      <w:pPr>
        <w:ind w:left="660" w:hanging="652"/>
        <w:spacing w:after="0" w:line="263" w:lineRule="auto"/>
        <w:tabs>
          <w:tab w:leader="none" w:pos="660" w:val="left"/>
        </w:tabs>
        <w:numPr>
          <w:ilvl w:val="0"/>
          <w:numId w:val="40"/>
        </w:numPr>
        <w:rPr>
          <w:rFonts w:ascii="Arial" w:cs="Arial" w:eastAsia="Arial" w:hAnsi="Arial"/>
          <w:sz w:val="21"/>
          <w:szCs w:val="21"/>
          <w:color w:val="auto"/>
        </w:rPr>
      </w:pPr>
      <w:r>
        <w:rPr>
          <w:rFonts w:ascii="Arial" w:cs="Arial" w:eastAsia="Arial" w:hAnsi="Arial"/>
          <w:sz w:val="21"/>
          <w:szCs w:val="21"/>
          <w:color w:val="auto"/>
        </w:rPr>
        <w:t>I understand that any payroll deductions or approved contributions through other means shall be accumulated for the purchase of shares of Common Stock, without par value, at the applicable purchase price determined in accordance with the Stock Purchase Plan. I further understand that, except as otherwise set forth in the Stock Purchase Plan, shares will be purchased for me automatically on each Exercise Date of the offering period unless I otherwise withdraw from the Stock Purchase Plan by giving written notice to the Company for such purpose.</w:t>
      </w:r>
    </w:p>
    <w:p>
      <w:pPr>
        <w:spacing w:after="0" w:line="175" w:lineRule="exact"/>
        <w:rPr>
          <w:rFonts w:ascii="Arial" w:cs="Arial" w:eastAsia="Arial" w:hAnsi="Arial"/>
          <w:sz w:val="21"/>
          <w:szCs w:val="21"/>
          <w:color w:val="auto"/>
        </w:rPr>
      </w:pPr>
    </w:p>
    <w:p>
      <w:pPr>
        <w:ind w:left="660" w:right="20" w:hanging="652"/>
        <w:spacing w:after="0" w:line="260" w:lineRule="auto"/>
        <w:tabs>
          <w:tab w:leader="none" w:pos="660" w:val="left"/>
        </w:tabs>
        <w:numPr>
          <w:ilvl w:val="0"/>
          <w:numId w:val="40"/>
        </w:numPr>
        <w:rPr>
          <w:rFonts w:ascii="Arial" w:cs="Arial" w:eastAsia="Arial" w:hAnsi="Arial"/>
          <w:sz w:val="21"/>
          <w:szCs w:val="21"/>
          <w:color w:val="auto"/>
        </w:rPr>
      </w:pPr>
      <w:r>
        <w:rPr>
          <w:rFonts w:ascii="Arial" w:cs="Arial" w:eastAsia="Arial" w:hAnsi="Arial"/>
          <w:sz w:val="21"/>
          <w:szCs w:val="21"/>
          <w:color w:val="auto"/>
        </w:rPr>
        <w:t>I understand that my participation in the Stock Purchase Plan is in all respects subject to its terms. Any interpretation of this Subscription Agreement shall be made in accordance with the Stock Purchase Plan. In the event there is any contradiction between the provisions of this Subscription Agreement and the Stock Purchase Plan, the provisions of this Subscription Agreement shall prevail. All capitalized terms used in this Subscription Agreement that are not defined herein have the meanings defined in the Stock Purchase Plan. I understand that I may withdraw from the Stock Purchase Plan and have payroll deductions or other approved contributions refunded (without interest) on the next payroll date following notice of withdrawal at any time during the Offering Period.</w:t>
      </w:r>
    </w:p>
    <w:p>
      <w:pPr>
        <w:spacing w:after="0" w:line="181" w:lineRule="exact"/>
        <w:rPr>
          <w:rFonts w:ascii="Arial" w:cs="Arial" w:eastAsia="Arial" w:hAnsi="Arial"/>
          <w:sz w:val="21"/>
          <w:szCs w:val="21"/>
          <w:color w:val="auto"/>
        </w:rPr>
      </w:pPr>
    </w:p>
    <w:p>
      <w:pPr>
        <w:ind w:left="660" w:hanging="652"/>
        <w:spacing w:after="0"/>
        <w:tabs>
          <w:tab w:leader="none" w:pos="6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Shares purchased by me under the Stock Purchase Plan should be issued in the name(s) of:</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660" w:right="80" w:hanging="652"/>
        <w:spacing w:after="0" w:line="263" w:lineRule="auto"/>
        <w:tabs>
          <w:tab w:leader="none" w:pos="660" w:val="left"/>
        </w:tabs>
        <w:numPr>
          <w:ilvl w:val="0"/>
          <w:numId w:val="40"/>
        </w:numPr>
        <w:rPr>
          <w:rFonts w:ascii="Arial" w:cs="Arial" w:eastAsia="Arial" w:hAnsi="Arial"/>
          <w:sz w:val="21"/>
          <w:szCs w:val="21"/>
          <w:color w:val="auto"/>
        </w:rPr>
      </w:pPr>
      <w:r>
        <w:rPr>
          <w:rFonts w:ascii="Arial" w:cs="Arial" w:eastAsia="Arial" w:hAnsi="Arial"/>
          <w:sz w:val="21"/>
          <w:szCs w:val="21"/>
          <w:color w:val="auto"/>
        </w:rPr>
        <w:t>The Company shall assess tax and social insurance liability and requirements in connection with my participation in the Stock Purchase Plan, including, without limitation, tax liability associated with the subscription, purchase, or sale of shares acquired under the Stock Purchase Plan (the “Tax Liability”). These requirements may change from time to time as laws or interpretations change. Regardless of the Company’s actions in this regard, I hereby acknowledge and agree that the Tax Liability shall be my responsibility and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-997585</wp:posOffset>
            </wp:positionV>
            <wp:extent cx="49053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05375" cy="8890"/>
                    </a:xfrm>
                    <a:prstGeom prst="rect">
                      <a:avLst/>
                    </a:prstGeom>
                    <a:noFill/>
                  </pic:spPr>
                </pic:pic>
              </a:graphicData>
            </a:graphic>
          </wp:anchor>
        </w:drawing>
      </w:r>
    </w:p>
    <w:p>
      <w:pPr>
        <w:sectPr>
          <w:pgSz w:w="11900" w:h="16838" w:orient="portrait"/>
          <w:cols w:equalWidth="0" w:num="1">
            <w:col w:w="11380"/>
          </w:cols>
          <w:pgMar w:left="240" w:top="1279" w:right="279" w:bottom="1440" w:gutter="0" w:footer="0" w:header="0"/>
        </w:sectPr>
      </w:pPr>
    </w:p>
    <w:bookmarkStart w:id="78" w:name="page79"/>
    <w:bookmarkEnd w:id="78"/>
    <w:p>
      <w:pPr>
        <w:ind w:left="652" w:hanging="652"/>
        <w:spacing w:after="0" w:line="288" w:lineRule="auto"/>
        <w:tabs>
          <w:tab w:leader="none" w:pos="652" w:val="left"/>
        </w:tabs>
        <w:numPr>
          <w:ilvl w:val="0"/>
          <w:numId w:val="41"/>
        </w:numPr>
        <w:rPr>
          <w:rFonts w:ascii="Arial" w:cs="Arial" w:eastAsia="Arial" w:hAnsi="Arial"/>
          <w:sz w:val="19"/>
          <w:szCs w:val="19"/>
          <w:color w:val="auto"/>
        </w:rPr>
      </w:pPr>
      <w:r>
        <w:rPr>
          <w:rFonts w:ascii="Arial" w:cs="Arial" w:eastAsia="Arial" w:hAnsi="Arial"/>
          <w:sz w:val="19"/>
          <w:szCs w:val="19"/>
          <w:color w:val="auto"/>
        </w:rPr>
        <w:t>I agree as a condition of my participation in the Stock Purchase Plan to make arrangements satisfactory to the Company to enable it to satisfy all withholding, payment and/or collection requirements associated with the satisfaction of the Tax Liability, including authorizing the Company to: (i) withhold all applicable amounts from my wages or other cash compensation due to me, in accordance with any requirements under the laws, rules, and regulations of the country of which I am a resident (“Local Law”), and (ii) act as my agent to sell sufficient shares for the proceeds to settle such requirements. Furthermore, I agree to pay the Company any amount the Company may be required to withhold, collect or pay as a result of my participation in the Stock Purchase Plan or that cannot be satisfied by deduction from the my wages or other cash compensation paid to me by the Company or sale of the shares acquired under the Stock Purchase Plan. I acknowledge that I may not participate in the Stock Purchase Plan or exercise any purchase right to receive shares under the Stock Purchase Plan unless the tax withholding, payment and/or collection obligations of the Company are satisfied.</w:t>
      </w:r>
    </w:p>
    <w:p>
      <w:pPr>
        <w:spacing w:after="0" w:line="52" w:lineRule="exact"/>
        <w:rPr>
          <w:rFonts w:ascii="Arial" w:cs="Arial" w:eastAsia="Arial" w:hAnsi="Arial"/>
          <w:sz w:val="19"/>
          <w:szCs w:val="19"/>
          <w:color w:val="auto"/>
        </w:rPr>
      </w:pPr>
    </w:p>
    <w:p>
      <w:pPr>
        <w:ind w:left="652" w:right="20" w:hanging="652"/>
        <w:spacing w:after="0" w:line="286" w:lineRule="auto"/>
        <w:tabs>
          <w:tab w:leader="none" w:pos="652" w:val="left"/>
        </w:tabs>
        <w:numPr>
          <w:ilvl w:val="0"/>
          <w:numId w:val="41"/>
        </w:numPr>
        <w:rPr>
          <w:rFonts w:ascii="Arial" w:cs="Arial" w:eastAsia="Arial" w:hAnsi="Arial"/>
          <w:sz w:val="19"/>
          <w:szCs w:val="19"/>
          <w:color w:val="auto"/>
        </w:rPr>
      </w:pPr>
      <w:r>
        <w:rPr>
          <w:rFonts w:ascii="Arial" w:cs="Arial" w:eastAsia="Arial" w:hAnsi="Arial"/>
          <w:sz w:val="19"/>
          <w:szCs w:val="19"/>
          <w:i w:val="1"/>
          <w:iCs w:val="1"/>
          <w:color w:val="auto"/>
        </w:rPr>
        <w:t>I understand that the Company may hold certain personal information about me, including but not limited to my name, home address and telephone number, date of birth, social security number or other identification number, salary, nationality, job title, any shares or directorships held in the Company, details of all rights to purchase or any other entitlement to shares awarded, canceled, purchased or outstanding in my favor, for the purpose of implementing, administering or managing the Stock Purchase Plan (the “Data”). I further understand that Data may be transferred to any third parties assisting the Company in the administration of the Stock Purchase Plan. I understand that these recipients may be located within or outside my country of residence, or elsewhere, and that the recipient’s country may have different data privacy laws and protections than my country of residence. I authorize the Company or the recipients to receive, possess, use, retain and transfer the Data, in electronic or other form, for the purposes of implementing, administering or managing my participation in the Stock Purchase Plan, including any requisite transfer of the Data as may be required for the administration of the Stock Purchase Plan and/or the subsequent holding of shares on my behalf to a broker or other third party to deposit any shares acquired pursuant to the Stock Purchase Plan. I understand that the Data will be held only as long as necessary to implement, administer or manage my participation in the Stock Purchase Plan. I understand that I may, at any time, review the Data, require any necessary amendments to Data or withdraw the consents herein in writing by contacting the Company. I understand that withdrawing my consent may affect my ability to participate in the Stock Purchase Plan.</w:t>
      </w:r>
    </w:p>
    <w:p>
      <w:pPr>
        <w:spacing w:after="0" w:line="308" w:lineRule="exact"/>
        <w:rPr>
          <w:rFonts w:ascii="Arial" w:cs="Arial" w:eastAsia="Arial" w:hAnsi="Arial"/>
          <w:sz w:val="19"/>
          <w:szCs w:val="19"/>
          <w:color w:val="auto"/>
        </w:rPr>
      </w:pPr>
    </w:p>
    <w:p>
      <w:pPr>
        <w:ind w:left="652" w:right="20" w:hanging="652"/>
        <w:spacing w:after="0" w:line="286" w:lineRule="auto"/>
        <w:tabs>
          <w:tab w:leader="none" w:pos="652" w:val="left"/>
        </w:tabs>
        <w:numPr>
          <w:ilvl w:val="0"/>
          <w:numId w:val="41"/>
        </w:numPr>
        <w:rPr>
          <w:rFonts w:ascii="Arial" w:cs="Arial" w:eastAsia="Arial" w:hAnsi="Arial"/>
          <w:sz w:val="19"/>
          <w:szCs w:val="19"/>
          <w:color w:val="auto"/>
        </w:rPr>
      </w:pPr>
      <w:r>
        <w:rPr>
          <w:rFonts w:ascii="Arial" w:cs="Arial" w:eastAsia="Arial" w:hAnsi="Arial"/>
          <w:sz w:val="19"/>
          <w:szCs w:val="19"/>
          <w:color w:val="auto"/>
        </w:rPr>
        <w:t>By signing this Subscription Agreement and participating in the Stock Purchase Plan, I agree and acknowledge that: (a) the Stock Purchase Plan is discretionary in nature and the Company can amend, cancel, or terminate the Stock Purchase Plan at any time; (b) participation in the Stock Purchase Plan is voluntary and occasional, and does not create any contractual or other future rights to purchase shares, or benefits in lieu of such rights; (c) my right to purchase shares under the Stock Purchase Plan ceases upon my termination of employment for any reason except as may otherwise be explicitly provided in this Subscription Agreement and the Stock Purchase Plan; (d) my right to participate in the Stock Purchase Plan and to purchase shares under the Stock Purchase Plan, if any, will cease as of the date that I am no longer actively performing services following the provision of a notification of termination or resignation from employment or services, regardless of any reasonable notice period mandated under local law, without reference to any other agreement, written or oral, express or implied, including my contract of employment; (e) my participation in the Stock Purchase Plan is voluntary; (f) my right to purchase shares under the Stock Purchase Plan is an extraordinary item of compensation, which is outside the scope of my employment agreement, if any; (g) my right to purchase shares under the Stock Purchase Plan is not part of normal or expected compensation or salary for any purpose, including, but not limited</w:t>
      </w:r>
    </w:p>
    <w:p>
      <w:pPr>
        <w:sectPr>
          <w:pgSz w:w="11900" w:h="16838" w:orient="portrait"/>
          <w:cols w:equalWidth="0" w:num="1">
            <w:col w:w="11412"/>
          </w:cols>
          <w:pgMar w:left="248" w:top="591" w:right="239" w:bottom="1440" w:gutter="0" w:footer="0" w:header="0"/>
        </w:sectPr>
      </w:pPr>
    </w:p>
    <w:bookmarkStart w:id="79" w:name="page80"/>
    <w:bookmarkEnd w:id="79"/>
    <w:p>
      <w:pPr>
        <w:ind w:left="660" w:right="40"/>
        <w:spacing w:after="0" w:line="288" w:lineRule="auto"/>
        <w:rPr>
          <w:sz w:val="20"/>
          <w:szCs w:val="20"/>
          <w:color w:val="auto"/>
        </w:rPr>
      </w:pPr>
      <w:r>
        <w:rPr>
          <w:rFonts w:ascii="Arial" w:cs="Arial" w:eastAsia="Arial" w:hAnsi="Arial"/>
          <w:sz w:val="19"/>
          <w:szCs w:val="19"/>
          <w:color w:val="auto"/>
        </w:rPr>
        <w:t>to, calculating any termination, severance, resignation, redundancy, end of service payments, bonuses, long-service awards, pension or retirement benefits, or similar payments; (h) the future value of the shares purchased under the Stock Purchase Plan is unknown and cannot be predicted with certainty, and the Company makes no express or implied promise about the financial gain or loss to be achieved through participation in the Stock Purchase Plan; (i) the right to participate in the Stock Purchase Plan has been granted to me in my status as an employee of my employer and can in no event be understood or interpreted to mean that an entity other than my employer has an employment relationship with me; (j) no claim or entitlement to compensation or damages arises from the diminution in value of the right to purchase shares under the Stock Purchase Plan, or shares purchased under the Stock Purchase Plan, and if I did acquire any such rights, I am deemed to have irrevocably released the Company and/or my employer subsidiary from any such claim or entitlement that may arise by participating in the Stock Purchase Plan; and (k) neither the Stock Purchase Plan nor this Subscription Agreement shall obligate my employer to employ me for any particular length of time nor confer any right with respect to continuing my status as an employee.</w:t>
      </w:r>
    </w:p>
    <w:p>
      <w:pPr>
        <w:spacing w:after="0" w:line="55" w:lineRule="exact"/>
        <w:rPr>
          <w:sz w:val="20"/>
          <w:szCs w:val="20"/>
          <w:color w:val="auto"/>
        </w:rPr>
      </w:pPr>
    </w:p>
    <w:p>
      <w:pPr>
        <w:jc w:val="both"/>
        <w:ind w:left="660" w:right="40" w:hanging="652"/>
        <w:spacing w:after="0" w:line="250" w:lineRule="auto"/>
        <w:tabs>
          <w:tab w:leader="none" w:pos="660" w:val="left"/>
        </w:tabs>
        <w:numPr>
          <w:ilvl w:val="0"/>
          <w:numId w:val="42"/>
        </w:numPr>
        <w:rPr>
          <w:rFonts w:ascii="Arial" w:cs="Arial" w:eastAsia="Arial" w:hAnsi="Arial"/>
          <w:sz w:val="22"/>
          <w:szCs w:val="22"/>
          <w:color w:val="auto"/>
        </w:rPr>
      </w:pPr>
      <w:r>
        <w:rPr>
          <w:rFonts w:ascii="Arial" w:cs="Arial" w:eastAsia="Arial" w:hAnsi="Arial"/>
          <w:sz w:val="22"/>
          <w:szCs w:val="22"/>
          <w:color w:val="auto"/>
        </w:rPr>
        <w:t>I agree and acknowledge that I shall bear any and all risk associated with the exchange or fluctuation of currency associated with my participation under the Stock Purchase Plan, including without limitation the purchase of shares of Common Stock or sale of such shares (the “Currency Exchange Risk”). I waive and release the Company from any potential claims arising out of the Currency Exchange Risk.</w:t>
      </w:r>
    </w:p>
    <w:p>
      <w:pPr>
        <w:spacing w:after="0" w:line="80" w:lineRule="exact"/>
        <w:rPr>
          <w:rFonts w:ascii="Arial" w:cs="Arial" w:eastAsia="Arial" w:hAnsi="Arial"/>
          <w:sz w:val="22"/>
          <w:szCs w:val="22"/>
          <w:color w:val="auto"/>
        </w:rPr>
      </w:pPr>
    </w:p>
    <w:p>
      <w:pPr>
        <w:ind w:left="660" w:right="100" w:hanging="652"/>
        <w:spacing w:after="0" w:line="297" w:lineRule="auto"/>
        <w:tabs>
          <w:tab w:leader="none" w:pos="660" w:val="left"/>
        </w:tabs>
        <w:numPr>
          <w:ilvl w:val="0"/>
          <w:numId w:val="42"/>
        </w:numPr>
        <w:rPr>
          <w:rFonts w:ascii="Arial" w:cs="Arial" w:eastAsia="Arial" w:hAnsi="Arial"/>
          <w:sz w:val="19"/>
          <w:szCs w:val="19"/>
          <w:color w:val="auto"/>
        </w:rPr>
      </w:pPr>
      <w:r>
        <w:rPr>
          <w:rFonts w:ascii="Arial" w:cs="Arial" w:eastAsia="Arial" w:hAnsi="Arial"/>
          <w:sz w:val="19"/>
          <w:szCs w:val="19"/>
          <w:color w:val="auto"/>
        </w:rPr>
        <w:t>I hereby agree to be bound by the terms of the Stock Purchase Plan. The effectiveness of this Subscription Agreement is dependent upon my eligibility to participate in the Stock Purchase Plan. I further agree to be bound by any policies relating to the plan, including but not limited to the ESPP Share Transfer Blocking Policy, which provides as of the date hereof that shares acquired pursuant to the Stock Purchase Plan may not be transferred from my E*TRADE employee stock plan account, other than to another broker or third party where the shares are to be gifted to another individual or to charity.</w:t>
      </w:r>
    </w:p>
    <w:p>
      <w:pPr>
        <w:spacing w:after="0" w:line="147" w:lineRule="exact"/>
        <w:rPr>
          <w:rFonts w:ascii="Arial" w:cs="Arial" w:eastAsia="Arial" w:hAnsi="Arial"/>
          <w:sz w:val="19"/>
          <w:szCs w:val="19"/>
          <w:color w:val="auto"/>
        </w:rPr>
      </w:pPr>
    </w:p>
    <w:p>
      <w:pPr>
        <w:ind w:left="660" w:right="20" w:hanging="652"/>
        <w:spacing w:after="0" w:line="265" w:lineRule="auto"/>
        <w:tabs>
          <w:tab w:leader="none" w:pos="660" w:val="left"/>
        </w:tabs>
        <w:numPr>
          <w:ilvl w:val="0"/>
          <w:numId w:val="42"/>
        </w:numPr>
        <w:rPr>
          <w:rFonts w:ascii="Arial" w:cs="Arial" w:eastAsia="Arial" w:hAnsi="Arial"/>
          <w:sz w:val="21"/>
          <w:szCs w:val="21"/>
          <w:color w:val="auto"/>
        </w:rPr>
      </w:pPr>
      <w:r>
        <w:rPr>
          <w:rFonts w:ascii="Arial" w:cs="Arial" w:eastAsia="Arial" w:hAnsi="Arial"/>
          <w:sz w:val="21"/>
          <w:szCs w:val="21"/>
          <w:color w:val="auto"/>
        </w:rPr>
        <w:t>I understand that the exercise of a purchase right to receive shares under the Stock Purchase Plan and the issuance, transfer, assignment, sale, or other dealings of such shares shall be subject to compliance by the Company and me with all applicable requirements of Local Law. Furthermore, I agree that I will not acquire shares of Common Stock pursuant to the Stock Purchase Plan except in compliance with all requirements of Local Law.</w:t>
      </w:r>
    </w:p>
    <w:p>
      <w:pPr>
        <w:spacing w:after="0" w:line="175" w:lineRule="exact"/>
        <w:rPr>
          <w:rFonts w:ascii="Arial" w:cs="Arial" w:eastAsia="Arial" w:hAnsi="Arial"/>
          <w:sz w:val="21"/>
          <w:szCs w:val="21"/>
          <w:color w:val="auto"/>
        </w:rPr>
      </w:pPr>
    </w:p>
    <w:p>
      <w:pPr>
        <w:ind w:left="660" w:hanging="652"/>
        <w:spacing w:after="0" w:line="292" w:lineRule="auto"/>
        <w:tabs>
          <w:tab w:leader="none" w:pos="660" w:val="left"/>
        </w:tabs>
        <w:numPr>
          <w:ilvl w:val="0"/>
          <w:numId w:val="42"/>
        </w:numPr>
        <w:rPr>
          <w:rFonts w:ascii="Arial" w:cs="Arial" w:eastAsia="Arial" w:hAnsi="Arial"/>
          <w:sz w:val="19"/>
          <w:szCs w:val="19"/>
          <w:color w:val="auto"/>
        </w:rPr>
      </w:pPr>
      <w:r>
        <w:rPr>
          <w:rFonts w:ascii="Arial" w:cs="Arial" w:eastAsia="Arial" w:hAnsi="Arial"/>
          <w:sz w:val="19"/>
          <w:szCs w:val="19"/>
          <w:color w:val="auto"/>
        </w:rPr>
        <w:t>I have received a copy of the Stock Purchase Plan and a prospectus describing the Stock Purchase Plan and I represent that I am familiar with the terms and provisions thereof. I represent and acknowledge that I have reviewed the Stock Purchase Plan and this Subscription Agreement in their entirety, have had an opportunity to obtain the advice of counsel prior to executing this Subscription Agreement, and fully understand all provisions of the Stock Purchase Plan and this Subscription Agreement. I agree to be bound by all of the terms and provisions of the Stock Purchase Plan and this Subscription Agreement. I agree to accept as binding, conclusive, and final all decisions and interpretations of the Board upon any questions arising under the Stock Purchase Plan or this Subscription Agreement.</w:t>
      </w:r>
    </w:p>
    <w:p>
      <w:pPr>
        <w:spacing w:after="0" w:line="151" w:lineRule="exact"/>
        <w:rPr>
          <w:rFonts w:ascii="Arial" w:cs="Arial" w:eastAsia="Arial" w:hAnsi="Arial"/>
          <w:sz w:val="19"/>
          <w:szCs w:val="19"/>
          <w:color w:val="auto"/>
        </w:rPr>
      </w:pPr>
    </w:p>
    <w:p>
      <w:pPr>
        <w:ind w:left="660" w:right="160" w:hanging="652"/>
        <w:spacing w:after="0" w:line="263" w:lineRule="auto"/>
        <w:tabs>
          <w:tab w:leader="none" w:pos="660" w:val="left"/>
        </w:tabs>
        <w:numPr>
          <w:ilvl w:val="0"/>
          <w:numId w:val="42"/>
        </w:numPr>
        <w:rPr>
          <w:rFonts w:ascii="Arial" w:cs="Arial" w:eastAsia="Arial" w:hAnsi="Arial"/>
          <w:sz w:val="22"/>
          <w:szCs w:val="22"/>
          <w:color w:val="auto"/>
        </w:rPr>
      </w:pPr>
      <w:r>
        <w:rPr>
          <w:rFonts w:ascii="Arial" w:cs="Arial" w:eastAsia="Arial" w:hAnsi="Arial"/>
          <w:sz w:val="22"/>
          <w:szCs w:val="22"/>
          <w:color w:val="auto"/>
        </w:rPr>
        <w:t>In the event of my death, I hereby designate the following as my beneficiary(ies) to receive all payments due me under the Stock Purchase Plan:</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NAME: (Please print)</w:t>
      </w:r>
    </w:p>
    <w:p>
      <w:pPr>
        <w:sectPr>
          <w:pgSz w:w="11900" w:h="16838" w:orient="portrait"/>
          <w:cols w:equalWidth="0" w:num="1">
            <w:col w:w="11400"/>
          </w:cols>
          <w:pgMar w:left="240" w:top="591" w:right="259" w:bottom="1440" w:gutter="0" w:footer="0" w:header="0"/>
        </w:sectPr>
      </w:pPr>
    </w:p>
    <w:bookmarkStart w:id="80" w:name="page81"/>
    <w:bookmarkEnd w:id="80"/>
    <w:p>
      <w:pPr>
        <w:ind w:left="2600"/>
        <w:spacing w:after="0"/>
        <w:tabs>
          <w:tab w:leader="none" w:pos="3660" w:val="left"/>
          <w:tab w:leader="none" w:pos="4780" w:val="left"/>
        </w:tabs>
        <w:rPr>
          <w:sz w:val="20"/>
          <w:szCs w:val="20"/>
          <w:color w:val="auto"/>
        </w:rPr>
      </w:pPr>
      <w:r>
        <w:rPr>
          <w:rFonts w:ascii="Arial" w:cs="Arial" w:eastAsia="Arial" w:hAnsi="Arial"/>
          <w:sz w:val="22"/>
          <w:szCs w:val="22"/>
          <w:color w:val="auto"/>
        </w:rPr>
        <w:t>(First)</w:t>
      </w:r>
      <w:r>
        <w:rPr>
          <w:sz w:val="20"/>
          <w:szCs w:val="20"/>
          <w:color w:val="auto"/>
        </w:rPr>
        <w:tab/>
      </w:r>
      <w:r>
        <w:rPr>
          <w:rFonts w:ascii="Arial" w:cs="Arial" w:eastAsia="Arial" w:hAnsi="Arial"/>
          <w:sz w:val="22"/>
          <w:szCs w:val="22"/>
          <w:color w:val="auto"/>
        </w:rPr>
        <w:t>(Middle)</w:t>
      </w:r>
      <w:r>
        <w:rPr>
          <w:sz w:val="20"/>
          <w:szCs w:val="20"/>
          <w:color w:val="auto"/>
        </w:rPr>
        <w:tab/>
      </w:r>
      <w:r>
        <w:rPr>
          <w:rFonts w:ascii="Arial" w:cs="Arial" w:eastAsia="Arial" w:hAnsi="Arial"/>
          <w:sz w:val="19"/>
          <w:szCs w:val="19"/>
          <w:color w:val="auto"/>
        </w:rPr>
        <w:t>(Last)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Relationship</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NAME: (Please print)</w:t>
      </w:r>
    </w:p>
    <w:p>
      <w:pPr>
        <w:spacing w:after="0" w:line="22" w:lineRule="exact"/>
        <w:rPr>
          <w:sz w:val="20"/>
          <w:szCs w:val="20"/>
          <w:color w:val="auto"/>
        </w:rPr>
      </w:pPr>
    </w:p>
    <w:p>
      <w:pPr>
        <w:ind w:left="2600"/>
        <w:spacing w:after="0"/>
        <w:tabs>
          <w:tab w:leader="none" w:pos="3660" w:val="left"/>
          <w:tab w:leader="none" w:pos="4780" w:val="left"/>
        </w:tabs>
        <w:rPr>
          <w:sz w:val="20"/>
          <w:szCs w:val="20"/>
          <w:color w:val="auto"/>
        </w:rPr>
      </w:pPr>
      <w:r>
        <w:rPr>
          <w:rFonts w:ascii="Arial" w:cs="Arial" w:eastAsia="Arial" w:hAnsi="Arial"/>
          <w:sz w:val="22"/>
          <w:szCs w:val="22"/>
          <w:color w:val="auto"/>
        </w:rPr>
        <w:t>(First)</w:t>
      </w:r>
      <w:r>
        <w:rPr>
          <w:sz w:val="20"/>
          <w:szCs w:val="20"/>
          <w:color w:val="auto"/>
        </w:rPr>
        <w:tab/>
      </w:r>
      <w:r>
        <w:rPr>
          <w:rFonts w:ascii="Arial" w:cs="Arial" w:eastAsia="Arial" w:hAnsi="Arial"/>
          <w:sz w:val="22"/>
          <w:szCs w:val="22"/>
          <w:color w:val="auto"/>
        </w:rPr>
        <w:t>(Middle)</w:t>
      </w:r>
      <w:r>
        <w:rPr>
          <w:sz w:val="20"/>
          <w:szCs w:val="20"/>
          <w:color w:val="auto"/>
        </w:rPr>
        <w:tab/>
      </w:r>
      <w:r>
        <w:rPr>
          <w:rFonts w:ascii="Arial" w:cs="Arial" w:eastAsia="Arial" w:hAnsi="Arial"/>
          <w:sz w:val="19"/>
          <w:szCs w:val="19"/>
          <w:color w:val="auto"/>
        </w:rPr>
        <w:t>(Last)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Relationship</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25" w:lineRule="exact"/>
        <w:rPr>
          <w:sz w:val="20"/>
          <w:szCs w:val="20"/>
          <w:color w:val="auto"/>
        </w:rPr>
      </w:pPr>
    </w:p>
    <w:p>
      <w:pPr>
        <w:ind w:right="140"/>
        <w:spacing w:after="0" w:line="231" w:lineRule="auto"/>
        <w:rPr>
          <w:sz w:val="20"/>
          <w:szCs w:val="20"/>
          <w:color w:val="auto"/>
        </w:rPr>
      </w:pPr>
      <w:r>
        <w:rPr>
          <w:rFonts w:ascii="Arial" w:cs="Arial" w:eastAsia="Arial" w:hAnsi="Arial"/>
          <w:sz w:val="22"/>
          <w:szCs w:val="22"/>
          <w:color w:val="auto"/>
        </w:rPr>
        <w:t>Employee's Address:</w:t>
      </w:r>
      <w:r>
        <w:rPr>
          <w:rFonts w:ascii="Arial" w:cs="Arial" w:eastAsia="Arial" w:hAnsi="Arial"/>
          <w:sz w:val="28"/>
          <w:szCs w:val="28"/>
          <w:color w:val="auto"/>
          <w:vertAlign w:val="superscript"/>
        </w:rPr>
        <w:t>****</w:t>
      </w:r>
      <w:r>
        <w:rPr>
          <w:rFonts w:ascii="Arial" w:cs="Arial" w:eastAsia="Arial" w:hAnsi="Arial"/>
          <w:sz w:val="22"/>
          <w:szCs w:val="22"/>
          <w:color w:val="auto"/>
        </w:rPr>
        <w:t xml:space="preserve"> It is the participant's responsibility to notify the Company's stock administrator in the event of a change of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I UNDERSTAND THAT THIS SUBSCRIPTION AGREEMENT SHALL REMAIN IN EFFECT THROUGHOUT SUCCESSIVE OFFERING PERIODS UNLESS TERMINATED BY ME.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Signature of Employee</w:t>
      </w:r>
    </w:p>
    <w:p>
      <w:pPr>
        <w:sectPr>
          <w:pgSz w:w="11900" w:h="16838" w:orient="portrait"/>
          <w:cols w:equalWidth="0" w:num="1">
            <w:col w:w="11380"/>
          </w:cols>
          <w:pgMar w:left="240" w:top="591" w:right="27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22"/>
          <w:szCs w:val="22"/>
          <w:u w:val="single" w:color="auto"/>
          <w:color w:val="auto"/>
        </w:rPr>
        <w:t>AUTODESK, INC.</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1998 EMPLOYEE QUALIFIED STOCK PURCHASE PLAN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SUBSCRIPTION AGREEMENT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ISRAEL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2020" w:val="left"/>
        </w:tabs>
        <w:rPr>
          <w:sz w:val="20"/>
          <w:szCs w:val="20"/>
          <w:color w:val="auto"/>
        </w:rPr>
      </w:pPr>
      <w:r>
        <w:rPr>
          <w:rFonts w:ascii="Arial" w:cs="Arial" w:eastAsia="Arial" w:hAnsi="Arial"/>
          <w:sz w:val="22"/>
          <w:szCs w:val="22"/>
          <w:color w:val="auto"/>
        </w:rPr>
        <w:t>Original Application</w:t>
      </w:r>
      <w:r>
        <w:rPr>
          <w:sz w:val="20"/>
          <w:szCs w:val="20"/>
          <w:color w:val="auto"/>
        </w:rPr>
        <w:tab/>
      </w:r>
      <w:r>
        <w:rPr>
          <w:rFonts w:ascii="Arial" w:cs="Arial" w:eastAsia="Arial" w:hAnsi="Arial"/>
          <w:sz w:val="19"/>
          <w:szCs w:val="19"/>
          <w:color w:val="auto"/>
        </w:rPr>
        <w:t>Date: ____________</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Change in Payroll Deduction Rate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Change of Beneficiary(ies)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Withdrawal</w:t>
      </w:r>
    </w:p>
    <w:p>
      <w:pPr>
        <w:spacing w:after="0" w:line="341" w:lineRule="exact"/>
        <w:rPr>
          <w:sz w:val="20"/>
          <w:szCs w:val="20"/>
          <w:color w:val="auto"/>
        </w:rPr>
      </w:pPr>
    </w:p>
    <w:p>
      <w:pPr>
        <w:ind w:left="660" w:right="260" w:hanging="652"/>
        <w:spacing w:after="0" w:line="260"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21"/>
          <w:szCs w:val="21"/>
          <w:color w:val="auto"/>
        </w:rPr>
        <w:t>hereby elects to participate in the Autodesk, Inc. 1998 Employee Qualified Stock Purchase Plan, as amended and restated (the “Stock Purchase Plan”) and subscribes to purchase shares of the Company’s Common Stock, without par value, in accordance with this Subscription Agreement and the Stock Purchase Plan.</w:t>
      </w:r>
    </w:p>
    <w:p>
      <w:pPr>
        <w:spacing w:after="0" w:line="2" w:lineRule="exact"/>
        <w:rPr>
          <w:rFonts w:ascii="Arial" w:cs="Arial" w:eastAsia="Arial" w:hAnsi="Arial"/>
          <w:sz w:val="17"/>
          <w:szCs w:val="17"/>
          <w:color w:val="auto"/>
        </w:rPr>
      </w:pPr>
    </w:p>
    <w:p>
      <w:pPr>
        <w:jc w:val="both"/>
        <w:ind w:left="660" w:right="340" w:hanging="652"/>
        <w:spacing w:after="0" w:line="281"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9"/>
          <w:szCs w:val="19"/>
          <w:color w:val="auto"/>
        </w:rPr>
        <w:t>I hereby authorize payroll deductions from each paycheck in the amount of % (maximum 15%) of my Compensation on each payday during the Offering Period in accordance with the Stock Purchase Plan. Such deductions are to continue for succeeding Offering Periods until I give written instructions for a change in or termination of such deductions.</w:t>
      </w:r>
    </w:p>
    <w:p>
      <w:pPr>
        <w:spacing w:after="0" w:line="2" w:lineRule="exact"/>
        <w:rPr>
          <w:rFonts w:ascii="Arial" w:cs="Arial" w:eastAsia="Arial" w:hAnsi="Arial"/>
          <w:sz w:val="16"/>
          <w:szCs w:val="16"/>
          <w:color w:val="auto"/>
        </w:rPr>
      </w:pPr>
    </w:p>
    <w:p>
      <w:pPr>
        <w:ind w:left="660" w:right="340" w:hanging="652"/>
        <w:spacing w:after="0" w:line="243"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22"/>
          <w:szCs w:val="22"/>
          <w:color w:val="auto"/>
        </w:rPr>
        <w:t>I understand that said payroll deductions shall be accumulated for the purchase of shares of Common Stock, without par value, at the applicable purchase price determined in accordance with the Stock Purchase Plan. I further understand that, except as otherwise set forth in the Stock Purchase Plan, shares will be purchased for me automatically on each Exercise Date of the offering period unless I otherwise withdraw from the Stock Purchase Plan by giving written notice to the Company for such purpose.</w:t>
      </w:r>
    </w:p>
    <w:p>
      <w:pPr>
        <w:spacing w:after="0" w:line="2" w:lineRule="exact"/>
        <w:rPr>
          <w:rFonts w:ascii="Arial" w:cs="Arial" w:eastAsia="Arial" w:hAnsi="Arial"/>
          <w:sz w:val="18"/>
          <w:szCs w:val="18"/>
          <w:color w:val="auto"/>
        </w:rPr>
      </w:pPr>
    </w:p>
    <w:p>
      <w:pPr>
        <w:ind w:left="660" w:hanging="652"/>
        <w:spacing w:after="0" w:line="281"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9"/>
          <w:szCs w:val="19"/>
          <w:color w:val="auto"/>
        </w:rPr>
        <w:t>I have received a copy of the complete Stock Purchase Plan. I understand that my participation in the Stock Purchase Plan is in all respects subject to the terms of the Stock Purchase Plan. I have been provided with a prospectus describing the Stock Purchase Plan. I understand that I may withdraw from the Stock Purchase Plan and have payroll deductions refunded (without interest) on the next payroll date following notice of withdrawal at any time during the Offering Period.</w:t>
      </w:r>
    </w:p>
    <w:p>
      <w:pPr>
        <w:spacing w:after="0" w:line="3" w:lineRule="exact"/>
        <w:rPr>
          <w:rFonts w:ascii="Arial" w:cs="Arial" w:eastAsia="Arial" w:hAnsi="Arial"/>
          <w:sz w:val="16"/>
          <w:szCs w:val="16"/>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22"/>
          <w:szCs w:val="22"/>
          <w:color w:val="auto"/>
        </w:rPr>
        <w:t>Shares purchased for me under the Stock Purchase Plan should be issued in the name(s) of:</w:t>
      </w:r>
    </w:p>
    <w:p>
      <w:pPr>
        <w:spacing w:after="0" w:line="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2"/>
          <w:szCs w:val="22"/>
          <w:color w:val="auto"/>
        </w:rPr>
        <w:t>____________________________________________________________</w:t>
      </w:r>
    </w:p>
    <w:p>
      <w:pPr>
        <w:spacing w:after="0" w:line="3" w:lineRule="exact"/>
        <w:rPr>
          <w:rFonts w:ascii="Arial" w:cs="Arial" w:eastAsia="Arial" w:hAnsi="Arial"/>
          <w:sz w:val="18"/>
          <w:szCs w:val="18"/>
          <w:color w:val="auto"/>
        </w:rPr>
      </w:pPr>
    </w:p>
    <w:p>
      <w:pPr>
        <w:ind w:left="660" w:right="40" w:hanging="652"/>
        <w:spacing w:after="0" w:line="257"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21"/>
          <w:szCs w:val="21"/>
          <w:color w:val="auto"/>
        </w:rPr>
        <w:t>I understand that if I dispose of any shares received by me pursuant to the Stock Purchase Plan within 2 years after the Offering Date (the first day of the offering period during which I purchased such shares) or within one year after the date on which such shares were transferred to me, I will be treated for federal income tax purposes as having received ordinary income at the time of such disposition in an amount equal to the excess of the fair market value of the shares at the time such shares were transferred to me over the price which I paid for the shares, and that I may be required to provide income tax withholding on that amount. I hereby agree to notify the Company in writing within 30 days after the date of any such disposition. However, if I dispose of such shares at any time after the expiration of the two-year and one-year holding periods, I understand that I</w:t>
      </w:r>
    </w:p>
    <w:p>
      <w:pPr>
        <w:sectPr>
          <w:pgSz w:w="11900" w:h="16838" w:orient="portrait"/>
          <w:cols w:equalWidth="0" w:num="1">
            <w:col w:w="11420"/>
          </w:cols>
          <w:pgMar w:left="240" w:top="807" w:right="239" w:bottom="1440" w:gutter="0" w:footer="0" w:header="0"/>
        </w:sectPr>
      </w:pPr>
    </w:p>
    <w:bookmarkStart w:id="82" w:name="page83"/>
    <w:bookmarkEnd w:id="82"/>
    <w:p>
      <w:pPr>
        <w:ind w:left="660"/>
        <w:spacing w:after="0" w:line="257" w:lineRule="auto"/>
        <w:rPr>
          <w:sz w:val="20"/>
          <w:szCs w:val="20"/>
          <w:color w:val="auto"/>
        </w:rPr>
      </w:pPr>
      <w:r>
        <w:rPr>
          <w:rFonts w:ascii="Arial" w:cs="Arial" w:eastAsia="Arial" w:hAnsi="Arial"/>
          <w:sz w:val="21"/>
          <w:szCs w:val="21"/>
          <w:color w:val="auto"/>
        </w:rPr>
        <w:t>will be treated for federal income tax purposes as having received income only at the time of such disposition, and that such income will be treated as ordinary income only to the extent of an amount equal to the lesser of (1) the excess of the fair market value of the shares at the time of such disposition over the purchase price which I paid for the shares under the option, or (2) the excess of the fair market value of the shares over the option price, measured as if the option had been exercised on the Offering Date. The remainder of the gain or loss, if any, recognized on such disposition will be treated as capital gain or loss. The federal income tax treatment of ordinary income and capital gain and loss is described in the Company’s prospectus relating to the Stock Purchase Plan.</w:t>
      </w:r>
    </w:p>
    <w:p>
      <w:pPr>
        <w:spacing w:after="0" w:line="4" w:lineRule="exact"/>
        <w:rPr>
          <w:sz w:val="20"/>
          <w:szCs w:val="20"/>
          <w:color w:val="auto"/>
        </w:rPr>
      </w:pPr>
    </w:p>
    <w:p>
      <w:pPr>
        <w:ind w:left="660" w:right="80" w:hanging="652"/>
        <w:spacing w:after="0" w:line="281"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9"/>
          <w:szCs w:val="19"/>
          <w:color w:val="auto"/>
        </w:rPr>
        <w:t>I hereby agree to be bound by the terms of the Stock Purchase Plan. The effectiveness of this Subscription Agreement is dependent upon my eligibility to participate in the Stock Purchase Plan. I further agree to be bound by any policies relating to the plan, including but not limited to the ESPP Share Transfer Blocking Policy, which provides as of the date hereof that shares acquired pursuant to the Stock Purchase Plan may not be transferred from my E*TRADE employee stock plan account, other than to another broker or third party where the shares are to be gifted to another individual or to charity.</w:t>
      </w:r>
    </w:p>
    <w:p>
      <w:pPr>
        <w:spacing w:after="0" w:line="3" w:lineRule="exact"/>
        <w:rPr>
          <w:rFonts w:ascii="Arial" w:cs="Arial" w:eastAsia="Arial" w:hAnsi="Arial"/>
          <w:sz w:val="16"/>
          <w:szCs w:val="16"/>
          <w:color w:val="auto"/>
        </w:rPr>
      </w:pPr>
    </w:p>
    <w:p>
      <w:pPr>
        <w:ind w:left="660" w:right="140" w:hanging="652"/>
        <w:spacing w:after="0" w:line="246"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22"/>
          <w:szCs w:val="22"/>
          <w:color w:val="auto"/>
        </w:rPr>
        <w:t>In the event of my death, I hereby designate the following as my beneficiary(ies) to receive all payments due me under the Stock Purchase Plan:</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NAME: (Please print) _______________________________________________________</w:t>
      </w:r>
    </w:p>
    <w:p>
      <w:pPr>
        <w:spacing w:after="0" w:line="22" w:lineRule="exact"/>
        <w:rPr>
          <w:sz w:val="20"/>
          <w:szCs w:val="20"/>
          <w:color w:val="auto"/>
        </w:rPr>
      </w:pPr>
    </w:p>
    <w:p>
      <w:pPr>
        <w:ind w:left="600"/>
        <w:spacing w:after="0"/>
        <w:tabs>
          <w:tab w:leader="none" w:pos="1540" w:val="left"/>
          <w:tab w:leader="none" w:pos="2960" w:val="left"/>
          <w:tab w:leader="none" w:pos="3880" w:val="left"/>
        </w:tabs>
        <w:rPr>
          <w:sz w:val="20"/>
          <w:szCs w:val="20"/>
          <w:color w:val="auto"/>
        </w:rPr>
      </w:pPr>
      <w:r>
        <w:rPr>
          <w:rFonts w:ascii="Arial" w:cs="Arial" w:eastAsia="Arial" w:hAnsi="Arial"/>
          <w:sz w:val="22"/>
          <w:szCs w:val="22"/>
          <w:color w:val="auto"/>
        </w:rPr>
        <w:t>(First)</w:t>
      </w:r>
      <w:r>
        <w:rPr>
          <w:sz w:val="20"/>
          <w:szCs w:val="20"/>
          <w:color w:val="auto"/>
        </w:rPr>
        <w:tab/>
      </w:r>
      <w:r>
        <w:rPr>
          <w:rFonts w:ascii="Arial" w:cs="Arial" w:eastAsia="Arial" w:hAnsi="Arial"/>
          <w:sz w:val="22"/>
          <w:szCs w:val="22"/>
          <w:color w:val="auto"/>
        </w:rPr>
        <w:t>(Middle)</w:t>
      </w:r>
      <w:r>
        <w:rPr>
          <w:sz w:val="20"/>
          <w:szCs w:val="20"/>
          <w:color w:val="auto"/>
        </w:rPr>
        <w:tab/>
      </w:r>
      <w:r>
        <w:rPr>
          <w:rFonts w:ascii="Arial" w:cs="Arial" w:eastAsia="Arial" w:hAnsi="Arial"/>
          <w:sz w:val="22"/>
          <w:szCs w:val="22"/>
          <w:color w:val="auto"/>
        </w:rPr>
        <w:t>(Last)</w:t>
      </w:r>
      <w:r>
        <w:rPr>
          <w:sz w:val="20"/>
          <w:szCs w:val="20"/>
          <w:color w:val="auto"/>
        </w:rPr>
        <w:tab/>
      </w:r>
      <w:r>
        <w:rPr>
          <w:rFonts w:ascii="Arial" w:cs="Arial" w:eastAsia="Arial" w:hAnsi="Arial"/>
          <w:sz w:val="19"/>
          <w:szCs w:val="19"/>
          <w:color w:val="auto"/>
        </w:rPr>
        <w:t>________________________________________</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Relationship</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NAME: (Please print)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w:t>
      </w:r>
    </w:p>
    <w:p>
      <w:pPr>
        <w:spacing w:after="0" w:line="4" w:lineRule="exact"/>
        <w:rPr>
          <w:sz w:val="20"/>
          <w:szCs w:val="20"/>
          <w:color w:val="auto"/>
        </w:rPr>
      </w:pPr>
    </w:p>
    <w:p>
      <w:pPr>
        <w:spacing w:after="0"/>
        <w:tabs>
          <w:tab w:leader="none" w:pos="940" w:val="left"/>
          <w:tab w:leader="none" w:pos="2300" w:val="left"/>
        </w:tabs>
        <w:rPr>
          <w:sz w:val="20"/>
          <w:szCs w:val="20"/>
          <w:color w:val="auto"/>
        </w:rPr>
      </w:pPr>
      <w:r>
        <w:rPr>
          <w:rFonts w:ascii="Arial" w:cs="Arial" w:eastAsia="Arial" w:hAnsi="Arial"/>
          <w:sz w:val="22"/>
          <w:szCs w:val="22"/>
          <w:color w:val="auto"/>
        </w:rPr>
        <w:t>(First)</w:t>
      </w:r>
      <w:r>
        <w:rPr>
          <w:sz w:val="20"/>
          <w:szCs w:val="20"/>
          <w:color w:val="auto"/>
        </w:rPr>
        <w:tab/>
      </w:r>
      <w:r>
        <w:rPr>
          <w:rFonts w:ascii="Arial" w:cs="Arial" w:eastAsia="Arial" w:hAnsi="Arial"/>
          <w:sz w:val="22"/>
          <w:szCs w:val="22"/>
          <w:color w:val="auto"/>
        </w:rPr>
        <w:t>(Middle)</w:t>
      </w:r>
      <w:r>
        <w:rPr>
          <w:sz w:val="20"/>
          <w:szCs w:val="20"/>
          <w:color w:val="auto"/>
        </w:rPr>
        <w:tab/>
      </w:r>
      <w:r>
        <w:rPr>
          <w:rFonts w:ascii="Arial" w:cs="Arial" w:eastAsia="Arial" w:hAnsi="Arial"/>
          <w:sz w:val="19"/>
          <w:szCs w:val="19"/>
          <w:color w:val="auto"/>
        </w:rPr>
        <w:t>(Last)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Relationship</w:t>
      </w:r>
    </w:p>
    <w:p>
      <w:pPr>
        <w:spacing w:after="0" w:line="17"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________________________________________</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337" w:lineRule="exact"/>
        <w:rPr>
          <w:sz w:val="20"/>
          <w:szCs w:val="20"/>
          <w:color w:val="auto"/>
        </w:rPr>
      </w:pPr>
    </w:p>
    <w:p>
      <w:pPr>
        <w:spacing w:after="0"/>
        <w:rPr>
          <w:sz w:val="20"/>
          <w:szCs w:val="20"/>
          <w:color w:val="auto"/>
        </w:rPr>
      </w:pPr>
      <w:r>
        <w:rPr>
          <w:rFonts w:ascii="Arial" w:cs="Arial" w:eastAsia="Arial" w:hAnsi="Arial"/>
          <w:sz w:val="19"/>
          <w:szCs w:val="19"/>
          <w:color w:val="auto"/>
        </w:rPr>
        <w:t>Employee’s Address:** It is the participant’s responsibility to notify the Company’s stock administrator in the event of a change of</w:t>
      </w:r>
    </w:p>
    <w:p>
      <w:pPr>
        <w:spacing w:after="0" w:line="281" w:lineRule="exact"/>
        <w:rPr>
          <w:sz w:val="20"/>
          <w:szCs w:val="20"/>
          <w:color w:val="auto"/>
        </w:rPr>
      </w:pPr>
    </w:p>
    <w:p>
      <w:pPr>
        <w:spacing w:after="0"/>
        <w:tabs>
          <w:tab w:leader="none" w:pos="920" w:val="left"/>
        </w:tabs>
        <w:rPr>
          <w:sz w:val="20"/>
          <w:szCs w:val="20"/>
          <w:color w:val="auto"/>
        </w:rPr>
      </w:pPr>
      <w:r>
        <w:rPr>
          <w:rFonts w:ascii="Arial" w:cs="Arial" w:eastAsia="Arial" w:hAnsi="Arial"/>
          <w:sz w:val="22"/>
          <w:szCs w:val="22"/>
          <w:color w:val="auto"/>
        </w:rPr>
        <w:t>address.</w:t>
        <w:tab/>
        <w:t>_____________________________________</w:t>
      </w:r>
    </w:p>
    <w:p>
      <w:pPr>
        <w:spacing w:after="0" w:line="260" w:lineRule="exact"/>
        <w:rPr>
          <w:sz w:val="20"/>
          <w:szCs w:val="20"/>
          <w:color w:val="auto"/>
        </w:rPr>
      </w:pPr>
    </w:p>
    <w:p>
      <w:pPr>
        <w:ind w:left="720"/>
        <w:spacing w:after="0"/>
        <w:rPr>
          <w:sz w:val="20"/>
          <w:szCs w:val="20"/>
          <w:color w:val="auto"/>
        </w:rPr>
      </w:pPr>
      <w:r>
        <w:rPr>
          <w:rFonts w:ascii="Arial" w:cs="Arial" w:eastAsia="Arial" w:hAnsi="Arial"/>
          <w:sz w:val="22"/>
          <w:szCs w:val="22"/>
          <w:color w:val="auto"/>
        </w:rPr>
        <w:t>_____________________________________</w:t>
      </w:r>
    </w:p>
    <w:p>
      <w:pPr>
        <w:spacing w:after="0" w:line="26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_____________________________________</w:t>
      </w:r>
    </w:p>
    <w:p>
      <w:pPr>
        <w:spacing w:after="0" w:line="341"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I UNDERSTAND THAT THIS SUBSCRIPTION AGREEMENT SHALL REMAIN IN EFFECT THROUGHOUT SUCCESSIVE OFFERING PERIODS UNLESS TERMINATED BY ME.</w:t>
      </w:r>
    </w:p>
    <w:p>
      <w:pPr>
        <w:sectPr>
          <w:pgSz w:w="11900" w:h="16838" w:orient="portrait"/>
          <w:cols w:equalWidth="0" w:num="1">
            <w:col w:w="11380"/>
          </w:cols>
          <w:pgMar w:left="240" w:top="591" w:right="279" w:bottom="1440" w:gutter="0" w:footer="0" w:header="0"/>
        </w:sectPr>
      </w:pP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Dated: _____________________</w:t>
      </w:r>
    </w:p>
    <w:p>
      <w:pPr>
        <w:spacing w:after="0" w:line="56" w:lineRule="exact"/>
        <w:rPr>
          <w:sz w:val="20"/>
          <w:szCs w:val="20"/>
          <w:color w:val="auto"/>
        </w:rPr>
      </w:pPr>
    </w:p>
    <w:p>
      <w:pPr>
        <w:ind w:left="1080"/>
        <w:spacing w:after="0"/>
        <w:rPr>
          <w:sz w:val="20"/>
          <w:szCs w:val="20"/>
          <w:color w:val="auto"/>
        </w:rPr>
      </w:pPr>
      <w:r>
        <w:rPr>
          <w:rFonts w:ascii="Arial" w:cs="Arial" w:eastAsia="Arial" w:hAnsi="Arial"/>
          <w:sz w:val="19"/>
          <w:szCs w:val="19"/>
          <w:color w:val="auto"/>
        </w:rPr>
        <w:t>Signature of Employee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w:t>
      </w:r>
    </w:p>
    <w:p>
      <w:pPr>
        <w:sectPr>
          <w:pgSz w:w="11900" w:h="16838" w:orient="portrait"/>
          <w:cols w:equalWidth="0" w:num="2">
            <w:col w:w="3080" w:space="180"/>
            <w:col w:w="8120"/>
          </w:cols>
          <w:pgMar w:left="240" w:top="591" w:right="279" w:bottom="1440" w:gutter="0" w:footer="0" w:header="0"/>
          <w:type w:val="continuous"/>
        </w:sectPr>
      </w:pPr>
    </w:p>
    <w:bookmarkStart w:id="83" w:name="page84"/>
    <w:bookmarkEnd w:id="83"/>
    <w:p>
      <w:pPr>
        <w:ind w:left="660"/>
        <w:spacing w:after="0"/>
        <w:rPr>
          <w:sz w:val="20"/>
          <w:szCs w:val="20"/>
          <w:color w:val="auto"/>
        </w:rPr>
      </w:pPr>
      <w:r>
        <w:rPr>
          <w:rFonts w:ascii="Arial" w:cs="Arial" w:eastAsia="Arial" w:hAnsi="Arial"/>
          <w:sz w:val="22"/>
          <w:szCs w:val="22"/>
          <w:u w:val="single" w:color="auto"/>
          <w:color w:val="auto"/>
        </w:rPr>
        <w:t>AUTODESK, INC.</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EMPLOYEE QUALIFIED STOCK PURCHASE PLAN</w:t>
      </w:r>
    </w:p>
    <w:p>
      <w:pPr>
        <w:spacing w:after="0" w:line="4" w:lineRule="exact"/>
        <w:rPr>
          <w:sz w:val="20"/>
          <w:szCs w:val="20"/>
          <w:color w:val="auto"/>
        </w:rPr>
      </w:pPr>
    </w:p>
    <w:p>
      <w:pPr>
        <w:ind w:left="4260"/>
        <w:spacing w:after="0"/>
        <w:rPr>
          <w:sz w:val="20"/>
          <w:szCs w:val="20"/>
          <w:color w:val="auto"/>
        </w:rPr>
      </w:pPr>
      <w:r>
        <w:rPr>
          <w:rFonts w:ascii="Arial" w:cs="Arial" w:eastAsia="Arial" w:hAnsi="Arial"/>
          <w:sz w:val="22"/>
          <w:szCs w:val="22"/>
          <w:u w:val="single" w:color="auto"/>
          <w:color w:val="auto"/>
        </w:rPr>
        <w:t>SUBSCRIPTION AGREEMENT</w:t>
      </w:r>
    </w:p>
    <w:p>
      <w:pPr>
        <w:spacing w:after="0" w:line="4" w:lineRule="exact"/>
        <w:rPr>
          <w:sz w:val="20"/>
          <w:szCs w:val="20"/>
          <w:color w:val="auto"/>
        </w:rPr>
      </w:pPr>
    </w:p>
    <w:p>
      <w:pPr>
        <w:ind w:left="4260"/>
        <w:spacing w:after="0"/>
        <w:rPr>
          <w:sz w:val="20"/>
          <w:szCs w:val="20"/>
          <w:color w:val="auto"/>
        </w:rPr>
      </w:pPr>
      <w:r>
        <w:rPr>
          <w:rFonts w:ascii="Arial" w:cs="Arial" w:eastAsia="Arial" w:hAnsi="Arial"/>
          <w:sz w:val="22"/>
          <w:szCs w:val="22"/>
          <w:u w:val="single" w:color="auto"/>
          <w:color w:val="auto"/>
        </w:rPr>
        <w:t>(NO PAYROLL DEDUCTIONS)</w:t>
      </w:r>
    </w:p>
    <w:p>
      <w:pPr>
        <w:spacing w:after="0" w:line="200" w:lineRule="exact"/>
        <w:rPr>
          <w:sz w:val="20"/>
          <w:szCs w:val="20"/>
          <w:color w:val="auto"/>
        </w:rPr>
      </w:pPr>
    </w:p>
    <w:p>
      <w:pPr>
        <w:spacing w:after="0" w:line="218" w:lineRule="exact"/>
        <w:rPr>
          <w:sz w:val="20"/>
          <w:szCs w:val="20"/>
          <w:color w:val="auto"/>
        </w:rPr>
      </w:pPr>
    </w:p>
    <w:p>
      <w:pPr>
        <w:spacing w:after="0"/>
        <w:tabs>
          <w:tab w:leader="none" w:pos="3100" w:val="left"/>
        </w:tabs>
        <w:rPr>
          <w:sz w:val="20"/>
          <w:szCs w:val="20"/>
          <w:color w:val="auto"/>
        </w:rPr>
      </w:pPr>
      <w:r>
        <w:rPr>
          <w:rFonts w:ascii="Arial" w:cs="Arial" w:eastAsia="Arial" w:hAnsi="Arial"/>
          <w:sz w:val="22"/>
          <w:szCs w:val="22"/>
          <w:color w:val="auto"/>
        </w:rPr>
        <w:t>_____ Original Application</w:t>
      </w:r>
      <w:r>
        <w:rPr>
          <w:sz w:val="20"/>
          <w:szCs w:val="20"/>
          <w:color w:val="auto"/>
        </w:rPr>
        <w:tab/>
      </w:r>
      <w:r>
        <w:rPr>
          <w:rFonts w:ascii="Arial" w:cs="Arial" w:eastAsia="Arial" w:hAnsi="Arial"/>
          <w:sz w:val="19"/>
          <w:szCs w:val="19"/>
          <w:color w:val="auto"/>
        </w:rPr>
        <w:t>Date: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_____ Change in Payroll Deduction/Approved Contribution Rate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_____ Change of Beneficiary(ies)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_____ Withdrawal</w:t>
      </w:r>
    </w:p>
    <w:p>
      <w:pPr>
        <w:spacing w:after="0" w:line="200" w:lineRule="exact"/>
        <w:rPr>
          <w:sz w:val="20"/>
          <w:szCs w:val="20"/>
          <w:color w:val="auto"/>
        </w:rPr>
      </w:pPr>
    </w:p>
    <w:p>
      <w:pPr>
        <w:spacing w:after="0" w:line="218" w:lineRule="exact"/>
        <w:rPr>
          <w:sz w:val="20"/>
          <w:szCs w:val="20"/>
          <w:color w:val="auto"/>
        </w:rPr>
      </w:pPr>
    </w:p>
    <w:p>
      <w:pPr>
        <w:ind w:left="660" w:hanging="652"/>
        <w:spacing w:after="0" w:line="302" w:lineRule="auto"/>
        <w:tabs>
          <w:tab w:leader="none" w:pos="660" w:val="left"/>
        </w:tabs>
        <w:numPr>
          <w:ilvl w:val="0"/>
          <w:numId w:val="45"/>
        </w:numPr>
        <w:rPr>
          <w:rFonts w:ascii="Arial" w:cs="Arial" w:eastAsia="Arial" w:hAnsi="Arial"/>
          <w:sz w:val="19"/>
          <w:szCs w:val="19"/>
          <w:color w:val="auto"/>
        </w:rPr>
      </w:pPr>
      <w:r>
        <w:rPr>
          <w:rFonts w:ascii="Arial" w:cs="Arial" w:eastAsia="Arial" w:hAnsi="Arial"/>
          <w:sz w:val="19"/>
          <w:szCs w:val="19"/>
          <w:color w:val="auto"/>
        </w:rPr>
        <w:t>I, __________________________________ hereby elect to participate in the Autodesk, Inc. (collectively, with its subsidiaries and affiliates, the “Company”) International Employee Stock Purchase Plan (the "Stock Purchase Plan"), a sub-plan of the Company’s 1998 Employee Qualified Stock Purchase Plan, and subscribe to purchase shares of the Company's Common Stock, without par value, in accordance with this Subscription Agreement and the Stock Purchase Plan.</w:t>
      </w:r>
    </w:p>
    <w:p>
      <w:pPr>
        <w:spacing w:after="0" w:line="142" w:lineRule="exact"/>
        <w:rPr>
          <w:rFonts w:ascii="Arial" w:cs="Arial" w:eastAsia="Arial" w:hAnsi="Arial"/>
          <w:sz w:val="19"/>
          <w:szCs w:val="19"/>
          <w:color w:val="auto"/>
        </w:rPr>
      </w:pPr>
    </w:p>
    <w:p>
      <w:pPr>
        <w:ind w:left="660" w:right="60" w:hanging="652"/>
        <w:spacing w:after="0" w:line="302" w:lineRule="auto"/>
        <w:tabs>
          <w:tab w:leader="none" w:pos="660" w:val="left"/>
        </w:tabs>
        <w:numPr>
          <w:ilvl w:val="0"/>
          <w:numId w:val="45"/>
        </w:numPr>
        <w:rPr>
          <w:rFonts w:ascii="Arial" w:cs="Arial" w:eastAsia="Arial" w:hAnsi="Arial"/>
          <w:sz w:val="19"/>
          <w:szCs w:val="19"/>
          <w:color w:val="auto"/>
        </w:rPr>
      </w:pPr>
      <w:r>
        <w:rPr>
          <w:rFonts w:ascii="Arial" w:cs="Arial" w:eastAsia="Arial" w:hAnsi="Arial"/>
          <w:sz w:val="19"/>
          <w:szCs w:val="19"/>
          <w:color w:val="auto"/>
        </w:rPr>
        <w:t>I hereby make a direct cash/check contribution in the amount of _______. I will provide these funds with the submission of this Subscription Agreement. I will continue to contribute at this rate for succeeding Offering Periods until I give written instructions for a change in or termination of such contributions. I understand that my contribution rate may not exceed the limit set forth in the Stock Purchase Plan or otherwise communicated to me by the Company.</w:t>
      </w:r>
    </w:p>
    <w:p>
      <w:pPr>
        <w:spacing w:after="0" w:line="142" w:lineRule="exact"/>
        <w:rPr>
          <w:rFonts w:ascii="Arial" w:cs="Arial" w:eastAsia="Arial" w:hAnsi="Arial"/>
          <w:sz w:val="19"/>
          <w:szCs w:val="19"/>
          <w:color w:val="auto"/>
        </w:rPr>
      </w:pPr>
    </w:p>
    <w:p>
      <w:pPr>
        <w:ind w:left="660" w:hanging="652"/>
        <w:spacing w:after="0" w:line="263" w:lineRule="auto"/>
        <w:tabs>
          <w:tab w:leader="none" w:pos="660" w:val="left"/>
        </w:tabs>
        <w:numPr>
          <w:ilvl w:val="0"/>
          <w:numId w:val="45"/>
        </w:numPr>
        <w:rPr>
          <w:rFonts w:ascii="Arial" w:cs="Arial" w:eastAsia="Arial" w:hAnsi="Arial"/>
          <w:sz w:val="21"/>
          <w:szCs w:val="21"/>
          <w:color w:val="auto"/>
        </w:rPr>
      </w:pPr>
      <w:r>
        <w:rPr>
          <w:rFonts w:ascii="Arial" w:cs="Arial" w:eastAsia="Arial" w:hAnsi="Arial"/>
          <w:sz w:val="21"/>
          <w:szCs w:val="21"/>
          <w:color w:val="auto"/>
        </w:rPr>
        <w:t>I understand that any payroll deductions or approved contributions through other means shall be accumulated for the purchase of shares of Common Stock, without par value, at the applicable purchase price determined in accordance with the Stock Purchase Plan. I further understand that, except as otherwise set forth in the Stock Purchase Plan, shares will be purchased for me automatically on each Exercise Date of the offering period unless I otherwise withdraw from the Stock Purchase Plan by giving written notice to the Company for such purpose.</w:t>
      </w:r>
    </w:p>
    <w:p>
      <w:pPr>
        <w:spacing w:after="0" w:line="175" w:lineRule="exact"/>
        <w:rPr>
          <w:rFonts w:ascii="Arial" w:cs="Arial" w:eastAsia="Arial" w:hAnsi="Arial"/>
          <w:sz w:val="21"/>
          <w:szCs w:val="21"/>
          <w:color w:val="auto"/>
        </w:rPr>
      </w:pPr>
    </w:p>
    <w:p>
      <w:pPr>
        <w:ind w:left="660" w:right="20" w:hanging="652"/>
        <w:spacing w:after="0" w:line="260" w:lineRule="auto"/>
        <w:tabs>
          <w:tab w:leader="none" w:pos="660" w:val="left"/>
        </w:tabs>
        <w:numPr>
          <w:ilvl w:val="0"/>
          <w:numId w:val="45"/>
        </w:numPr>
        <w:rPr>
          <w:rFonts w:ascii="Arial" w:cs="Arial" w:eastAsia="Arial" w:hAnsi="Arial"/>
          <w:sz w:val="21"/>
          <w:szCs w:val="21"/>
          <w:color w:val="auto"/>
        </w:rPr>
      </w:pPr>
      <w:r>
        <w:rPr>
          <w:rFonts w:ascii="Arial" w:cs="Arial" w:eastAsia="Arial" w:hAnsi="Arial"/>
          <w:sz w:val="21"/>
          <w:szCs w:val="21"/>
          <w:color w:val="auto"/>
        </w:rPr>
        <w:t>I understand that my participation in the Stock Purchase Plan is in all respects subject to its terms. Any interpretation of this Subscription Agreement shall be made in accordance with the Stock Purchase Plan. In the event there is any contradiction between the provisions of this Subscription Agreement and the Stock Purchase Plan, the provisions of this Subscription Agreement shall prevail. All capitalized terms used in this Subscription Agreement that are not defined herein have the meanings defined in the Stock Purchase Plan. I understand that I may withdraw from the Stock Purchase Plan and have payroll deductions or other approved contributions refunded (without interest) on the next payroll date following notice of withdrawal at any time during the Offering Period.</w:t>
      </w:r>
    </w:p>
    <w:p>
      <w:pPr>
        <w:spacing w:after="0" w:line="181" w:lineRule="exact"/>
        <w:rPr>
          <w:rFonts w:ascii="Arial" w:cs="Arial" w:eastAsia="Arial" w:hAnsi="Arial"/>
          <w:sz w:val="21"/>
          <w:szCs w:val="21"/>
          <w:color w:val="auto"/>
        </w:rPr>
      </w:pPr>
    </w:p>
    <w:p>
      <w:pPr>
        <w:ind w:left="660" w:hanging="652"/>
        <w:spacing w:after="0"/>
        <w:tabs>
          <w:tab w:leader="none" w:pos="6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Shares purchased by me under the Stock Purchase Plan should be issued in the name(s) of:</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660" w:right="80" w:hanging="652"/>
        <w:spacing w:after="0" w:line="263" w:lineRule="auto"/>
        <w:tabs>
          <w:tab w:leader="none" w:pos="660" w:val="left"/>
        </w:tabs>
        <w:numPr>
          <w:ilvl w:val="0"/>
          <w:numId w:val="45"/>
        </w:numPr>
        <w:rPr>
          <w:rFonts w:ascii="Arial" w:cs="Arial" w:eastAsia="Arial" w:hAnsi="Arial"/>
          <w:sz w:val="21"/>
          <w:szCs w:val="21"/>
          <w:color w:val="auto"/>
        </w:rPr>
      </w:pPr>
      <w:r>
        <w:rPr>
          <w:rFonts w:ascii="Arial" w:cs="Arial" w:eastAsia="Arial" w:hAnsi="Arial"/>
          <w:sz w:val="21"/>
          <w:szCs w:val="21"/>
          <w:color w:val="auto"/>
        </w:rPr>
        <w:t>The Company shall assess tax and social insurance liability and requirements in connection with my participation in the Stock Purchase Plan, including, without limitation, tax liability associated with the subscription, purchase, or sale of shares acquired under the Stock Purchase Plan (the “Tax Liability”). These requirements may change from time to time as laws or interpretations change. Regardless of the Company’s actions in this regard, I hereby acknowledge and agree that the Tax Liability shall be my responsibility and liability.</w:t>
      </w:r>
    </w:p>
    <w:p>
      <w:pPr>
        <w:spacing w:after="0" w:line="67" w:lineRule="exact"/>
        <w:rPr>
          <w:rFonts w:ascii="Arial" w:cs="Arial" w:eastAsia="Arial" w:hAnsi="Arial"/>
          <w:sz w:val="21"/>
          <w:szCs w:val="21"/>
          <w:color w:val="auto"/>
        </w:rPr>
      </w:pPr>
    </w:p>
    <w:p>
      <w:pPr>
        <w:ind w:left="660" w:hanging="652"/>
        <w:spacing w:after="0"/>
        <w:tabs>
          <w:tab w:leader="none" w:pos="6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I agree as a condition of my participation in the Stock Purchase Plan to make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-1201420</wp:posOffset>
            </wp:positionV>
            <wp:extent cx="49053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05375" cy="8890"/>
                    </a:xfrm>
                    <a:prstGeom prst="rect">
                      <a:avLst/>
                    </a:prstGeom>
                    <a:noFill/>
                  </pic:spPr>
                </pic:pic>
              </a:graphicData>
            </a:graphic>
          </wp:anchor>
        </w:drawing>
      </w:r>
    </w:p>
    <w:p>
      <w:pPr>
        <w:sectPr>
          <w:pgSz w:w="11900" w:h="16838" w:orient="portrait"/>
          <w:cols w:equalWidth="0" w:num="1">
            <w:col w:w="11380"/>
          </w:cols>
          <w:pgMar w:left="240" w:top="591" w:right="279" w:bottom="1440" w:gutter="0" w:footer="0" w:header="0"/>
        </w:sectPr>
      </w:pPr>
    </w:p>
    <w:bookmarkStart w:id="84" w:name="page85"/>
    <w:bookmarkEnd w:id="84"/>
    <w:p>
      <w:pPr>
        <w:ind w:left="652"/>
        <w:spacing w:after="0" w:line="289" w:lineRule="auto"/>
        <w:rPr>
          <w:sz w:val="20"/>
          <w:szCs w:val="20"/>
          <w:color w:val="auto"/>
        </w:rPr>
      </w:pPr>
      <w:r>
        <w:rPr>
          <w:rFonts w:ascii="Arial" w:cs="Arial" w:eastAsia="Arial" w:hAnsi="Arial"/>
          <w:sz w:val="19"/>
          <w:szCs w:val="19"/>
          <w:color w:val="auto"/>
        </w:rPr>
        <w:t>satisfactory to the Company to enable it to satisfy all withholding, payment and/or collection requirements associated with the satisfaction of the Tax Liability, including authorizing the Company to: (i) withhold all applicable amounts from my wages or other cash compensation due to me, in accordance with any requirements under the laws, rules, and regulations of the country of which I am a resident (“Local Law”), and (ii) act as my agent to sell sufficient shares for the proceeds to settle such requirements. Furthermore, I agree to pay the Company any amount the Company may be required to withhold, collect or pay as a result of my participation in the Stock Purchase Plan or that cannot be satisfied by deduction from the my wages or other cash compensation paid to me by the Company or sale of the shares acquired under the Stock Purchase Plan. I acknowledge that I may not participate in the Stock Purchase Plan or exercise any purchase right to receive shares under the Stock Purchase Plan unless the tax withholding, payment and/or collection obligations of the Company are satisfied.</w:t>
      </w:r>
    </w:p>
    <w:p>
      <w:pPr>
        <w:spacing w:after="0" w:line="50" w:lineRule="exact"/>
        <w:rPr>
          <w:sz w:val="20"/>
          <w:szCs w:val="20"/>
          <w:color w:val="auto"/>
        </w:rPr>
      </w:pPr>
    </w:p>
    <w:p>
      <w:pPr>
        <w:ind w:left="652" w:hanging="652"/>
        <w:spacing w:after="0" w:line="286" w:lineRule="auto"/>
        <w:tabs>
          <w:tab w:leader="none" w:pos="652" w:val="left"/>
        </w:tabs>
        <w:numPr>
          <w:ilvl w:val="0"/>
          <w:numId w:val="46"/>
        </w:numPr>
        <w:rPr>
          <w:rFonts w:ascii="Arial" w:cs="Arial" w:eastAsia="Arial" w:hAnsi="Arial"/>
          <w:sz w:val="19"/>
          <w:szCs w:val="19"/>
          <w:color w:val="auto"/>
        </w:rPr>
      </w:pPr>
      <w:r>
        <w:rPr>
          <w:rFonts w:ascii="Arial" w:cs="Arial" w:eastAsia="Arial" w:hAnsi="Arial"/>
          <w:sz w:val="19"/>
          <w:szCs w:val="19"/>
          <w:i w:val="1"/>
          <w:iCs w:val="1"/>
          <w:color w:val="auto"/>
        </w:rPr>
        <w:t>I understand that the Company may hold certain personal information about me, including but not limited to my name, home address and telephone number, date of birth, social security number or other identification number, salary, nationality, job title, any shares or directorships held in the Company, details of all rights to purchase or any other entitlement to shares awarded, canceled, purchased or outstanding in my favor, for the purpose of implementing, administering or managing the Stock Purchase Plan (the “Data”). I further understand that Data may be transferred to any third parties assisting the Company in the administration of the Stock Purchase Plan. I understand that these recipients may be located within or outside my country of residence, or elsewhere, and that the recipient’s country may have different data privacy laws and protections than my country of residence. I authorize the Company or the recipients to receive, possess, use, retain and transfer the Data, in electronic or other form, for the purposes of implementing, administering or managing my participation in the Stock Purchase Plan, including any requisite transfer of the Data as may be required for the administration of the Stock Purchase Plan and/or the subsequent holding of shares on my behalf to a broker or other third party to deposit any shares acquired pursuant to the Stock Purchase Plan. I understand that the Data will be held only as long as necessary to implement, administer or manage my participation in the Stock Purchase Plan. I understand that I may, at any time, review the Data, require any necessary amendments to Data or withdraw the consents herein in writing by contacting the Company. I understand that withdrawing my consent may affect my ability to participate in the Stock Purchase Plan.</w:t>
      </w:r>
    </w:p>
    <w:p>
      <w:pPr>
        <w:spacing w:after="0" w:line="308" w:lineRule="exact"/>
        <w:rPr>
          <w:rFonts w:ascii="Arial" w:cs="Arial" w:eastAsia="Arial" w:hAnsi="Arial"/>
          <w:sz w:val="19"/>
          <w:szCs w:val="19"/>
          <w:color w:val="auto"/>
        </w:rPr>
      </w:pPr>
    </w:p>
    <w:p>
      <w:pPr>
        <w:ind w:left="652" w:hanging="652"/>
        <w:spacing w:after="0" w:line="286" w:lineRule="auto"/>
        <w:tabs>
          <w:tab w:leader="none" w:pos="652" w:val="left"/>
        </w:tabs>
        <w:numPr>
          <w:ilvl w:val="0"/>
          <w:numId w:val="46"/>
        </w:numPr>
        <w:rPr>
          <w:rFonts w:ascii="Arial" w:cs="Arial" w:eastAsia="Arial" w:hAnsi="Arial"/>
          <w:sz w:val="19"/>
          <w:szCs w:val="19"/>
          <w:color w:val="auto"/>
        </w:rPr>
      </w:pPr>
      <w:r>
        <w:rPr>
          <w:rFonts w:ascii="Arial" w:cs="Arial" w:eastAsia="Arial" w:hAnsi="Arial"/>
          <w:sz w:val="19"/>
          <w:szCs w:val="19"/>
          <w:color w:val="auto"/>
        </w:rPr>
        <w:t>By signing this Subscription Agreement and participating in the Stock Purchase Plan, I agree and acknowledge that: (a) the Stock Purchase Plan is discretionary in nature and the Company can amend, cancel, or terminate the Stock Purchase Plan at any time; (b) participation in the Stock Purchase Plan is voluntary and occasional, and does not create any contractual or other future rights to purchase shares, or benefits in lieu of such rights; (c) my right to purchase shares under the Stock Purchase Plan ceases upon my termination of employment for any reason except as may otherwise be explicitly provided in this Subscription Agreement and the Stock Purchase Plan; (d) my right to participate in the Stock Purchase Plan and to purchase shares under the Stock Purchase Plan, if any, will cease as of the date that I am no longer actively performing services following the provision of a notification of termination or resignation from employment or services, regardless of any reasonable notice period mandated under local law, without reference to any other agreement, written or oral, express or implied, including my contract of employment; (e) my participation in the Stock Purchase Plan is voluntary; (f) my right to purchase shares under the Stock Purchase Plan is an extraordinary item of compensation, which is outside the scope of my employment agreement, if any; (g) my right to purchase shares under the Stock Purchase Plan is not part of normal or expected compensation or salary for any purpose, including, but not limited to, calculating any termination, severance, resignation, redundancy, end of service payments,</w:t>
      </w:r>
    </w:p>
    <w:p>
      <w:pPr>
        <w:sectPr>
          <w:pgSz w:w="11900" w:h="16838" w:orient="portrait"/>
          <w:cols w:equalWidth="0" w:num="1">
            <w:col w:w="11392"/>
          </w:cols>
          <w:pgMar w:left="248" w:top="591" w:right="259" w:bottom="1440" w:gutter="0" w:footer="0" w:header="0"/>
        </w:sectPr>
      </w:pPr>
    </w:p>
    <w:bookmarkStart w:id="85" w:name="page86"/>
    <w:bookmarkEnd w:id="85"/>
    <w:p>
      <w:pPr>
        <w:ind w:left="660" w:right="120"/>
        <w:spacing w:after="0" w:line="288" w:lineRule="auto"/>
        <w:rPr>
          <w:sz w:val="20"/>
          <w:szCs w:val="20"/>
          <w:color w:val="auto"/>
        </w:rPr>
      </w:pPr>
      <w:r>
        <w:rPr>
          <w:rFonts w:ascii="Arial" w:cs="Arial" w:eastAsia="Arial" w:hAnsi="Arial"/>
          <w:sz w:val="19"/>
          <w:szCs w:val="19"/>
          <w:color w:val="auto"/>
        </w:rPr>
        <w:t>bonuses, long-service awards, pension or retirement benefits, or similar payments; (h) the future value of the shares purchased under the Stock Purchase Plan is unknown and cannot be predicted with certainty, and the Company makes no express or implied promise about the financial gain or loss to be achieved through participation in the Stock Purchase Plan;</w:t>
      </w:r>
    </w:p>
    <w:p>
      <w:pPr>
        <w:spacing w:after="0" w:line="1" w:lineRule="exact"/>
        <w:rPr>
          <w:sz w:val="20"/>
          <w:szCs w:val="20"/>
          <w:color w:val="auto"/>
        </w:rPr>
      </w:pPr>
    </w:p>
    <w:p>
      <w:pPr>
        <w:ind w:left="660" w:right="260" w:hanging="4"/>
        <w:spacing w:after="0" w:line="281" w:lineRule="auto"/>
        <w:tabs>
          <w:tab w:leader="none" w:pos="918"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the right to participate in the Stock Purchase Plan has been granted to me in my status as an employee of my employer and can in no event be understood or interpreted to mean that an entity other than my employer has an employment relationship with me; (j) no claim or entitlement to compensation or damages arises from the diminution in value of the</w:t>
      </w:r>
    </w:p>
    <w:p>
      <w:pPr>
        <w:spacing w:after="0" w:line="2" w:lineRule="exact"/>
        <w:rPr>
          <w:sz w:val="20"/>
          <w:szCs w:val="20"/>
          <w:color w:val="auto"/>
        </w:rPr>
      </w:pPr>
    </w:p>
    <w:p>
      <w:pPr>
        <w:ind w:left="660"/>
        <w:spacing w:after="0" w:line="262" w:lineRule="auto"/>
        <w:rPr>
          <w:sz w:val="20"/>
          <w:szCs w:val="20"/>
          <w:color w:val="auto"/>
        </w:rPr>
      </w:pPr>
      <w:r>
        <w:rPr>
          <w:rFonts w:ascii="Arial" w:cs="Arial" w:eastAsia="Arial" w:hAnsi="Arial"/>
          <w:sz w:val="21"/>
          <w:szCs w:val="21"/>
          <w:color w:val="auto"/>
        </w:rPr>
        <w:t>right to purchase shares under the Stock Purchase Plan, or shares purchased under the Stock Purchase Plan, and if I did acquire any such rights, I am deemed to have irrevocably released the Company and/or my employer subsidiary from any such claim or entitlement that may arise by participating in the Stock Purchase Plan; and (k) neither the Stock Purchase Plan nor this Subscription Agreement shall obligate my employer to employ me for any particular length of time nor confer any right with respect to continuing my status as an employee.</w:t>
      </w:r>
    </w:p>
    <w:p>
      <w:pPr>
        <w:spacing w:after="0" w:line="69" w:lineRule="exact"/>
        <w:rPr>
          <w:sz w:val="20"/>
          <w:szCs w:val="20"/>
          <w:color w:val="auto"/>
        </w:rPr>
      </w:pPr>
    </w:p>
    <w:p>
      <w:pPr>
        <w:jc w:val="both"/>
        <w:ind w:left="660" w:right="60" w:hanging="652"/>
        <w:spacing w:after="0" w:line="250" w:lineRule="auto"/>
        <w:tabs>
          <w:tab w:leader="none" w:pos="6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I agree and acknowledge that I shall bear any and all risk associated with the exchange or fluctuation of currency associated with my participation under the Stock Purchase Plan, including without limitation the purchase of shares of Common Stock or sale of such shares (the “Currency Exchange Risk”). I waive and release the Company from any potential claims arising out of the Currency Exchange Risk.</w:t>
      </w:r>
    </w:p>
    <w:p>
      <w:pPr>
        <w:spacing w:after="0" w:line="296" w:lineRule="exact"/>
        <w:rPr>
          <w:rFonts w:ascii="Arial" w:cs="Arial" w:eastAsia="Arial" w:hAnsi="Arial"/>
          <w:sz w:val="22"/>
          <w:szCs w:val="22"/>
          <w:color w:val="auto"/>
        </w:rPr>
      </w:pPr>
    </w:p>
    <w:p>
      <w:pPr>
        <w:ind w:left="660" w:right="120" w:hanging="652"/>
        <w:spacing w:after="0" w:line="297" w:lineRule="auto"/>
        <w:tabs>
          <w:tab w:leader="none" w:pos="660" w:val="left"/>
        </w:tabs>
        <w:numPr>
          <w:ilvl w:val="0"/>
          <w:numId w:val="48"/>
        </w:numPr>
        <w:rPr>
          <w:rFonts w:ascii="Arial" w:cs="Arial" w:eastAsia="Arial" w:hAnsi="Arial"/>
          <w:sz w:val="19"/>
          <w:szCs w:val="19"/>
          <w:color w:val="auto"/>
        </w:rPr>
      </w:pPr>
      <w:r>
        <w:rPr>
          <w:rFonts w:ascii="Arial" w:cs="Arial" w:eastAsia="Arial" w:hAnsi="Arial"/>
          <w:sz w:val="19"/>
          <w:szCs w:val="19"/>
          <w:color w:val="auto"/>
        </w:rPr>
        <w:t>I hereby agree to be bound by the terms of the Stock Purchase Plan. The effectiveness of this Subscription Agreement is dependent upon my eligibility to participate in the Stock Purchase Plan. I further agree to be bound by any policies relating to the plan, including but not limited to the ESPP Share Transfer Blocking Policy, which provides as of the date hereof that shares acquired pursuant to the Stock Purchase Plan may not be transferred from my E*TRADE employee stock plan account, other than to another broker or third party where the shares are to be gifted to another individual or to charity.</w:t>
      </w:r>
    </w:p>
    <w:p>
      <w:pPr>
        <w:spacing w:after="0" w:line="147" w:lineRule="exact"/>
        <w:rPr>
          <w:rFonts w:ascii="Arial" w:cs="Arial" w:eastAsia="Arial" w:hAnsi="Arial"/>
          <w:sz w:val="19"/>
          <w:szCs w:val="19"/>
          <w:color w:val="auto"/>
        </w:rPr>
      </w:pPr>
    </w:p>
    <w:p>
      <w:pPr>
        <w:ind w:left="660" w:right="40" w:hanging="652"/>
        <w:spacing w:after="0" w:line="265" w:lineRule="auto"/>
        <w:tabs>
          <w:tab w:leader="none" w:pos="660" w:val="left"/>
        </w:tabs>
        <w:numPr>
          <w:ilvl w:val="0"/>
          <w:numId w:val="48"/>
        </w:numPr>
        <w:rPr>
          <w:rFonts w:ascii="Arial" w:cs="Arial" w:eastAsia="Arial" w:hAnsi="Arial"/>
          <w:sz w:val="21"/>
          <w:szCs w:val="21"/>
          <w:color w:val="auto"/>
        </w:rPr>
      </w:pPr>
      <w:r>
        <w:rPr>
          <w:rFonts w:ascii="Arial" w:cs="Arial" w:eastAsia="Arial" w:hAnsi="Arial"/>
          <w:sz w:val="21"/>
          <w:szCs w:val="21"/>
          <w:color w:val="auto"/>
        </w:rPr>
        <w:t>I understand that the exercise of a purchase right to receive shares under the Stock Purchase Plan and the issuance, transfer, assignment, sale, or other dealings of such shares shall be subject to compliance by the Company and me with all applicable requirements of Local Law. Furthermore, I agree that I will not acquire shares of Common Stock pursuant to the Stock Purchase Plan except in compliance with all requirements of Local Law.</w:t>
      </w:r>
    </w:p>
    <w:p>
      <w:pPr>
        <w:spacing w:after="0" w:line="175" w:lineRule="exact"/>
        <w:rPr>
          <w:rFonts w:ascii="Arial" w:cs="Arial" w:eastAsia="Arial" w:hAnsi="Arial"/>
          <w:sz w:val="21"/>
          <w:szCs w:val="21"/>
          <w:color w:val="auto"/>
        </w:rPr>
      </w:pPr>
    </w:p>
    <w:p>
      <w:pPr>
        <w:ind w:left="660" w:right="20" w:hanging="652"/>
        <w:spacing w:after="0" w:line="292" w:lineRule="auto"/>
        <w:tabs>
          <w:tab w:leader="none" w:pos="660" w:val="left"/>
        </w:tabs>
        <w:numPr>
          <w:ilvl w:val="0"/>
          <w:numId w:val="48"/>
        </w:numPr>
        <w:rPr>
          <w:rFonts w:ascii="Arial" w:cs="Arial" w:eastAsia="Arial" w:hAnsi="Arial"/>
          <w:sz w:val="19"/>
          <w:szCs w:val="19"/>
          <w:color w:val="auto"/>
        </w:rPr>
      </w:pPr>
      <w:r>
        <w:rPr>
          <w:rFonts w:ascii="Arial" w:cs="Arial" w:eastAsia="Arial" w:hAnsi="Arial"/>
          <w:sz w:val="19"/>
          <w:szCs w:val="19"/>
          <w:color w:val="auto"/>
        </w:rPr>
        <w:t>I have received a copy of the Stock Purchase Plan and a prospectus describing the Stock Purchase Plan and I represent that I am familiar with the terms and provisions thereof. I represent and acknowledge that I have reviewed the Stock Purchase Plan and this Subscription Agreement in their entirety, have had an opportunity to obtain the advice of counsel prior to executing this Subscription Agreement, and fully understand all provisions of the Stock Purchase Plan and this Subscription Agreement. I agree to be bound by all of the terms and provisions of the Stock Purchase Plan and this Subscription Agreement. I agree to accept as binding, conclusive, and final all decisions and interpretations of the Board upon any questions arising under the Stock Purchase Plan or this Subscription Agreement.</w:t>
      </w:r>
    </w:p>
    <w:p>
      <w:pPr>
        <w:spacing w:after="0" w:line="151" w:lineRule="exact"/>
        <w:rPr>
          <w:rFonts w:ascii="Arial" w:cs="Arial" w:eastAsia="Arial" w:hAnsi="Arial"/>
          <w:sz w:val="19"/>
          <w:szCs w:val="19"/>
          <w:color w:val="auto"/>
        </w:rPr>
      </w:pPr>
    </w:p>
    <w:p>
      <w:pPr>
        <w:ind w:left="660" w:right="180" w:hanging="652"/>
        <w:spacing w:after="0" w:line="263" w:lineRule="auto"/>
        <w:tabs>
          <w:tab w:leader="none" w:pos="6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In the event of my death, I hereby designate the following as my beneficiary(ies) to receive all payments due me under the Stock Purchase Plan:</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NAME: (Please print)</w:t>
      </w:r>
    </w:p>
    <w:p>
      <w:pPr>
        <w:sectPr>
          <w:pgSz w:w="11900" w:h="16838" w:orient="portrait"/>
          <w:cols w:equalWidth="0" w:num="1">
            <w:col w:w="11420"/>
          </w:cols>
          <w:pgMar w:left="240" w:top="591" w:right="239" w:bottom="1440" w:gutter="0" w:footer="0" w:header="0"/>
        </w:sectPr>
      </w:pPr>
    </w:p>
    <w:bookmarkStart w:id="86" w:name="page87"/>
    <w:bookmarkEnd w:id="86"/>
    <w:p>
      <w:pPr>
        <w:ind w:left="2600"/>
        <w:spacing w:after="0"/>
        <w:tabs>
          <w:tab w:leader="none" w:pos="3660" w:val="left"/>
          <w:tab w:leader="none" w:pos="4780" w:val="left"/>
        </w:tabs>
        <w:rPr>
          <w:sz w:val="20"/>
          <w:szCs w:val="20"/>
          <w:color w:val="auto"/>
        </w:rPr>
      </w:pPr>
      <w:r>
        <w:rPr>
          <w:rFonts w:ascii="Arial" w:cs="Arial" w:eastAsia="Arial" w:hAnsi="Arial"/>
          <w:sz w:val="22"/>
          <w:szCs w:val="22"/>
          <w:color w:val="auto"/>
        </w:rPr>
        <w:t>(First)</w:t>
      </w:r>
      <w:r>
        <w:rPr>
          <w:sz w:val="20"/>
          <w:szCs w:val="20"/>
          <w:color w:val="auto"/>
        </w:rPr>
        <w:tab/>
      </w:r>
      <w:r>
        <w:rPr>
          <w:rFonts w:ascii="Arial" w:cs="Arial" w:eastAsia="Arial" w:hAnsi="Arial"/>
          <w:sz w:val="22"/>
          <w:szCs w:val="22"/>
          <w:color w:val="auto"/>
        </w:rPr>
        <w:t>(Middle)</w:t>
      </w:r>
      <w:r>
        <w:rPr>
          <w:sz w:val="20"/>
          <w:szCs w:val="20"/>
          <w:color w:val="auto"/>
        </w:rPr>
        <w:tab/>
      </w:r>
      <w:r>
        <w:rPr>
          <w:rFonts w:ascii="Arial" w:cs="Arial" w:eastAsia="Arial" w:hAnsi="Arial"/>
          <w:sz w:val="19"/>
          <w:szCs w:val="19"/>
          <w:color w:val="auto"/>
        </w:rPr>
        <w:t>(Last)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Relationship</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NAME: (Please print)</w:t>
      </w:r>
    </w:p>
    <w:p>
      <w:pPr>
        <w:spacing w:after="0" w:line="22" w:lineRule="exact"/>
        <w:rPr>
          <w:sz w:val="20"/>
          <w:szCs w:val="20"/>
          <w:color w:val="auto"/>
        </w:rPr>
      </w:pPr>
    </w:p>
    <w:p>
      <w:pPr>
        <w:ind w:left="2600"/>
        <w:spacing w:after="0"/>
        <w:tabs>
          <w:tab w:leader="none" w:pos="3660" w:val="left"/>
          <w:tab w:leader="none" w:pos="4780" w:val="left"/>
        </w:tabs>
        <w:rPr>
          <w:sz w:val="20"/>
          <w:szCs w:val="20"/>
          <w:color w:val="auto"/>
        </w:rPr>
      </w:pPr>
      <w:r>
        <w:rPr>
          <w:rFonts w:ascii="Arial" w:cs="Arial" w:eastAsia="Arial" w:hAnsi="Arial"/>
          <w:sz w:val="22"/>
          <w:szCs w:val="22"/>
          <w:color w:val="auto"/>
        </w:rPr>
        <w:t>(First)</w:t>
      </w:r>
      <w:r>
        <w:rPr>
          <w:sz w:val="20"/>
          <w:szCs w:val="20"/>
          <w:color w:val="auto"/>
        </w:rPr>
        <w:tab/>
      </w:r>
      <w:r>
        <w:rPr>
          <w:rFonts w:ascii="Arial" w:cs="Arial" w:eastAsia="Arial" w:hAnsi="Arial"/>
          <w:sz w:val="22"/>
          <w:szCs w:val="22"/>
          <w:color w:val="auto"/>
        </w:rPr>
        <w:t>(Middle)</w:t>
      </w:r>
      <w:r>
        <w:rPr>
          <w:sz w:val="20"/>
          <w:szCs w:val="20"/>
          <w:color w:val="auto"/>
        </w:rPr>
        <w:tab/>
      </w:r>
      <w:r>
        <w:rPr>
          <w:rFonts w:ascii="Arial" w:cs="Arial" w:eastAsia="Arial" w:hAnsi="Arial"/>
          <w:sz w:val="19"/>
          <w:szCs w:val="19"/>
          <w:color w:val="auto"/>
        </w:rPr>
        <w:t>(Last)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Relationship</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25" w:lineRule="exact"/>
        <w:rPr>
          <w:sz w:val="20"/>
          <w:szCs w:val="20"/>
          <w:color w:val="auto"/>
        </w:rPr>
      </w:pPr>
    </w:p>
    <w:p>
      <w:pPr>
        <w:ind w:right="140"/>
        <w:spacing w:after="0" w:line="231" w:lineRule="auto"/>
        <w:rPr>
          <w:sz w:val="20"/>
          <w:szCs w:val="20"/>
          <w:color w:val="auto"/>
        </w:rPr>
      </w:pPr>
      <w:r>
        <w:rPr>
          <w:rFonts w:ascii="Arial" w:cs="Arial" w:eastAsia="Arial" w:hAnsi="Arial"/>
          <w:sz w:val="22"/>
          <w:szCs w:val="22"/>
          <w:color w:val="auto"/>
        </w:rPr>
        <w:t>Employee's Address:</w:t>
      </w:r>
      <w:r>
        <w:rPr>
          <w:rFonts w:ascii="Arial" w:cs="Arial" w:eastAsia="Arial" w:hAnsi="Arial"/>
          <w:sz w:val="28"/>
          <w:szCs w:val="28"/>
          <w:color w:val="auto"/>
          <w:vertAlign w:val="superscript"/>
        </w:rPr>
        <w:t>****</w:t>
      </w:r>
      <w:r>
        <w:rPr>
          <w:rFonts w:ascii="Arial" w:cs="Arial" w:eastAsia="Arial" w:hAnsi="Arial"/>
          <w:sz w:val="22"/>
          <w:szCs w:val="22"/>
          <w:color w:val="auto"/>
        </w:rPr>
        <w:t xml:space="preserve"> It is the participant's responsibility to notify the Company's stock administrator in the event of a change of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I UNDERSTAND THAT THIS SUBSCRIPTION AGREEMENT SHALL REMAIN IN EFFECT THROUGHOUT SUCCESSIVE OFFERING PERIODS UNLESS TERMINATED BY ME.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Signature of Employee</w:t>
      </w:r>
    </w:p>
    <w:p>
      <w:pPr>
        <w:sectPr>
          <w:pgSz w:w="11900" w:h="16838" w:orient="portrait"/>
          <w:cols w:equalWidth="0" w:num="1">
            <w:col w:w="11380"/>
          </w:cols>
          <w:pgMar w:left="240" w:top="591" w:right="279" w:bottom="1440" w:gutter="0" w:footer="0" w:header="0"/>
        </w:sectPr>
      </w:pPr>
    </w:p>
    <w:bookmarkStart w:id="87" w:name="page88"/>
    <w:bookmarkEnd w:id="87"/>
    <w:p>
      <w:pPr>
        <w:ind w:left="4860"/>
        <w:spacing w:after="0"/>
        <w:rPr>
          <w:sz w:val="20"/>
          <w:szCs w:val="20"/>
          <w:color w:val="auto"/>
        </w:rPr>
      </w:pPr>
      <w:r>
        <w:rPr>
          <w:rFonts w:ascii="Arial" w:cs="Arial" w:eastAsia="Arial" w:hAnsi="Arial"/>
          <w:sz w:val="22"/>
          <w:szCs w:val="22"/>
          <w:u w:val="single" w:color="auto"/>
          <w:color w:val="auto"/>
        </w:rPr>
        <w:t>AUTODESK, INC.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EMPLOYEE QUALIFIED STOCK PURCHASE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SUBSCRIPTION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U.S.</w:t>
      </w:r>
    </w:p>
    <w:p>
      <w:pPr>
        <w:spacing w:after="0" w:line="200" w:lineRule="exact"/>
        <w:rPr>
          <w:sz w:val="20"/>
          <w:szCs w:val="20"/>
          <w:color w:val="auto"/>
        </w:rPr>
      </w:pPr>
    </w:p>
    <w:p>
      <w:pPr>
        <w:spacing w:after="0" w:line="218" w:lineRule="exact"/>
        <w:rPr>
          <w:sz w:val="20"/>
          <w:szCs w:val="20"/>
          <w:color w:val="auto"/>
        </w:rPr>
      </w:pPr>
    </w:p>
    <w:p>
      <w:pPr>
        <w:spacing w:after="0"/>
        <w:tabs>
          <w:tab w:leader="none" w:pos="3100" w:val="left"/>
        </w:tabs>
        <w:rPr>
          <w:sz w:val="20"/>
          <w:szCs w:val="20"/>
          <w:color w:val="auto"/>
        </w:rPr>
      </w:pPr>
      <w:r>
        <w:rPr>
          <w:rFonts w:ascii="Arial" w:cs="Arial" w:eastAsia="Arial" w:hAnsi="Arial"/>
          <w:sz w:val="22"/>
          <w:szCs w:val="22"/>
          <w:color w:val="auto"/>
        </w:rPr>
        <w:t>_____ Original Application</w:t>
      </w:r>
      <w:r>
        <w:rPr>
          <w:sz w:val="20"/>
          <w:szCs w:val="20"/>
          <w:color w:val="auto"/>
        </w:rPr>
        <w:tab/>
      </w:r>
      <w:r>
        <w:rPr>
          <w:rFonts w:ascii="Arial" w:cs="Arial" w:eastAsia="Arial" w:hAnsi="Arial"/>
          <w:sz w:val="19"/>
          <w:szCs w:val="19"/>
          <w:color w:val="auto"/>
        </w:rPr>
        <w:t>Date: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_____ Change in Payroll Deduction Rate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_____ Change of Beneficiary(ies)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_____ Withdrawal</w:t>
      </w:r>
    </w:p>
    <w:p>
      <w:pPr>
        <w:spacing w:after="0" w:line="200" w:lineRule="exact"/>
        <w:rPr>
          <w:sz w:val="20"/>
          <w:szCs w:val="20"/>
          <w:color w:val="auto"/>
        </w:rPr>
      </w:pPr>
    </w:p>
    <w:p>
      <w:pPr>
        <w:spacing w:after="0" w:line="218" w:lineRule="exact"/>
        <w:rPr>
          <w:sz w:val="20"/>
          <w:szCs w:val="20"/>
          <w:color w:val="auto"/>
        </w:rPr>
      </w:pPr>
    </w:p>
    <w:p>
      <w:pPr>
        <w:jc w:val="both"/>
        <w:ind w:left="660" w:hanging="652"/>
        <w:spacing w:after="0" w:line="271" w:lineRule="auto"/>
        <w:tabs>
          <w:tab w:leader="none" w:pos="660" w:val="left"/>
        </w:tabs>
        <w:numPr>
          <w:ilvl w:val="0"/>
          <w:numId w:val="49"/>
        </w:numPr>
        <w:rPr>
          <w:rFonts w:ascii="Arial" w:cs="Arial" w:eastAsia="Arial" w:hAnsi="Arial"/>
          <w:sz w:val="21"/>
          <w:szCs w:val="21"/>
          <w:color w:val="auto"/>
        </w:rPr>
      </w:pPr>
      <w:r>
        <w:rPr>
          <w:rFonts w:ascii="Arial" w:cs="Arial" w:eastAsia="Arial" w:hAnsi="Arial"/>
          <w:sz w:val="21"/>
          <w:szCs w:val="21"/>
          <w:color w:val="auto"/>
        </w:rPr>
        <w:t>__________________________________ hereby elects to participate in the Autodesk, Inc. Employee Qualified Stock Purchase Plan (the "Stock Purchase Plan") and subscribes to purchase shares of the Company's Common Stock, without par value, in accordance with this Subscription Agreement and the Stock Purchase Plan.</w:t>
      </w:r>
    </w:p>
    <w:p>
      <w:pPr>
        <w:spacing w:after="0" w:line="167" w:lineRule="exact"/>
        <w:rPr>
          <w:rFonts w:ascii="Arial" w:cs="Arial" w:eastAsia="Arial" w:hAnsi="Arial"/>
          <w:sz w:val="21"/>
          <w:szCs w:val="21"/>
          <w:color w:val="auto"/>
        </w:rPr>
      </w:pPr>
    </w:p>
    <w:p>
      <w:pPr>
        <w:jc w:val="both"/>
        <w:ind w:left="660" w:hanging="652"/>
        <w:spacing w:after="0" w:line="312" w:lineRule="auto"/>
        <w:tabs>
          <w:tab w:leader="none" w:pos="660" w:val="left"/>
        </w:tabs>
        <w:numPr>
          <w:ilvl w:val="0"/>
          <w:numId w:val="49"/>
        </w:numPr>
        <w:rPr>
          <w:rFonts w:ascii="Arial" w:cs="Arial" w:eastAsia="Arial" w:hAnsi="Arial"/>
          <w:sz w:val="19"/>
          <w:szCs w:val="19"/>
          <w:color w:val="auto"/>
        </w:rPr>
      </w:pPr>
      <w:r>
        <w:rPr>
          <w:rFonts w:ascii="Arial" w:cs="Arial" w:eastAsia="Arial" w:hAnsi="Arial"/>
          <w:sz w:val="19"/>
          <w:szCs w:val="19"/>
          <w:color w:val="auto"/>
        </w:rPr>
        <w:t>I hereby authorize payroll deductions from each paycheck in the amount of _____% (maximum 15%) of my Compensation on each payday during the Offering Period in accordance with the Stock Purchase Plan. Such deductions are to continue for succeeding Offering Periods until I give written instructions for a change in or termination of such deductions.</w:t>
      </w:r>
    </w:p>
    <w:p>
      <w:pPr>
        <w:spacing w:after="0" w:line="133" w:lineRule="exact"/>
        <w:rPr>
          <w:rFonts w:ascii="Arial" w:cs="Arial" w:eastAsia="Arial" w:hAnsi="Arial"/>
          <w:sz w:val="19"/>
          <w:szCs w:val="19"/>
          <w:color w:val="auto"/>
        </w:rPr>
      </w:pPr>
    </w:p>
    <w:p>
      <w:pPr>
        <w:jc w:val="both"/>
        <w:ind w:left="660" w:hanging="652"/>
        <w:spacing w:after="0" w:line="248" w:lineRule="auto"/>
        <w:tabs>
          <w:tab w:leader="none" w:pos="6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I understand that said payroll deductions shall be accumulated for the purchase of shares of Common Stock, without par value, at the applicable purchase price determined in accordance with the Stock Purchase Plan. I further understand that, except as otherwise set forth in the Stock Purchase Plan, shares will be purchased for me automatically on each Exercise Date of the offering period unless I otherwise withdraw from the Stock Purchase Plan by giving written notice to the Company for such purpose.</w:t>
      </w:r>
    </w:p>
    <w:p>
      <w:pPr>
        <w:spacing w:after="0" w:line="192" w:lineRule="exact"/>
        <w:rPr>
          <w:rFonts w:ascii="Arial" w:cs="Arial" w:eastAsia="Arial" w:hAnsi="Arial"/>
          <w:sz w:val="22"/>
          <w:szCs w:val="22"/>
          <w:color w:val="auto"/>
        </w:rPr>
      </w:pPr>
    </w:p>
    <w:p>
      <w:pPr>
        <w:jc w:val="both"/>
        <w:ind w:left="660" w:hanging="652"/>
        <w:spacing w:after="0" w:line="248" w:lineRule="auto"/>
        <w:tabs>
          <w:tab w:leader="none" w:pos="6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I have received a copy of the complete "Autodesk, Inc. Employee Qualified Stock Purchase Plan." I understand that my participation in the Stock Purchase Plan is in all respects subject to the terms of the Plan. I have been provided with a prospectus describing the Stock Purchase Plan. I understand that I may withdraw from the Stock Purchase Plan and have payroll deductions refunded (without interest) on the next payroll date following notice of withdrawal at any time during the Offering Period.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20" w:type="dxa"/>
            <w:vAlign w:val="bottom"/>
          </w:tcPr>
          <w:p>
            <w:pPr>
              <w:jc w:val="right"/>
              <w:ind w:right="132"/>
              <w:spacing w:after="0"/>
              <w:rPr>
                <w:sz w:val="20"/>
                <w:szCs w:val="20"/>
                <w:color w:val="auto"/>
              </w:rPr>
            </w:pPr>
            <w:r>
              <w:rPr>
                <w:rFonts w:ascii="Arial" w:cs="Arial" w:eastAsia="Arial" w:hAnsi="Arial"/>
                <w:sz w:val="22"/>
                <w:szCs w:val="22"/>
                <w:color w:val="auto"/>
                <w:w w:val="86"/>
              </w:rPr>
              <w:t>5.</w:t>
            </w:r>
          </w:p>
        </w:tc>
        <w:tc>
          <w:tcPr>
            <w:tcW w:w="11000" w:type="dxa"/>
            <w:vAlign w:val="bottom"/>
            <w:gridSpan w:val="3"/>
          </w:tcPr>
          <w:p>
            <w:pPr>
              <w:ind w:left="240"/>
              <w:spacing w:after="0"/>
              <w:rPr>
                <w:sz w:val="20"/>
                <w:szCs w:val="20"/>
                <w:color w:val="auto"/>
              </w:rPr>
            </w:pPr>
            <w:r>
              <w:rPr>
                <w:rFonts w:ascii="Arial" w:cs="Arial" w:eastAsia="Arial" w:hAnsi="Arial"/>
                <w:sz w:val="22"/>
                <w:szCs w:val="22"/>
                <w:color w:val="auto"/>
              </w:rPr>
              <w:t>Shares  purchased  for  me  under  the  Stock  Purchase  Plan  should  be  issued  in  the  name(s)  of:</w:t>
            </w:r>
          </w:p>
        </w:tc>
      </w:tr>
      <w:tr>
        <w:trPr>
          <w:trHeight w:val="224"/>
        </w:trPr>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6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2"/>
                <w:szCs w:val="22"/>
                <w:color w:val="auto"/>
              </w:rPr>
              <w:t>.</w:t>
            </w:r>
          </w:p>
        </w:tc>
        <w:tc>
          <w:tcPr>
            <w:tcW w:w="3300" w:type="dxa"/>
            <w:vAlign w:val="bottom"/>
          </w:tcPr>
          <w:p>
            <w:pPr>
              <w:spacing w:after="0"/>
              <w:rPr>
                <w:sz w:val="19"/>
                <w:szCs w:val="19"/>
                <w:color w:val="auto"/>
              </w:rPr>
            </w:pPr>
          </w:p>
        </w:tc>
      </w:tr>
    </w:tbl>
    <w:p>
      <w:pPr>
        <w:spacing w:after="0" w:line="235" w:lineRule="exact"/>
        <w:rPr>
          <w:sz w:val="20"/>
          <w:szCs w:val="20"/>
          <w:color w:val="auto"/>
        </w:rPr>
      </w:pPr>
    </w:p>
    <w:p>
      <w:pPr>
        <w:jc w:val="both"/>
        <w:ind w:left="660" w:hanging="652"/>
        <w:spacing w:after="0" w:line="258" w:lineRule="auto"/>
        <w:tabs>
          <w:tab w:leader="none" w:pos="660" w:val="left"/>
        </w:tabs>
        <w:numPr>
          <w:ilvl w:val="0"/>
          <w:numId w:val="50"/>
        </w:numPr>
        <w:rPr>
          <w:rFonts w:ascii="Arial" w:cs="Arial" w:eastAsia="Arial" w:hAnsi="Arial"/>
          <w:sz w:val="21"/>
          <w:szCs w:val="21"/>
          <w:color w:val="auto"/>
        </w:rPr>
      </w:pPr>
      <w:r>
        <w:rPr>
          <w:rFonts w:ascii="Arial" w:cs="Arial" w:eastAsia="Arial" w:hAnsi="Arial"/>
          <w:sz w:val="21"/>
          <w:szCs w:val="21"/>
          <w:color w:val="auto"/>
        </w:rPr>
        <w:t xml:space="preserve">I understand that if I dispose of any shares received by me pursuant to the Stock Purchase Plan within 2 years after the Offering Date (the first day of the offering period during which I purchased such shares) or within one year after the date on which such shares were transferred to me, I will be treated for federal income tax purposes as having received ordinary income at the time of such disposition in an amount equal to the excess of the fair market value of the shares at the time such shares were transferred to me over the price which I paid for the shares, and that I may be required to provide income tax withholding on that amount. </w:t>
      </w:r>
      <w:r>
        <w:rPr>
          <w:rFonts w:ascii="Arial" w:cs="Arial" w:eastAsia="Arial" w:hAnsi="Arial"/>
          <w:sz w:val="21"/>
          <w:szCs w:val="21"/>
          <w:u w:val="single" w:color="auto"/>
          <w:color w:val="auto"/>
        </w:rPr>
        <w:t>I hereby agree to notify the Company in writing within 30 days after the date of any such</w:t>
      </w:r>
      <w:r>
        <w:rPr>
          <w:rFonts w:ascii="Arial" w:cs="Arial" w:eastAsia="Arial" w:hAnsi="Arial"/>
          <w:sz w:val="21"/>
          <w:szCs w:val="21"/>
          <w:color w:val="auto"/>
        </w:rPr>
        <w:t xml:space="preserve"> </w:t>
      </w:r>
      <w:r>
        <w:rPr>
          <w:rFonts w:ascii="Arial" w:cs="Arial" w:eastAsia="Arial" w:hAnsi="Arial"/>
          <w:sz w:val="21"/>
          <w:szCs w:val="21"/>
          <w:u w:val="single" w:color="auto"/>
          <w:color w:val="auto"/>
        </w:rPr>
        <w:t>disposition</w:t>
      </w:r>
      <w:r>
        <w:rPr>
          <w:rFonts w:ascii="Arial" w:cs="Arial" w:eastAsia="Arial" w:hAnsi="Arial"/>
          <w:sz w:val="21"/>
          <w:szCs w:val="21"/>
          <w:color w:val="auto"/>
        </w:rPr>
        <w:t>. However, if I dispose of such shares at any time after the expiration of the two-year and one-year holding periods, I understand that I will be treated for federal income tax purposes as having received income only at the time of such disposition, and that such income will be treated as ordinary income only to the extent of an amount equal to the lesser of (1)</w:t>
      </w:r>
    </w:p>
    <w:p>
      <w:pPr>
        <w:sectPr>
          <w:pgSz w:w="11900" w:h="16838" w:orient="portrait"/>
          <w:cols w:equalWidth="0" w:num="1">
            <w:col w:w="11420"/>
          </w:cols>
          <w:pgMar w:left="240" w:top="591" w:right="239" w:bottom="1440" w:gutter="0" w:footer="0" w:header="0"/>
        </w:sectPr>
      </w:pPr>
    </w:p>
    <w:bookmarkStart w:id="88" w:name="page89"/>
    <w:bookmarkEnd w:id="88"/>
    <w:p>
      <w:pPr>
        <w:jc w:val="both"/>
        <w:ind w:left="660"/>
        <w:spacing w:after="0" w:line="263" w:lineRule="auto"/>
        <w:rPr>
          <w:sz w:val="20"/>
          <w:szCs w:val="20"/>
          <w:color w:val="auto"/>
        </w:rPr>
      </w:pPr>
      <w:r>
        <w:rPr>
          <w:rFonts w:ascii="Arial" w:cs="Arial" w:eastAsia="Arial" w:hAnsi="Arial"/>
          <w:sz w:val="21"/>
          <w:szCs w:val="21"/>
          <w:color w:val="auto"/>
        </w:rPr>
        <w:t>the excess of the fair market value of the shares at the time of such disposition over the purchase price which I paid for the shares under the option, or (2) the excess of the fair market value of the shares over the option price, measured as if the option had been exercised on the Offering Date. The remainder of the gain or loss, if any, recognized on such disposition will be treated as capital gain or loss. The federal income tax treatment of ordinary income and capital gain and loss is described in the Company's prospectus relating to the Stock Purchase Plan.</w:t>
      </w:r>
    </w:p>
    <w:p>
      <w:pPr>
        <w:spacing w:after="0" w:line="176" w:lineRule="exact"/>
        <w:rPr>
          <w:sz w:val="20"/>
          <w:szCs w:val="20"/>
          <w:color w:val="auto"/>
        </w:rPr>
      </w:pPr>
    </w:p>
    <w:p>
      <w:pPr>
        <w:jc w:val="both"/>
        <w:ind w:left="660" w:hanging="652"/>
        <w:spacing w:after="0" w:line="297" w:lineRule="auto"/>
        <w:tabs>
          <w:tab w:leader="none" w:pos="660" w:val="left"/>
        </w:tabs>
        <w:numPr>
          <w:ilvl w:val="0"/>
          <w:numId w:val="51"/>
        </w:numPr>
        <w:rPr>
          <w:rFonts w:ascii="Arial" w:cs="Arial" w:eastAsia="Arial" w:hAnsi="Arial"/>
          <w:sz w:val="19"/>
          <w:szCs w:val="19"/>
          <w:color w:val="auto"/>
        </w:rPr>
      </w:pPr>
      <w:r>
        <w:rPr>
          <w:rFonts w:ascii="Arial" w:cs="Arial" w:eastAsia="Arial" w:hAnsi="Arial"/>
          <w:sz w:val="19"/>
          <w:szCs w:val="19"/>
          <w:color w:val="auto"/>
        </w:rPr>
        <w:t>I hereby agree to be bound by the terms of the Stock Purchase Plan. The effectiveness of this Subscription Agreement is dependent upon my eligibility to participate in the Stock Purchase Plan. I further agree to be bound by any policies relating to the plan, including but not limited to the ESPP Share Transfer Blocking Policy, which provides as of the date hereof that shares acquired pursuant to the Stock Purchase Plan may not be transferred from my E*TRADE employee stock plan account, other than to another broker or third party where the shares are to be gifted to another individual or to charity.</w:t>
      </w:r>
    </w:p>
    <w:p>
      <w:pPr>
        <w:spacing w:after="0" w:line="147" w:lineRule="exact"/>
        <w:rPr>
          <w:rFonts w:ascii="Arial" w:cs="Arial" w:eastAsia="Arial" w:hAnsi="Arial"/>
          <w:sz w:val="19"/>
          <w:szCs w:val="19"/>
          <w:color w:val="auto"/>
        </w:rPr>
      </w:pPr>
    </w:p>
    <w:p>
      <w:pPr>
        <w:ind w:left="660" w:hanging="652"/>
        <w:spacing w:after="0" w:line="263" w:lineRule="auto"/>
        <w:tabs>
          <w:tab w:leader="none" w:pos="6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In the event of my death, I hereby designate the following as my beneficiary(ies) to receive all payments due me under the Stock Purchase Plan: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NAME: (Please print)</w:t>
      </w:r>
    </w:p>
    <w:p>
      <w:pPr>
        <w:spacing w:after="0" w:line="22" w:lineRule="exact"/>
        <w:rPr>
          <w:sz w:val="20"/>
          <w:szCs w:val="20"/>
          <w:color w:val="auto"/>
        </w:rPr>
      </w:pPr>
    </w:p>
    <w:p>
      <w:pPr>
        <w:ind w:left="2600"/>
        <w:spacing w:after="0"/>
        <w:tabs>
          <w:tab w:leader="none" w:pos="3660" w:val="left"/>
          <w:tab w:leader="none" w:pos="4780" w:val="left"/>
        </w:tabs>
        <w:rPr>
          <w:sz w:val="20"/>
          <w:szCs w:val="20"/>
          <w:color w:val="auto"/>
        </w:rPr>
      </w:pPr>
      <w:r>
        <w:rPr>
          <w:rFonts w:ascii="Arial" w:cs="Arial" w:eastAsia="Arial" w:hAnsi="Arial"/>
          <w:sz w:val="22"/>
          <w:szCs w:val="22"/>
          <w:color w:val="auto"/>
        </w:rPr>
        <w:t>(First)</w:t>
      </w:r>
      <w:r>
        <w:rPr>
          <w:sz w:val="20"/>
          <w:szCs w:val="20"/>
          <w:color w:val="auto"/>
        </w:rPr>
        <w:tab/>
      </w:r>
      <w:r>
        <w:rPr>
          <w:rFonts w:ascii="Arial" w:cs="Arial" w:eastAsia="Arial" w:hAnsi="Arial"/>
          <w:sz w:val="22"/>
          <w:szCs w:val="22"/>
          <w:color w:val="auto"/>
        </w:rPr>
        <w:t>(Middle)</w:t>
      </w:r>
      <w:r>
        <w:rPr>
          <w:sz w:val="20"/>
          <w:szCs w:val="20"/>
          <w:color w:val="auto"/>
        </w:rPr>
        <w:tab/>
      </w:r>
      <w:r>
        <w:rPr>
          <w:rFonts w:ascii="Arial" w:cs="Arial" w:eastAsia="Arial" w:hAnsi="Arial"/>
          <w:sz w:val="19"/>
          <w:szCs w:val="19"/>
          <w:color w:val="auto"/>
        </w:rPr>
        <w:t>(Last)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Relationship</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NAME: (Please print)</w:t>
      </w:r>
    </w:p>
    <w:p>
      <w:pPr>
        <w:spacing w:after="0" w:line="22" w:lineRule="exact"/>
        <w:rPr>
          <w:sz w:val="20"/>
          <w:szCs w:val="20"/>
          <w:color w:val="auto"/>
        </w:rPr>
      </w:pPr>
    </w:p>
    <w:p>
      <w:pPr>
        <w:ind w:left="2600"/>
        <w:spacing w:after="0"/>
        <w:tabs>
          <w:tab w:leader="none" w:pos="3660" w:val="left"/>
          <w:tab w:leader="none" w:pos="4780" w:val="left"/>
        </w:tabs>
        <w:rPr>
          <w:sz w:val="20"/>
          <w:szCs w:val="20"/>
          <w:color w:val="auto"/>
        </w:rPr>
      </w:pPr>
      <w:r>
        <w:rPr>
          <w:rFonts w:ascii="Arial" w:cs="Arial" w:eastAsia="Arial" w:hAnsi="Arial"/>
          <w:sz w:val="22"/>
          <w:szCs w:val="22"/>
          <w:color w:val="auto"/>
        </w:rPr>
        <w:t>(First)</w:t>
      </w:r>
      <w:r>
        <w:rPr>
          <w:sz w:val="20"/>
          <w:szCs w:val="20"/>
          <w:color w:val="auto"/>
        </w:rPr>
        <w:tab/>
      </w:r>
      <w:r>
        <w:rPr>
          <w:rFonts w:ascii="Arial" w:cs="Arial" w:eastAsia="Arial" w:hAnsi="Arial"/>
          <w:sz w:val="22"/>
          <w:szCs w:val="22"/>
          <w:color w:val="auto"/>
        </w:rPr>
        <w:t>(Middle)</w:t>
      </w:r>
      <w:r>
        <w:rPr>
          <w:sz w:val="20"/>
          <w:szCs w:val="20"/>
          <w:color w:val="auto"/>
        </w:rPr>
        <w:tab/>
      </w:r>
      <w:r>
        <w:rPr>
          <w:rFonts w:ascii="Arial" w:cs="Arial" w:eastAsia="Arial" w:hAnsi="Arial"/>
          <w:sz w:val="19"/>
          <w:szCs w:val="19"/>
          <w:color w:val="auto"/>
        </w:rPr>
        <w:t>(Last)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Relationship</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color w:val="auto"/>
        </w:rPr>
        <w:t>Employees Name: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Employee's Social Security Number:</w:t>
      </w:r>
    </w:p>
    <w:p>
      <w:pPr>
        <w:spacing w:after="0" w:line="222" w:lineRule="exact"/>
        <w:rPr>
          <w:sz w:val="20"/>
          <w:szCs w:val="20"/>
          <w:color w:val="auto"/>
        </w:rPr>
      </w:pPr>
    </w:p>
    <w:p>
      <w:pPr>
        <w:ind w:right="20"/>
        <w:spacing w:after="0" w:line="231" w:lineRule="auto"/>
        <w:rPr>
          <w:sz w:val="20"/>
          <w:szCs w:val="20"/>
          <w:color w:val="auto"/>
        </w:rPr>
      </w:pPr>
      <w:r>
        <w:rPr>
          <w:rFonts w:ascii="Arial" w:cs="Arial" w:eastAsia="Arial" w:hAnsi="Arial"/>
          <w:sz w:val="22"/>
          <w:szCs w:val="22"/>
          <w:color w:val="auto"/>
        </w:rPr>
        <w:t>Employee's Address:</w:t>
      </w:r>
      <w:r>
        <w:rPr>
          <w:rFonts w:ascii="Arial" w:cs="Arial" w:eastAsia="Arial" w:hAnsi="Arial"/>
          <w:sz w:val="28"/>
          <w:szCs w:val="28"/>
          <w:color w:val="auto"/>
          <w:vertAlign w:val="superscript"/>
        </w:rPr>
        <w:t>****</w:t>
      </w:r>
      <w:r>
        <w:rPr>
          <w:rFonts w:ascii="Arial" w:cs="Arial" w:eastAsia="Arial" w:hAnsi="Arial"/>
          <w:sz w:val="22"/>
          <w:szCs w:val="22"/>
          <w:color w:val="auto"/>
        </w:rPr>
        <w:t xml:space="preserve"> It is the participant's responsibility to notify the Company's stock administrator in the event of a change of address.</w:t>
      </w:r>
    </w:p>
    <w:p>
      <w:pPr>
        <w:sectPr>
          <w:pgSz w:w="11900" w:h="16838" w:orient="portrait"/>
          <w:cols w:equalWidth="0" w:num="1">
            <w:col w:w="11420"/>
          </w:cols>
          <w:pgMar w:left="240" w:top="591" w:right="239" w:bottom="1440" w:gutter="0" w:footer="0" w:header="0"/>
        </w:sectPr>
      </w:pPr>
    </w:p>
    <w:bookmarkStart w:id="89" w:name="page90"/>
    <w:bookmarkEnd w:id="89"/>
    <w:p>
      <w:pPr>
        <w:spacing w:after="0" w:line="263" w:lineRule="auto"/>
        <w:rPr>
          <w:sz w:val="20"/>
          <w:szCs w:val="20"/>
          <w:color w:val="auto"/>
        </w:rPr>
      </w:pPr>
      <w:r>
        <w:rPr>
          <w:rFonts w:ascii="Arial" w:cs="Arial" w:eastAsia="Arial" w:hAnsi="Arial"/>
          <w:sz w:val="22"/>
          <w:szCs w:val="22"/>
          <w:color w:val="auto"/>
        </w:rPr>
        <w:t>I UNDERSTAND THAT THIS SUBSCRIPTION AGREEMENT SHALL REMAIN IN EFFECT THROUGHOUT SUCCESSIVE OFFERING PERIODS UNLESS TERMINATED BY ME.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70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Sign:</w:t>
      </w:r>
    </w:p>
    <w:p>
      <w:pPr>
        <w:sectPr>
          <w:pgSz w:w="11900" w:h="16838" w:orient="portrait"/>
          <w:cols w:equalWidth="0" w:num="1">
            <w:col w:w="11420"/>
          </w:cols>
          <w:pgMar w:left="240" w:top="1023"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22"/>
          <w:szCs w:val="22"/>
          <w:b w:val="1"/>
          <w:bCs w:val="1"/>
          <w:color w:val="auto"/>
        </w:rPr>
        <w:t>Exhibit 10.2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AUTODESK, INC.</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INTERNATIONAL EMPLOYEE STOCK PURCHASE PLAN</w:t>
      </w:r>
    </w:p>
    <w:p>
      <w:pPr>
        <w:spacing w:after="0" w:line="200" w:lineRule="exact"/>
        <w:rPr>
          <w:sz w:val="20"/>
          <w:szCs w:val="20"/>
          <w:color w:val="auto"/>
        </w:rPr>
      </w:pPr>
    </w:p>
    <w:p>
      <w:pPr>
        <w:spacing w:after="0" w:line="23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(as amended and restated effective September 21, 2011)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(Sub-Plan of the Autodesk, Inc. 1998 Employee Qualified Stock Purchase Plan, as amended and restated)</w:t>
      </w:r>
    </w:p>
    <w:p>
      <w:pPr>
        <w:spacing w:after="0" w:line="200" w:lineRule="exact"/>
        <w:rPr>
          <w:sz w:val="20"/>
          <w:szCs w:val="20"/>
          <w:color w:val="auto"/>
        </w:rPr>
      </w:pPr>
    </w:p>
    <w:p>
      <w:pPr>
        <w:spacing w:after="0" w:line="218"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The following constitute the provisions of the International Employee Stock Purchase Plan, as amended and restated (herein called the “Sub-Plan”) of Autodesk, Inc. (herein called the “Company”), a sub-plan of the Autodesk, Inc. 1998 Employee Qualified Stock Purchase Plan, as amended and restated (herein called the “US Plan”).</w:t>
      </w:r>
    </w:p>
    <w:p>
      <w:pPr>
        <w:spacing w:after="0" w:line="200" w:lineRule="exact"/>
        <w:rPr>
          <w:sz w:val="20"/>
          <w:szCs w:val="20"/>
          <w:color w:val="auto"/>
        </w:rPr>
      </w:pPr>
    </w:p>
    <w:p>
      <w:pPr>
        <w:spacing w:after="0" w:line="202" w:lineRule="exact"/>
        <w:rPr>
          <w:sz w:val="20"/>
          <w:szCs w:val="20"/>
          <w:color w:val="auto"/>
        </w:rPr>
      </w:pPr>
    </w:p>
    <w:p>
      <w:pPr>
        <w:ind w:right="380" w:firstLine="648"/>
        <w:spacing w:after="0" w:line="302" w:lineRule="auto"/>
        <w:rPr>
          <w:sz w:val="20"/>
          <w:szCs w:val="20"/>
          <w:color w:val="auto"/>
        </w:rPr>
      </w:pPr>
      <w:r>
        <w:rPr>
          <w:rFonts w:ascii="Arial" w:cs="Arial" w:eastAsia="Arial" w:hAnsi="Arial"/>
          <w:sz w:val="19"/>
          <w:szCs w:val="19"/>
          <w:color w:val="auto"/>
        </w:rPr>
        <w:t xml:space="preserve">1. </w:t>
      </w:r>
      <w:r>
        <w:rPr>
          <w:rFonts w:ascii="Arial" w:cs="Arial" w:eastAsia="Arial" w:hAnsi="Arial"/>
          <w:sz w:val="19"/>
          <w:szCs w:val="19"/>
          <w:u w:val="single" w:color="auto"/>
          <w:color w:val="auto"/>
        </w:rPr>
        <w:t>Purpose</w:t>
      </w:r>
      <w:r>
        <w:rPr>
          <w:rFonts w:ascii="Arial" w:cs="Arial" w:eastAsia="Arial" w:hAnsi="Arial"/>
          <w:sz w:val="19"/>
          <w:szCs w:val="19"/>
          <w:color w:val="auto"/>
        </w:rPr>
        <w:t>. The Sub-Plan is intended to provide eligible Employees of the Company’s Affiliates the opportunity to acquire a proprietary interest in the Company through the purchase of shares of the Company’s common stock at periodic intervals with their accumulated payroll deductions or other approved contributions. The Sub-Plan is not intended to qualify as an employee stock purchase plan under Section 423 (b) of the U.S. Internal Revenue Code of 1986, as amended.</w:t>
      </w:r>
    </w:p>
    <w:p>
      <w:pPr>
        <w:spacing w:after="0" w:line="3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All provisions of this Sub-Plan shall be governed by the U.S. Plan, except as otherwise provided herein.</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Sub-Plan became effective on the designated Effective Date.</w:t>
      </w:r>
    </w:p>
    <w:p>
      <w:pPr>
        <w:spacing w:after="0" w:line="200" w:lineRule="exact"/>
        <w:rPr>
          <w:sz w:val="20"/>
          <w:szCs w:val="20"/>
          <w:color w:val="auto"/>
        </w:rPr>
      </w:pPr>
    </w:p>
    <w:p>
      <w:pPr>
        <w:spacing w:after="0" w:line="236" w:lineRule="exact"/>
        <w:rPr>
          <w:sz w:val="20"/>
          <w:szCs w:val="20"/>
          <w:color w:val="auto"/>
        </w:rPr>
      </w:pPr>
    </w:p>
    <w:p>
      <w:pPr>
        <w:ind w:left="1000" w:hanging="344"/>
        <w:spacing w:after="0"/>
        <w:tabs>
          <w:tab w:leader="none" w:pos="100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All definitions in the Sub-Plan shall be interpreted in accordance with the U.S. Plan except as otherwise provided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herein.</w:t>
      </w:r>
    </w:p>
    <w:p>
      <w:pPr>
        <w:spacing w:after="0" w:line="200" w:lineRule="exact"/>
        <w:rPr>
          <w:sz w:val="20"/>
          <w:szCs w:val="20"/>
          <w:color w:val="auto"/>
        </w:rPr>
      </w:pPr>
    </w:p>
    <w:p>
      <w:pPr>
        <w:spacing w:after="0" w:line="218" w:lineRule="exact"/>
        <w:rPr>
          <w:sz w:val="20"/>
          <w:szCs w:val="20"/>
          <w:color w:val="auto"/>
        </w:rPr>
      </w:pPr>
    </w:p>
    <w:p>
      <w:pPr>
        <w:ind w:right="520" w:firstLine="1305"/>
        <w:spacing w:after="0" w:line="320" w:lineRule="auto"/>
        <w:tabs>
          <w:tab w:leader="none" w:pos="1716" w:val="left"/>
        </w:tabs>
        <w:numPr>
          <w:ilvl w:val="0"/>
          <w:numId w:val="53"/>
        </w:numPr>
        <w:rPr>
          <w:rFonts w:ascii="Arial" w:cs="Arial" w:eastAsia="Arial" w:hAnsi="Arial"/>
          <w:sz w:val="19"/>
          <w:szCs w:val="19"/>
          <w:color w:val="auto"/>
        </w:rPr>
      </w:pPr>
      <w:r>
        <w:rPr>
          <w:rFonts w:ascii="Arial" w:cs="Arial" w:eastAsia="Arial" w:hAnsi="Arial"/>
          <w:sz w:val="19"/>
          <w:szCs w:val="19"/>
          <w:color w:val="auto"/>
        </w:rPr>
        <w:t>“Affiliate” shall mean a corporation, partnership, joint venture or other business entity, or branch of such business entity, domestic or foreign, of which not less than 50% of the voting shares are held by the Company or a Subsidiary, whether or not such corporation now exists or is hereafter organized or acquired by the Company or an Affiliate.</w:t>
      </w:r>
    </w:p>
    <w:p>
      <w:pPr>
        <w:spacing w:after="0" w:line="341" w:lineRule="exact"/>
        <w:rPr>
          <w:rFonts w:ascii="Arial" w:cs="Arial" w:eastAsia="Arial" w:hAnsi="Arial"/>
          <w:sz w:val="19"/>
          <w:szCs w:val="19"/>
          <w:color w:val="auto"/>
        </w:rPr>
      </w:pPr>
    </w:p>
    <w:p>
      <w:pPr>
        <w:ind w:right="260" w:firstLine="1305"/>
        <w:spacing w:after="0" w:line="260" w:lineRule="auto"/>
        <w:tabs>
          <w:tab w:leader="none" w:pos="1728" w:val="left"/>
        </w:tabs>
        <w:numPr>
          <w:ilvl w:val="0"/>
          <w:numId w:val="53"/>
        </w:numPr>
        <w:rPr>
          <w:rFonts w:ascii="Arial" w:cs="Arial" w:eastAsia="Arial" w:hAnsi="Arial"/>
          <w:sz w:val="22"/>
          <w:szCs w:val="22"/>
          <w:color w:val="auto"/>
        </w:rPr>
      </w:pPr>
      <w:r>
        <w:rPr>
          <w:rFonts w:ascii="Arial" w:cs="Arial" w:eastAsia="Arial" w:hAnsi="Arial"/>
          <w:sz w:val="22"/>
          <w:szCs w:val="22"/>
          <w:color w:val="auto"/>
        </w:rPr>
        <w:t>“Effective Date” shall mean December 6, 2007; provided, however, that any Affiliate which extends the benefits of this Sub-Plan to its Employees after December 6, 2007, shall designate a subsequent Effective Date with respect to its employee-Participants.</w:t>
      </w:r>
    </w:p>
    <w:p>
      <w:pPr>
        <w:spacing w:after="0" w:line="393" w:lineRule="exact"/>
        <w:rPr>
          <w:rFonts w:ascii="Arial" w:cs="Arial" w:eastAsia="Arial" w:hAnsi="Arial"/>
          <w:sz w:val="22"/>
          <w:szCs w:val="22"/>
          <w:color w:val="auto"/>
        </w:rPr>
      </w:pPr>
    </w:p>
    <w:p>
      <w:pPr>
        <w:ind w:left="1720" w:hanging="415"/>
        <w:spacing w:after="0"/>
        <w:tabs>
          <w:tab w:leader="none" w:pos="1720" w:val="left"/>
        </w:tabs>
        <w:numPr>
          <w:ilvl w:val="0"/>
          <w:numId w:val="53"/>
        </w:numPr>
        <w:rPr>
          <w:rFonts w:ascii="Arial" w:cs="Arial" w:eastAsia="Arial" w:hAnsi="Arial"/>
          <w:sz w:val="22"/>
          <w:szCs w:val="22"/>
          <w:color w:val="auto"/>
        </w:rPr>
      </w:pPr>
      <w:r>
        <w:rPr>
          <w:rFonts w:ascii="Arial" w:cs="Arial" w:eastAsia="Arial" w:hAnsi="Arial"/>
          <w:sz w:val="22"/>
          <w:szCs w:val="22"/>
          <w:color w:val="auto"/>
        </w:rPr>
        <w:t>“Employee” shall mean any person employed by an Affiliate.</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right="720" w:firstLine="1305"/>
        <w:spacing w:after="0" w:line="276" w:lineRule="auto"/>
        <w:tabs>
          <w:tab w:leader="none" w:pos="1783" w:val="left"/>
        </w:tabs>
        <w:numPr>
          <w:ilvl w:val="0"/>
          <w:numId w:val="53"/>
        </w:numPr>
        <w:rPr>
          <w:rFonts w:ascii="Arial" w:cs="Arial" w:eastAsia="Arial" w:hAnsi="Arial"/>
          <w:sz w:val="22"/>
          <w:szCs w:val="22"/>
          <w:color w:val="auto"/>
        </w:rPr>
      </w:pPr>
      <w:r>
        <w:rPr>
          <w:rFonts w:ascii="Arial" w:cs="Arial" w:eastAsia="Arial" w:hAnsi="Arial"/>
          <w:sz w:val="22"/>
          <w:szCs w:val="22"/>
          <w:color w:val="auto"/>
        </w:rPr>
        <w:t>“Participant” means any Employee who meets the eligibility and participation requirements set forth in Sections 3 and 4, below.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369" w:right="239" w:bottom="1440" w:gutter="0" w:footer="0" w:header="0"/>
        </w:sectPr>
      </w:pPr>
    </w:p>
    <w:bookmarkStart w:id="91" w:name="page92"/>
    <w:bookmarkEnd w:id="91"/>
    <w:p>
      <w:pPr>
        <w:ind w:left="-20" w:firstLine="656"/>
        <w:spacing w:after="0" w:line="254" w:lineRule="auto"/>
        <w:tabs>
          <w:tab w:leader="none" w:pos="97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Eligibility</w:t>
      </w:r>
      <w:r>
        <w:rPr>
          <w:rFonts w:ascii="Arial" w:cs="Arial" w:eastAsia="Arial" w:hAnsi="Arial"/>
          <w:sz w:val="22"/>
          <w:szCs w:val="22"/>
          <w:color w:val="auto"/>
        </w:rPr>
        <w:t>. Each individual who is (a) an Employee as of the last day of the Enrollment Period for the applicable Offering Period, and (b) employed by an Affiliate (or legal extension of an Affiliate, such as a branch office) operating in one of the countries listed on the attached Schedule A (which Schedule A may be amended form time to time by the Board or a committee thereof), shall be eligible to participate in the Sub-Plan for that Offering Period.</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980" w:hanging="344"/>
        <w:spacing w:after="0"/>
        <w:tabs>
          <w:tab w:leader="none" w:pos="98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Participation</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20" w:right="300" w:firstLine="1305"/>
        <w:spacing w:after="0" w:line="270" w:lineRule="auto"/>
        <w:tabs>
          <w:tab w:leader="none" w:pos="1696" w:val="left"/>
        </w:tabs>
        <w:numPr>
          <w:ilvl w:val="1"/>
          <w:numId w:val="54"/>
        </w:numPr>
        <w:rPr>
          <w:rFonts w:ascii="Arial" w:cs="Arial" w:eastAsia="Arial" w:hAnsi="Arial"/>
          <w:sz w:val="21"/>
          <w:szCs w:val="21"/>
          <w:color w:val="auto"/>
        </w:rPr>
      </w:pPr>
      <w:r>
        <w:rPr>
          <w:rFonts w:ascii="Arial" w:cs="Arial" w:eastAsia="Arial" w:hAnsi="Arial"/>
          <w:sz w:val="21"/>
          <w:szCs w:val="21"/>
          <w:color w:val="auto"/>
        </w:rPr>
        <w:t>An eligible Employee may become a Participant in the Plan by completing a subscription agreement authorizing payroll deductions or other approved contributions on the form provided by the Company and filing it with the Company’s payroll office during the Enrollment Period for the applicable Offering Period, unless a later or earlier time for filing the subscription agreement is set by the Board for all eligible Employees with respect to a given offering.</w:t>
      </w:r>
    </w:p>
    <w:p>
      <w:pPr>
        <w:spacing w:after="0" w:line="385" w:lineRule="exact"/>
        <w:rPr>
          <w:rFonts w:ascii="Arial" w:cs="Arial" w:eastAsia="Arial" w:hAnsi="Arial"/>
          <w:sz w:val="21"/>
          <w:szCs w:val="21"/>
          <w:color w:val="auto"/>
        </w:rPr>
      </w:pPr>
    </w:p>
    <w:p>
      <w:pPr>
        <w:ind w:left="-20" w:right="20" w:firstLine="1305"/>
        <w:spacing w:after="0" w:line="307" w:lineRule="auto"/>
        <w:tabs>
          <w:tab w:leader="none" w:pos="1708" w:val="left"/>
        </w:tabs>
        <w:numPr>
          <w:ilvl w:val="1"/>
          <w:numId w:val="54"/>
        </w:numPr>
        <w:rPr>
          <w:rFonts w:ascii="Arial" w:cs="Arial" w:eastAsia="Arial" w:hAnsi="Arial"/>
          <w:sz w:val="19"/>
          <w:szCs w:val="19"/>
          <w:color w:val="auto"/>
        </w:rPr>
      </w:pPr>
      <w:r>
        <w:rPr>
          <w:rFonts w:ascii="Arial" w:cs="Arial" w:eastAsia="Arial" w:hAnsi="Arial"/>
          <w:sz w:val="19"/>
          <w:szCs w:val="19"/>
          <w:color w:val="auto"/>
        </w:rPr>
        <w:t>Payroll deductions for a Participant shall continue at the rate specified in the subscription agreement throughout the Offering Period with automatic re-enrollment for the Offering Period which commences the day after the Exercise Date at the same rate specified in the original subscription agreement, subject to any change in subscription rate made pursuant to Section 6(c) of the U.S. Plan, unless sooner terminated by the participant as provided in Section 11 of the U.S. Plan.</w:t>
      </w:r>
    </w:p>
    <w:p>
      <w:pPr>
        <w:spacing w:after="0" w:line="354" w:lineRule="exact"/>
        <w:rPr>
          <w:rFonts w:ascii="Arial" w:cs="Arial" w:eastAsia="Arial" w:hAnsi="Arial"/>
          <w:sz w:val="19"/>
          <w:szCs w:val="19"/>
          <w:color w:val="auto"/>
        </w:rPr>
      </w:pPr>
    </w:p>
    <w:p>
      <w:pPr>
        <w:ind w:left="980" w:hanging="344"/>
        <w:spacing w:after="0"/>
        <w:tabs>
          <w:tab w:leader="none" w:pos="98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Payroll Deductions and Other Approved Contributions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jc w:val="both"/>
        <w:ind w:left="-20" w:right="200" w:firstLine="1305"/>
        <w:spacing w:after="0" w:line="260" w:lineRule="auto"/>
        <w:tabs>
          <w:tab w:leader="none" w:pos="1696" w:val="left"/>
        </w:tabs>
        <w:numPr>
          <w:ilvl w:val="1"/>
          <w:numId w:val="54"/>
        </w:numPr>
        <w:rPr>
          <w:rFonts w:ascii="Arial" w:cs="Arial" w:eastAsia="Arial" w:hAnsi="Arial"/>
          <w:sz w:val="22"/>
          <w:szCs w:val="22"/>
          <w:color w:val="auto"/>
        </w:rPr>
      </w:pPr>
      <w:r>
        <w:rPr>
          <w:rFonts w:ascii="Arial" w:cs="Arial" w:eastAsia="Arial" w:hAnsi="Arial"/>
          <w:sz w:val="22"/>
          <w:szCs w:val="22"/>
          <w:color w:val="auto"/>
        </w:rPr>
        <w:t>Except to the extent otherwise determined by the Board, payroll deductions shall be made in accordance with Section 6 of the U.S. Plan. The Board may, at its discretion, approve other methods of contributions including, without limitation, check, cash or standing order of the Participant’s individual bank account.</w:t>
      </w:r>
    </w:p>
    <w:p>
      <w:pPr>
        <w:spacing w:after="0" w:line="393" w:lineRule="exact"/>
        <w:rPr>
          <w:rFonts w:ascii="Arial" w:cs="Arial" w:eastAsia="Arial" w:hAnsi="Arial"/>
          <w:sz w:val="22"/>
          <w:szCs w:val="22"/>
          <w:color w:val="auto"/>
        </w:rPr>
      </w:pPr>
    </w:p>
    <w:p>
      <w:pPr>
        <w:ind w:left="-20" w:right="100" w:firstLine="1305"/>
        <w:spacing w:after="0" w:line="300" w:lineRule="auto"/>
        <w:tabs>
          <w:tab w:leader="none" w:pos="1708" w:val="left"/>
        </w:tabs>
        <w:numPr>
          <w:ilvl w:val="1"/>
          <w:numId w:val="54"/>
        </w:numPr>
        <w:rPr>
          <w:rFonts w:ascii="Arial" w:cs="Arial" w:eastAsia="Arial" w:hAnsi="Arial"/>
          <w:sz w:val="19"/>
          <w:szCs w:val="19"/>
          <w:color w:val="auto"/>
        </w:rPr>
      </w:pPr>
      <w:r>
        <w:rPr>
          <w:rFonts w:ascii="Arial" w:cs="Arial" w:eastAsia="Arial" w:hAnsi="Arial"/>
          <w:sz w:val="19"/>
          <w:szCs w:val="19"/>
          <w:color w:val="auto"/>
        </w:rPr>
        <w:t>The amounts so collected shall be credited to the participant’s individual book account under the Sub-Plan, initially in the currency in which paid by the Affiliate until converted into U.S. Dollars. Accordingly, all purchases of Common Stock under the Sub-Plan are to be made with the U.S. Dollars into which the payroll deductions for the Offering Period or other approved contributions have been converted. The amounts collected from a participant may be commingled with the general assets of the Company or the Affiliate and may be used for general corporate purposes, except as otherwise required by local law.</w:t>
      </w:r>
    </w:p>
    <w:p>
      <w:pPr>
        <w:spacing w:after="0" w:line="363" w:lineRule="exact"/>
        <w:rPr>
          <w:rFonts w:ascii="Arial" w:cs="Arial" w:eastAsia="Arial" w:hAnsi="Arial"/>
          <w:sz w:val="19"/>
          <w:szCs w:val="19"/>
          <w:color w:val="auto"/>
        </w:rPr>
      </w:pPr>
    </w:p>
    <w:p>
      <w:pPr>
        <w:ind w:left="-20" w:right="20" w:firstLine="1305"/>
        <w:spacing w:after="0" w:line="297" w:lineRule="auto"/>
        <w:tabs>
          <w:tab w:leader="none" w:pos="1696" w:val="left"/>
        </w:tabs>
        <w:numPr>
          <w:ilvl w:val="1"/>
          <w:numId w:val="54"/>
        </w:numPr>
        <w:rPr>
          <w:rFonts w:ascii="Arial" w:cs="Arial" w:eastAsia="Arial" w:hAnsi="Arial"/>
          <w:sz w:val="19"/>
          <w:szCs w:val="19"/>
          <w:color w:val="auto"/>
        </w:rPr>
      </w:pPr>
      <w:r>
        <w:rPr>
          <w:rFonts w:ascii="Arial" w:cs="Arial" w:eastAsia="Arial" w:hAnsi="Arial"/>
          <w:sz w:val="19"/>
          <w:szCs w:val="19"/>
          <w:color w:val="auto"/>
        </w:rPr>
        <w:t>For purposes of determining the number of shares purchasable by a participant, the payroll deductions or other approved contributions credited to each participant’s book account during each Exercise Period shall be converted into U.S. Dollars on the Exercise Date for that Exercise Period on the basis of the exchange rate in effect on such date. The Board shall have the absolute discretion to determine the applicable exchange rate to be in effect for each Exercise Date by any reasonable method (including, without limitation, the exchange rate actually used by the Company for its intra-Company financial transactions for the month of such transfer). Any changes or fluctuations in the exchange rate at which the payroll deductions or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60" w:top="591" w:right="239" w:bottom="1440" w:gutter="0" w:footer="0" w:header="0"/>
        </w:sectPr>
      </w:pPr>
    </w:p>
    <w:bookmarkStart w:id="92" w:name="page93"/>
    <w:bookmarkEnd w:id="92"/>
    <w:p>
      <w:pPr>
        <w:ind w:right="340"/>
        <w:spacing w:after="0" w:line="263" w:lineRule="auto"/>
        <w:rPr>
          <w:sz w:val="20"/>
          <w:szCs w:val="20"/>
          <w:color w:val="auto"/>
        </w:rPr>
      </w:pPr>
      <w:r>
        <w:rPr>
          <w:rFonts w:ascii="Arial" w:cs="Arial" w:eastAsia="Arial" w:hAnsi="Arial"/>
          <w:sz w:val="22"/>
          <w:szCs w:val="22"/>
          <w:color w:val="auto"/>
        </w:rPr>
        <w:t>other approved contributions collected on the participant’s behalf are converted into U.S. Dollars on each Exercise Date shall be borne solely by the participant.</w:t>
      </w:r>
    </w:p>
    <w:p>
      <w:pPr>
        <w:spacing w:after="0" w:line="391" w:lineRule="exact"/>
        <w:rPr>
          <w:sz w:val="20"/>
          <w:szCs w:val="20"/>
          <w:color w:val="auto"/>
        </w:rPr>
      </w:pPr>
    </w:p>
    <w:p>
      <w:pPr>
        <w:ind w:right="280" w:firstLine="656"/>
        <w:spacing w:after="0" w:line="276" w:lineRule="auto"/>
        <w:tabs>
          <w:tab w:leader="none" w:pos="99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Grant of Option</w:t>
      </w:r>
      <w:r>
        <w:rPr>
          <w:rFonts w:ascii="Arial" w:cs="Arial" w:eastAsia="Arial" w:hAnsi="Arial"/>
          <w:sz w:val="22"/>
          <w:szCs w:val="22"/>
          <w:color w:val="auto"/>
        </w:rPr>
        <w:t>. The grant of the option and the purchase price of the option shall be in accordance with Section 7 of the U.S. Plan.</w:t>
      </w:r>
    </w:p>
    <w:p>
      <w:pPr>
        <w:spacing w:after="0" w:line="377" w:lineRule="exact"/>
        <w:rPr>
          <w:rFonts w:ascii="Arial" w:cs="Arial" w:eastAsia="Arial" w:hAnsi="Arial"/>
          <w:sz w:val="22"/>
          <w:szCs w:val="22"/>
          <w:color w:val="auto"/>
        </w:rPr>
      </w:pPr>
    </w:p>
    <w:p>
      <w:pPr>
        <w:ind w:left="1000" w:hanging="344"/>
        <w:spacing w:after="0"/>
        <w:tabs>
          <w:tab w:leader="none" w:pos="100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Exercise of Option</w:t>
      </w:r>
      <w:r>
        <w:rPr>
          <w:rFonts w:ascii="Arial" w:cs="Arial" w:eastAsia="Arial" w:hAnsi="Arial"/>
          <w:sz w:val="22"/>
          <w:szCs w:val="22"/>
          <w:color w:val="auto"/>
        </w:rPr>
        <w:t>. The exercise of the option shall be in accordance with Section 8 of the U.S. Plan.</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1000" w:hanging="344"/>
        <w:spacing w:after="0"/>
        <w:tabs>
          <w:tab w:leader="none" w:pos="100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Withdrawal; Termination of Employment</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right="300" w:firstLine="1305"/>
        <w:spacing w:after="0" w:line="250" w:lineRule="auto"/>
        <w:tabs>
          <w:tab w:leader="none" w:pos="1716" w:val="left"/>
        </w:tabs>
        <w:numPr>
          <w:ilvl w:val="1"/>
          <w:numId w:val="55"/>
        </w:numPr>
        <w:rPr>
          <w:rFonts w:ascii="Arial" w:cs="Arial" w:eastAsia="Arial" w:hAnsi="Arial"/>
          <w:sz w:val="22"/>
          <w:szCs w:val="22"/>
          <w:color w:val="auto"/>
        </w:rPr>
      </w:pPr>
      <w:r>
        <w:rPr>
          <w:rFonts w:ascii="Arial" w:cs="Arial" w:eastAsia="Arial" w:hAnsi="Arial"/>
          <w:sz w:val="22"/>
          <w:szCs w:val="22"/>
          <w:color w:val="auto"/>
        </w:rPr>
        <w:t>A Participant may withdraw all but not less than all the payroll deductions or other approved contributions credited to his or her account under the Sub-Plan at any time prior to the Exercise Date of the Offering Period by giving written notice to the Company. All of the Participant’s payroll deductions or other approved contributions credited to his or her account will be paid to him or her at the next pay date after receipt of his or her notice of withdrawal and his or her option for the current period will be automatically terminated, and no further payroll deductions for the purchase of shares will be made during the Offering Period.</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right="200" w:firstLine="1305"/>
        <w:spacing w:after="0" w:line="254" w:lineRule="auto"/>
        <w:tabs>
          <w:tab w:leader="none" w:pos="1728" w:val="left"/>
        </w:tabs>
        <w:numPr>
          <w:ilvl w:val="1"/>
          <w:numId w:val="55"/>
        </w:numPr>
        <w:rPr>
          <w:rFonts w:ascii="Arial" w:cs="Arial" w:eastAsia="Arial" w:hAnsi="Arial"/>
          <w:sz w:val="22"/>
          <w:szCs w:val="22"/>
          <w:color w:val="auto"/>
        </w:rPr>
      </w:pPr>
      <w:r>
        <w:rPr>
          <w:rFonts w:ascii="Arial" w:cs="Arial" w:eastAsia="Arial" w:hAnsi="Arial"/>
          <w:sz w:val="22"/>
          <w:szCs w:val="22"/>
          <w:color w:val="auto"/>
        </w:rPr>
        <w:t>Upon termination of the participant’s Continuous Status as an Employee prior to the Exercise Date for any reason, including retirement or death, the payroll deductions or other approved contributions credited to his or her account will be returned to the participant’s or, in the case the of Participant’s death, to the person or persons entitled thereto under Section 15 of the U.S. Plan, and his or her option will be automatically terminated.</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firstLine="1305"/>
        <w:spacing w:after="0" w:line="276" w:lineRule="auto"/>
        <w:tabs>
          <w:tab w:leader="none" w:pos="1716" w:val="left"/>
        </w:tabs>
        <w:numPr>
          <w:ilvl w:val="1"/>
          <w:numId w:val="55"/>
        </w:numPr>
        <w:rPr>
          <w:rFonts w:ascii="Arial" w:cs="Arial" w:eastAsia="Arial" w:hAnsi="Arial"/>
          <w:sz w:val="22"/>
          <w:szCs w:val="22"/>
          <w:color w:val="auto"/>
        </w:rPr>
      </w:pPr>
      <w:r>
        <w:rPr>
          <w:rFonts w:ascii="Arial" w:cs="Arial" w:eastAsia="Arial" w:hAnsi="Arial"/>
          <w:sz w:val="22"/>
          <w:szCs w:val="22"/>
          <w:color w:val="auto"/>
        </w:rPr>
        <w:t>A Participant’s withdrawal from an offering will not have any effect upon his or her eligibility to participate in a succeeding offering or in any similar plan which may hereafter be adopted by the Company.</w:t>
      </w:r>
    </w:p>
    <w:p>
      <w:pPr>
        <w:spacing w:after="0" w:line="377" w:lineRule="exact"/>
        <w:rPr>
          <w:rFonts w:ascii="Arial" w:cs="Arial" w:eastAsia="Arial" w:hAnsi="Arial"/>
          <w:sz w:val="22"/>
          <w:szCs w:val="22"/>
          <w:color w:val="auto"/>
        </w:rPr>
      </w:pPr>
    </w:p>
    <w:p>
      <w:pPr>
        <w:ind w:left="1000" w:hanging="344"/>
        <w:spacing w:after="0"/>
        <w:tabs>
          <w:tab w:leader="none" w:pos="100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Transfer of Employment</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firstLine="1305"/>
        <w:spacing w:after="0" w:line="248" w:lineRule="auto"/>
        <w:tabs>
          <w:tab w:leader="none" w:pos="1716" w:val="left"/>
        </w:tabs>
        <w:numPr>
          <w:ilvl w:val="1"/>
          <w:numId w:val="55"/>
        </w:numPr>
        <w:rPr>
          <w:rFonts w:ascii="Arial" w:cs="Arial" w:eastAsia="Arial" w:hAnsi="Arial"/>
          <w:sz w:val="22"/>
          <w:szCs w:val="22"/>
          <w:color w:val="auto"/>
        </w:rPr>
      </w:pPr>
      <w:r>
        <w:rPr>
          <w:rFonts w:ascii="Arial" w:cs="Arial" w:eastAsia="Arial" w:hAnsi="Arial"/>
          <w:sz w:val="22"/>
          <w:szCs w:val="22"/>
          <w:color w:val="auto"/>
        </w:rPr>
        <w:t>In the event that a Participant who is an Employee of an Affiliate is transferred and becomes an employee of the Company during an Offering Period under the Sub-Plan, such individual may, subject to the terms and eligibility of the U.S. Plan, become a participant under the U.S. Plan for the duration of the Offering Period in effect at that time. Unless otherwise required under local law, any payroll deductions or other approved contributions may continue to be held by the Affiliate former employer of the Participant for the remainder of the Offering Period. At the next Exercise date, all payroll deductions and other approved contributions made by or to the Company or the Affiliate shall be aggregated for the purchase of shares subject to the terms and limitations of the U.S. Plan.</w:t>
      </w:r>
    </w:p>
    <w:p>
      <w:pPr>
        <w:spacing w:after="0" w:line="200" w:lineRule="exact"/>
        <w:rPr>
          <w:rFonts w:ascii="Arial" w:cs="Arial" w:eastAsia="Arial" w:hAnsi="Arial"/>
          <w:sz w:val="22"/>
          <w:szCs w:val="22"/>
          <w:color w:val="auto"/>
        </w:rPr>
      </w:pPr>
    </w:p>
    <w:p>
      <w:pPr>
        <w:spacing w:after="0" w:line="212" w:lineRule="exact"/>
        <w:rPr>
          <w:rFonts w:ascii="Arial" w:cs="Arial" w:eastAsia="Arial" w:hAnsi="Arial"/>
          <w:sz w:val="22"/>
          <w:szCs w:val="22"/>
          <w:color w:val="auto"/>
        </w:rPr>
      </w:pPr>
    </w:p>
    <w:p>
      <w:pPr>
        <w:ind w:right="160" w:firstLine="1305"/>
        <w:spacing w:after="0" w:line="270" w:lineRule="auto"/>
        <w:tabs>
          <w:tab w:leader="none" w:pos="1728" w:val="left"/>
        </w:tabs>
        <w:numPr>
          <w:ilvl w:val="1"/>
          <w:numId w:val="55"/>
        </w:numPr>
        <w:rPr>
          <w:rFonts w:ascii="Arial" w:cs="Arial" w:eastAsia="Arial" w:hAnsi="Arial"/>
          <w:sz w:val="21"/>
          <w:szCs w:val="21"/>
          <w:color w:val="auto"/>
        </w:rPr>
      </w:pPr>
      <w:r>
        <w:rPr>
          <w:rFonts w:ascii="Arial" w:cs="Arial" w:eastAsia="Arial" w:hAnsi="Arial"/>
          <w:sz w:val="21"/>
          <w:szCs w:val="21"/>
          <w:color w:val="auto"/>
        </w:rPr>
        <w:t>In the event that an employee of the Company who is a participant in the U.S. Plan is transferred and becomes an Employee of an Affiliate during an Offering Period in effect under the U.S. Plan, such individual may become a participant under the Sub-Plan for the duration of the Offering Period in effect at that time. Unless otherwise required under local law, any payroll deductions may continue to be held by the Company for the remainder of the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91" w:right="239" w:bottom="1440" w:gutter="0" w:footer="0" w:header="0"/>
        </w:sectPr>
      </w:pPr>
    </w:p>
    <w:bookmarkStart w:id="93" w:name="page94"/>
    <w:bookmarkEnd w:id="93"/>
    <w:p>
      <w:pPr>
        <w:ind w:right="160"/>
        <w:spacing w:after="0" w:line="287" w:lineRule="auto"/>
        <w:rPr>
          <w:sz w:val="20"/>
          <w:szCs w:val="20"/>
          <w:color w:val="auto"/>
        </w:rPr>
      </w:pPr>
      <w:r>
        <w:rPr>
          <w:rFonts w:ascii="Arial" w:cs="Arial" w:eastAsia="Arial" w:hAnsi="Arial"/>
          <w:sz w:val="21"/>
          <w:szCs w:val="21"/>
          <w:color w:val="auto"/>
        </w:rPr>
        <w:t>Offering Period. At the next Exercise date, all payroll deductions and other approved contributions made by or to the Company or Affiliate may be aggregated for the purchase of shares subject to the terms and limitations of the Sub-Plan.</w:t>
      </w:r>
    </w:p>
    <w:p>
      <w:pPr>
        <w:spacing w:after="0" w:line="368" w:lineRule="exact"/>
        <w:rPr>
          <w:sz w:val="20"/>
          <w:szCs w:val="20"/>
          <w:color w:val="auto"/>
        </w:rPr>
      </w:pPr>
    </w:p>
    <w:p>
      <w:pPr>
        <w:ind w:right="100" w:firstLine="656"/>
        <w:spacing w:after="0" w:line="276" w:lineRule="auto"/>
        <w:tabs>
          <w:tab w:leader="none" w:pos="1098"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Interest</w:t>
      </w:r>
      <w:r>
        <w:rPr>
          <w:rFonts w:ascii="Arial" w:cs="Arial" w:eastAsia="Arial" w:hAnsi="Arial"/>
          <w:sz w:val="22"/>
          <w:szCs w:val="22"/>
          <w:color w:val="auto"/>
        </w:rPr>
        <w:t>. No interest shall accrue on the payroll deductions or other approved contributions of a Participant in the Sub-Plan unless required by local law.</w:t>
      </w:r>
    </w:p>
    <w:p>
      <w:pPr>
        <w:spacing w:after="0" w:line="377" w:lineRule="exact"/>
        <w:rPr>
          <w:rFonts w:ascii="Arial" w:cs="Arial" w:eastAsia="Arial" w:hAnsi="Arial"/>
          <w:sz w:val="22"/>
          <w:szCs w:val="22"/>
          <w:color w:val="auto"/>
        </w:rPr>
      </w:pPr>
    </w:p>
    <w:p>
      <w:pPr>
        <w:ind w:left="1100" w:hanging="444"/>
        <w:spacing w:after="0"/>
        <w:tabs>
          <w:tab w:leader="none" w:pos="110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Stock</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firstLine="1305"/>
        <w:spacing w:after="0" w:line="260" w:lineRule="auto"/>
        <w:tabs>
          <w:tab w:leader="none" w:pos="1716" w:val="left"/>
        </w:tabs>
        <w:numPr>
          <w:ilvl w:val="1"/>
          <w:numId w:val="56"/>
        </w:numPr>
        <w:rPr>
          <w:rFonts w:ascii="Arial" w:cs="Arial" w:eastAsia="Arial" w:hAnsi="Arial"/>
          <w:sz w:val="22"/>
          <w:szCs w:val="22"/>
          <w:color w:val="auto"/>
        </w:rPr>
      </w:pPr>
      <w:r>
        <w:rPr>
          <w:rFonts w:ascii="Arial" w:cs="Arial" w:eastAsia="Arial" w:hAnsi="Arial"/>
          <w:sz w:val="22"/>
          <w:szCs w:val="22"/>
          <w:color w:val="auto"/>
        </w:rPr>
        <w:t>The shares of the Company’s Common Stock purchasable by Participants under the Sub-Plan shall be made available from shares reserved under the U.S. Plan and any shares issued under the Sub-Plan will reduce, on a share-for-share basis, the number of shares of Stock available for subsequent issuance under the U.S. Plan.</w:t>
      </w:r>
    </w:p>
    <w:p>
      <w:pPr>
        <w:spacing w:after="0" w:line="393" w:lineRule="exact"/>
        <w:rPr>
          <w:rFonts w:ascii="Arial" w:cs="Arial" w:eastAsia="Arial" w:hAnsi="Arial"/>
          <w:sz w:val="22"/>
          <w:szCs w:val="22"/>
          <w:color w:val="auto"/>
        </w:rPr>
      </w:pPr>
    </w:p>
    <w:p>
      <w:pPr>
        <w:ind w:left="1740" w:hanging="435"/>
        <w:spacing w:after="0"/>
        <w:tabs>
          <w:tab w:leader="none" w:pos="1740" w:val="left"/>
        </w:tabs>
        <w:numPr>
          <w:ilvl w:val="1"/>
          <w:numId w:val="56"/>
        </w:numPr>
        <w:rPr>
          <w:rFonts w:ascii="Arial" w:cs="Arial" w:eastAsia="Arial" w:hAnsi="Arial"/>
          <w:sz w:val="19"/>
          <w:szCs w:val="19"/>
          <w:color w:val="auto"/>
        </w:rPr>
      </w:pPr>
      <w:r>
        <w:rPr>
          <w:rFonts w:ascii="Arial" w:cs="Arial" w:eastAsia="Arial" w:hAnsi="Arial"/>
          <w:sz w:val="19"/>
          <w:szCs w:val="19"/>
          <w:color w:val="auto"/>
        </w:rPr>
        <w:t>The Participant will have no interest or voting right in shares covered by his or her option until such option has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been exercised.</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ind w:right="80" w:firstLine="1305"/>
        <w:spacing w:after="0" w:line="276" w:lineRule="auto"/>
        <w:tabs>
          <w:tab w:leader="none" w:pos="1716" w:val="left"/>
        </w:tabs>
        <w:numPr>
          <w:ilvl w:val="1"/>
          <w:numId w:val="56"/>
        </w:numPr>
        <w:rPr>
          <w:rFonts w:ascii="Arial" w:cs="Arial" w:eastAsia="Arial" w:hAnsi="Arial"/>
          <w:sz w:val="22"/>
          <w:szCs w:val="22"/>
          <w:color w:val="auto"/>
        </w:rPr>
      </w:pPr>
      <w:r>
        <w:rPr>
          <w:rFonts w:ascii="Arial" w:cs="Arial" w:eastAsia="Arial" w:hAnsi="Arial"/>
          <w:sz w:val="22"/>
          <w:szCs w:val="22"/>
          <w:color w:val="auto"/>
        </w:rPr>
        <w:t>Shares to be delivered to a Participant under the Sub-Plan will be registered in the name of the Participant or in the name of the Participant and his or her spouse.</w:t>
      </w:r>
    </w:p>
    <w:p>
      <w:pPr>
        <w:spacing w:after="0" w:line="377" w:lineRule="exact"/>
        <w:rPr>
          <w:rFonts w:ascii="Arial" w:cs="Arial" w:eastAsia="Arial" w:hAnsi="Arial"/>
          <w:sz w:val="22"/>
          <w:szCs w:val="22"/>
          <w:color w:val="auto"/>
        </w:rPr>
      </w:pPr>
    </w:p>
    <w:p>
      <w:pPr>
        <w:ind w:firstLine="656"/>
        <w:spacing w:after="0" w:line="247" w:lineRule="auto"/>
        <w:tabs>
          <w:tab w:leader="none" w:pos="1098"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Administration</w:t>
      </w:r>
      <w:r>
        <w:rPr>
          <w:rFonts w:ascii="Arial" w:cs="Arial" w:eastAsia="Arial" w:hAnsi="Arial"/>
          <w:sz w:val="22"/>
          <w:szCs w:val="22"/>
          <w:color w:val="auto"/>
        </w:rPr>
        <w:t>. The Sub-Plan shall be administered in accordance with Section 14 of the U.S. Plan. The Board may adopt rules or procedures relating to the operation and administration of the Sub-Plan to accommodate the specific requirements of the law and procedures of applicable jurisdictions. Without limiting the generality of the foregoing, the Board is specifically authorized to adopt rules and procedures regarding handling of payroll deductions or other approved contributions, payment of interest, conversion of local currency, payroll tax, withholding procedures and handling of stock certificates that vary with local requirements. The Board may also adopt rules, procedures or sub-plans applicable to particular Affiliates or jurisdictions. The rules of such sub-plans may take precedence over other provisions of this Sub-Plan, with the exception of Section 11 of the Sub-Plan, but unless otherwise superseded by the terms of such sub-plan, the provisions of the Sub-Plan shall govern the operation of such sub-plan.</w:t>
      </w:r>
    </w:p>
    <w:p>
      <w:pPr>
        <w:spacing w:after="0" w:line="200" w:lineRule="exact"/>
        <w:rPr>
          <w:rFonts w:ascii="Arial" w:cs="Arial" w:eastAsia="Arial" w:hAnsi="Arial"/>
          <w:sz w:val="22"/>
          <w:szCs w:val="22"/>
          <w:color w:val="auto"/>
        </w:rPr>
      </w:pPr>
    </w:p>
    <w:p>
      <w:pPr>
        <w:spacing w:after="0" w:line="211" w:lineRule="exact"/>
        <w:rPr>
          <w:rFonts w:ascii="Arial" w:cs="Arial" w:eastAsia="Arial" w:hAnsi="Arial"/>
          <w:sz w:val="22"/>
          <w:szCs w:val="22"/>
          <w:color w:val="auto"/>
        </w:rPr>
      </w:pPr>
    </w:p>
    <w:p>
      <w:pPr>
        <w:ind w:firstLine="656"/>
        <w:spacing w:after="0" w:line="294" w:lineRule="auto"/>
        <w:tabs>
          <w:tab w:leader="none" w:pos="1098"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Neither payroll deductions nor other funds credited to a Participant’s account nor any rights with regard to the exercise of an option or to receive shares under the Sub-Plan may be assigned, transferred, pledged or otherwise disposed of in any way (other than by will, the laws of descent and distribution or as provided in Section 15 of the U.S. Plan) by the Participant. Any such attempt at assignment, transfer, pledge or other disposition shall be without effect, except that the Company may treat such act as an election to withdraw funds in accordance with Section 11 of the U.S. Plan. In order to comply with local law (including, without limitation, local securities and applicable exchange laws), the Company may require a Participant to retain the shares purchased on his or her behalf in a Company account or an account of a designated broker until the sale of such shares.</w:t>
      </w:r>
    </w:p>
    <w:p>
      <w:pPr>
        <w:spacing w:after="0" w:line="368" w:lineRule="exact"/>
        <w:rPr>
          <w:rFonts w:ascii="Arial" w:cs="Arial" w:eastAsia="Arial" w:hAnsi="Arial"/>
          <w:sz w:val="19"/>
          <w:szCs w:val="19"/>
          <w:color w:val="auto"/>
        </w:rPr>
      </w:pPr>
    </w:p>
    <w:p>
      <w:pPr>
        <w:ind w:right="60" w:firstLine="656"/>
        <w:spacing w:after="0" w:line="276" w:lineRule="auto"/>
        <w:tabs>
          <w:tab w:leader="none" w:pos="1098"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Use of Funds</w:t>
      </w:r>
      <w:r>
        <w:rPr>
          <w:rFonts w:ascii="Arial" w:cs="Arial" w:eastAsia="Arial" w:hAnsi="Arial"/>
          <w:sz w:val="22"/>
          <w:szCs w:val="22"/>
          <w:color w:val="auto"/>
        </w:rPr>
        <w:t>. All payroll deductions or other approved contributions received or held by the Company under the Sub-Plan may be used by the Company for any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40" w:top="591" w:right="259" w:bottom="1440" w:gutter="0" w:footer="0" w:header="0"/>
        </w:sectPr>
      </w:pPr>
    </w:p>
    <w:bookmarkStart w:id="94" w:name="page95"/>
    <w:bookmarkEnd w:id="94"/>
    <w:p>
      <w:pPr>
        <w:ind w:right="300"/>
        <w:spacing w:after="0" w:line="263" w:lineRule="auto"/>
        <w:rPr>
          <w:sz w:val="20"/>
          <w:szCs w:val="20"/>
          <w:color w:val="auto"/>
        </w:rPr>
      </w:pPr>
      <w:r>
        <w:rPr>
          <w:rFonts w:ascii="Arial" w:cs="Arial" w:eastAsia="Arial" w:hAnsi="Arial"/>
          <w:sz w:val="22"/>
          <w:szCs w:val="22"/>
          <w:color w:val="auto"/>
        </w:rPr>
        <w:t>corporate purpose, and the Company shall not be obligated to segregate such payroll deductions or other approved contributions unless required by local law.</w:t>
      </w:r>
    </w:p>
    <w:p>
      <w:pPr>
        <w:spacing w:after="0" w:line="391" w:lineRule="exact"/>
        <w:rPr>
          <w:sz w:val="20"/>
          <w:szCs w:val="20"/>
          <w:color w:val="auto"/>
        </w:rPr>
      </w:pPr>
    </w:p>
    <w:p>
      <w:pPr>
        <w:jc w:val="both"/>
        <w:ind w:firstLine="656"/>
        <w:spacing w:after="0" w:line="254" w:lineRule="auto"/>
        <w:tabs>
          <w:tab w:leader="none" w:pos="1098"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Reports</w:t>
      </w:r>
      <w:r>
        <w:rPr>
          <w:rFonts w:ascii="Arial" w:cs="Arial" w:eastAsia="Arial" w:hAnsi="Arial"/>
          <w:sz w:val="22"/>
          <w:szCs w:val="22"/>
          <w:color w:val="auto"/>
        </w:rPr>
        <w:t>. Individual accounts will be maintained for each Participant in the Sub-Plan. Statements of account will be given to participating Employees annually promptly following the Exercise Date, which statements will set forth the amounts of payroll deductions or other approved contributions, the per share purchase price, the number of shares purchased and the remaining cash balance refunded or to be refunded, if any.</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right="100" w:firstLine="656"/>
        <w:spacing w:after="0" w:line="320" w:lineRule="auto"/>
        <w:tabs>
          <w:tab w:leader="none" w:pos="1098"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Amendment or Termination</w:t>
      </w:r>
      <w:r>
        <w:rPr>
          <w:rFonts w:ascii="Arial" w:cs="Arial" w:eastAsia="Arial" w:hAnsi="Arial"/>
          <w:sz w:val="19"/>
          <w:szCs w:val="19"/>
          <w:color w:val="auto"/>
        </w:rPr>
        <w:t>. The Board of Directors of the Company or its Committee appointed pursuant to the U.S. Plan may at any time terminate or amend the Sub-Plan. No such termination can affect options previously granted, nor may an amendment make any change in any option theretofore granted which adversely affects the rights of any participant.</w:t>
      </w:r>
    </w:p>
    <w:p>
      <w:pPr>
        <w:spacing w:after="0" w:line="342" w:lineRule="exact"/>
        <w:rPr>
          <w:sz w:val="20"/>
          <w:szCs w:val="20"/>
          <w:color w:val="auto"/>
        </w:rPr>
      </w:pPr>
    </w:p>
    <w:p>
      <w:pPr>
        <w:ind w:right="40" w:firstLine="1297"/>
        <w:spacing w:after="0" w:line="259" w:lineRule="auto"/>
        <w:rPr>
          <w:sz w:val="20"/>
          <w:szCs w:val="20"/>
          <w:color w:val="auto"/>
        </w:rPr>
      </w:pPr>
      <w:r>
        <w:rPr>
          <w:rFonts w:ascii="Arial" w:cs="Arial" w:eastAsia="Arial" w:hAnsi="Arial"/>
          <w:sz w:val="21"/>
          <w:szCs w:val="21"/>
          <w:color w:val="auto"/>
        </w:rPr>
        <w:t>Notwithstanding any provision of the U.S. Plan or this Sub-Plan to the contrary, in order to comply with the laws in other countries in which the Company and its Subsidiaries operate or have participants, the Company, by action of its duly authorized officers, in their sole discretion, shall have the power and authority at any time to establish “offering document” and similar addendums to this Sub-Plan to modify administrative procedures and other terms and procedures, to the extent such actions may be necessary or advisable and take any action that it deems advisable to obtain approval or comply with any necessary local governmental regulatory exemptions or approvals. Notwithstanding the foregoing, no action may be taken hereunder that would violate the Exchange Act, the Code, any securities law or governing statute or any other applicable law or cause the U.S. Plan not to comply with Section 423 of the Code.</w:t>
      </w:r>
    </w:p>
    <w:p>
      <w:pPr>
        <w:spacing w:after="0" w:line="400" w:lineRule="exact"/>
        <w:rPr>
          <w:sz w:val="20"/>
          <w:szCs w:val="20"/>
          <w:color w:val="auto"/>
        </w:rPr>
      </w:pPr>
    </w:p>
    <w:p>
      <w:pPr>
        <w:ind w:right="300" w:firstLine="656"/>
        <w:spacing w:after="0" w:line="260" w:lineRule="auto"/>
        <w:tabs>
          <w:tab w:leader="none" w:pos="1098"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or other communications by a participant to the Company under or in connection with the Sub-Plan shall be deemed to have been duly given when received in the form specified by the Company at the location, or by the person, designated by the Company for the receipt thereof.</w:t>
      </w:r>
    </w:p>
    <w:p>
      <w:pPr>
        <w:spacing w:after="0" w:line="393" w:lineRule="exact"/>
        <w:rPr>
          <w:rFonts w:ascii="Arial" w:cs="Arial" w:eastAsia="Arial" w:hAnsi="Arial"/>
          <w:sz w:val="22"/>
          <w:szCs w:val="22"/>
          <w:color w:val="auto"/>
        </w:rPr>
      </w:pPr>
    </w:p>
    <w:p>
      <w:pPr>
        <w:ind w:right="800" w:firstLine="656"/>
        <w:spacing w:after="0" w:line="276" w:lineRule="auto"/>
        <w:tabs>
          <w:tab w:leader="none" w:pos="1098"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Term of Sub-Plan</w:t>
      </w:r>
      <w:r>
        <w:rPr>
          <w:rFonts w:ascii="Arial" w:cs="Arial" w:eastAsia="Arial" w:hAnsi="Arial"/>
          <w:sz w:val="22"/>
          <w:szCs w:val="22"/>
          <w:color w:val="auto"/>
        </w:rPr>
        <w:t>. The Sub-Plan became effective on December 6, 2007, and shall continue in effect until the expiration or termination of the U.S. Plan.</w:t>
      </w:r>
    </w:p>
    <w:p>
      <w:pPr>
        <w:spacing w:after="0" w:line="377" w:lineRule="exact"/>
        <w:rPr>
          <w:rFonts w:ascii="Arial" w:cs="Arial" w:eastAsia="Arial" w:hAnsi="Arial"/>
          <w:sz w:val="22"/>
          <w:szCs w:val="22"/>
          <w:color w:val="auto"/>
        </w:rPr>
      </w:pPr>
    </w:p>
    <w:p>
      <w:pPr>
        <w:ind w:right="120" w:firstLine="656"/>
        <w:spacing w:after="0" w:line="266" w:lineRule="auto"/>
        <w:tabs>
          <w:tab w:leader="none" w:pos="1098"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Governing Laws</w:t>
      </w:r>
      <w:r>
        <w:rPr>
          <w:rFonts w:ascii="Arial" w:cs="Arial" w:eastAsia="Arial" w:hAnsi="Arial"/>
          <w:sz w:val="21"/>
          <w:szCs w:val="21"/>
          <w:color w:val="auto"/>
        </w:rPr>
        <w:t>. Except as otherwise expressly required under the laws of the local jurisdiction, the Sub-Plan and all rights hereunder shall be governed by and construed in accordance with the laws of the state of California, United States of America without resort to that state’s conflict-of-laws rules. Should any provision of this Sub-Plan be determined by a court of competent jurisdiction to be unlawful or unenforceable for a country, such determination shall in no way affect the application of that provision in any other country, or any of the remaining provisions of the Sub-Plan.</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80"/>
          </w:cols>
          <w:pgMar w:left="240" w:top="591" w:right="279" w:bottom="1440" w:gutter="0" w:footer="0" w:header="0"/>
        </w:sectPr>
      </w:pPr>
    </w:p>
    <w:bookmarkStart w:id="95" w:name="page96"/>
    <w:bookmarkEnd w:id="95"/>
    <w:p>
      <w:pPr>
        <w:ind w:left="5200"/>
        <w:spacing w:after="0"/>
        <w:rPr>
          <w:sz w:val="20"/>
          <w:szCs w:val="20"/>
          <w:color w:val="auto"/>
        </w:rPr>
      </w:pPr>
      <w:r>
        <w:rPr>
          <w:rFonts w:ascii="Arial" w:cs="Arial" w:eastAsia="Arial" w:hAnsi="Arial"/>
          <w:sz w:val="22"/>
          <w:szCs w:val="22"/>
          <w:b w:val="1"/>
          <w:bCs w:val="1"/>
          <w:u w:val="single" w:color="auto"/>
          <w:color w:val="auto"/>
        </w:rPr>
        <w:t>Schedule A</w:t>
      </w:r>
    </w:p>
    <w:p>
      <w:pPr>
        <w:spacing w:after="0" w:line="200" w:lineRule="exact"/>
        <w:rPr>
          <w:sz w:val="20"/>
          <w:szCs w:val="20"/>
          <w:color w:val="auto"/>
        </w:rPr>
      </w:pPr>
    </w:p>
    <w:p>
      <w:pPr>
        <w:spacing w:after="0" w:line="236" w:lineRule="exact"/>
        <w:rPr>
          <w:sz w:val="20"/>
          <w:szCs w:val="20"/>
          <w:color w:val="auto"/>
        </w:rPr>
      </w:pPr>
    </w:p>
    <w:p>
      <w:pPr>
        <w:jc w:val="center"/>
        <w:ind w:left="900" w:right="1940"/>
        <w:spacing w:after="0" w:line="256" w:lineRule="auto"/>
        <w:rPr>
          <w:sz w:val="20"/>
          <w:szCs w:val="20"/>
          <w:color w:val="auto"/>
        </w:rPr>
      </w:pPr>
      <w:r>
        <w:rPr>
          <w:rFonts w:ascii="Arial" w:cs="Arial" w:eastAsia="Arial" w:hAnsi="Arial"/>
          <w:sz w:val="22"/>
          <w:szCs w:val="22"/>
          <w:b w:val="1"/>
          <w:bCs w:val="1"/>
          <w:color w:val="auto"/>
        </w:rPr>
        <w:t>Countries with Eligible Employees of Affiliates Participating in the International Employee Stock Purchase Plan (as of June 10, 2014)</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auto"/>
        </w:rPr>
        <w:t>Australia</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Austria</w:t>
      </w:r>
    </w:p>
    <w:p>
      <w:pPr>
        <w:spacing w:after="0"/>
        <w:rPr>
          <w:sz w:val="20"/>
          <w:szCs w:val="20"/>
          <w:color w:val="auto"/>
        </w:rPr>
      </w:pPr>
      <w:r>
        <w:rPr>
          <w:rFonts w:ascii="Arial" w:cs="Arial" w:eastAsia="Arial" w:hAnsi="Arial"/>
          <w:sz w:val="20"/>
          <w:szCs w:val="20"/>
          <w:color w:val="auto"/>
        </w:rPr>
        <w:t>Belgium</w:t>
      </w:r>
    </w:p>
    <w:p>
      <w:pPr>
        <w:spacing w:after="0"/>
        <w:rPr>
          <w:sz w:val="20"/>
          <w:szCs w:val="20"/>
          <w:color w:val="auto"/>
        </w:rPr>
      </w:pPr>
      <w:r>
        <w:rPr>
          <w:rFonts w:ascii="Arial" w:cs="Arial" w:eastAsia="Arial" w:hAnsi="Arial"/>
          <w:sz w:val="20"/>
          <w:szCs w:val="20"/>
          <w:color w:val="auto"/>
        </w:rPr>
        <w:t>Canada</w:t>
      </w:r>
    </w:p>
    <w:p>
      <w:pPr>
        <w:spacing w:after="0"/>
        <w:rPr>
          <w:sz w:val="20"/>
          <w:szCs w:val="20"/>
          <w:color w:val="auto"/>
        </w:rPr>
      </w:pPr>
      <w:r>
        <w:rPr>
          <w:rFonts w:ascii="Arial" w:cs="Arial" w:eastAsia="Arial" w:hAnsi="Arial"/>
          <w:sz w:val="20"/>
          <w:szCs w:val="20"/>
          <w:color w:val="auto"/>
        </w:rPr>
        <w:t>China*</w:t>
      </w:r>
    </w:p>
    <w:p>
      <w:pPr>
        <w:spacing w:after="0"/>
        <w:rPr>
          <w:sz w:val="20"/>
          <w:szCs w:val="20"/>
          <w:color w:val="auto"/>
        </w:rPr>
      </w:pPr>
      <w:r>
        <w:rPr>
          <w:rFonts w:ascii="Arial" w:cs="Arial" w:eastAsia="Arial" w:hAnsi="Arial"/>
          <w:sz w:val="20"/>
          <w:szCs w:val="20"/>
          <w:color w:val="auto"/>
        </w:rPr>
        <w:t>Czech Republic</w:t>
      </w:r>
    </w:p>
    <w:p>
      <w:pPr>
        <w:spacing w:after="0"/>
        <w:rPr>
          <w:sz w:val="20"/>
          <w:szCs w:val="20"/>
          <w:color w:val="auto"/>
        </w:rPr>
      </w:pPr>
      <w:r>
        <w:rPr>
          <w:rFonts w:ascii="Arial" w:cs="Arial" w:eastAsia="Arial" w:hAnsi="Arial"/>
          <w:sz w:val="20"/>
          <w:szCs w:val="20"/>
          <w:color w:val="auto"/>
        </w:rPr>
        <w:t>Denmark</w:t>
      </w:r>
    </w:p>
    <w:p>
      <w:pPr>
        <w:spacing w:after="0"/>
        <w:rPr>
          <w:sz w:val="20"/>
          <w:szCs w:val="20"/>
          <w:color w:val="auto"/>
        </w:rPr>
      </w:pPr>
      <w:r>
        <w:rPr>
          <w:rFonts w:ascii="Arial" w:cs="Arial" w:eastAsia="Arial" w:hAnsi="Arial"/>
          <w:sz w:val="20"/>
          <w:szCs w:val="20"/>
          <w:color w:val="auto"/>
        </w:rPr>
        <w:t>Finland</w:t>
      </w:r>
    </w:p>
    <w:p>
      <w:pPr>
        <w:spacing w:after="0"/>
        <w:rPr>
          <w:sz w:val="20"/>
          <w:szCs w:val="20"/>
          <w:color w:val="auto"/>
        </w:rPr>
      </w:pPr>
      <w:r>
        <w:rPr>
          <w:rFonts w:ascii="Arial" w:cs="Arial" w:eastAsia="Arial" w:hAnsi="Arial"/>
          <w:sz w:val="20"/>
          <w:szCs w:val="20"/>
          <w:color w:val="auto"/>
        </w:rPr>
        <w:t>France</w:t>
      </w:r>
    </w:p>
    <w:p>
      <w:pPr>
        <w:spacing w:after="0"/>
        <w:rPr>
          <w:sz w:val="20"/>
          <w:szCs w:val="20"/>
          <w:color w:val="auto"/>
        </w:rPr>
      </w:pPr>
      <w:r>
        <w:rPr>
          <w:rFonts w:ascii="Arial" w:cs="Arial" w:eastAsia="Arial" w:hAnsi="Arial"/>
          <w:sz w:val="20"/>
          <w:szCs w:val="20"/>
          <w:color w:val="auto"/>
        </w:rPr>
        <w:t>Germany</w:t>
      </w:r>
    </w:p>
    <w:p>
      <w:pPr>
        <w:spacing w:after="0"/>
        <w:rPr>
          <w:sz w:val="20"/>
          <w:szCs w:val="20"/>
          <w:color w:val="auto"/>
        </w:rPr>
      </w:pPr>
      <w:r>
        <w:rPr>
          <w:rFonts w:ascii="Arial" w:cs="Arial" w:eastAsia="Arial" w:hAnsi="Arial"/>
          <w:sz w:val="20"/>
          <w:szCs w:val="20"/>
          <w:color w:val="auto"/>
        </w:rPr>
        <w:t>Greece</w:t>
      </w:r>
    </w:p>
    <w:p>
      <w:pPr>
        <w:spacing w:after="0"/>
        <w:rPr>
          <w:sz w:val="20"/>
          <w:szCs w:val="20"/>
          <w:color w:val="auto"/>
        </w:rPr>
      </w:pPr>
      <w:r>
        <w:rPr>
          <w:rFonts w:ascii="Arial" w:cs="Arial" w:eastAsia="Arial" w:hAnsi="Arial"/>
          <w:sz w:val="20"/>
          <w:szCs w:val="20"/>
          <w:color w:val="auto"/>
        </w:rPr>
        <w:t>Hong Kong</w:t>
      </w:r>
    </w:p>
    <w:p>
      <w:pPr>
        <w:spacing w:after="0"/>
        <w:rPr>
          <w:sz w:val="20"/>
          <w:szCs w:val="20"/>
          <w:color w:val="auto"/>
        </w:rPr>
      </w:pPr>
      <w:r>
        <w:rPr>
          <w:rFonts w:ascii="Arial" w:cs="Arial" w:eastAsia="Arial" w:hAnsi="Arial"/>
          <w:sz w:val="20"/>
          <w:szCs w:val="20"/>
          <w:color w:val="auto"/>
        </w:rPr>
        <w:t>Hungary</w:t>
      </w:r>
    </w:p>
    <w:p>
      <w:pPr>
        <w:spacing w:after="0"/>
        <w:rPr>
          <w:sz w:val="20"/>
          <w:szCs w:val="20"/>
          <w:color w:val="auto"/>
        </w:rPr>
      </w:pPr>
      <w:r>
        <w:rPr>
          <w:rFonts w:ascii="Arial" w:cs="Arial" w:eastAsia="Arial" w:hAnsi="Arial"/>
          <w:sz w:val="20"/>
          <w:szCs w:val="20"/>
          <w:color w:val="auto"/>
        </w:rPr>
        <w:t>India</w:t>
      </w:r>
    </w:p>
    <w:p>
      <w:pPr>
        <w:spacing w:after="0"/>
        <w:rPr>
          <w:sz w:val="20"/>
          <w:szCs w:val="20"/>
          <w:color w:val="auto"/>
        </w:rPr>
      </w:pPr>
      <w:r>
        <w:rPr>
          <w:rFonts w:ascii="Arial" w:cs="Arial" w:eastAsia="Arial" w:hAnsi="Arial"/>
          <w:sz w:val="20"/>
          <w:szCs w:val="20"/>
          <w:color w:val="auto"/>
        </w:rPr>
        <w:t>Indonesia</w:t>
      </w:r>
    </w:p>
    <w:p>
      <w:pPr>
        <w:spacing w:after="0"/>
        <w:rPr>
          <w:sz w:val="20"/>
          <w:szCs w:val="20"/>
          <w:color w:val="auto"/>
        </w:rPr>
      </w:pPr>
      <w:r>
        <w:rPr>
          <w:rFonts w:ascii="Arial" w:cs="Arial" w:eastAsia="Arial" w:hAnsi="Arial"/>
          <w:sz w:val="20"/>
          <w:szCs w:val="20"/>
          <w:color w:val="auto"/>
        </w:rPr>
        <w:t>Ireland</w:t>
      </w:r>
    </w:p>
    <w:p>
      <w:pPr>
        <w:spacing w:after="0"/>
        <w:rPr>
          <w:sz w:val="20"/>
          <w:szCs w:val="20"/>
          <w:color w:val="auto"/>
        </w:rPr>
      </w:pPr>
      <w:r>
        <w:rPr>
          <w:rFonts w:ascii="Arial" w:cs="Arial" w:eastAsia="Arial" w:hAnsi="Arial"/>
          <w:sz w:val="20"/>
          <w:szCs w:val="20"/>
          <w:color w:val="auto"/>
        </w:rPr>
        <w:t>Israel</w:t>
      </w:r>
    </w:p>
    <w:p>
      <w:pPr>
        <w:spacing w:after="0"/>
        <w:rPr>
          <w:sz w:val="20"/>
          <w:szCs w:val="20"/>
          <w:color w:val="auto"/>
        </w:rPr>
      </w:pPr>
      <w:r>
        <w:rPr>
          <w:rFonts w:ascii="Arial" w:cs="Arial" w:eastAsia="Arial" w:hAnsi="Arial"/>
          <w:sz w:val="20"/>
          <w:szCs w:val="20"/>
          <w:color w:val="auto"/>
        </w:rPr>
        <w:t>Italy</w:t>
      </w:r>
    </w:p>
    <w:p>
      <w:pPr>
        <w:spacing w:after="0"/>
        <w:rPr>
          <w:sz w:val="20"/>
          <w:szCs w:val="20"/>
          <w:color w:val="auto"/>
        </w:rPr>
      </w:pPr>
      <w:r>
        <w:rPr>
          <w:rFonts w:ascii="Arial" w:cs="Arial" w:eastAsia="Arial" w:hAnsi="Arial"/>
          <w:sz w:val="20"/>
          <w:szCs w:val="20"/>
          <w:color w:val="auto"/>
        </w:rPr>
        <w:t>Japan</w:t>
      </w:r>
    </w:p>
    <w:p>
      <w:pPr>
        <w:spacing w:after="0"/>
        <w:rPr>
          <w:sz w:val="20"/>
          <w:szCs w:val="20"/>
          <w:color w:val="auto"/>
        </w:rPr>
      </w:pPr>
      <w:r>
        <w:rPr>
          <w:rFonts w:ascii="Arial" w:cs="Arial" w:eastAsia="Arial" w:hAnsi="Arial"/>
          <w:sz w:val="20"/>
          <w:szCs w:val="20"/>
          <w:color w:val="auto"/>
        </w:rPr>
        <w:t>Malaysia</w:t>
      </w:r>
    </w:p>
    <w:p>
      <w:pPr>
        <w:spacing w:after="0"/>
        <w:rPr>
          <w:sz w:val="20"/>
          <w:szCs w:val="20"/>
          <w:color w:val="auto"/>
        </w:rPr>
      </w:pPr>
      <w:r>
        <w:rPr>
          <w:rFonts w:ascii="Arial" w:cs="Arial" w:eastAsia="Arial" w:hAnsi="Arial"/>
          <w:sz w:val="20"/>
          <w:szCs w:val="20"/>
          <w:color w:val="auto"/>
        </w:rPr>
        <w:t>Netherlands</w:t>
      </w:r>
    </w:p>
    <w:p>
      <w:pPr>
        <w:spacing w:after="0"/>
        <w:rPr>
          <w:sz w:val="20"/>
          <w:szCs w:val="20"/>
          <w:color w:val="auto"/>
        </w:rPr>
      </w:pPr>
      <w:r>
        <w:rPr>
          <w:rFonts w:ascii="Arial" w:cs="Arial" w:eastAsia="Arial" w:hAnsi="Arial"/>
          <w:sz w:val="20"/>
          <w:szCs w:val="20"/>
          <w:color w:val="auto"/>
        </w:rPr>
        <w:t>New Zealand</w:t>
      </w:r>
    </w:p>
    <w:p>
      <w:pPr>
        <w:spacing w:after="0"/>
        <w:rPr>
          <w:sz w:val="20"/>
          <w:szCs w:val="20"/>
          <w:color w:val="auto"/>
        </w:rPr>
      </w:pPr>
      <w:r>
        <w:rPr>
          <w:rFonts w:ascii="Arial" w:cs="Arial" w:eastAsia="Arial" w:hAnsi="Arial"/>
          <w:sz w:val="20"/>
          <w:szCs w:val="20"/>
          <w:color w:val="auto"/>
        </w:rPr>
        <w:t>Norway</w:t>
      </w:r>
    </w:p>
    <w:p>
      <w:pPr>
        <w:spacing w:after="0"/>
        <w:rPr>
          <w:sz w:val="20"/>
          <w:szCs w:val="20"/>
          <w:color w:val="auto"/>
        </w:rPr>
      </w:pPr>
      <w:r>
        <w:rPr>
          <w:rFonts w:ascii="Arial" w:cs="Arial" w:eastAsia="Arial" w:hAnsi="Arial"/>
          <w:sz w:val="20"/>
          <w:szCs w:val="20"/>
          <w:color w:val="auto"/>
        </w:rPr>
        <w:t>Philippines</w:t>
      </w:r>
    </w:p>
    <w:p>
      <w:pPr>
        <w:spacing w:after="0"/>
        <w:rPr>
          <w:sz w:val="20"/>
          <w:szCs w:val="20"/>
          <w:color w:val="auto"/>
        </w:rPr>
      </w:pPr>
      <w:r>
        <w:rPr>
          <w:rFonts w:ascii="Arial" w:cs="Arial" w:eastAsia="Arial" w:hAnsi="Arial"/>
          <w:sz w:val="20"/>
          <w:szCs w:val="20"/>
          <w:color w:val="auto"/>
        </w:rPr>
        <w:t>Poland</w:t>
      </w:r>
    </w:p>
    <w:p>
      <w:pPr>
        <w:spacing w:after="0"/>
        <w:rPr>
          <w:sz w:val="20"/>
          <w:szCs w:val="20"/>
          <w:color w:val="auto"/>
        </w:rPr>
      </w:pPr>
      <w:r>
        <w:rPr>
          <w:rFonts w:ascii="Arial" w:cs="Arial" w:eastAsia="Arial" w:hAnsi="Arial"/>
          <w:sz w:val="20"/>
          <w:szCs w:val="20"/>
          <w:color w:val="auto"/>
        </w:rPr>
        <w:t>Portugal</w:t>
      </w:r>
    </w:p>
    <w:p>
      <w:pPr>
        <w:spacing w:after="0"/>
        <w:rPr>
          <w:sz w:val="20"/>
          <w:szCs w:val="20"/>
          <w:color w:val="auto"/>
        </w:rPr>
      </w:pPr>
      <w:r>
        <w:rPr>
          <w:rFonts w:ascii="Arial" w:cs="Arial" w:eastAsia="Arial" w:hAnsi="Arial"/>
          <w:sz w:val="20"/>
          <w:szCs w:val="20"/>
          <w:color w:val="auto"/>
        </w:rPr>
        <w:t>Qatar</w:t>
      </w:r>
    </w:p>
    <w:p>
      <w:pPr>
        <w:spacing w:after="0"/>
        <w:rPr>
          <w:sz w:val="20"/>
          <w:szCs w:val="20"/>
          <w:color w:val="auto"/>
        </w:rPr>
      </w:pPr>
      <w:r>
        <w:rPr>
          <w:rFonts w:ascii="Arial" w:cs="Arial" w:eastAsia="Arial" w:hAnsi="Arial"/>
          <w:sz w:val="20"/>
          <w:szCs w:val="20"/>
          <w:color w:val="auto"/>
        </w:rPr>
        <w:t>Romania</w:t>
      </w:r>
    </w:p>
    <w:p>
      <w:pPr>
        <w:spacing w:after="0"/>
        <w:rPr>
          <w:sz w:val="20"/>
          <w:szCs w:val="20"/>
          <w:color w:val="auto"/>
        </w:rPr>
      </w:pPr>
      <w:r>
        <w:rPr>
          <w:rFonts w:ascii="Arial" w:cs="Arial" w:eastAsia="Arial" w:hAnsi="Arial"/>
          <w:sz w:val="20"/>
          <w:szCs w:val="20"/>
          <w:color w:val="auto"/>
        </w:rPr>
        <w:t>Singapore</w:t>
      </w:r>
    </w:p>
    <w:p>
      <w:pPr>
        <w:spacing w:after="0"/>
        <w:rPr>
          <w:sz w:val="20"/>
          <w:szCs w:val="20"/>
          <w:color w:val="auto"/>
        </w:rPr>
      </w:pPr>
      <w:r>
        <w:rPr>
          <w:rFonts w:ascii="Arial" w:cs="Arial" w:eastAsia="Arial" w:hAnsi="Arial"/>
          <w:sz w:val="20"/>
          <w:szCs w:val="20"/>
          <w:color w:val="auto"/>
        </w:rPr>
        <w:t>South Korea</w:t>
      </w:r>
    </w:p>
    <w:p>
      <w:pPr>
        <w:spacing w:after="0"/>
        <w:rPr>
          <w:sz w:val="20"/>
          <w:szCs w:val="20"/>
          <w:color w:val="auto"/>
        </w:rPr>
      </w:pPr>
      <w:r>
        <w:rPr>
          <w:rFonts w:ascii="Arial" w:cs="Arial" w:eastAsia="Arial" w:hAnsi="Arial"/>
          <w:sz w:val="20"/>
          <w:szCs w:val="20"/>
          <w:color w:val="auto"/>
        </w:rPr>
        <w:t>Spain</w:t>
      </w:r>
    </w:p>
    <w:p>
      <w:pPr>
        <w:spacing w:after="0"/>
        <w:rPr>
          <w:sz w:val="20"/>
          <w:szCs w:val="20"/>
          <w:color w:val="auto"/>
        </w:rPr>
      </w:pPr>
      <w:r>
        <w:rPr>
          <w:rFonts w:ascii="Arial" w:cs="Arial" w:eastAsia="Arial" w:hAnsi="Arial"/>
          <w:sz w:val="20"/>
          <w:szCs w:val="20"/>
          <w:color w:val="auto"/>
        </w:rPr>
        <w:t>Sweden</w:t>
      </w:r>
    </w:p>
    <w:p>
      <w:pPr>
        <w:spacing w:after="0"/>
        <w:rPr>
          <w:sz w:val="20"/>
          <w:szCs w:val="20"/>
          <w:color w:val="auto"/>
        </w:rPr>
      </w:pPr>
      <w:r>
        <w:rPr>
          <w:rFonts w:ascii="Arial" w:cs="Arial" w:eastAsia="Arial" w:hAnsi="Arial"/>
          <w:sz w:val="20"/>
          <w:szCs w:val="20"/>
          <w:color w:val="auto"/>
        </w:rPr>
        <w:t>Switzerland</w:t>
      </w:r>
    </w:p>
    <w:p>
      <w:pPr>
        <w:spacing w:after="0"/>
        <w:rPr>
          <w:sz w:val="20"/>
          <w:szCs w:val="20"/>
          <w:color w:val="auto"/>
        </w:rPr>
      </w:pPr>
      <w:r>
        <w:rPr>
          <w:rFonts w:ascii="Arial" w:cs="Arial" w:eastAsia="Arial" w:hAnsi="Arial"/>
          <w:sz w:val="20"/>
          <w:szCs w:val="20"/>
          <w:color w:val="auto"/>
        </w:rPr>
        <w:t>Taiwan</w:t>
      </w:r>
    </w:p>
    <w:p>
      <w:pPr>
        <w:spacing w:after="0"/>
        <w:rPr>
          <w:sz w:val="20"/>
          <w:szCs w:val="20"/>
          <w:color w:val="auto"/>
        </w:rPr>
      </w:pPr>
      <w:r>
        <w:rPr>
          <w:rFonts w:ascii="Arial" w:cs="Arial" w:eastAsia="Arial" w:hAnsi="Arial"/>
          <w:sz w:val="20"/>
          <w:szCs w:val="20"/>
          <w:color w:val="auto"/>
        </w:rPr>
        <w:t>Thailand</w:t>
      </w:r>
    </w:p>
    <w:p>
      <w:pPr>
        <w:spacing w:after="0"/>
        <w:rPr>
          <w:sz w:val="20"/>
          <w:szCs w:val="20"/>
          <w:color w:val="auto"/>
        </w:rPr>
      </w:pPr>
      <w:r>
        <w:rPr>
          <w:rFonts w:ascii="Arial" w:cs="Arial" w:eastAsia="Arial" w:hAnsi="Arial"/>
          <w:sz w:val="20"/>
          <w:szCs w:val="20"/>
          <w:color w:val="auto"/>
        </w:rPr>
        <w:t>Turkey</w:t>
      </w:r>
    </w:p>
    <w:p>
      <w:pPr>
        <w:spacing w:after="0"/>
        <w:rPr>
          <w:sz w:val="20"/>
          <w:szCs w:val="20"/>
          <w:color w:val="auto"/>
        </w:rPr>
      </w:pPr>
      <w:r>
        <w:rPr>
          <w:rFonts w:ascii="Arial" w:cs="Arial" w:eastAsia="Arial" w:hAnsi="Arial"/>
          <w:sz w:val="20"/>
          <w:szCs w:val="20"/>
          <w:color w:val="auto"/>
        </w:rPr>
        <w:t>United Arab Emirates</w:t>
      </w:r>
    </w:p>
    <w:p>
      <w:pPr>
        <w:spacing w:after="0"/>
        <w:rPr>
          <w:sz w:val="20"/>
          <w:szCs w:val="20"/>
          <w:color w:val="auto"/>
        </w:rPr>
      </w:pPr>
      <w:r>
        <w:rPr>
          <w:rFonts w:ascii="Arial" w:cs="Arial" w:eastAsia="Arial" w:hAnsi="Arial"/>
          <w:sz w:val="20"/>
          <w:szCs w:val="20"/>
          <w:color w:val="auto"/>
        </w:rPr>
        <w:t>United Kingdom</w:t>
      </w:r>
    </w:p>
    <w:p>
      <w:pPr>
        <w:spacing w:after="0" w:line="213" w:lineRule="exact"/>
        <w:rPr>
          <w:sz w:val="20"/>
          <w:szCs w:val="20"/>
          <w:color w:val="auto"/>
        </w:rPr>
      </w:pPr>
    </w:p>
    <w:p>
      <w:pPr>
        <w:ind w:left="160" w:hanging="152"/>
        <w:spacing w:after="0"/>
        <w:tabs>
          <w:tab w:leader="none" w:pos="1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Employees of Delcam subsidiaries located in China are not eligible to participate in the International Employee Stock Purchase Plan.</w:t>
      </w:r>
    </w:p>
    <w:p>
      <w:pPr>
        <w:spacing w:after="0" w:line="297" w:lineRule="exact"/>
        <w:rPr>
          <w:rFonts w:ascii="Arial" w:cs="Arial" w:eastAsia="Arial" w:hAnsi="Arial"/>
          <w:sz w:val="16"/>
          <w:szCs w:val="16"/>
          <w:color w:val="auto"/>
        </w:rPr>
      </w:pPr>
    </w:p>
    <w:p>
      <w:pPr>
        <w:ind w:left="5660"/>
        <w:spacing w:after="0"/>
        <w:rPr>
          <w:rFonts w:ascii="Arial" w:cs="Arial" w:eastAsia="Arial" w:hAnsi="Arial"/>
          <w:sz w:val="16"/>
          <w:szCs w:val="16"/>
          <w:color w:val="auto"/>
        </w:rPr>
      </w:pPr>
      <w:r>
        <w:rPr>
          <w:rFonts w:ascii="Arial" w:cs="Arial" w:eastAsia="Arial" w:hAnsi="Arial"/>
          <w:sz w:val="22"/>
          <w:szCs w:val="22"/>
          <w:color w:val="auto"/>
        </w:rPr>
        <w:t>6</w:t>
      </w:r>
    </w:p>
    <w:p>
      <w:pPr>
        <w:sectPr>
          <w:pgSz w:w="11900" w:h="16838" w:orient="portrait"/>
          <w:cols w:equalWidth="0" w:num="1">
            <w:col w:w="10700"/>
          </w:cols>
          <w:pgMar w:left="240" w:top="585" w:right="95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Carl Bass, certify that:</w:t>
      </w:r>
    </w:p>
    <w:p>
      <w:pPr>
        <w:spacing w:after="0" w:line="171"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6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2"/>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2"/>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 2014</w:t>
      </w:r>
    </w:p>
    <w:p>
      <w:pPr>
        <w:spacing w:after="0" w:line="252"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31750</wp:posOffset>
            </wp:positionV>
            <wp:extent cx="31216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57"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Carl Bass</w:t>
      </w:r>
    </w:p>
    <w:p>
      <w:pPr>
        <w:spacing w:after="0" w:line="73" w:lineRule="exact"/>
        <w:rPr>
          <w:sz w:val="20"/>
          <w:szCs w:val="20"/>
          <w:color w:val="auto"/>
        </w:rPr>
      </w:pPr>
    </w:p>
    <w:p>
      <w:pPr>
        <w:ind w:left="6800"/>
        <w:spacing w:after="0"/>
        <w:rPr>
          <w:sz w:val="20"/>
          <w:szCs w:val="20"/>
          <w:color w:val="auto"/>
        </w:rPr>
      </w:pPr>
      <w:r>
        <w:rPr>
          <w:rFonts w:ascii="Arial" w:cs="Arial" w:eastAsia="Arial" w:hAnsi="Arial"/>
          <w:sz w:val="15"/>
          <w:szCs w:val="15"/>
          <w:b w:val="1"/>
          <w:bCs w:val="1"/>
          <w:color w:val="auto"/>
        </w:rPr>
        <w:t>Chief Executive Officer, President and Interim Chief Financial</w:t>
      </w:r>
    </w:p>
    <w:p>
      <w:pPr>
        <w:spacing w:after="0" w:line="38" w:lineRule="exact"/>
        <w:rPr>
          <w:sz w:val="20"/>
          <w:szCs w:val="20"/>
          <w:color w:val="auto"/>
        </w:rPr>
      </w:pPr>
    </w:p>
    <w:p>
      <w:pPr>
        <w:jc w:val="center"/>
        <w:ind w:left="6500"/>
        <w:spacing w:after="0"/>
        <w:rPr>
          <w:sz w:val="20"/>
          <w:szCs w:val="20"/>
          <w:color w:val="auto"/>
        </w:rPr>
      </w:pPr>
      <w:r>
        <w:rPr>
          <w:rFonts w:ascii="Arial" w:cs="Arial" w:eastAsia="Arial" w:hAnsi="Arial"/>
          <w:sz w:val="16"/>
          <w:szCs w:val="16"/>
          <w:b w:val="1"/>
          <w:bCs w:val="1"/>
          <w:color w:val="auto"/>
        </w:rPr>
        <w:t>Officer</w:t>
      </w:r>
    </w:p>
    <w:p>
      <w:pPr>
        <w:spacing w:after="0" w:line="19" w:lineRule="exact"/>
        <w:rPr>
          <w:sz w:val="20"/>
          <w:szCs w:val="20"/>
          <w:color w:val="auto"/>
        </w:rPr>
      </w:pPr>
    </w:p>
    <w:p>
      <w:pPr>
        <w:jc w:val="center"/>
        <w:ind w:left="6500"/>
        <w:spacing w:after="0"/>
        <w:rPr>
          <w:sz w:val="20"/>
          <w:szCs w:val="20"/>
          <w:color w:val="auto"/>
        </w:rPr>
      </w:pPr>
      <w:r>
        <w:rPr>
          <w:rFonts w:ascii="Arial" w:cs="Arial" w:eastAsia="Arial" w:hAnsi="Arial"/>
          <w:sz w:val="16"/>
          <w:szCs w:val="16"/>
          <w:b w:val="1"/>
          <w:bCs w:val="1"/>
          <w:color w:val="auto"/>
        </w:rPr>
        <w:t>(Principal Executive Officer and Principal Financial Officer)</w:t>
      </w:r>
    </w:p>
    <w:p>
      <w:pPr>
        <w:sectPr>
          <w:pgSz w:w="11900" w:h="16838" w:orient="portrait"/>
          <w:cols w:equalWidth="0" w:num="1">
            <w:col w:w="11420"/>
          </w:cols>
          <w:pgMar w:left="240" w:top="661"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Based on my knowledge, I, Carl Bass, certify, pursuant to 18 U.S.C. Section 1350, as adopted pursuant to Section 906 of the Sarbanes-Oxley Act of 2002, that the Quarterly Report of Autodesk, Inc. on Form 10-Q for the quarterly period ended July 31, 2014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 2014</w:t>
      </w:r>
    </w:p>
    <w:p>
      <w:pPr>
        <w:spacing w:after="0" w:line="252" w:lineRule="exact"/>
        <w:rPr>
          <w:sz w:val="20"/>
          <w:szCs w:val="20"/>
          <w:color w:val="auto"/>
        </w:rPr>
      </w:pPr>
    </w:p>
    <w:p>
      <w:pPr>
        <w:jc w:val="center"/>
        <w:ind w:left="692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4396105</wp:posOffset>
            </wp:positionH>
            <wp:positionV relativeFrom="paragraph">
              <wp:posOffset>31750</wp:posOffset>
            </wp:positionV>
            <wp:extent cx="28555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57" w:lineRule="exact"/>
        <w:rPr>
          <w:sz w:val="20"/>
          <w:szCs w:val="20"/>
          <w:color w:val="auto"/>
        </w:rPr>
      </w:pPr>
    </w:p>
    <w:p>
      <w:pPr>
        <w:ind w:left="8840"/>
        <w:spacing w:after="0"/>
        <w:rPr>
          <w:sz w:val="20"/>
          <w:szCs w:val="20"/>
          <w:color w:val="auto"/>
        </w:rPr>
      </w:pPr>
      <w:r>
        <w:rPr>
          <w:rFonts w:ascii="Arial" w:cs="Arial" w:eastAsia="Arial" w:hAnsi="Arial"/>
          <w:sz w:val="16"/>
          <w:szCs w:val="16"/>
          <w:b w:val="1"/>
          <w:bCs w:val="1"/>
          <w:color w:val="auto"/>
        </w:rPr>
        <w:t>Carl Bass</w:t>
      </w:r>
    </w:p>
    <w:p>
      <w:pPr>
        <w:spacing w:after="0" w:line="73" w:lineRule="exact"/>
        <w:rPr>
          <w:sz w:val="20"/>
          <w:szCs w:val="20"/>
          <w:color w:val="auto"/>
        </w:rPr>
      </w:pPr>
    </w:p>
    <w:p>
      <w:pPr>
        <w:ind w:left="7000"/>
        <w:spacing w:after="0"/>
        <w:rPr>
          <w:sz w:val="20"/>
          <w:szCs w:val="20"/>
          <w:color w:val="auto"/>
        </w:rPr>
      </w:pPr>
      <w:r>
        <w:rPr>
          <w:rFonts w:ascii="Arial" w:cs="Arial" w:eastAsia="Arial" w:hAnsi="Arial"/>
          <w:sz w:val="15"/>
          <w:szCs w:val="15"/>
          <w:b w:val="1"/>
          <w:bCs w:val="1"/>
          <w:color w:val="auto"/>
        </w:rPr>
        <w:t>Chief Executive Officer, President and Interim Chief Financial</w:t>
      </w:r>
    </w:p>
    <w:p>
      <w:pPr>
        <w:spacing w:after="0" w:line="38" w:lineRule="exact"/>
        <w:rPr>
          <w:sz w:val="20"/>
          <w:szCs w:val="20"/>
          <w:color w:val="auto"/>
        </w:rPr>
      </w:pPr>
    </w:p>
    <w:p>
      <w:pPr>
        <w:jc w:val="center"/>
        <w:ind w:left="6920"/>
        <w:spacing w:after="0"/>
        <w:rPr>
          <w:sz w:val="20"/>
          <w:szCs w:val="20"/>
          <w:color w:val="auto"/>
        </w:rPr>
      </w:pPr>
      <w:r>
        <w:rPr>
          <w:rFonts w:ascii="Arial" w:cs="Arial" w:eastAsia="Arial" w:hAnsi="Arial"/>
          <w:sz w:val="16"/>
          <w:szCs w:val="16"/>
          <w:b w:val="1"/>
          <w:bCs w:val="1"/>
          <w:color w:val="auto"/>
        </w:rPr>
        <w:t>Officer</w:t>
      </w:r>
    </w:p>
    <w:p>
      <w:pPr>
        <w:spacing w:after="0" w:line="19" w:lineRule="exact"/>
        <w:rPr>
          <w:sz w:val="20"/>
          <w:szCs w:val="20"/>
          <w:color w:val="auto"/>
        </w:rPr>
      </w:pPr>
    </w:p>
    <w:p>
      <w:pPr>
        <w:jc w:val="center"/>
        <w:ind w:left="6920"/>
        <w:spacing w:after="0"/>
        <w:rPr>
          <w:sz w:val="20"/>
          <w:szCs w:val="20"/>
          <w:color w:val="auto"/>
        </w:rPr>
      </w:pPr>
      <w:r>
        <w:rPr>
          <w:rFonts w:ascii="Arial" w:cs="Arial" w:eastAsia="Arial" w:hAnsi="Arial"/>
          <w:sz w:val="16"/>
          <w:szCs w:val="16"/>
          <w:b w:val="1"/>
          <w:bCs w:val="1"/>
          <w:color w:val="auto"/>
        </w:rPr>
        <w:t>(Principal Executive Officer and Principal Financial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x"/>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decimal"/>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1)"/>
      <w:numFmt w:val="decimal"/>
      <w:start w:val="1"/>
    </w:lvl>
  </w:abstractNum>
  <w:abstractNum w:abstractNumId="5">
    <w:nsid w:val="4516DDE9"/>
    <w:multiLevelType w:val="hybridMultilevel"/>
    <w:lvl w:ilvl="0">
      <w:lvlJc w:val="left"/>
      <w:lvlText w:val="(%1)"/>
      <w:numFmt w:val="decimal"/>
      <w:start w:val="1"/>
    </w:lvl>
  </w:abstractNum>
  <w:abstractNum w:abstractNumId="6">
    <w:nsid w:val="3006C83E"/>
    <w:multiLevelType w:val="hybridMultilevel"/>
    <w:lvl w:ilvl="0">
      <w:lvlJc w:val="left"/>
      <w:lvlText w:val="(%1)"/>
      <w:numFmt w:val="decimal"/>
      <w:start w:val="1"/>
    </w:lvl>
  </w:abstractNum>
  <w:abstractNum w:abstractNumId="7">
    <w:nsid w:val="614FD4A1"/>
    <w:multiLevelType w:val="hybridMultilevel"/>
    <w:lvl w:ilvl="0">
      <w:lvlJc w:val="left"/>
      <w:lvlText w:val="(%1)"/>
      <w:numFmt w:val="decimal"/>
      <w:start w:val="1"/>
    </w:lvl>
  </w:abstractNum>
  <w:abstractNum w:abstractNumId="8">
    <w:nsid w:val="419AC241"/>
    <w:multiLevelType w:val="hybridMultilevel"/>
    <w:lvl w:ilvl="0">
      <w:lvlJc w:val="left"/>
      <w:lvlText w:val="(%1)"/>
      <w:numFmt w:val="decimal"/>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1)"/>
      <w:numFmt w:val="decimal"/>
      <w:start w:val="1"/>
    </w:lvl>
  </w:abstractNum>
  <w:abstractNum w:abstractNumId="11">
    <w:nsid w:val="5072367"/>
    <w:multiLevelType w:val="hybridMultilevel"/>
    <w:lvl w:ilvl="0">
      <w:lvlJc w:val="left"/>
      <w:lvlText w:val="%1."/>
      <w:numFmt w:val="decimal"/>
      <w:start w:val="7"/>
    </w:lvl>
  </w:abstractNum>
  <w:abstractNum w:abstractNumId="12">
    <w:nsid w:val="3804823E"/>
    <w:multiLevelType w:val="hybridMultilevel"/>
    <w:lvl w:ilvl="0">
      <w:lvlJc w:val="left"/>
      <w:lvlText w:val="(%1)"/>
      <w:numFmt w:val="decimal"/>
      <w:start w:val="1"/>
    </w:lvl>
  </w:abstractNum>
  <w:abstractNum w:abstractNumId="13">
    <w:nsid w:val="77465F01"/>
    <w:multiLevelType w:val="hybridMultilevel"/>
    <w:lvl w:ilvl="0">
      <w:lvlJc w:val="left"/>
      <w:lvlText w:val="(%1)"/>
      <w:numFmt w:val="decimal"/>
      <w:start w:val="1"/>
    </w:lvl>
  </w:abstractNum>
  <w:abstractNum w:abstractNumId="14">
    <w:nsid w:val="7724C67E"/>
    <w:multiLevelType w:val="hybridMultilevel"/>
    <w:lvl w:ilvl="0">
      <w:lvlJc w:val="left"/>
      <w:lvlText w:val="(%1)"/>
      <w:numFmt w:val="decimal"/>
      <w:start w:val="1"/>
    </w:lvl>
  </w:abstractNum>
  <w:abstractNum w:abstractNumId="15">
    <w:nsid w:val="5C482A97"/>
    <w:multiLevelType w:val="hybridMultilevel"/>
    <w:lvl w:ilvl="0">
      <w:lvlJc w:val="left"/>
      <w:lvlText w:val="(%1)"/>
      <w:numFmt w:val="decimal"/>
      <w:start w:val="1"/>
    </w:lvl>
  </w:abstractNum>
  <w:abstractNum w:abstractNumId="16">
    <w:nsid w:val="2463B9EA"/>
    <w:multiLevelType w:val="hybridMultilevel"/>
    <w:lvl w:ilvl="0">
      <w:lvlJc w:val="left"/>
      <w:lvlText w:val="(%1)"/>
      <w:numFmt w:val="decimal"/>
      <w:start w:val="1"/>
    </w:lvl>
  </w:abstractNum>
  <w:abstractNum w:abstractNumId="17">
    <w:nsid w:val="5E884ADC"/>
    <w:multiLevelType w:val="hybridMultilevel"/>
    <w:lvl w:ilvl="0">
      <w:lvlJc w:val="left"/>
      <w:lvlText w:val="(%1)"/>
      <w:numFmt w:val="decimal"/>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1."/>
      <w:numFmt w:val="decimal"/>
      <w:start w:val="1"/>
    </w:lvl>
  </w:abstractNum>
  <w:abstractNum w:abstractNumId="29">
    <w:nsid w:val="57E4CCAF"/>
    <w:multiLevelType w:val="hybridMultilevel"/>
    <w:lvl w:ilvl="0">
      <w:lvlJc w:val="left"/>
      <w:lvlText w:val="%1."/>
      <w:numFmt w:val="decimal"/>
      <w:start w:val="7"/>
    </w:lvl>
  </w:abstractNum>
  <w:abstractNum w:abstractNumId="30">
    <w:nsid w:val="7A6D8D3C"/>
    <w:multiLevelType w:val="hybridMultilevel"/>
    <w:lvl w:ilvl="0">
      <w:lvlJc w:val="left"/>
      <w:lvlText w:val="%1."/>
      <w:numFmt w:val="decimal"/>
      <w:start w:val="10"/>
    </w:lvl>
  </w:abstractNum>
  <w:abstractNum w:abstractNumId="31">
    <w:nsid w:val="4B588F54"/>
    <w:multiLevelType w:val="hybridMultilevel"/>
    <w:lvl w:ilvl="0">
      <w:lvlJc w:val="left"/>
      <w:lvlText w:val="%1."/>
      <w:numFmt w:val="decimal"/>
      <w:start w:val="15"/>
    </w:lvl>
  </w:abstractNum>
  <w:abstractNum w:abstractNumId="32">
    <w:nsid w:val="542289EC"/>
    <w:multiLevelType w:val="hybridMultilevel"/>
    <w:lvl w:ilvl="0">
      <w:lvlJc w:val="left"/>
      <w:lvlText w:val="%1."/>
      <w:numFmt w:val="decimal"/>
      <w:start w:val="1"/>
    </w:lvl>
  </w:abstractNum>
  <w:abstractNum w:abstractNumId="33">
    <w:nsid w:val="6DE91B18"/>
    <w:multiLevelType w:val="hybridMultilevel"/>
    <w:lvl w:ilvl="0">
      <w:lvlJc w:val="left"/>
      <w:lvlText w:val="%1."/>
      <w:numFmt w:val="decimal"/>
      <w:start w:val="7"/>
    </w:lvl>
  </w:abstractNum>
  <w:abstractNum w:abstractNumId="34">
    <w:nsid w:val="38437FDB"/>
    <w:multiLevelType w:val="hybridMultilevel"/>
    <w:lvl w:ilvl="0">
      <w:lvlJc w:val="left"/>
      <w:lvlText w:val="%1."/>
      <w:numFmt w:val="decimal"/>
      <w:start w:val="12"/>
    </w:lvl>
  </w:abstractNum>
  <w:abstractNum w:abstractNumId="35">
    <w:nsid w:val="7644A45C"/>
    <w:multiLevelType w:val="hybridMultilevel"/>
    <w:lvl w:ilvl="0">
      <w:lvlJc w:val="left"/>
      <w:lvlText w:val="%1."/>
      <w:numFmt w:val="decimal"/>
      <w:start w:val="14"/>
    </w:lvl>
  </w:abstractNum>
  <w:abstractNum w:abstractNumId="36">
    <w:nsid w:val="32FFF902"/>
    <w:multiLevelType w:val="hybridMultilevel"/>
    <w:lvl w:ilvl="0">
      <w:lvlJc w:val="left"/>
      <w:lvlText w:val="%1."/>
      <w:numFmt w:val="decimal"/>
      <w:start w:val="1"/>
    </w:lvl>
  </w:abstractNum>
  <w:abstractNum w:abstractNumId="37">
    <w:nsid w:val="684A481A"/>
    <w:multiLevelType w:val="hybridMultilevel"/>
    <w:lvl w:ilvl="0">
      <w:lvlJc w:val="left"/>
      <w:lvlText w:val="%1."/>
      <w:numFmt w:val="decimal"/>
      <w:start w:val="7"/>
    </w:lvl>
  </w:abstractNum>
  <w:abstractNum w:abstractNumId="38">
    <w:nsid w:val="579478FE"/>
    <w:multiLevelType w:val="hybridMultilevel"/>
    <w:lvl w:ilvl="0">
      <w:lvlJc w:val="left"/>
      <w:lvlText w:val="%1."/>
      <w:numFmt w:val="decimal"/>
      <w:start w:val="11"/>
    </w:lvl>
  </w:abstractNum>
  <w:abstractNum w:abstractNumId="39">
    <w:nsid w:val="749ABB43"/>
    <w:multiLevelType w:val="hybridMultilevel"/>
    <w:lvl w:ilvl="0">
      <w:lvlJc w:val="left"/>
      <w:lvlText w:val="%1."/>
      <w:numFmt w:val="decimal"/>
      <w:start w:val="1"/>
    </w:lvl>
  </w:abstractNum>
  <w:abstractNum w:abstractNumId="40">
    <w:nsid w:val="3DC240FB"/>
    <w:multiLevelType w:val="hybridMultilevel"/>
    <w:lvl w:ilvl="0">
      <w:lvlJc w:val="left"/>
      <w:lvlText w:val="%1."/>
      <w:numFmt w:val="decimal"/>
      <w:start w:val="7"/>
    </w:lvl>
  </w:abstractNum>
  <w:abstractNum w:abstractNumId="41">
    <w:nsid w:val="1BA026FA"/>
    <w:multiLevelType w:val="hybridMultilevel"/>
    <w:lvl w:ilvl="0">
      <w:lvlJc w:val="left"/>
      <w:lvlText w:val="%1."/>
      <w:numFmt w:val="decimal"/>
      <w:start w:val="10"/>
    </w:lvl>
  </w:abstractNum>
  <w:abstractNum w:abstractNumId="42">
    <w:nsid w:val="79A1DEAA"/>
    <w:multiLevelType w:val="hybridMultilevel"/>
    <w:lvl w:ilvl="0">
      <w:lvlJc w:val="left"/>
      <w:lvlText w:val="%1."/>
      <w:numFmt w:val="decimal"/>
      <w:start w:val="1"/>
    </w:lvl>
  </w:abstractNum>
  <w:abstractNum w:abstractNumId="43">
    <w:nsid w:val="75C6C33A"/>
    <w:multiLevelType w:val="hybridMultilevel"/>
    <w:lvl w:ilvl="0">
      <w:lvlJc w:val="left"/>
      <w:lvlText w:val="%1."/>
      <w:numFmt w:val="decimal"/>
      <w:start w:val="7"/>
    </w:lvl>
  </w:abstractNum>
  <w:abstractNum w:abstractNumId="44">
    <w:nsid w:val="12E685FB"/>
    <w:multiLevelType w:val="hybridMultilevel"/>
    <w:lvl w:ilvl="0">
      <w:lvlJc w:val="left"/>
      <w:lvlText w:val="%1."/>
      <w:numFmt w:val="decimal"/>
      <w:start w:val="1"/>
    </w:lvl>
  </w:abstractNum>
  <w:abstractNum w:abstractNumId="45">
    <w:nsid w:val="70C6A529"/>
    <w:multiLevelType w:val="hybridMultilevel"/>
    <w:lvl w:ilvl="0">
      <w:lvlJc w:val="left"/>
      <w:lvlText w:val="%1."/>
      <w:numFmt w:val="decimal"/>
      <w:start w:val="8"/>
    </w:lvl>
  </w:abstractNum>
  <w:abstractNum w:abstractNumId="46">
    <w:nsid w:val="520EEDD1"/>
    <w:multiLevelType w:val="hybridMultilevel"/>
    <w:lvl w:ilvl="0">
      <w:lvlJc w:val="left"/>
      <w:lvlText w:val="(%1)"/>
      <w:numFmt w:val="lowerRoman"/>
      <w:start w:val="1"/>
    </w:lvl>
  </w:abstractNum>
  <w:abstractNum w:abstractNumId="47">
    <w:nsid w:val="374A3FE6"/>
    <w:multiLevelType w:val="hybridMultilevel"/>
    <w:lvl w:ilvl="0">
      <w:lvlJc w:val="left"/>
      <w:lvlText w:val="%1."/>
      <w:numFmt w:val="decimal"/>
      <w:start w:val="10"/>
    </w:lvl>
  </w:abstractNum>
  <w:abstractNum w:abstractNumId="48">
    <w:nsid w:val="4F4EF005"/>
    <w:multiLevelType w:val="hybridMultilevel"/>
    <w:lvl w:ilvl="0">
      <w:lvlJc w:val="left"/>
      <w:lvlText w:val="%1."/>
      <w:numFmt w:val="decimal"/>
      <w:start w:val="1"/>
    </w:lvl>
  </w:abstractNum>
  <w:abstractNum w:abstractNumId="49">
    <w:nsid w:val="23F9C13C"/>
    <w:multiLevelType w:val="hybridMultilevel"/>
    <w:lvl w:ilvl="0">
      <w:lvlJc w:val="left"/>
      <w:lvlText w:val="%1."/>
      <w:numFmt w:val="decimal"/>
      <w:start w:val="6"/>
    </w:lvl>
  </w:abstractNum>
  <w:abstractNum w:abstractNumId="50">
    <w:nsid w:val="649BB77C"/>
    <w:multiLevelType w:val="hybridMultilevel"/>
    <w:lvl w:ilvl="0">
      <w:lvlJc w:val="left"/>
      <w:lvlText w:val="%1."/>
      <w:numFmt w:val="decimal"/>
      <w:start w:val="7"/>
    </w:lvl>
  </w:abstractNum>
  <w:abstractNum w:abstractNumId="51">
    <w:nsid w:val="275AC794"/>
    <w:multiLevelType w:val="hybridMultilevel"/>
    <w:lvl w:ilvl="0">
      <w:lvlJc w:val="left"/>
      <w:lvlText w:val="%1."/>
      <w:numFmt w:val="decimal"/>
      <w:start w:val="2"/>
    </w:lvl>
  </w:abstractNum>
  <w:abstractNum w:abstractNumId="52">
    <w:nsid w:val="39386575"/>
    <w:multiLevelType w:val="hybridMultilevel"/>
    <w:lvl w:ilvl="0">
      <w:lvlJc w:val="left"/>
      <w:lvlText w:val="(%1)"/>
      <w:numFmt w:val="lowerLetter"/>
      <w:start w:val="1"/>
    </w:lvl>
  </w:abstractNum>
  <w:abstractNum w:abstractNumId="53">
    <w:nsid w:val="1CF10FD8"/>
    <w:multiLevelType w:val="hybridMultilevel"/>
    <w:lvl w:ilvl="0">
      <w:lvlJc w:val="left"/>
      <w:lvlText w:val="%1."/>
      <w:numFmt w:val="decimal"/>
      <w:start w:val="3"/>
    </w:lvl>
    <w:lvl w:ilvl="1">
      <w:lvlJc w:val="left"/>
      <w:lvlText w:val="(%2)"/>
      <w:numFmt w:val="lowerLetter"/>
      <w:start w:val="1"/>
    </w:lvl>
  </w:abstractNum>
  <w:abstractNum w:abstractNumId="54">
    <w:nsid w:val="180115BE"/>
    <w:multiLevelType w:val="hybridMultilevel"/>
    <w:lvl w:ilvl="0">
      <w:lvlJc w:val="left"/>
      <w:lvlText w:val="%1."/>
      <w:numFmt w:val="decimal"/>
      <w:start w:val="6"/>
    </w:lvl>
    <w:lvl w:ilvl="1">
      <w:lvlJc w:val="left"/>
      <w:lvlText w:val="(%2)"/>
      <w:numFmt w:val="lowerLetter"/>
      <w:start w:val="1"/>
    </w:lvl>
  </w:abstractNum>
  <w:abstractNum w:abstractNumId="55">
    <w:nsid w:val="235BA861"/>
    <w:multiLevelType w:val="hybridMultilevel"/>
    <w:lvl w:ilvl="0">
      <w:lvlJc w:val="left"/>
      <w:lvlText w:val="%1."/>
      <w:numFmt w:val="decimal"/>
      <w:start w:val="10"/>
    </w:lvl>
    <w:lvl w:ilvl="1">
      <w:lvlJc w:val="left"/>
      <w:lvlText w:val="(%2)"/>
      <w:numFmt w:val="lowerLetter"/>
      <w:start w:val="1"/>
    </w:lvl>
  </w:abstractNum>
  <w:abstractNum w:abstractNumId="56">
    <w:nsid w:val="47398C89"/>
    <w:multiLevelType w:val="hybridMultilevel"/>
    <w:lvl w:ilvl="0">
      <w:lvlJc w:val="left"/>
      <w:lvlText w:val="%1."/>
      <w:numFmt w:val="decimal"/>
      <w:start w:val="15"/>
    </w:lvl>
  </w:abstractNum>
  <w:abstractNum w:abstractNumId="57">
    <w:nsid w:val="354FE9F9"/>
    <w:multiLevelType w:val="hybridMultilevel"/>
    <w:lvl w:ilvl="0">
      <w:lvlJc w:val="left"/>
      <w:lvlText w:val="%1."/>
      <w:numFmt w:val="decimal"/>
      <w:start w:val="17"/>
    </w:lvl>
  </w:abstractNum>
  <w:abstractNum w:abstractNumId="58">
    <w:nsid w:val="15B5AF5C"/>
    <w:multiLevelType w:val="hybridMultilevel"/>
    <w:lvl w:ilvl="0">
      <w:lvlJc w:val="left"/>
      <w:lvlText w:val="*"/>
      <w:numFmt w:val="bullet"/>
      <w:start w:val="1"/>
    </w:lvl>
  </w:abstractNum>
  <w:abstractNum w:abstractNumId="59">
    <w:nsid w:val="741226B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2019-12-05T21:40:33Z</dcterms:created>
  <dcterms:modified xsi:type="dcterms:W3CDTF">2019-12-05T21:40:33Z</dcterms:modified>
</cp:coreProperties>
</file>