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3766d8k.htm"/>
      <w:bookmarkStart w:id="1" w:name="ksd10376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September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Autodesk,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000-14338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94-2819853</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One Market Street, Ste.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(415) 507-5000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395"/>
        <w:gridCol w:w="7295"/>
      </w:tblGrid>
      <w:tr>
        <w:trPr/>
        <w:tc>
          <w:tcPr>
            <w:tcW w:w="39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395"/>
        <w:gridCol w:w="7325"/>
      </w:tblGrid>
      <w:tr>
        <w:trPr/>
        <w:tc>
          <w:tcPr>
            <w:tcW w:w="39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395"/>
        <w:gridCol w:w="9065"/>
      </w:tblGrid>
      <w:tr>
        <w:trPr/>
        <w:tc>
          <w:tcPr>
            <w:tcW w:w="39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395"/>
        <w:gridCol w:w="9005"/>
      </w:tblGrid>
      <w:tr>
        <w:trPr/>
        <w:tc>
          <w:tcPr>
            <w:tcW w:w="39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45" w:type="dxa"/>
        <w:jc w:val="left"/>
        <w:tblInd w:w="0" w:type="dxa"/>
        <w:tblLayout w:type="fixed"/>
        <w:tblCellMar>
          <w:top w:w="0" w:type="dxa"/>
          <w:left w:w="0" w:type="dxa"/>
          <w:bottom w:w="0" w:type="dxa"/>
          <w:right w:w="0" w:type="dxa"/>
        </w:tblCellMar>
      </w:tblPr>
      <w:tblGrid>
        <w:gridCol w:w="4025"/>
        <w:gridCol w:w="60"/>
        <w:gridCol w:w="740"/>
        <w:gridCol w:w="60"/>
        <w:gridCol w:w="32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ADSK</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8, 2026, Autodesk, Inc. (“Autodesk” or the “Company”) entered into an underwriting agreement (the “Underwriting Agreement”) with Morgan Stanley &amp; Co. LLC, BNP Paribas Securities Corp., and Citigroup Global Markets Inc., as representatives of the several underwriters listed on Schedule II thereto (the “Underwriters”), relating to the issuance and sale by the Company of $500 million aggregate principal amount of 5.050% Notes due 2029 (the “2029 Notes”) and $500 million aggregate principal amount of 5.650% Notes due 2033 (the “2033 Notes”, and together with the 2029 Notes, the “Notes”).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includes customary representations, warranties and covenants by the Company. Under the terms of the Underwriting Agreement, the Company has agreed to indemnify the Underwriters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and sold in a public offering pursuant to a registration statement on Form S-3 (File No. 333-287650), including the prospectus contained therein (the “Base Prospectus”), filed with the Securities and Exchange Commission under the Securities Act of 1933, as amended, a preliminary prospectus supplement dated September 8, 2026, a related final prospectus supplement dated September 8, 2026 (together with the Base Prospectus, the “Prospectus”), and a free writing prospectus dated 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The Notes are governed pursuant to an indenture, dated December 13, 2012 (the “Base Indenture”), between the Company and U.S. Bank Trust Company, National Association (as successor in interest to U.S. Bank National Association), as trustee, as supplemented by a seventh supplemental indenture, dated as of September 10, 2026 (the “Supplemental Indenture” and referred to together with the Base Indenture as the “Indenture”). Autodesk intends to use the net proceeds from the offering, together with cash on hand, to repay $1.0 billion aggregate principal amount under that certain Term Loan Credit Agreement, dated as of June 15, 2026, among the Company, the lenders party thereto, and Citibank,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2029 Notes accrues annually at a rate of 5.050% and interest on the 2033 Notes accrues annually at a rate of 5.650% and is payable, in each case, semi-annually in arrears on March 15 and September 15 of each year, commencing March 15, 2027. </w:t>
      </w:r>
    </w:p>
    <w:p>
      <w:pPr>
        <w:pStyle w:val="TextBody"/>
        <w:bidi w:val="0"/>
        <w:spacing w:before="240" w:after="0"/>
        <w:jc w:val="left"/>
        <w:rPr>
          <w:rFonts w:ascii="Times New Roman" w:hAnsi="Times New Roman"/>
          <w:sz w:val="20"/>
        </w:rPr>
      </w:pPr>
      <w:r>
        <w:rPr>
          <w:rFonts w:ascii="Times New Roman" w:hAnsi="Times New Roman"/>
          <w:sz w:val="20"/>
        </w:rPr>
        <w:t xml:space="preserve">Autodesk may be required to offer to repurchase the Notes upon a change in control and contemporaneous downgrades of the Notes below investment grade ratings, and it may also elect to redeem the Notes in whole or in part at any time, on the prices and on the terms further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limited affirmative and negative covenants of Autodesk. The negative covenants restrict the ability of Autodesk and certain of its subsidiaries to incur liens on principal property (as defined in the Indenture); to engage in sale and lease-back transactions with respect to any principal property; and the ability of Autodesk to consolidate, merge or sell all or substantially all of its assets. </w:t>
      </w:r>
    </w:p>
    <w:p>
      <w:pPr>
        <w:pStyle w:val="TextBody"/>
        <w:bidi w:val="0"/>
        <w:spacing w:before="240" w:after="0"/>
        <w:jc w:val="left"/>
        <w:rPr>
          <w:rFonts w:ascii="Times New Roman" w:hAnsi="Times New Roman"/>
          <w:sz w:val="20"/>
        </w:rPr>
      </w:pPr>
      <w:r>
        <w:rPr>
          <w:rFonts w:ascii="Times New Roman" w:hAnsi="Times New Roman"/>
          <w:sz w:val="20"/>
        </w:rPr>
        <w:t xml:space="preserve">Events of default under the Indenture include a failure to make payments, non-performance of affirmative and negative covenants, and the occurrence of bankruptcy and insolvency-related events. Autodesk’s obligations may be accelerated upon an event of default, in which case the entire principal amount of the Notes would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certain terms of the Underwriting Agreement, Indenture and the Notes does not purport to be complete and is qualified in its entirety by reference to the full text of the Base Indenture, which was filed as Exhibit 4.1 to the Company’s Current Report on Form 8-K filed on December 13, 2012, and the Underwriting Agreement, Supplemental Indenture and related form of the Notes which are filed with this report as Exhibits 1.1, 4.1 4.2, and 4.3, respectively, and incorporated by reference herein.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“Entry into a Material Definitive Agreement,” is incorporated herein by reference. </w:t>
      </w:r>
    </w:p>
    <w:p>
      <w:pPr>
        <w:pStyle w:val="TextBody"/>
        <w:bidi w:val="0"/>
        <w:spacing w:before="0" w:after="0"/>
        <w:jc w:val="left"/>
        <w:rPr/>
      </w:pPr>
      <w:r>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Wilson Sonsini Goodrich &amp; Rosati, Professional Corporation, counsel to Autodesk, has issued an opinion to Autodesk dated September 10, 2026 regarding the legality of the Notes. A copy of the opinion is filed as Exhibit 5.1 hereto.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3766dex11.htm">
              <w:r>
                <w:rPr>
                  <w:rStyle w:val="InternetLink"/>
                </w:rPr>
                <w:t>Underwriting Agreement, dated September 8, 2026, by and among Autodesk, Inc. and Morgan Stanley &amp; Co. LLC, BNP Paribas Securities Corp. and Citigroup Global Markets Inc., as representatives of the several underwriters listed on Schedule II thereto.</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3766dex41.htm">
              <w:r>
                <w:rPr>
                  <w:rStyle w:val="InternetLink"/>
                </w:rPr>
                <w:t>Seventh Supplemental Indenture, dated September 10, 2026, by and between Autodesk, Inc. and U.S. Bank Trust Company, National Association.</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3766dex41.htm">
              <w:r>
                <w:rPr>
                  <w:rStyle w:val="InternetLink"/>
                </w:rPr>
                <w:t>Form of Note for Autodesk, Inc.’s 5.050% Notes due 2029 (incorporated by reference from Exhibit 4.1 hereto).</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3766dex41.htm">
              <w:r>
                <w:rPr>
                  <w:rStyle w:val="InternetLink"/>
                </w:rPr>
                <w:t>Form of Note for Autodesk, Inc.’s 5.650% Notes due 2033 (incorporated by reference from Exhibit 4.1 hereto).</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3766dex51.htm">
              <w:r>
                <w:rPr>
                  <w:rStyle w:val="InternetLink"/>
                </w:rPr>
                <w:t>Opinion of Wilson Sonsini Goodrich &amp; Rosati, Professional Corporation</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3766dex51.htm">
              <w:r>
                <w:rPr>
                  <w:rStyle w:val="InternetLink"/>
                </w:rPr>
                <w:t>Consent of Wilson Sonsini Goodrich &amp; Rosati, Professional Corporation (contained in Exhibit 5.1 above).</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380"/>
        <w:gridCol w:w="60"/>
        <w:gridCol w:w="222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665" w:type="dxa"/>
            <w:gridSpan w:val="3"/>
            <w:tcBorders/>
            <w:vAlign w:val="center"/>
          </w:tcPr>
          <w:p>
            <w:pPr>
              <w:pStyle w:val="TableContents"/>
              <w:bidi w:val="0"/>
              <w:spacing w:before="0" w:after="283"/>
              <w:jc w:val="left"/>
              <w:rPr>
                <w:b/>
              </w:rPr>
            </w:pPr>
            <w:r>
              <w:rPr>
                <w:b/>
              </w:rPr>
              <w:t>AUTODESK,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Janesh Moorjani</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Janesh Moorjani</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10, 2026 </w:t>
      </w:r>
    </w:p>
    <w:p>
      <w:pPr>
        <w:pStyle w:val="TextBody"/>
        <w:bidi w:val="0"/>
        <w:spacing w:before="0" w:after="0"/>
        <w:jc w:val="right"/>
        <w:rPr>
          <w:rFonts w:ascii="Times New Roman" w:hAnsi="Times New Roman"/>
          <w:b/>
          <w:sz w:val="20"/>
        </w:rPr>
      </w:pPr>
      <w:bookmarkStart w:id="2" w:name="d103766dex11.htm"/>
      <w:bookmarkStart w:id="3" w:name="ksd103766dex11"/>
      <w:bookmarkEnd w:id="2"/>
      <w:bookmarkEnd w:id="3"/>
      <w:r>
        <w:rPr>
          <w:rFonts w:ascii="Times New Roman" w:hAnsi="Times New Roman"/>
          <w:b/>
          <w:sz w:val="20"/>
        </w:rPr>
        <w:t xml:space="preserve">Exhibit 1.1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AUTODESK, INC. </w:t>
      </w:r>
    </w:p>
    <w:p>
      <w:pPr>
        <w:pStyle w:val="TextBody"/>
        <w:bidi w:val="0"/>
        <w:spacing w:before="240" w:after="0"/>
        <w:jc w:val="center"/>
        <w:rPr>
          <w:rFonts w:ascii="Times New Roman" w:hAnsi="Times New Roman"/>
          <w:b/>
          <w:sz w:val="20"/>
        </w:rPr>
      </w:pPr>
      <w:r>
        <w:rPr>
          <w:rFonts w:ascii="Times New Roman" w:hAnsi="Times New Roman"/>
          <w:b/>
          <w:sz w:val="20"/>
        </w:rPr>
        <w:t xml:space="preserve">5.050%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5.650% NOTES DUE 2033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September 8,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To the Managers named in Schedule I hereto </w:t>
      </w:r>
    </w:p>
    <w:p>
      <w:pPr>
        <w:pStyle w:val="TextBody"/>
        <w:bidi w:val="0"/>
        <w:spacing w:before="0" w:after="0"/>
        <w:jc w:val="left"/>
        <w:rPr>
          <w:rFonts w:ascii="Times New Roman" w:hAnsi="Times New Roman"/>
          <w:sz w:val="20"/>
        </w:rPr>
      </w:pPr>
      <w:r>
        <w:rPr>
          <w:rFonts w:ascii="Times New Roman" w:hAnsi="Times New Roman"/>
          <w:sz w:val="20"/>
        </w:rPr>
        <w:t xml:space="preserve">for the Underwriters named in Schedule II hereto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Autodesk, Inc., a Delaware corporation (the “</w:t>
      </w:r>
      <w:r>
        <w:rPr>
          <w:rFonts w:ascii="Times New Roman" w:hAnsi="Times New Roman"/>
          <w:b/>
          <w:sz w:val="20"/>
        </w:rPr>
        <w:t>Company</w:t>
      </w:r>
      <w:r>
        <w:rPr>
          <w:rFonts w:ascii="Times New Roman" w:hAnsi="Times New Roman"/>
          <w:sz w:val="20"/>
        </w:rPr>
        <w:t>”), proposes to issue and sell to the several underwriters named in Schedule II hereto (the “</w:t>
      </w:r>
      <w:r>
        <w:rPr>
          <w:rFonts w:ascii="Times New Roman" w:hAnsi="Times New Roman"/>
          <w:b/>
          <w:sz w:val="20"/>
        </w:rPr>
        <w:t>Underwriters</w:t>
      </w:r>
      <w:r>
        <w:rPr>
          <w:rFonts w:ascii="Times New Roman" w:hAnsi="Times New Roman"/>
          <w:sz w:val="20"/>
        </w:rPr>
        <w:t>”), for whom you are acting as managers (the “</w:t>
      </w:r>
      <w:r>
        <w:rPr>
          <w:rFonts w:ascii="Times New Roman" w:hAnsi="Times New Roman"/>
          <w:b/>
          <w:sz w:val="20"/>
        </w:rPr>
        <w:t>Managers</w:t>
      </w:r>
      <w:r>
        <w:rPr>
          <w:rFonts w:ascii="Times New Roman" w:hAnsi="Times New Roman"/>
          <w:sz w:val="20"/>
        </w:rPr>
        <w:t>”), the principal amount of its debt securities identified in Schedule I hereto (the “</w:t>
      </w:r>
      <w:r>
        <w:rPr>
          <w:rFonts w:ascii="Times New Roman" w:hAnsi="Times New Roman"/>
          <w:b/>
          <w:sz w:val="20"/>
        </w:rPr>
        <w:t>Securities</w:t>
      </w:r>
      <w:r>
        <w:rPr>
          <w:rFonts w:ascii="Times New Roman" w:hAnsi="Times New Roman"/>
          <w:sz w:val="20"/>
        </w:rPr>
        <w:t>”), to be issued under the indenture (the “</w:t>
      </w:r>
      <w:r>
        <w:rPr>
          <w:rFonts w:ascii="Times New Roman" w:hAnsi="Times New Roman"/>
          <w:b/>
          <w:sz w:val="20"/>
        </w:rPr>
        <w:t>Base Indenture</w:t>
      </w:r>
      <w:r>
        <w:rPr>
          <w:rFonts w:ascii="Times New Roman" w:hAnsi="Times New Roman"/>
          <w:sz w:val="20"/>
        </w:rPr>
        <w:t>”) and seventh supplemental indenture (the “</w:t>
      </w:r>
      <w:r>
        <w:rPr>
          <w:rFonts w:ascii="Times New Roman" w:hAnsi="Times New Roman"/>
          <w:b/>
          <w:sz w:val="20"/>
        </w:rPr>
        <w:t>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specified in Schedule I hereto between the Company and the Trustee identified in such Schedule (the “</w:t>
      </w:r>
      <w:r>
        <w:rPr>
          <w:rFonts w:ascii="Times New Roman" w:hAnsi="Times New Roman"/>
          <w:b/>
          <w:sz w:val="20"/>
        </w:rPr>
        <w:t>Trustee</w:t>
      </w:r>
      <w:r>
        <w:rPr>
          <w:rFonts w:ascii="Times New Roman" w:hAnsi="Times New Roman"/>
          <w:sz w:val="20"/>
        </w:rPr>
        <w:t xml:space="preserve">”). If the firm or firms listed in Schedule II hereto include only the Managers listed in Schedule I hereto, then the terms “Underwriters” and “Managers” as used herein shall each be deemed to refer to such firm or firms.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including a prospectus, (the file number of which is set forth in Schedule I hereto) on Form S-3, relating to securities (the “</w:t>
      </w:r>
      <w:r>
        <w:rPr>
          <w:rFonts w:ascii="Times New Roman" w:hAnsi="Times New Roman"/>
          <w:b/>
          <w:sz w:val="20"/>
        </w:rPr>
        <w:t>Shelf Securities</w:t>
      </w:r>
      <w:r>
        <w:rPr>
          <w:rFonts w:ascii="Times New Roman" w:hAnsi="Times New Roman"/>
          <w:sz w:val="20"/>
        </w:rPr>
        <w:t>”), including the Securities,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and the related prospectus covering the Shelf Securities dated May 29, 2025 is hereinafter referred to as the “</w:t>
      </w:r>
      <w:r>
        <w:rPr>
          <w:rFonts w:ascii="Times New Roman" w:hAnsi="Times New Roman"/>
          <w:b/>
          <w:sz w:val="20"/>
        </w:rPr>
        <w:t>Basic Prospectus</w:t>
      </w:r>
      <w:r>
        <w:rPr>
          <w:rFonts w:ascii="Times New Roman" w:hAnsi="Times New Roman"/>
          <w:sz w:val="20"/>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and the term “</w:t>
      </w:r>
      <w:r>
        <w:rPr>
          <w:rFonts w:ascii="Times New Roman" w:hAnsi="Times New Roman"/>
          <w:b/>
          <w:sz w:val="20"/>
        </w:rPr>
        <w:t>preliminary prospectus</w:t>
      </w:r>
      <w:r>
        <w:rPr>
          <w:rFonts w:ascii="Times New Roman" w:hAnsi="Times New Roman"/>
          <w:sz w:val="20"/>
        </w:rPr>
        <w:t>” means any preliminary form of the Prospectus. 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Time of Sale Prospectus</w:t>
      </w:r>
      <w:r>
        <w:rPr>
          <w:rFonts w:ascii="Times New Roman" w:hAnsi="Times New Roman"/>
          <w:sz w:val="20"/>
        </w:rPr>
        <w:t>” means the documents set forth opposite the caption “Time of Sale Prospectus” in Schedule I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on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has become effective; no stop order suspending the effectiveness of the Registration Statement is in effect, and no proceedings for such purpose are pending before or, to the Company’s knowledge,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w:t>
      </w:r>
    </w:p>
    <w:p>
      <w:pPr>
        <w:pStyle w:val="TextBody"/>
        <w:bidi w:val="0"/>
        <w:spacing w:before="120" w:after="0"/>
        <w:jc w:val="left"/>
        <w:rPr>
          <w:rFonts w:ascii="Times New Roman" w:hAnsi="Times New Roman"/>
          <w:sz w:val="20"/>
        </w:rPr>
      </w:pPr>
      <w:r>
        <w:rPr>
          <w:rFonts w:ascii="Times New Roman" w:hAnsi="Times New Roman"/>
          <w:sz w:val="20"/>
        </w:rPr>
        <w:t>(b)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any Underwriter Information (as defined in Section 8(b)) or (B) that part of the Registration Statement that constitutes the Statement of Eligibility (Form T-1) under the Trust Indenture Act of 1939, as amended (the “</w:t>
      </w:r>
      <w:r>
        <w:rPr>
          <w:rFonts w:ascii="Times New Roman" w:hAnsi="Times New Roman"/>
          <w:b/>
          <w:sz w:val="20"/>
        </w:rPr>
        <w:t>Trust Indenture Act</w:t>
      </w:r>
      <w:r>
        <w:rPr>
          <w:rFonts w:ascii="Times New Roman" w:hAnsi="Times New Roman"/>
          <w:sz w:val="20"/>
        </w:rPr>
        <w:t xml:space="preserv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is not an “ineligible issuer” in connection with the offering pursuant to Rules 164, 405 and 433 under the Securities Act. Any free writing prospectus that the Company is required to file pursuant to Rule 433(d) under the Securities Act in connection with the offering of the Securities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as of its date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you before first use, the Company has not prepared, used or referred to, and will not, without your prior consent, prepare, use or refer to, any free writing prospectus in connection with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(d) The Company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(as defined in Section 1(l) below). </w:t>
      </w:r>
    </w:p>
    <w:p>
      <w:pPr>
        <w:pStyle w:val="TextBody"/>
        <w:bidi w:val="0"/>
        <w:spacing w:before="120" w:after="0"/>
        <w:jc w:val="left"/>
        <w:rPr>
          <w:rFonts w:ascii="Times New Roman" w:hAnsi="Times New Roman"/>
          <w:sz w:val="20"/>
        </w:rPr>
      </w:pPr>
      <w:r>
        <w:rPr>
          <w:rFonts w:ascii="Times New Roman" w:hAnsi="Times New Roman"/>
          <w:sz w:val="20"/>
        </w:rPr>
        <w:t>(e) Each “significant subsidiary”, as such term is defined in Rule 1-02 of Regulation S-X under the Exchange Act, of the Company (each a “</w:t>
      </w:r>
      <w:r>
        <w:rPr>
          <w:rFonts w:ascii="Times New Roman" w:hAnsi="Times New Roman"/>
          <w:b/>
          <w:sz w:val="20"/>
        </w:rPr>
        <w:t>Significant Subsidiary</w:t>
      </w:r>
      <w:r>
        <w:rPr>
          <w:rFonts w:ascii="Times New Roman" w:hAnsi="Times New Roman"/>
          <w:sz w:val="20"/>
        </w:rPr>
        <w:t xml:space="preserve">”), has been duly organized, is validly existing as an entity in good standing under the laws of the jurisdiction of its organization, has the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all of the issued ownership interests of each Significant Subsidiary of the Company (except for director qualifying shares or similar requirements under the jurisdiction of organization) have been duly and validly authorized and issued, are fully paid and non-assessable and are owned directly or indirectly by the Company, free and clear of all liens, encumbrances, equities or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has full right, power and authority to execute and deliver this Agreement, the Securities and the Indenture and to perform its obligations hereunder and thereunder; and all action required to be taken for the due and proper authorization of each of the Agreement, the Securities and the Indenture and the consummation of the transactions contemplated thereby has been duly and validly taken and all action required to be taken for the execution and delivery of each of the Agreement, the Securities and the Indenture will be validly taken prior to or upon the Closing Date,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(g)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(h) The Base Indenture has been duly qualified under the Trust Indenture Act and duly authorized, executed and delivered by the Company and, assuming due authorization, execution and delivery by the Trustee, constitutes a valid and binding agreement of the Company, enforceable in accordance with its terms, subject to applicable bankruptcy, insolvency, reorganization and similar laws relating to or affecting creditors’ rights generally and equitable principles of general applicability, including principles of commercial reasonableness, good faith and fair dealing (the “</w:t>
      </w:r>
      <w:r>
        <w:rPr>
          <w:rFonts w:ascii="Times New Roman" w:hAnsi="Times New Roman"/>
          <w:b/>
          <w:sz w:val="20"/>
        </w:rPr>
        <w:t>Enforceability Exceptions</w:t>
      </w:r>
      <w:r>
        <w:rPr>
          <w:rFonts w:ascii="Times New Roman" w:hAnsi="Times New Roman"/>
          <w:sz w:val="20"/>
        </w:rPr>
        <w:t xml:space="preserve">”). On the Closing Date, the Supplemental Indenture will have been duly authorized, executed and delivered by the Company and, assuming due authorization, execution and delivery by the Trustee, will constitute a valid and binding agreement of the Company, enforceable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(i) The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(j) The execution and delivery by the Company of, and the performance by the Company of its obligations under, this Agreement, the Indenture and the Securities will not contravene any provision of (i) applicable law or (ii) the certificate of incorporation or by-laws of the Company or (iii) any agreement or other instrument binding upon the Company or any subsidiary, or (iv) any judgment, order or decree of any governmental body, agency or court having jurisdiction over the Company or any subsidiary, except, in the case of clauses (i), (iii) or (iv), as would not, individually or in the aggregate, have a Material Adverse Effect, and no consent, approval, authorization or order of, or qualification with, any governmental body or agency is required for the performance by the Company of its obligations under this Agreement, the Indenture and the Securities except such as have already been obtained or will be obtained prior to the Closing Date (as defined in Section 4 below) or may be required by the securities or Blue Sky laws of the various states in connection with the offer and 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There has not occurred any material adverse change, or any development involving a prospective material adverse change, in the financial condition or in the earnings, business or operations of the Company and its subsidiaries, taken as a whole, from that set forth in the Time of Sale Prospectus. </w:t>
      </w:r>
    </w:p>
    <w:p>
      <w:pPr>
        <w:pStyle w:val="TextBody"/>
        <w:bidi w:val="0"/>
        <w:spacing w:before="120" w:after="0"/>
        <w:jc w:val="left"/>
        <w:rPr>
          <w:rFonts w:ascii="Times New Roman" w:hAnsi="Times New Roman"/>
          <w:sz w:val="20"/>
        </w:rPr>
      </w:pPr>
      <w:r>
        <w:rPr>
          <w:rFonts w:ascii="Times New Roman" w:hAnsi="Times New Roman"/>
          <w:sz w:val="20"/>
        </w:rPr>
        <w:t>(l) There are no legal or governmental proceedings pending or, to the Company’s knowledge, threatened in writing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(a “</w:t>
      </w:r>
      <w:r>
        <w:rPr>
          <w:rFonts w:ascii="Times New Roman" w:hAnsi="Times New Roman"/>
          <w:b/>
          <w:sz w:val="20"/>
        </w:rPr>
        <w:t>Material Adverse Effect</w:t>
      </w:r>
      <w:r>
        <w:rPr>
          <w:rFonts w:ascii="Times New Roman" w:hAnsi="Times New Roman"/>
          <w:sz w:val="20"/>
        </w:rPr>
        <w:t xml:space="preserve">”), or on the power or ability of the Company to perform its obligations under this Agreement, the Indenture or the Securities or to consummate the transactions contemplated by the Time of Sale Prospectus or (ii) that are required to be described in the Registration Statement or the Prospectus and are not so described; and there are no statutes, regulations, contracts or other agreements that are required to be described in the Registration Statement or the Prospectus or to be filed as exhibits to the Registration Statement that are not described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(m) Each preliminary prospectus used in connection with the offering of the Securities filed pursuant to Rule 424 under the Securities Act, complied when so filed in all material respects with the Securities Act and the applicable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(n) The Company is not, and immediately after giving effect to the offering and sale of the Securities and the application of the proceeds thereof as described in the Prospectus will not be, required to register as an “investment company” as such term is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(o)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licenses or other approvals required of them under applicable Environmental Laws to conduct their respective businesses as currently conducted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Neither the Company nor any of its subsidiaries, nor any director or officer of the Company or any of its subsidiaries nor, to the knowledge of the Company, any employee,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and maintain and enforce, policies and procedures designed to promote and ensure compliance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(q) The operations of the Company and its subsidiaries are and have been conducted at all times in compliance in 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(r) Neither the Company nor any of its subsidiaries, nor any directors or officers of the Company, nor, to the knowledge of the Company, any director or officer of any of the Company’s subsidiaries or any other employee, agent, or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nor is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or any of its subsidiaries located, organized or resident in a country or territory that is the subject or the target of Sanctions, including, without limitation, Cuba, Iran, North Korea, Syria (with respect to Syria, only until July 1, 2025), the Crimea region of Ukraine, the so-called Donetsk People’s Republic, the so-called Luhansk People’s Republic, the non-government controlled areas of the Zaporizhzhia and Kherson Regions of Ukraine and any other “Covered Region” of Ukraine identified pursuant to Executive Order 14065 (each, a “</w:t>
      </w:r>
      <w:r>
        <w:rPr>
          <w:rFonts w:ascii="Times New Roman" w:hAnsi="Times New Roman"/>
          <w:b/>
          <w:sz w:val="20"/>
        </w:rPr>
        <w:t>Sanctioned Country</w:t>
      </w:r>
      <w:r>
        <w:rPr>
          <w:rFonts w:ascii="Times New Roman" w:hAnsi="Times New Roman"/>
          <w:sz w:val="20"/>
        </w:rPr>
        <w:t xml:space="preserve">”);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except as disclosed in the Time of Sale Prospectus,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120" w:after="0"/>
        <w:jc w:val="left"/>
        <w:rPr>
          <w:rFonts w:ascii="Times New Roman" w:hAnsi="Times New Roman"/>
          <w:sz w:val="20"/>
        </w:rPr>
      </w:pPr>
      <w:r>
        <w:rPr>
          <w:rFonts w:ascii="Times New Roman" w:hAnsi="Times New Roman"/>
          <w:sz w:val="20"/>
        </w:rPr>
        <w:t>(s) Except as disclosed in the Time of Sale Prospectus, (i) the Company and each of its subsidiaries have filed all federal, state, local and foreign tax returns required to be filed through the date of this Agreement or have requested extensions thereof (except where the failure to file would not, individually or in the aggregate, have a Material Adverse Effect) and have paid all taxes required to be paid thereon (except for cases in which the failure to file or pay would not have a Material Adverse Effect, or, except as currently being contested in good faith and for which reserves required by U.S. generally accepted accounting principles (“</w:t>
      </w:r>
      <w:r>
        <w:rPr>
          <w:rFonts w:ascii="Times New Roman" w:hAnsi="Times New Roman"/>
          <w:b/>
          <w:sz w:val="20"/>
        </w:rPr>
        <w:t>GAAP</w:t>
      </w:r>
      <w:r>
        <w:rPr>
          <w:rFonts w:ascii="Times New Roman" w:hAnsi="Times New Roman"/>
          <w:sz w:val="20"/>
        </w:rPr>
        <w:t xml:space="preserve">”), if any, have been created in the financial statements of the Company), and (ii)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The Company and each of its Significant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differences; and (v) the interactive data in eXtensible Business Reporting Language included or incorporated by reference in the Registration Statement is accurate. Except as described in the Time of Sale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(u)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(v) The financial statements and the related notes thereto included or incorporated by reference in the Registration Statement, the Time of Sale Prospectus and the Prospectus comply in all material respects with the applicable requirements of the Securities Act and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and the supporting schedules included or incorporated by reference in the Registration Statement present fairly the information required to be stated therein; and the other financial information included or incorporated by reference in the Registration Statement, the Time of Sale Prospectus and the Prospectus has been derived from the accounting records of the Company and its subsidiaries and presents fairly the information shown thereby. </w:t>
      </w:r>
    </w:p>
    <w:p>
      <w:pPr>
        <w:pStyle w:val="TextBody"/>
        <w:bidi w:val="0"/>
        <w:spacing w:before="120" w:after="0"/>
        <w:jc w:val="left"/>
        <w:rPr>
          <w:rFonts w:ascii="Times New Roman" w:hAnsi="Times New Roman"/>
          <w:sz w:val="20"/>
        </w:rPr>
      </w:pPr>
      <w:r>
        <w:rPr>
          <w:rFonts w:ascii="Times New Roman" w:hAnsi="Times New Roman"/>
          <w:sz w:val="20"/>
        </w:rPr>
        <w:t>(w) Except as would not, individually or in the aggregate, reasonably be expected to have a Material Adverse Effect, the Company and its subsidiaries’ information technology and computer systems, networks, hardware, software and databases, equipment or technology (collectively, “</w:t>
      </w:r>
      <w:r>
        <w:rPr>
          <w:rFonts w:ascii="Times New Roman" w:hAnsi="Times New Roman"/>
          <w:b/>
          <w:sz w:val="20"/>
        </w:rPr>
        <w:t>IT Systems</w:t>
      </w:r>
      <w:r>
        <w:rPr>
          <w:rFonts w:ascii="Times New Roman" w:hAnsi="Times New Roman"/>
          <w:sz w:val="20"/>
        </w:rPr>
        <w:t>”): (i) operate and perform in all respects as required in connection with the operation of the businesses of the Company and its subsidiaries as currently conducted; (ii) have not materially malfunctioned or failed; (iii) to the Company’s knowledge, are free and clear of all bugs, errors, defects, Trojan horses, time bombs, drop dead devices, malware and other corruptants; (iv) there has been no security breach, violation, destruction, loss or unauthorized access, misappropriation, unauthorized disclosure, unauthorized modification, unauthorized encryption of or other compromise of or relating to the Company or its subsidiaries’ IT Systems and Data (each, an “</w:t>
      </w:r>
      <w:r>
        <w:rPr>
          <w:rFonts w:ascii="Times New Roman" w:hAnsi="Times New Roman"/>
          <w:b/>
          <w:sz w:val="20"/>
        </w:rPr>
        <w:t>Incident</w:t>
      </w:r>
      <w:r>
        <w:rPr>
          <w:rFonts w:ascii="Times New Roman" w:hAnsi="Times New Roman"/>
          <w:sz w:val="20"/>
        </w:rPr>
        <w:t xml:space="preserve">”); and (v) neither the Company nor its subsidiaries have been notified of, and each of them have no knowledge of any event or condition that could result in, any Incident. The Company and its subsidiaries have implemented and maintain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reasonable controls, policies, procedures, and technological safeguards to maintain and protect their material confidential information and the integrity, continuous operation, redundancy, privacy and security of their IT Systems and data and information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used in connection with their businesses or otherwise in their possession or under their control (collectively, “</w:t>
      </w:r>
      <w:r>
        <w:rPr>
          <w:rFonts w:ascii="Times New Roman" w:hAnsi="Times New Roman"/>
          <w:b/>
          <w:sz w:val="20"/>
        </w:rPr>
        <w:t>Data</w:t>
      </w:r>
      <w:r>
        <w:rPr>
          <w:rFonts w:ascii="Times New Roman" w:hAnsi="Times New Roman"/>
          <w:sz w:val="20"/>
        </w:rPr>
        <w:t>”), reasonably consistent with industry standards and practices, or as required by applicable regulatory standards. The Company and its subsidiaries have, for the last two years, complied and are presently in compliance in all material respects with all applicable laws and statutes and all applicable judgments, orders, rules and regulations of any court or arbitrator or governmental or regulatory authority, including Regulation (EU) 2016/679 (the General Data Protection Regulation) (collectively, “</w:t>
      </w:r>
      <w:r>
        <w:rPr>
          <w:rFonts w:ascii="Times New Roman" w:hAnsi="Times New Roman"/>
          <w:b/>
          <w:sz w:val="20"/>
        </w:rPr>
        <w:t>Data Privacy Laws</w:t>
      </w:r>
      <w:r>
        <w:rPr>
          <w:rFonts w:ascii="Times New Roman" w:hAnsi="Times New Roman"/>
          <w:sz w:val="20"/>
        </w:rPr>
        <w:t>”), internal and external policies, contractual obligations and any other obligations, in each case relating to the collection, use, disclosure, transfer, protection, storage, disposal, processing, privacy and security of IT Systems and Data and to the protection of such IT Systems and Data from an Incident (collectively, the “</w:t>
      </w:r>
      <w:r>
        <w:rPr>
          <w:rFonts w:ascii="Times New Roman" w:hAnsi="Times New Roman"/>
          <w:b/>
          <w:sz w:val="20"/>
        </w:rPr>
        <w:t>Data Security Obligations</w:t>
      </w:r>
      <w:r>
        <w:rPr>
          <w:rFonts w:ascii="Times New Roman" w:hAnsi="Times New Roman"/>
          <w:sz w:val="20"/>
        </w:rPr>
        <w:t xml:space="preserve">”). The Company and its subsidiaries have used commercially reasonable efforts to prepare to comply with all Data Privacy Laws that have been announced as of the date hereof as becoming effective within 12 months after the date hereof, and for which any non-compliance with same would be reasonably likely to create a material liability as soon they take effect. Except as would not, individually or in the aggregate, reasonably be expected to have a Material Adverse Effect, neither the Company nor any of its subsidiaries has received any notification of or complaint regarding any Data Security Obligation and, to the Company’s knowledge, there is no claim, action, suit or proceeding by or before any court or governmental agency, authority or body pending or threatened alleging non-compliance with any Data Security Obligation by the Company or any of its subsidiaries. The Company and its subsidiaries have implemented reasonable backup and disaster recovery technology consistent with applicable regulatory standards and customary industry practices, except where the failure to do so has not had and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Agreements to Sell and Purchase</w:t>
      </w:r>
      <w:r>
        <w:rPr>
          <w:rFonts w:ascii="Times New Roman" w:hAnsi="Times New Roman"/>
          <w:sz w:val="20"/>
        </w:rPr>
        <w:t xml:space="preserve">. 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amounts of Securities set forth in Schedule II hereto opposite its name at the purchase price set forth in Schedule I hereto.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Public Offering</w:t>
      </w:r>
      <w:r>
        <w:rPr>
          <w:rFonts w:ascii="Times New Roman" w:hAnsi="Times New Roman"/>
          <w:sz w:val="20"/>
        </w:rPr>
        <w:t xml:space="preserve">. The Company is advised by you that the Underwriters propose to make a public offering of their respective portions of the Securities as soon after the Registration Statement and this Agreement have become effective as in your judgment is advisable. The Company is further advised by you that the Securities are to be offered to the public upon the terms set forth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Payment and Delivery</w:t>
      </w:r>
      <w:r>
        <w:rPr>
          <w:rFonts w:ascii="Times New Roman" w:hAnsi="Times New Roman"/>
          <w:sz w:val="20"/>
        </w:rPr>
        <w:t>. Payment for the Securities shall be made to the Company in Federal or other funds immediately available in New York City on the closing date and time set forth in Schedule I hereto, or at such other time on the same or such other date, not later than the fifth business day thereafter, as may be designated in writing by you and agreed by the Company.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for the Securities shall be made against delivery to you on the Closing Date for the respective accounts of the several Underwriters of the Securities registered in such names and in such denominations as you shall request in writing not later than one full business day prior to the Closing Date, with transfer taxes, if any, payable in connection with the transfer of the Securities to the Underwriters duly paid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The several obligations of the Underwriters are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6"/>
        <w:gridCol w:w="7964"/>
      </w:tblGrid>
      <w:tr>
        <w:trPr/>
        <w:tc>
          <w:tcPr>
            <w:tcW w:w="183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79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suspending the effectiveness of the Registration Statement shall be in effect, and no proceeding for such purpose or pursuant to Section 8A under the Securities Act shall be pending before or, to the Company’s knowledge, threatened by the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not have occurred any downgrading, nor shall any notice have been given of any intended or potential downgrading or of any review for a possible change that does not indicate the direction of the possible change, in the rating accorded the Company or any of the debt securities of the Company by any “nationally recognized statistical rating organization,” as such term is defined in Section 3(a)(62)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not have occurred any change, or any development involving a prospective change, in the condition, financial or otherwise, or in the earnings, business or operations of the Company and its subsidiaries, taken as a whole, from that set forth in the Time of Sale Prospectus as of the date of this Agreement that, in your judgment, is material and adverse and that makes it, in your judgment, impracticable to market the Securities on the terms and in the manner contemplated in the Time of Sale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Underwriters shall have received on the Closing Date a certificate, dated the Closing Date and signed by an executive officer of the Company, to the effect set forth in Section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officer signing and delivering such certificate may rely upon the best of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Underwriters shall have received on the Closing Date opinions and a negative assurance letter of Wilson Sonsini Goodrich &amp; Rosati Professional Corporation, outside counsel for the Company, dated the Closing Date, substantially in the forms set forth in </w:t>
      </w:r>
      <w:r>
        <w:rPr>
          <w:rFonts w:ascii="Times New Roman" w:hAnsi="Times New Roman"/>
          <w:sz w:val="20"/>
          <w:u w:val="single"/>
        </w:rPr>
        <w:t>Exhibit A</w:t>
      </w:r>
      <w:r>
        <w:rPr>
          <w:rFonts w:ascii="Times New Roman" w:hAnsi="Times New Roman"/>
          <w:sz w:val="20"/>
        </w:rPr>
        <w:t xml:space="preserve"> and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(d) The Underwriters shall have received on the Closing Date an opinion of Davis Polk &amp; Wardwell LLP, counsel for the Underwriters, dated the Closing Date, in the form and substance to be agreed upon by the Managers and such counsel. </w:t>
      </w:r>
    </w:p>
    <w:p>
      <w:pPr>
        <w:pStyle w:val="TextBody"/>
        <w:bidi w:val="0"/>
        <w:spacing w:before="120" w:after="0"/>
        <w:jc w:val="left"/>
        <w:rPr>
          <w:rFonts w:ascii="Times New Roman" w:hAnsi="Times New Roman"/>
          <w:sz w:val="20"/>
        </w:rPr>
      </w:pPr>
      <w:r>
        <w:rPr>
          <w:rFonts w:ascii="Times New Roman" w:hAnsi="Times New Roman"/>
          <w:sz w:val="20"/>
        </w:rPr>
        <w:t xml:space="preserve">(e) The Underwriters shall have received, on each of the date hereof and the Closing Date, a letter dated the date hereof or the Closing Date, as the case may be, in form and substance reasonably satisfactory to the Underwriters, from Ernst &amp; Young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three business days before the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(f) The Underwriters shall have received, on each of the date hereof and the Closing Date, a certificate dated the date hereof or the Closing Date, as the case may be, in form and substance reasonably satisfactory to the Underwriters, signed by the Company’s chief financial officer and providing “management comfort” with respect to certain financial data contained or incorporated by reference in the Registration Statement, the Time of Sale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The opinions and negative assurance letter described in Section 5(c) above shall be rendered to the Underwriters at the request of the Company and shall so state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you, without charge, a signed copy of the Registration Statement (including exhibits thereto and documents incorporated by reference therein) and to deliver to each of the Underwriters during the period mentioned in Section 6(e) or 6(f) below, as many copies of the Time of Sale Prospectus, the Prospectus, any documents incorporated by reference therein and any supplements and amendments thereto or to the Registration Statement as you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you a copy of each such proposed amendment or supplement and not to file any such proposed amendment or supplement to which you reasonably object, except as may be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(c) To furnish to you a copy of each proposed free writing prospectus to be prepared by or on behalf of, used by, or referred to by the Company in connection with the offering of the Securities and not to use or refer to any proposed free writing prospectus to which you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If, during such period after the first date of the public offering of the Securities and prior to the completion of the distribution of the Securities, any event shall occur or condition exist as a result of which it is necessary to amend or supplement the Prospectus in order to make the statements therein, in the light of the circumstances when the Prospectus (or in lieu thereof the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Securities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To endeavor to qualify the Securities for offer and sale under the securities or Blue Sky laws of such jurisdictions as you shall reasonably request, </w:t>
      </w:r>
      <w:r>
        <w:rPr>
          <w:rFonts w:ascii="Times New Roman" w:hAnsi="Times New Roman"/>
          <w:i/>
          <w:sz w:val="20"/>
        </w:rPr>
        <w:t>provided</w:t>
      </w:r>
      <w:r>
        <w:rPr>
          <w:rFonts w:ascii="Times New Roman" w:hAnsi="Times New Roman"/>
          <w:sz w:val="20"/>
        </w:rPr>
        <w:t xml:space="preserve"> that in connection therewith the Company shall not be required to qualify as a foreign corporation or to file a general consent to service of process in any jurisdiction or assume any ongoing reporting obligations to any governmental or other authorities or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(h) To the extent not available on the Commission’s EDGAR filing system (or any successor system), to make generally available to the Company’s security holders and to you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Securities (within the time required by Rule 456(b)(1), if applicable),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legal investment memorandum in connection with the offer and sale of the Securities under state securities laws and all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any fees charged by the rating agencies for the rating of the Securities; (v) the cost of the preparation, issuance and delivery of the Securities; (vi) the costs and charges of any trustee, transfer agent, registrar or depositary; (vii)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(viii) the document production charges and expenses associated with printing this Agreement; and (ix)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transfer taxes payable on resale of any of the Securities by them and any advertising expenses connected with any offers they may make. </w:t>
      </w:r>
    </w:p>
    <w:p>
      <w:pPr>
        <w:pStyle w:val="TextBody"/>
        <w:bidi w:val="0"/>
        <w:spacing w:before="120" w:after="0"/>
        <w:jc w:val="left"/>
        <w:rPr>
          <w:rFonts w:ascii="Times New Roman" w:hAnsi="Times New Roman"/>
          <w:sz w:val="20"/>
        </w:rPr>
      </w:pPr>
      <w:r>
        <w:rPr>
          <w:rFonts w:ascii="Times New Roman" w:hAnsi="Times New Roman"/>
          <w:sz w:val="20"/>
        </w:rPr>
        <w:t xml:space="preserve">(j) During the period beginning on the date hereof and continuing to and including the Closing Date, not to offer, sell, contract to sell or otherwise dispose of any debt securities of the Company or warrants to purchase or otherwise acquire debt securities of the Company substantially similar to the Securities (other than (i) the Securities, (ii) commercial paper issued in the ordinary course of business or (iii) securities or warrants permitted with the prior written consent of the Managers identified in Schedule I with the authorization to release this lock-up on behalf of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(k) To prepare a final term sheet relating to the offering of the Securities, containing only information that describes the final terms of the Securities or the offering in a form consented to by the Managers, and to file such final term sheet within the period required by Rule 433(d)(5)(ii) under the Securities Act following the date the final terms have been established for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or caused by any omission or alleged omission to state therein a material fact required to be stated therein or necessary to make the statements therein, in light of the circumstances under which they were made, not misleading, except insofar as such losses, claims, damages or liabilities are caused, by any such untrue statement or omission or alleged untrue statement or omission made in reliance upon and in conformity with any Underwriter Information. </w:t>
      </w:r>
    </w:p>
    <w:p>
      <w:pPr>
        <w:pStyle w:val="TextBody"/>
        <w:bidi w:val="0"/>
        <w:spacing w:before="120" w:after="0"/>
        <w:jc w:val="left"/>
        <w:rPr>
          <w:rFonts w:ascii="Times New Roman" w:hAnsi="Times New Roman"/>
          <w:sz w:val="20"/>
        </w:rPr>
      </w:pPr>
      <w:r>
        <w:rPr>
          <w:rFonts w:ascii="Times New Roman" w:hAnsi="Times New Roman"/>
          <w:sz w:val="20"/>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or the Prospectus or any amendment or supplement thereto. The Company hereby acknowledges that the only such information that the Underwriters have furnished to the Company is as follows: (i) the names included in the table of “Underwriters” in the first paragraph of text; (ii) the sentences related to discounts and concessions to certain other brokers or dealers in the third paragraph of text; (iii) the sixth paragraph of text concerning stabilization and overallotments by the Underwriters; and (iv) the sentence related to the intention of the Underwriters to make a market in the eighth paragraph of text, in each case set forth under the caption “Underwriting (Conflicts of Interest)” in the Time of Sale Prospectus and Prospectus (collectively, the “</w:t>
      </w:r>
      <w:r>
        <w:rPr>
          <w:rFonts w:ascii="Times New Roman" w:hAnsi="Times New Roman"/>
          <w:b/>
          <w:sz w:val="20"/>
        </w:rPr>
        <w:t>Underwriter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entitled to participate therein and, to the extent that it shall wish, to assume the defense thereof and, upon request of the indemnified party, shall retain counsel reasonably satisfactory to the indemnified party to represent the indemnified party and any others the indemnifying party may designate in such proceeding and shall pay the reasonable fees and disbursements of such counsel reasonably incurred in connection with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one local counsel in each jurisdiction where a proceeding is pending or threatened) for all such indemnified parties and that all such reasonable fees and expenses shall be reimbursed as they are incurred. Such firm shall be designated in writing by the Managers authorized to appoint counsel under this Section set forth in Schedule I hereto,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bear to the aggregate initial public offering price of the Securities as set forth in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amounts of Securities they have purchased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The Underwriters may terminate this Agreement by notice given by you to the Company, if after the execution and delivery of this Agreement and prior to the Closing Date (i) trading generally shall have been suspended or materially limited on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9, makes it, in your judgment, impracticable or inadvisable to proceed with the offer, sale or delivery of the Securities on the terms and in the manner contemplated in the Time of Sale Prospectus or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the Securities that it has or they have agreed to purchase hereunder on such date, and the aggregate principal amount of the Securities which such defaulting Underwriter or Underwriters agreed but failed or refused to purchase is not more than one-tenth of the aggregate principal amount of the Securities to be purchased on such date, the other Underwriters shall be obligated severally in the proportions that the principal amount of Securities set forth opposite their respective names in Schedule II bears to the aggregate principal amount of Securities set forth opposite the names of all such non-defaulting Underwriters, or in such other proportions as you may specify, to purchase the Securities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principal amount of the Securities that any Underwriter has agreed to purchase pursuant to this Agreement be increased pursuant to this Section 10 by an amount in excess of one-ninth of such principal amount of the Securities without the written consent of such Underwriter. If, on the Closing Date, any Underwriter or Underwriters shall fail or refuse to purchase the Securities and the aggregate principal amount of the Securities with respect to which such default occurs is more than one-tenth of the aggregate principal amount of the Securities to be purchased on such date, and arrangements satisfactory to you and the Company for the purchase of such Securities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in any event for which such failure to perform by the Company was a direct result of a failure to perform by the Underwriters under this Agreement) the Company will reimburse the Underwriters or such Underwriters as have so terminated this Agreement with respect to themselves, severally, for all out-of-pocket expenses (including all reasonable fees and disbursements of their outside counsel) reasonably incurred by such Underwriters in connection with this Agreement or the offering contemplated hereunder.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Counterparts</w:t>
      </w:r>
      <w:r>
        <w:rPr>
          <w:rFonts w:ascii="Times New Roman" w:hAnsi="Times New Roman"/>
          <w:sz w:val="20"/>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Notices</w:t>
      </w:r>
      <w:r>
        <w:rPr>
          <w:rFonts w:ascii="Times New Roman" w:hAnsi="Times New Roman"/>
          <w:sz w:val="20"/>
        </w:rPr>
        <w:t xml:space="preserve">. All communications hereunder shall be in writing and effective only upon receipt and if to the Underwriters shall be delivered, mailed or sent to you at the addresses set forth in Schedule I hereto; and if to the Company shall be delivered, mailed or sent to the address set forth in Schedule I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As used in this Section 16, </w:t>
      </w:r>
    </w:p>
    <w:p>
      <w:pPr>
        <w:pStyle w:val="TextBody"/>
        <w:bidi w:val="0"/>
        <w:spacing w:before="120" w:after="0"/>
        <w:jc w:val="left"/>
        <w:rPr/>
      </w:pPr>
      <w:r>
        <w:rPr/>
        <w:t>“</w:t>
      </w:r>
      <w:r>
        <w:rPr>
          <w:rFonts w:ascii="Times New Roman" w:hAnsi="Times New Roman"/>
          <w:b/>
          <w:sz w:val="20"/>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b/>
          <w:sz w:val="20"/>
        </w:rPr>
        <w:t>Covered Entity</w:t>
      </w:r>
      <w:r>
        <w:rPr>
          <w:rFonts w:ascii="Times New Roman" w:hAnsi="Times New Roman"/>
          <w:sz w:val="20"/>
        </w:rPr>
        <w:t xml:space="preserve">”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entity” as that term is defined in, and interpreted in accordance with, 12 C.F.R. § 252.82(b);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bank” as that term is defined in, and interpreted in accordance with, 12 C.F.R. § 47.3(b);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FSI” as that term is defined in, and interpreted in accordance with, 12 C.F.R. § 382.2(b). </w:t>
            </w:r>
          </w:p>
        </w:tc>
      </w:tr>
    </w:tbl>
    <w:p>
      <w:pPr>
        <w:pStyle w:val="TextBody"/>
        <w:bidi w:val="0"/>
        <w:spacing w:before="12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AUTODESK,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vAlign w:val="bottom"/>
          </w:tcPr>
          <w:p>
            <w:pPr>
              <w:pStyle w:val="TableContents"/>
              <w:bidi w:val="0"/>
              <w:spacing w:before="0" w:after="283"/>
              <w:jc w:val="left"/>
              <w:rPr/>
            </w:pPr>
            <w:r>
              <w:rPr/>
              <w:t>/s/ Janesh Moorjani</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Name: Janesh Moorjani</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Title: Chief Financial Officer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as of the date hereof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Acting severally on behalf of themselves and the</w:t>
            </w:r>
          </w:p>
          <w:p>
            <w:pPr>
              <w:pStyle w:val="TableContents"/>
              <w:bidi w:val="0"/>
              <w:spacing w:before="0" w:after="0"/>
              <w:jc w:val="left"/>
              <w:rPr>
                <w:rFonts w:ascii="Times New Roman" w:hAnsi="Times New Roman"/>
                <w:sz w:val="20"/>
              </w:rPr>
            </w:pPr>
            <w:r>
              <w:rPr>
                <w:rFonts w:ascii="Times New Roman" w:hAnsi="Times New Roman"/>
                <w:sz w:val="20"/>
              </w:rPr>
              <w:t>several Underwriters named in Schedule II</w:t>
            </w:r>
          </w:p>
          <w:p>
            <w:pPr>
              <w:pStyle w:val="TableContents"/>
              <w:bidi w:val="0"/>
              <w:spacing w:before="0" w:after="0"/>
              <w:jc w:val="left"/>
              <w:rPr>
                <w:rFonts w:ascii="Times New Roman" w:hAnsi="Times New Roman"/>
                <w:sz w:val="20"/>
              </w:rPr>
            </w:pPr>
            <w:r>
              <w:rPr>
                <w:rFonts w:ascii="Times New Roman" w:hAnsi="Times New Roman"/>
                <w:sz w:val="20"/>
              </w:rPr>
              <w:t>hereto</w:t>
            </w:r>
          </w:p>
          <w:p>
            <w:pPr>
              <w:pStyle w:val="TableContents"/>
              <w:bidi w:val="0"/>
              <w:spacing w:before="0" w:after="20"/>
              <w:jc w:val="left"/>
              <w:rPr/>
            </w:pPr>
            <w:r>
              <w:rPr/>
              <w:t> </w:t>
            </w:r>
          </w:p>
        </w:tc>
      </w:tr>
      <w:tr>
        <w:trPr/>
        <w:tc>
          <w:tcPr>
            <w:tcW w:w="37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Morgan Stanley &amp; Co.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vAlign w:val="bottom"/>
          </w:tcPr>
          <w:p>
            <w:pPr>
              <w:pStyle w:val="TableContents"/>
              <w:bidi w:val="0"/>
              <w:spacing w:before="0" w:after="283"/>
              <w:jc w:val="left"/>
              <w:rPr/>
            </w:pPr>
            <w:r>
              <w:rPr/>
              <w:t>/s/ Michelle Wang</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Michelle Wang</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Managing Director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BNP Paribas Securities Corp.</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vAlign w:val="bottom"/>
          </w:tcPr>
          <w:p>
            <w:pPr>
              <w:pStyle w:val="TableContents"/>
              <w:bidi w:val="0"/>
              <w:spacing w:before="0" w:after="283"/>
              <w:jc w:val="left"/>
              <w:rPr/>
            </w:pPr>
            <w:r>
              <w:rPr/>
              <w:t>/s/ Rafael Ribeiro</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Rafael Ribeiro</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Head of Investment Grade Finance, Americas</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Citigroup Global Markets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vAlign w:val="bottom"/>
          </w:tcPr>
          <w:p>
            <w:pPr>
              <w:pStyle w:val="TableContents"/>
              <w:bidi w:val="0"/>
              <w:spacing w:before="0" w:after="283"/>
              <w:jc w:val="left"/>
              <w:rPr/>
            </w:pPr>
            <w:r>
              <w:rPr/>
              <w:t>/s/ Adam D. Bordner</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Adam D. Bordner</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01"/>
        <w:gridCol w:w="123"/>
        <w:gridCol w:w="5881"/>
      </w:tblGrid>
      <w:tr>
        <w:trPr/>
        <w:tc>
          <w:tcPr>
            <w:tcW w:w="42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881" w:type="dxa"/>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Managers:</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20"/>
              <w:jc w:val="left"/>
              <w:rPr>
                <w:rFonts w:ascii="Times New Roman" w:hAnsi="Times New Roman"/>
                <w:sz w:val="20"/>
              </w:rPr>
            </w:pPr>
            <w:r>
              <w:rPr>
                <w:rFonts w:ascii="Times New Roman" w:hAnsi="Times New Roman"/>
                <w:sz w:val="20"/>
              </w:rPr>
              <w:t>Citigroup Global Markets Inc.</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Managers authorized to release lock-up under Section 6(j):</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20"/>
              <w:jc w:val="left"/>
              <w:rPr>
                <w:rFonts w:ascii="Times New Roman" w:hAnsi="Times New Roman"/>
                <w:sz w:val="20"/>
              </w:rPr>
            </w:pPr>
            <w:r>
              <w:rPr>
                <w:rFonts w:ascii="Times New Roman" w:hAnsi="Times New Roman"/>
                <w:sz w:val="20"/>
              </w:rPr>
              <w:t>Citigroup Global Markets Inc.</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Managers authorized to appoint counsel under Section 8(c):</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20"/>
              <w:jc w:val="left"/>
              <w:rPr>
                <w:rFonts w:ascii="Times New Roman" w:hAnsi="Times New Roman"/>
                <w:sz w:val="20"/>
              </w:rPr>
            </w:pPr>
            <w:r>
              <w:rPr>
                <w:rFonts w:ascii="Times New Roman" w:hAnsi="Times New Roman"/>
                <w:sz w:val="20"/>
              </w:rPr>
              <w:t>Citigroup Global Markets Inc.</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Indenture:</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pPr>
            <w:r>
              <w:rPr/>
              <w:t>Indenture dated as of December 13, 2012 and the Seventh Supplemental Indenture to be dated as of the date the Securities are issued between the Company and the Trustee</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Trustee:</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pPr>
            <w:r>
              <w:rPr/>
              <w:t>U.S. Bank Trust Company, National Association</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Registration Statement File No.:</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283"/>
              <w:jc w:val="left"/>
              <w:rPr/>
            </w:pPr>
            <w:r>
              <w:rPr/>
              <w:t>333-287650</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Time of Sale Prospectus:</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0"/>
              <w:jc w:val="left"/>
              <w:rPr>
                <w:rFonts w:ascii="Times New Roman" w:hAnsi="Times New Roman"/>
                <w:sz w:val="20"/>
              </w:rPr>
            </w:pPr>
            <w:r>
              <w:rPr>
                <w:rFonts w:ascii="Times New Roman" w:hAnsi="Times New Roman"/>
                <w:sz w:val="20"/>
              </w:rPr>
              <w:t>1.  Prospectus dated May 29, 2025 relating to the Shelf Securities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The preliminary prospectus supplement dated September 8, 2026 relating to the Securities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3.  The free writing prospectus containing a description of certain terms filed by the Company under Rule 433(d) of the Securities Act</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Securities to be purchased:</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0"/>
              <w:jc w:val="left"/>
              <w:rPr>
                <w:rFonts w:ascii="Times New Roman" w:hAnsi="Times New Roman"/>
                <w:sz w:val="20"/>
              </w:rPr>
            </w:pPr>
            <w:r>
              <w:rPr>
                <w:rFonts w:ascii="Times New Roman" w:hAnsi="Times New Roman"/>
                <w:sz w:val="20"/>
              </w:rPr>
              <w:t>5.050% Notes due 2029</w:t>
            </w:r>
          </w:p>
          <w:p>
            <w:pPr>
              <w:pStyle w:val="TableContents"/>
              <w:bidi w:val="0"/>
              <w:spacing w:before="0" w:after="20"/>
              <w:jc w:val="left"/>
              <w:rPr>
                <w:rFonts w:ascii="Times New Roman" w:hAnsi="Times New Roman"/>
                <w:sz w:val="20"/>
              </w:rPr>
            </w:pPr>
            <w:r>
              <w:rPr>
                <w:rFonts w:ascii="Times New Roman" w:hAnsi="Times New Roman"/>
                <w:sz w:val="20"/>
              </w:rPr>
              <w:t>5.650% Notes due 2033</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Aggregate Principal Amount:</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0"/>
              <w:jc w:val="left"/>
              <w:rPr>
                <w:rFonts w:ascii="Times New Roman" w:hAnsi="Times New Roman"/>
                <w:sz w:val="20"/>
              </w:rPr>
            </w:pPr>
            <w:r>
              <w:rPr>
                <w:rFonts w:ascii="Times New Roman" w:hAnsi="Times New Roman"/>
                <w:sz w:val="20"/>
              </w:rPr>
              <w:t>$500,000,000 of 5.050% Notes due 2029</w:t>
            </w:r>
          </w:p>
          <w:p>
            <w:pPr>
              <w:pStyle w:val="TableContents"/>
              <w:bidi w:val="0"/>
              <w:spacing w:before="0" w:after="20"/>
              <w:jc w:val="left"/>
              <w:rPr>
                <w:rFonts w:ascii="Times New Roman" w:hAnsi="Times New Roman"/>
                <w:sz w:val="20"/>
              </w:rPr>
            </w:pPr>
            <w:r>
              <w:rPr>
                <w:rFonts w:ascii="Times New Roman" w:hAnsi="Times New Roman"/>
                <w:sz w:val="20"/>
              </w:rPr>
              <w:t>$500,000,000 of 5.650% Notes due 2033</w:t>
            </w:r>
          </w:p>
        </w:tc>
      </w:tr>
      <w:tr>
        <w:trPr>
          <w:trHeight w:val="120" w:hRule="atLeast"/>
        </w:trPr>
        <w:tc>
          <w:tcPr>
            <w:tcW w:w="4201" w:type="dxa"/>
            <w:tcBorders/>
            <w:vAlign w:val="center"/>
          </w:tcPr>
          <w:p>
            <w:pPr>
              <w:pStyle w:val="TableContents"/>
              <w:bidi w:val="0"/>
              <w:spacing w:before="0" w:after="283"/>
              <w:jc w:val="left"/>
              <w:rPr>
                <w:sz w:val="4"/>
                <w:szCs w:val="4"/>
              </w:rPr>
            </w:pPr>
            <w:r>
              <w:rPr>
                <w:sz w:val="4"/>
                <w:szCs w:val="4"/>
              </w:rPr>
            </w:r>
          </w:p>
        </w:tc>
        <w:tc>
          <w:tcPr>
            <w:tcW w:w="6004" w:type="dxa"/>
            <w:gridSpan w:val="2"/>
            <w:tcBorders/>
            <w:vAlign w:val="center"/>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283"/>
              <w:jc w:val="left"/>
              <w:rPr/>
            </w:pPr>
            <w:r>
              <w:rPr/>
              <w:t>Purchase Price:</w:t>
            </w:r>
          </w:p>
        </w:tc>
        <w:tc>
          <w:tcPr>
            <w:tcW w:w="123" w:type="dxa"/>
            <w:tcBorders/>
            <w:vAlign w:val="bottom"/>
          </w:tcPr>
          <w:p>
            <w:pPr>
              <w:pStyle w:val="TableContents"/>
              <w:bidi w:val="0"/>
              <w:spacing w:before="0" w:after="283"/>
              <w:jc w:val="left"/>
              <w:rPr/>
            </w:pPr>
            <w:r>
              <w:rPr/>
              <w:t>  </w:t>
            </w:r>
          </w:p>
        </w:tc>
        <w:tc>
          <w:tcPr>
            <w:tcW w:w="5881" w:type="dxa"/>
            <w:tcBorders/>
          </w:tcPr>
          <w:p>
            <w:pPr>
              <w:pStyle w:val="TableContents"/>
              <w:bidi w:val="0"/>
              <w:spacing w:before="0" w:after="0"/>
              <w:jc w:val="left"/>
              <w:rPr>
                <w:rFonts w:ascii="Times New Roman" w:hAnsi="Times New Roman"/>
                <w:sz w:val="20"/>
              </w:rPr>
            </w:pPr>
            <w:r>
              <w:rPr>
                <w:rFonts w:ascii="Times New Roman" w:hAnsi="Times New Roman"/>
                <w:sz w:val="20"/>
              </w:rPr>
              <w:t>99.419% of the principal amount of the 5.050% Notes due 2029, plus accrued interest, if any, from September 10, 2026.</w:t>
            </w:r>
          </w:p>
          <w:p>
            <w:pPr>
              <w:pStyle w:val="TableContents"/>
              <w:bidi w:val="0"/>
              <w:spacing w:before="0" w:after="20"/>
              <w:jc w:val="left"/>
              <w:rPr>
                <w:rFonts w:ascii="Times New Roman" w:hAnsi="Times New Roman"/>
                <w:sz w:val="20"/>
              </w:rPr>
            </w:pPr>
            <w:r>
              <w:rPr>
                <w:rFonts w:ascii="Times New Roman" w:hAnsi="Times New Roman"/>
                <w:sz w:val="20"/>
              </w:rPr>
              <w:t>99.219% of the principal amount of the 5.650% Notes due 2033, plus accrued interest, if any, from September 10,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184"/>
        <w:gridCol w:w="121"/>
        <w:gridCol w:w="5900"/>
      </w:tblGrid>
      <w:tr>
        <w:trPr/>
        <w:tc>
          <w:tcPr>
            <w:tcW w:w="418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900" w:type="dxa"/>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bidi w:val="0"/>
              <w:spacing w:before="0" w:after="283"/>
              <w:jc w:val="left"/>
              <w:rPr/>
            </w:pPr>
            <w:r>
              <w:rPr/>
              <w:t>Maturity:</w:t>
            </w:r>
          </w:p>
        </w:tc>
        <w:tc>
          <w:tcPr>
            <w:tcW w:w="121" w:type="dxa"/>
            <w:tcBorders/>
            <w:vAlign w:val="bottom"/>
          </w:tcPr>
          <w:p>
            <w:pPr>
              <w:pStyle w:val="TableContents"/>
              <w:bidi w:val="0"/>
              <w:spacing w:before="0" w:after="283"/>
              <w:jc w:val="left"/>
              <w:rPr/>
            </w:pPr>
            <w:r>
              <w:rPr/>
              <w:t>  </w:t>
            </w:r>
          </w:p>
        </w:tc>
        <w:tc>
          <w:tcPr>
            <w:tcW w:w="5900" w:type="dxa"/>
            <w:tcBorders/>
          </w:tcPr>
          <w:p>
            <w:pPr>
              <w:pStyle w:val="TableContents"/>
              <w:bidi w:val="0"/>
              <w:spacing w:before="0" w:after="0"/>
              <w:jc w:val="left"/>
              <w:rPr>
                <w:rFonts w:ascii="Times New Roman" w:hAnsi="Times New Roman"/>
                <w:sz w:val="20"/>
              </w:rPr>
            </w:pPr>
            <w:r>
              <w:rPr>
                <w:rFonts w:ascii="Times New Roman" w:hAnsi="Times New Roman"/>
                <w:sz w:val="20"/>
              </w:rPr>
              <w:t>5.050% Notes due 2029: September 15, 2029</w:t>
            </w:r>
          </w:p>
          <w:p>
            <w:pPr>
              <w:pStyle w:val="TableContents"/>
              <w:bidi w:val="0"/>
              <w:spacing w:before="0" w:after="20"/>
              <w:jc w:val="left"/>
              <w:rPr>
                <w:rFonts w:ascii="Times New Roman" w:hAnsi="Times New Roman"/>
                <w:sz w:val="20"/>
              </w:rPr>
            </w:pPr>
            <w:r>
              <w:rPr>
                <w:rFonts w:ascii="Times New Roman" w:hAnsi="Times New Roman"/>
                <w:sz w:val="20"/>
              </w:rPr>
              <w:t>5.650% Notes due 2033: September 15, 2033</w:t>
            </w:r>
          </w:p>
        </w:tc>
      </w:tr>
      <w:tr>
        <w:trPr>
          <w:trHeight w:val="120" w:hRule="atLeast"/>
        </w:trPr>
        <w:tc>
          <w:tcPr>
            <w:tcW w:w="4184" w:type="dxa"/>
            <w:tcBorders/>
            <w:vAlign w:val="center"/>
          </w:tcPr>
          <w:p>
            <w:pPr>
              <w:pStyle w:val="TableContents"/>
              <w:bidi w:val="0"/>
              <w:spacing w:before="0" w:after="283"/>
              <w:jc w:val="left"/>
              <w:rPr>
                <w:sz w:val="4"/>
                <w:szCs w:val="4"/>
              </w:rPr>
            </w:pPr>
            <w:r>
              <w:rPr>
                <w:sz w:val="4"/>
                <w:szCs w:val="4"/>
              </w:rPr>
            </w:r>
          </w:p>
        </w:tc>
        <w:tc>
          <w:tcPr>
            <w:tcW w:w="6021"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bidi w:val="0"/>
              <w:spacing w:before="0" w:after="283"/>
              <w:jc w:val="left"/>
              <w:rPr/>
            </w:pPr>
            <w:r>
              <w:rPr/>
              <w:t>Interest Rate:</w:t>
            </w:r>
          </w:p>
        </w:tc>
        <w:tc>
          <w:tcPr>
            <w:tcW w:w="121" w:type="dxa"/>
            <w:tcBorders/>
            <w:vAlign w:val="bottom"/>
          </w:tcPr>
          <w:p>
            <w:pPr>
              <w:pStyle w:val="TableContents"/>
              <w:bidi w:val="0"/>
              <w:spacing w:before="0" w:after="283"/>
              <w:jc w:val="left"/>
              <w:rPr/>
            </w:pPr>
            <w:r>
              <w:rPr/>
              <w:t>  </w:t>
            </w:r>
          </w:p>
        </w:tc>
        <w:tc>
          <w:tcPr>
            <w:tcW w:w="5900" w:type="dxa"/>
            <w:tcBorders/>
          </w:tcPr>
          <w:p>
            <w:pPr>
              <w:pStyle w:val="TableContents"/>
              <w:bidi w:val="0"/>
              <w:spacing w:before="0" w:after="0"/>
              <w:jc w:val="left"/>
              <w:rPr>
                <w:rFonts w:ascii="Times New Roman" w:hAnsi="Times New Roman"/>
                <w:sz w:val="20"/>
              </w:rPr>
            </w:pPr>
            <w:r>
              <w:rPr>
                <w:rFonts w:ascii="Times New Roman" w:hAnsi="Times New Roman"/>
                <w:sz w:val="20"/>
              </w:rPr>
              <w:t>5.050% Notes due 2029: 5.050% per annum, accruing from September 10, 2026</w:t>
            </w:r>
          </w:p>
          <w:p>
            <w:pPr>
              <w:pStyle w:val="TableContents"/>
              <w:bidi w:val="0"/>
              <w:spacing w:before="0" w:after="20"/>
              <w:jc w:val="left"/>
              <w:rPr>
                <w:rFonts w:ascii="Times New Roman" w:hAnsi="Times New Roman"/>
                <w:sz w:val="20"/>
              </w:rPr>
            </w:pPr>
            <w:r>
              <w:rPr>
                <w:rFonts w:ascii="Times New Roman" w:hAnsi="Times New Roman"/>
                <w:sz w:val="20"/>
              </w:rPr>
              <w:t>5.650% Notes due 2033: 5.650% per annum, accruing from September 10, 2026</w:t>
            </w:r>
          </w:p>
        </w:tc>
      </w:tr>
      <w:tr>
        <w:trPr>
          <w:trHeight w:val="120" w:hRule="atLeast"/>
        </w:trPr>
        <w:tc>
          <w:tcPr>
            <w:tcW w:w="4184" w:type="dxa"/>
            <w:tcBorders/>
            <w:vAlign w:val="center"/>
          </w:tcPr>
          <w:p>
            <w:pPr>
              <w:pStyle w:val="TableContents"/>
              <w:bidi w:val="0"/>
              <w:spacing w:before="0" w:after="283"/>
              <w:jc w:val="left"/>
              <w:rPr>
                <w:sz w:val="4"/>
                <w:szCs w:val="4"/>
              </w:rPr>
            </w:pPr>
            <w:r>
              <w:rPr>
                <w:sz w:val="4"/>
                <w:szCs w:val="4"/>
              </w:rPr>
            </w:r>
          </w:p>
        </w:tc>
        <w:tc>
          <w:tcPr>
            <w:tcW w:w="6021"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5900" w:type="dxa"/>
            <w:tcBorders/>
          </w:tcPr>
          <w:p>
            <w:pPr>
              <w:pStyle w:val="TableContents"/>
              <w:bidi w:val="0"/>
              <w:spacing w:before="0" w:after="283"/>
              <w:jc w:val="left"/>
              <w:rPr/>
            </w:pPr>
            <w:r>
              <w:rPr/>
              <w:t>Semi-annually in arrears on March 15 and September 15, beginning on March 15, 2027, accruing from September 10, 2026</w:t>
            </w:r>
          </w:p>
        </w:tc>
      </w:tr>
      <w:tr>
        <w:trPr>
          <w:trHeight w:val="120" w:hRule="atLeast"/>
        </w:trPr>
        <w:tc>
          <w:tcPr>
            <w:tcW w:w="4184" w:type="dxa"/>
            <w:tcBorders/>
            <w:vAlign w:val="center"/>
          </w:tcPr>
          <w:p>
            <w:pPr>
              <w:pStyle w:val="TableContents"/>
              <w:bidi w:val="0"/>
              <w:spacing w:before="0" w:after="283"/>
              <w:jc w:val="left"/>
              <w:rPr>
                <w:sz w:val="4"/>
                <w:szCs w:val="4"/>
              </w:rPr>
            </w:pPr>
            <w:r>
              <w:rPr>
                <w:sz w:val="4"/>
                <w:szCs w:val="4"/>
              </w:rPr>
            </w:r>
          </w:p>
        </w:tc>
        <w:tc>
          <w:tcPr>
            <w:tcW w:w="6021"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bidi w:val="0"/>
              <w:spacing w:before="0" w:after="283"/>
              <w:jc w:val="left"/>
              <w:rPr/>
            </w:pPr>
            <w:r>
              <w:rPr/>
              <w:t>Closing Date and Time:</w:t>
            </w:r>
          </w:p>
        </w:tc>
        <w:tc>
          <w:tcPr>
            <w:tcW w:w="121" w:type="dxa"/>
            <w:tcBorders/>
            <w:vAlign w:val="bottom"/>
          </w:tcPr>
          <w:p>
            <w:pPr>
              <w:pStyle w:val="TableContents"/>
              <w:bidi w:val="0"/>
              <w:spacing w:before="0" w:after="283"/>
              <w:jc w:val="left"/>
              <w:rPr/>
            </w:pPr>
            <w:r>
              <w:rPr/>
              <w:t>  </w:t>
            </w:r>
          </w:p>
        </w:tc>
        <w:tc>
          <w:tcPr>
            <w:tcW w:w="5900" w:type="dxa"/>
            <w:tcBorders/>
          </w:tcPr>
          <w:p>
            <w:pPr>
              <w:pStyle w:val="TableContents"/>
              <w:bidi w:val="0"/>
              <w:spacing w:before="0" w:after="283"/>
              <w:jc w:val="left"/>
              <w:rPr/>
            </w:pPr>
            <w:r>
              <w:rPr/>
              <w:t>September 10, 2026, 10:00 a.m. New York Time</w:t>
            </w:r>
          </w:p>
        </w:tc>
      </w:tr>
      <w:tr>
        <w:trPr>
          <w:trHeight w:val="120" w:hRule="atLeast"/>
        </w:trPr>
        <w:tc>
          <w:tcPr>
            <w:tcW w:w="4184" w:type="dxa"/>
            <w:tcBorders/>
            <w:vAlign w:val="center"/>
          </w:tcPr>
          <w:p>
            <w:pPr>
              <w:pStyle w:val="TableContents"/>
              <w:bidi w:val="0"/>
              <w:spacing w:before="0" w:after="283"/>
              <w:jc w:val="left"/>
              <w:rPr>
                <w:sz w:val="4"/>
                <w:szCs w:val="4"/>
              </w:rPr>
            </w:pPr>
            <w:r>
              <w:rPr>
                <w:sz w:val="4"/>
                <w:szCs w:val="4"/>
              </w:rPr>
            </w:r>
          </w:p>
        </w:tc>
        <w:tc>
          <w:tcPr>
            <w:tcW w:w="6021"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bidi w:val="0"/>
              <w:spacing w:before="0" w:after="283"/>
              <w:jc w:val="left"/>
              <w:rPr/>
            </w:pPr>
            <w:r>
              <w:rPr/>
              <w:t>Closing Location:</w:t>
            </w:r>
          </w:p>
        </w:tc>
        <w:tc>
          <w:tcPr>
            <w:tcW w:w="121" w:type="dxa"/>
            <w:tcBorders/>
            <w:vAlign w:val="bottom"/>
          </w:tcPr>
          <w:p>
            <w:pPr>
              <w:pStyle w:val="TableContents"/>
              <w:bidi w:val="0"/>
              <w:spacing w:before="0" w:after="283"/>
              <w:jc w:val="left"/>
              <w:rPr/>
            </w:pPr>
            <w:r>
              <w:rPr/>
              <w:t>  </w:t>
            </w:r>
          </w:p>
        </w:tc>
        <w:tc>
          <w:tcPr>
            <w:tcW w:w="5900" w:type="dxa"/>
            <w:tcBorders/>
          </w:tcPr>
          <w:p>
            <w:pPr>
              <w:pStyle w:val="TableContents"/>
              <w:bidi w:val="0"/>
              <w:spacing w:before="0" w:after="283"/>
              <w:jc w:val="left"/>
              <w:rPr/>
            </w:pPr>
            <w:r>
              <w:rPr/>
              <w:t xml:space="preserve">Davis Polk &amp; Wardwell LLP </w:t>
              <w:br/>
              <w:t xml:space="preserve">900 Middlefield Road </w:t>
              <w:br/>
              <w:t>Redwood City, California 94063</w:t>
            </w:r>
          </w:p>
        </w:tc>
      </w:tr>
      <w:tr>
        <w:trPr>
          <w:trHeight w:val="120" w:hRule="atLeast"/>
        </w:trPr>
        <w:tc>
          <w:tcPr>
            <w:tcW w:w="4184" w:type="dxa"/>
            <w:tcBorders/>
            <w:vAlign w:val="center"/>
          </w:tcPr>
          <w:p>
            <w:pPr>
              <w:pStyle w:val="TableContents"/>
              <w:bidi w:val="0"/>
              <w:spacing w:before="0" w:after="283"/>
              <w:jc w:val="left"/>
              <w:rPr>
                <w:sz w:val="4"/>
                <w:szCs w:val="4"/>
              </w:rPr>
            </w:pPr>
            <w:r>
              <w:rPr>
                <w:sz w:val="4"/>
                <w:szCs w:val="4"/>
              </w:rPr>
            </w:r>
          </w:p>
        </w:tc>
        <w:tc>
          <w:tcPr>
            <w:tcW w:w="6021"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bidi w:val="0"/>
              <w:spacing w:before="0" w:after="283"/>
              <w:jc w:val="left"/>
              <w:rPr/>
            </w:pPr>
            <w:r>
              <w:rPr/>
              <w:t>Addresses for Notices to Underwriters:</w:t>
            </w:r>
          </w:p>
        </w:tc>
        <w:tc>
          <w:tcPr>
            <w:tcW w:w="121" w:type="dxa"/>
            <w:tcBorders/>
            <w:vAlign w:val="bottom"/>
          </w:tcPr>
          <w:p>
            <w:pPr>
              <w:pStyle w:val="TableContents"/>
              <w:bidi w:val="0"/>
              <w:spacing w:before="0" w:after="283"/>
              <w:jc w:val="left"/>
              <w:rPr/>
            </w:pPr>
            <w:r>
              <w:rPr/>
              <w:t>  </w:t>
            </w:r>
          </w:p>
        </w:tc>
        <w:tc>
          <w:tcPr>
            <w:tcW w:w="5900"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1585 Broadway, 29th Floor</w:t>
            </w:r>
          </w:p>
          <w:p>
            <w:pPr>
              <w:pStyle w:val="TableContents"/>
              <w:bidi w:val="0"/>
              <w:spacing w:before="0" w:after="0"/>
              <w:jc w:val="left"/>
              <w:rPr>
                <w:rFonts w:ascii="Times New Roman" w:hAnsi="Times New Roman"/>
                <w:sz w:val="20"/>
              </w:rPr>
            </w:pPr>
            <w:r>
              <w:rPr>
                <w:rFonts w:ascii="Times New Roman" w:hAnsi="Times New Roman"/>
                <w:sz w:val="20"/>
              </w:rPr>
              <w:t>New York, New York 10036</w:t>
            </w:r>
          </w:p>
          <w:p>
            <w:pPr>
              <w:pStyle w:val="TableContents"/>
              <w:bidi w:val="0"/>
              <w:spacing w:before="0" w:after="0"/>
              <w:jc w:val="left"/>
              <w:rPr>
                <w:rFonts w:ascii="Times New Roman" w:hAnsi="Times New Roman"/>
                <w:sz w:val="20"/>
              </w:rPr>
            </w:pPr>
            <w:r>
              <w:rPr>
                <w:rFonts w:ascii="Times New Roman" w:hAnsi="Times New Roman"/>
                <w:sz w:val="20"/>
              </w:rPr>
              <w:t>Attention: Investment Banking Division</w:t>
            </w:r>
          </w:p>
          <w:p>
            <w:pPr>
              <w:pStyle w:val="TableContents"/>
              <w:bidi w:val="0"/>
              <w:spacing w:before="0" w:after="0"/>
              <w:jc w:val="left"/>
              <w:rPr>
                <w:rFonts w:ascii="Times New Roman" w:hAnsi="Times New Roman"/>
                <w:sz w:val="20"/>
              </w:rPr>
            </w:pPr>
            <w:r>
              <w:rPr>
                <w:rFonts w:ascii="Times New Roman" w:hAnsi="Times New Roman"/>
                <w:sz w:val="20"/>
              </w:rPr>
              <w:t>Fax: (212) 507-8999</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787 Seventh Avenue</w:t>
            </w:r>
          </w:p>
          <w:p>
            <w:pPr>
              <w:pStyle w:val="TableContents"/>
              <w:bidi w:val="0"/>
              <w:spacing w:before="0" w:after="0"/>
              <w:jc w:val="left"/>
              <w:rPr>
                <w:rFonts w:ascii="Times New Roman" w:hAnsi="Times New Roman"/>
                <w:sz w:val="20"/>
              </w:rPr>
            </w:pPr>
            <w:r>
              <w:rPr>
                <w:rFonts w:ascii="Times New Roman" w:hAnsi="Times New Roman"/>
                <w:sz w:val="20"/>
              </w:rPr>
              <w:t>New York, New York 10019</w:t>
            </w:r>
          </w:p>
          <w:p>
            <w:pPr>
              <w:pStyle w:val="TableContents"/>
              <w:bidi w:val="0"/>
              <w:spacing w:before="0" w:after="0"/>
              <w:jc w:val="left"/>
              <w:rPr>
                <w:rFonts w:ascii="Times New Roman" w:hAnsi="Times New Roman"/>
                <w:sz w:val="20"/>
              </w:rPr>
            </w:pPr>
            <w:r>
              <w:rPr>
                <w:rFonts w:ascii="Times New Roman" w:hAnsi="Times New Roman"/>
                <w:sz w:val="20"/>
              </w:rPr>
              <w:t>Attention: Debt Syndicate Desk</w:t>
            </w:r>
          </w:p>
          <w:p>
            <w:pPr>
              <w:pStyle w:val="TableContents"/>
              <w:bidi w:val="0"/>
              <w:spacing w:before="0" w:after="0"/>
              <w:jc w:val="left"/>
              <w:rPr>
                <w:rFonts w:ascii="Times New Roman" w:hAnsi="Times New Roman"/>
                <w:sz w:val="20"/>
              </w:rPr>
            </w:pPr>
            <w:r>
              <w:rPr>
                <w:rFonts w:ascii="Times New Roman" w:hAnsi="Times New Roman"/>
                <w:sz w:val="20"/>
              </w:rPr>
              <w:t>Email: DL.US.Syndicate.Support@us.bnpparibas.com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388 Greenwich Street</w:t>
            </w:r>
          </w:p>
          <w:p>
            <w:pPr>
              <w:pStyle w:val="TableContents"/>
              <w:bidi w:val="0"/>
              <w:spacing w:before="0" w:after="0"/>
              <w:jc w:val="left"/>
              <w:rPr>
                <w:rFonts w:ascii="Times New Roman" w:hAnsi="Times New Roman"/>
                <w:sz w:val="20"/>
              </w:rPr>
            </w:pPr>
            <w:r>
              <w:rPr>
                <w:rFonts w:ascii="Times New Roman" w:hAnsi="Times New Roman"/>
                <w:sz w:val="20"/>
              </w:rPr>
              <w:t>New York, New York 10013</w:t>
            </w:r>
          </w:p>
          <w:p>
            <w:pPr>
              <w:pStyle w:val="TableContents"/>
              <w:bidi w:val="0"/>
              <w:spacing w:before="0" w:after="0"/>
              <w:jc w:val="left"/>
              <w:rPr>
                <w:rFonts w:ascii="Times New Roman" w:hAnsi="Times New Roman"/>
                <w:sz w:val="20"/>
              </w:rPr>
            </w:pPr>
            <w:r>
              <w:rPr>
                <w:rFonts w:ascii="Times New Roman" w:hAnsi="Times New Roman"/>
                <w:sz w:val="20"/>
              </w:rPr>
              <w:t>Attention: General Counsel</w:t>
            </w:r>
          </w:p>
          <w:p>
            <w:pPr>
              <w:pStyle w:val="TableContents"/>
              <w:bidi w:val="0"/>
              <w:spacing w:before="0" w:after="20"/>
              <w:jc w:val="left"/>
              <w:rPr>
                <w:rFonts w:ascii="Times New Roman" w:hAnsi="Times New Roman"/>
                <w:sz w:val="20"/>
              </w:rPr>
            </w:pPr>
            <w:r>
              <w:rPr>
                <w:rFonts w:ascii="Times New Roman" w:hAnsi="Times New Roman"/>
                <w:sz w:val="20"/>
              </w:rPr>
              <w:t>Fax: (646) 291-1469</w:t>
            </w:r>
          </w:p>
        </w:tc>
      </w:tr>
      <w:tr>
        <w:trPr>
          <w:trHeight w:val="120" w:hRule="atLeast"/>
        </w:trPr>
        <w:tc>
          <w:tcPr>
            <w:tcW w:w="4184" w:type="dxa"/>
            <w:tcBorders/>
            <w:vAlign w:val="center"/>
          </w:tcPr>
          <w:p>
            <w:pPr>
              <w:pStyle w:val="TableContents"/>
              <w:bidi w:val="0"/>
              <w:spacing w:before="0" w:after="283"/>
              <w:jc w:val="left"/>
              <w:rPr>
                <w:sz w:val="4"/>
                <w:szCs w:val="4"/>
              </w:rPr>
            </w:pPr>
            <w:r>
              <w:rPr>
                <w:sz w:val="4"/>
                <w:szCs w:val="4"/>
              </w:rPr>
            </w:r>
          </w:p>
        </w:tc>
        <w:tc>
          <w:tcPr>
            <w:tcW w:w="6021"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bidi w:val="0"/>
              <w:spacing w:before="0" w:after="283"/>
              <w:jc w:val="left"/>
              <w:rPr/>
            </w:pPr>
            <w:r>
              <w:rPr/>
              <w:t>Address for Notices to the Company:</w:t>
            </w:r>
          </w:p>
        </w:tc>
        <w:tc>
          <w:tcPr>
            <w:tcW w:w="121" w:type="dxa"/>
            <w:tcBorders/>
            <w:vAlign w:val="bottom"/>
          </w:tcPr>
          <w:p>
            <w:pPr>
              <w:pStyle w:val="TableContents"/>
              <w:bidi w:val="0"/>
              <w:spacing w:before="0" w:after="283"/>
              <w:jc w:val="left"/>
              <w:rPr/>
            </w:pPr>
            <w:r>
              <w:rPr/>
              <w:t>  </w:t>
            </w:r>
          </w:p>
        </w:tc>
        <w:tc>
          <w:tcPr>
            <w:tcW w:w="5900" w:type="dxa"/>
            <w:tcBorders/>
          </w:tcPr>
          <w:p>
            <w:pPr>
              <w:pStyle w:val="TableContents"/>
              <w:bidi w:val="0"/>
              <w:spacing w:before="0" w:after="283"/>
              <w:jc w:val="left"/>
              <w:rPr/>
            </w:pPr>
            <w:r>
              <w:rPr/>
              <w:t xml:space="preserve">Autodesk, Inc. </w:t>
              <w:br/>
              <w:t xml:space="preserve">One Market Street, Ste. 400 </w:t>
              <w:br/>
              <w:t xml:space="preserve">San Francisco, California 94105 </w:t>
              <w:br/>
              <w:t xml:space="preserve">Attention: Chief Legal Officer </w:t>
              <w:br/>
              <w:t>Facsimile: (415) 507-5000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97"/>
        <w:gridCol w:w="225"/>
        <w:gridCol w:w="140"/>
        <w:gridCol w:w="1227"/>
        <w:gridCol w:w="60"/>
        <w:gridCol w:w="225"/>
        <w:gridCol w:w="140"/>
        <w:gridCol w:w="1227"/>
        <w:gridCol w:w="64"/>
      </w:tblGrid>
      <w:tr>
        <w:trPr/>
        <w:tc>
          <w:tcPr>
            <w:tcW w:w="689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25"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the 2029 Notes</w:t>
              <w:br/>
              <w:t>to be Purchased</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the 2033 Notes</w:t>
              <w:br/>
              <w:t>to be Purchased</w:t>
            </w:r>
          </w:p>
        </w:tc>
        <w:tc>
          <w:tcPr>
            <w:tcW w:w="64"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127,500,000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127,500,000</w:t>
            </w:r>
          </w:p>
        </w:tc>
        <w:tc>
          <w:tcPr>
            <w:tcW w:w="64"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87,500,000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87,500,000</w:t>
            </w:r>
          </w:p>
        </w:tc>
        <w:tc>
          <w:tcPr>
            <w:tcW w:w="64"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100,000,000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100,000,000</w:t>
            </w:r>
          </w:p>
        </w:tc>
        <w:tc>
          <w:tcPr>
            <w:tcW w:w="64"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42,500,000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42,500,000</w:t>
            </w:r>
          </w:p>
        </w:tc>
        <w:tc>
          <w:tcPr>
            <w:tcW w:w="64"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42,500,000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42,500,000</w:t>
            </w:r>
          </w:p>
        </w:tc>
        <w:tc>
          <w:tcPr>
            <w:tcW w:w="64"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25,000,000</w:t>
            </w:r>
          </w:p>
        </w:tc>
        <w:tc>
          <w:tcPr>
            <w:tcW w:w="64"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25,000,000</w:t>
            </w:r>
          </w:p>
        </w:tc>
        <w:tc>
          <w:tcPr>
            <w:tcW w:w="64" w:type="dxa"/>
            <w:tcBorders/>
            <w:shd w:fill="CCEEFF" w:val="clear"/>
            <w:vAlign w:val="bottom"/>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25,000,000</w:t>
            </w:r>
          </w:p>
        </w:tc>
        <w:tc>
          <w:tcPr>
            <w:tcW w:w="64" w:type="dxa"/>
            <w:tcBorders/>
            <w:vAlign w:val="bottom"/>
          </w:tcPr>
          <w:p>
            <w:pPr>
              <w:pStyle w:val="TableContents"/>
              <w:bidi w:val="0"/>
              <w:spacing w:before="0" w:after="283"/>
              <w:jc w:val="left"/>
              <w:rPr/>
            </w:pPr>
            <w:r>
              <w:rPr/>
              <w:t> </w:t>
            </w:r>
          </w:p>
        </w:tc>
      </w:tr>
      <w:tr>
        <w:trPr/>
        <w:tc>
          <w:tcPr>
            <w:tcW w:w="68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25,000,000</w:t>
            </w:r>
          </w:p>
        </w:tc>
        <w:tc>
          <w:tcPr>
            <w:tcW w:w="64" w:type="dxa"/>
            <w:tcBorders/>
            <w:shd w:fill="CCEEFF" w:val="clear"/>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89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500,000,000</w:t>
            </w:r>
          </w:p>
        </w:tc>
        <w:tc>
          <w:tcPr>
            <w:tcW w:w="64" w:type="dxa"/>
            <w:tcBorders/>
            <w:vAlign w:val="bottom"/>
          </w:tcPr>
          <w:p>
            <w:pPr>
              <w:pStyle w:val="TableContents"/>
              <w:bidi w:val="0"/>
              <w:spacing w:before="0" w:after="283"/>
              <w:jc w:val="left"/>
              <w:rPr/>
            </w:pPr>
            <w:r>
              <w:rPr/>
              <w:t> </w:t>
            </w:r>
          </w:p>
        </w:tc>
      </w:tr>
      <w:tr>
        <w:trPr/>
        <w:tc>
          <w:tcPr>
            <w:tcW w:w="689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WSGR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a corporation duly incorporated and validly existing under the laws of the State of Delaware and is in good standing under such laws. The Company has the requisite corporate power to carry on its business as described in the Disclosure Package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qualified as a foreign corporation for the transaction of business and is in good standing under the laws of the State of California.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has been duly authorized, executed and delivered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have been duly authorized and executed by the Company and, when authenticated in accordance with the provisions of the Indenture and issued and delivered to the Underwriters against payment of the purchase price therefor in accordance with the terms of the Underwriting Agreement, will constitute valid and binding obligations of the Company, enforceable against the Company in accordance with their terms and will be entitled to the benefits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has been duly authorized, executed and delivered by the Company and constitutes a valid and binding agreement of the Company, enforceable against the Company in accordance with its terms. The Indenture has been duly qualified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by the Company of the Transaction Documents, the performance by the Company of its obligations under the Transaction Documents and the issuance of the Notes do not violate any provisions of the Certificate of Incorporation or Bylaws, or any provision of any U.S. federal, New York or California state law, rule or regulation or the DGCL, or any order or judgment known to us of any U.S. federal or New York or California state court or governmental agency or body having jurisdiction over the Company or any of its properties or any Delaware state court or governmental agency or body pursuant to the DGCL. The execution and delivery by the Company of the Transaction Documents, the performance by the Company of its obligations under the Transaction Documents and the issuance of the Notes do not violate, or constitute a default under, any Reviewed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consent, approval, qualification, or authorization of, or designation, declaration or filing with, any U.S. federal, New York, California or Delaware (solely with respect to the DGCL) governmental authority on the part of the Company is required for valid execution and delivery by the Company of the Transaction Documents and the performance of its obligations thereunder, or the issuance and sale by the Company of the Notes pursuant to the Underwriting Agreement and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set forth in the Disclosure Package and the Prospectus under the caption “Description of Notes,” insofar as such statements purport to constitute summaries of the Notes fairly summarize in all material respects the matters referred to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set forth in the Disclosure Package and the Prospectus under the caption “Certain U.S. Federal Income Tax Considerations,” insofar as they purport to summarize provisions of the United States federal tax laws referred to therein, fairly summarize such laws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and, immediately after giving effect to the offering and sale of the Notes and the application of the proceeds thereof as described in the Disclosure Package and the Prospectus, will not be required to register as an “investment company,” as such term is defined in the Investment Company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Negative Assurance Letter </w:t>
      </w:r>
    </w:p>
    <w:p>
      <w:pPr>
        <w:pStyle w:val="TextBody"/>
        <w:bidi w:val="0"/>
        <w:spacing w:before="240" w:after="0"/>
        <w:jc w:val="left"/>
        <w:rPr>
          <w:rFonts w:ascii="Times New Roman" w:hAnsi="Times New Roman"/>
          <w:sz w:val="20"/>
        </w:rPr>
      </w:pPr>
      <w:r>
        <w:rPr>
          <w:rFonts w:ascii="Times New Roman" w:hAnsi="Times New Roman"/>
          <w:sz w:val="20"/>
        </w:rPr>
        <w:t>We have acted as special counsel to Autodesk, Inc., a Delaware corporation (the “</w:t>
      </w:r>
      <w:r>
        <w:rPr>
          <w:rFonts w:ascii="Times New Roman" w:hAnsi="Times New Roman"/>
          <w:sz w:val="20"/>
          <w:u w:val="single"/>
        </w:rPr>
        <w:t>Company</w:t>
      </w:r>
      <w:r>
        <w:rPr>
          <w:rFonts w:ascii="Times New Roman" w:hAnsi="Times New Roman"/>
          <w:sz w:val="20"/>
        </w:rPr>
        <w:t>”), in connection with that certain Underwriting Agreement, dated September 8, 2026 (the “</w:t>
      </w:r>
      <w:r>
        <w:rPr>
          <w:rFonts w:ascii="Times New Roman" w:hAnsi="Times New Roman"/>
          <w:sz w:val="20"/>
          <w:u w:val="single"/>
        </w:rPr>
        <w:t>Underwriting Agreement</w:t>
      </w:r>
      <w:r>
        <w:rPr>
          <w:rFonts w:ascii="Times New Roman" w:hAnsi="Times New Roman"/>
          <w:sz w:val="20"/>
        </w:rPr>
        <w:t>”), by and among the Company and you, as representatives of the several underwriters listed on Schedule 1 thereto (the “</w:t>
      </w:r>
      <w:r>
        <w:rPr>
          <w:rFonts w:ascii="Times New Roman" w:hAnsi="Times New Roman"/>
          <w:sz w:val="20"/>
          <w:u w:val="single"/>
        </w:rPr>
        <w:t>Underwriters</w:t>
      </w:r>
      <w:r>
        <w:rPr>
          <w:rFonts w:ascii="Times New Roman" w:hAnsi="Times New Roman"/>
          <w:sz w:val="20"/>
        </w:rPr>
        <w:t>”), relating to the issuance and sale to the Underwriters by the Company on the date hereof of $500,000,000 aggregate principal amount of the Company’s 5.050% Senior Notes due 2029 (the “</w:t>
      </w:r>
      <w:r>
        <w:rPr>
          <w:rFonts w:ascii="Times New Roman" w:hAnsi="Times New Roman"/>
          <w:sz w:val="20"/>
          <w:u w:val="single"/>
        </w:rPr>
        <w:t>2029 Notes</w:t>
      </w:r>
      <w:r>
        <w:rPr>
          <w:rFonts w:ascii="Times New Roman" w:hAnsi="Times New Roman"/>
          <w:sz w:val="20"/>
        </w:rPr>
        <w:t>”) and $500,000,000 aggregate principal amount of the Company’s 5.650% Senior Notes due 2033 (the “</w:t>
      </w:r>
      <w:r>
        <w:rPr>
          <w:rFonts w:ascii="Times New Roman" w:hAnsi="Times New Roman"/>
          <w:sz w:val="20"/>
          <w:u w:val="single"/>
        </w:rPr>
        <w:t>2033 Notes</w:t>
      </w:r>
      <w:r>
        <w:rPr>
          <w:rFonts w:ascii="Times New Roman" w:hAnsi="Times New Roman"/>
          <w:sz w:val="20"/>
        </w:rPr>
        <w:t>” and together with the 2029 Notes, the “</w:t>
      </w:r>
      <w:r>
        <w:rPr>
          <w:rFonts w:ascii="Times New Roman" w:hAnsi="Times New Roman"/>
          <w:sz w:val="20"/>
          <w:u w:val="single"/>
        </w:rPr>
        <w:t>Notes</w:t>
      </w:r>
      <w:r>
        <w:rPr>
          <w:rFonts w:ascii="Times New Roman" w:hAnsi="Times New Roman"/>
          <w:sz w:val="20"/>
        </w:rPr>
        <w:t xml:space="preserve">”). The Notes are being issued pursuant to that certain indenture, dated as of December 13, 2012, by and between the Company and U.S. Bank Trust Company, National Association (as successor in interest to U.S. Bank National Association), as trustee, as supplemented by that certain seventh supplemental indenture, dated as of September 10, 2026. This opinion letter is delivered to you pursuant to Section 5(c) of the Underwriting Agreement. Capitalized terms used herein have the same meanings given to them in the Underwriting Agreement, unless otherwise defined herein. </w:t>
      </w:r>
    </w:p>
    <w:p>
      <w:pPr>
        <w:pStyle w:val="TextBody"/>
        <w:bidi w:val="0"/>
        <w:spacing w:before="240" w:after="0"/>
        <w:jc w:val="left"/>
        <w:rPr>
          <w:rFonts w:ascii="Times New Roman" w:hAnsi="Times New Roman"/>
          <w:sz w:val="20"/>
        </w:rPr>
      </w:pPr>
      <w:r>
        <w:rPr>
          <w:rFonts w:ascii="Times New Roman" w:hAnsi="Times New Roman"/>
          <w:sz w:val="20"/>
        </w:rPr>
        <w:t>We have participated in the preparation of the registration statement on Form S-3ASR (File No. 333-287650) filed by the Company under the Securities Act of 1933, as amended (the “</w:t>
      </w:r>
      <w:r>
        <w:rPr>
          <w:rFonts w:ascii="Times New Roman" w:hAnsi="Times New Roman"/>
          <w:sz w:val="20"/>
          <w:u w:val="single"/>
        </w:rPr>
        <w:t>Securities Act</w:t>
      </w:r>
      <w:r>
        <w:rPr>
          <w:rFonts w:ascii="Times New Roman" w:hAnsi="Times New Roman"/>
          <w:sz w:val="20"/>
        </w:rPr>
        <w:t>”), with the Securities and Exchange Commission (the “</w:t>
      </w:r>
      <w:r>
        <w:rPr>
          <w:rFonts w:ascii="Times New Roman" w:hAnsi="Times New Roman"/>
          <w:sz w:val="20"/>
          <w:u w:val="single"/>
        </w:rPr>
        <w:t>Commission</w:t>
      </w:r>
      <w:r>
        <w:rPr>
          <w:rFonts w:ascii="Times New Roman" w:hAnsi="Times New Roman"/>
          <w:sz w:val="20"/>
        </w:rPr>
        <w:t>”) on May 29, 2025 together with the exhibits thereto (other than the Form T-1) and the documents or portions thereof incorporated by reference therein, as modified or superseded as described therein (such registration statement, as amended at the time it became effective, including the information deemed to be a part of the registration statement pursuant to Rule 430B of the General Rules and Regulations (the “</w:t>
      </w:r>
      <w:r>
        <w:rPr>
          <w:rFonts w:ascii="Times New Roman" w:hAnsi="Times New Roman"/>
          <w:sz w:val="20"/>
          <w:u w:val="single"/>
        </w:rPr>
        <w:t>Rules and Regulations</w:t>
      </w:r>
      <w:r>
        <w:rPr>
          <w:rFonts w:ascii="Times New Roman" w:hAnsi="Times New Roman"/>
          <w:sz w:val="20"/>
        </w:rPr>
        <w:t>”) under the Securities Act, the “</w:t>
      </w:r>
      <w:r>
        <w:rPr>
          <w:rFonts w:ascii="Times New Roman" w:hAnsi="Times New Roman"/>
          <w:sz w:val="20"/>
          <w:u w:val="single"/>
        </w:rPr>
        <w:t>Registration Statement</w:t>
      </w:r>
      <w:r>
        <w:rPr>
          <w:rFonts w:ascii="Times New Roman" w:hAnsi="Times New Roman"/>
          <w:sz w:val="20"/>
        </w:rPr>
        <w:t>”), the related base prospectus which forms a part of the Registration Statement as filed with the Commission on May 29, 2025 (the “</w:t>
      </w:r>
      <w:r>
        <w:rPr>
          <w:rFonts w:ascii="Times New Roman" w:hAnsi="Times New Roman"/>
          <w:sz w:val="20"/>
          <w:u w:val="single"/>
        </w:rPr>
        <w:t>Base Prospectus</w:t>
      </w:r>
      <w:r>
        <w:rPr>
          <w:rFonts w:ascii="Times New Roman" w:hAnsi="Times New Roman"/>
          <w:sz w:val="20"/>
        </w:rPr>
        <w:t>”), as supplemented by the preliminary prospectus supplement dated September 8, 2026 in the form in which it was filed with the Commission pursuant to Rule 424(b) of the Rules and Regulations (together with the documents or portions thereof incorporated by reference therein, as modified or superseded as described therein, the “</w:t>
      </w:r>
      <w:r>
        <w:rPr>
          <w:rFonts w:ascii="Times New Roman" w:hAnsi="Times New Roman"/>
          <w:sz w:val="20"/>
          <w:u w:val="single"/>
        </w:rPr>
        <w:t>Preliminary Prospectus</w:t>
      </w:r>
      <w:r>
        <w:rPr>
          <w:rFonts w:ascii="Times New Roman" w:hAnsi="Times New Roman"/>
          <w:sz w:val="20"/>
        </w:rPr>
        <w:t>”), the free writing prospectus filed with the Commission on September 8, 2026 (the Preliminary Prospectus, together with such free writing prospectus, the “</w:t>
      </w:r>
      <w:r>
        <w:rPr>
          <w:rFonts w:ascii="Times New Roman" w:hAnsi="Times New Roman"/>
          <w:sz w:val="20"/>
          <w:u w:val="single"/>
        </w:rPr>
        <w:t>Disclosure Package</w:t>
      </w:r>
      <w:r>
        <w:rPr>
          <w:rFonts w:ascii="Times New Roman" w:hAnsi="Times New Roman"/>
          <w:sz w:val="20"/>
        </w:rPr>
        <w:t>”), and the Base Prospectus as supplemented by the final prospectus supplement dated June 3, 2025 in the form in which it was filed with the Commission pursuant to Rule 424(b) of the Rules and Regulations (together with the documents or portions thereof incorporated by reference therein, as modified or superseded as described therein, the “</w:t>
      </w:r>
      <w:r>
        <w:rPr>
          <w:rFonts w:ascii="Times New Roman" w:hAnsi="Times New Roman"/>
          <w:sz w:val="20"/>
          <w:u w:val="single"/>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have assumed the conformity of the documents filed with the Commission via the Electronic Data Gathering, Analysis and Retrieval System (“</w:t>
      </w:r>
      <w:r>
        <w:rPr>
          <w:rFonts w:ascii="Times New Roman" w:hAnsi="Times New Roman"/>
          <w:sz w:val="20"/>
          <w:u w:val="single"/>
        </w:rPr>
        <w:t>EDGAR</w:t>
      </w:r>
      <w:r>
        <w:rPr>
          <w:rFonts w:ascii="Times New Roman" w:hAnsi="Times New Roman"/>
          <w:sz w:val="20"/>
        </w:rPr>
        <w:t xml:space="preserve">”), except for required EDGAR formatting changes, to physical copies submitted for our examination.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letter separately delivered to you today pursuant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participated in conferences with certain officers and other representatives of the Company, representatives of the Underwriters, counsel for the Underwriters and representatives of the independent certified public accountants of the Company at which the contents of the Registration Statement, the Disclosure Package, the Prospectus and related matters were reviewed and discussed and, although we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passing upon and do not assume any responsibility for the accuracy, completeness or fairness of the Registration Statement, the Disclosure Package or the Prospectus (except to the extent of our statements in paragraphs 8 and 9 of our opinion letter separately delivered to you today pursuant to the Underwriting Agreement), and we have made no independent check or verification thereof, no facts have come to our attention in the course of such review and discussion that have caused us to believe that: </w:t>
      </w:r>
    </w:p>
    <w:p>
      <w:pPr>
        <w:pStyle w:val="TextBody"/>
        <w:bidi w:val="0"/>
        <w:spacing w:before="120" w:after="0"/>
        <w:jc w:val="left"/>
        <w:rPr>
          <w:rFonts w:ascii="Times New Roman" w:hAnsi="Times New Roman"/>
          <w:sz w:val="20"/>
        </w:rPr>
      </w:pPr>
      <w:r>
        <w:rPr>
          <w:rFonts w:ascii="Times New Roman" w:hAnsi="Times New Roman"/>
          <w:sz w:val="20"/>
        </w:rPr>
        <w:t xml:space="preserve">(i) the Registration Statement, as of the latest date of effectiveness, contained any untrue statement of a material fact or omitted to state a material fact required to be stated therein or necessary in order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the Disclosure Package, as of 4:30 p.m. New York time on September 8, 2026, contained an untrue statement of a material fact or omitted to state a material fact necessary in order to make the statements therein, in the light of the circumstances under which they were made, not misleading; or </w:t>
      </w:r>
    </w:p>
    <w:p>
      <w:pPr>
        <w:pStyle w:val="TextBody"/>
        <w:bidi w:val="0"/>
        <w:spacing w:before="120" w:after="0"/>
        <w:jc w:val="left"/>
        <w:rPr>
          <w:rFonts w:ascii="Times New Roman" w:hAnsi="Times New Roman"/>
          <w:sz w:val="20"/>
        </w:rPr>
      </w:pPr>
      <w:r>
        <w:rPr>
          <w:rFonts w:ascii="Times New Roman" w:hAnsi="Times New Roman"/>
          <w:sz w:val="20"/>
        </w:rPr>
        <w:t xml:space="preserve">(iii) the Prospectus, as of its date or as of the date hereof, contained or contains an untrue statement of a material fact or omitted or omits to state a material fact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We further advise that the Registration Statement and the Prospectus appear on their face to be appropriately responsive in all material respects relevant to the offering of the Notes to the requirements of the Securities Act and the applicable rules and regulations of the Commission thereunder. For purposes of this paragraph, we have assumed that the statements made in the Registration Statement and the Prospectus are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In providing this letter to you as Underwriters, we have not been called to pass upon, and we express no view regarding, (i) the part of the Registration Statement that constitutes the Form T-1 or (ii) the financial statements and related schedules and the financial and statistical data derived from such financial statements or schedules included in or omitted from the Registration Statement, the Disclosure Package or the Prospectus. Further, we express no view as to the conveyance of the Disclosure Package or the information contained therein to investors. </w:t>
      </w:r>
    </w:p>
    <w:p>
      <w:pPr>
        <w:pStyle w:val="TextBody"/>
        <w:bidi w:val="0"/>
        <w:spacing w:before="240" w:after="0"/>
        <w:jc w:val="left"/>
        <w:rPr>
          <w:rFonts w:ascii="Times New Roman" w:hAnsi="Times New Roman"/>
          <w:sz w:val="20"/>
        </w:rPr>
      </w:pPr>
      <w:r>
        <w:rPr>
          <w:rFonts w:ascii="Times New Roman" w:hAnsi="Times New Roman"/>
          <w:sz w:val="20"/>
        </w:rPr>
        <w:t xml:space="preserve">This letter is furnished only to you as representatives for the Underwriters under the Underwriting Agreement and is solely for your and the other Underwriters’ use in connection with the issuance and sale by the Company and the purchase by you and the other Underwriters of the Notes pursuant to the Underwriting Agreement. This letter may not be relied upon by you or the other Underwriters for any other purpose, or furnished to, quoted to, or relied upon by any other person for any purpose, without our prior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V-2 </w:t>
      </w:r>
    </w:p>
    <w:p>
      <w:pPr>
        <w:pStyle w:val="TextBody"/>
        <w:bidi w:val="0"/>
        <w:spacing w:before="0" w:after="0"/>
        <w:jc w:val="right"/>
        <w:rPr>
          <w:rFonts w:ascii="Times New Roman" w:hAnsi="Times New Roman"/>
          <w:b/>
          <w:sz w:val="20"/>
        </w:rPr>
      </w:pPr>
      <w:bookmarkStart w:id="4" w:name="d103766dex41.htm"/>
      <w:bookmarkStart w:id="5" w:name="ksd103766dex41"/>
      <w:bookmarkEnd w:id="4"/>
      <w:bookmarkEnd w:id="5"/>
      <w:r>
        <w:rPr>
          <w:rFonts w:ascii="Times New Roman" w:hAnsi="Times New Roman"/>
          <w:b/>
          <w:sz w:val="20"/>
        </w:rPr>
        <w:t xml:space="preserve">Exhibit 4.1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AUTODESK, INC. </w:t>
      </w:r>
    </w:p>
    <w:p>
      <w:pPr>
        <w:pStyle w:val="TextBody"/>
        <w:bidi w:val="0"/>
        <w:spacing w:before="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SEVENTH SUPPLEMENTAL INDENTURE </w:t>
      </w:r>
    </w:p>
    <w:p>
      <w:pPr>
        <w:pStyle w:val="TextBody"/>
        <w:bidi w:val="0"/>
        <w:spacing w:before="0" w:after="0"/>
        <w:jc w:val="center"/>
        <w:rPr>
          <w:rFonts w:ascii="Times New Roman" w:hAnsi="Times New Roman"/>
          <w:sz w:val="20"/>
        </w:rPr>
      </w:pPr>
      <w:r>
        <w:rPr>
          <w:rFonts w:ascii="Times New Roman" w:hAnsi="Times New Roman"/>
          <w:sz w:val="20"/>
        </w:rPr>
        <w:t xml:space="preserve">Dated as of September 10, 2026 </w:t>
      </w:r>
    </w:p>
    <w:p>
      <w:pPr>
        <w:pStyle w:val="TextBody"/>
        <w:bidi w:val="0"/>
        <w:spacing w:before="240" w:after="0"/>
        <w:jc w:val="center"/>
        <w:rPr>
          <w:rFonts w:ascii="Times New Roman" w:hAnsi="Times New Roman"/>
          <w:sz w:val="20"/>
        </w:rPr>
      </w:pPr>
      <w:r>
        <w:rPr>
          <w:rFonts w:ascii="Times New Roman" w:hAnsi="Times New Roman"/>
          <w:sz w:val="20"/>
        </w:rPr>
        <w:t xml:space="preserve">$500,000,000 of 5.050% Notes due 2029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$500,000,000 of 5.650% Notes due 2033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SEVENTH SUPPLEMENTAL INDENTURE (the “</w:t>
      </w:r>
      <w:r>
        <w:rPr>
          <w:rFonts w:ascii="Times New Roman" w:hAnsi="Times New Roman"/>
          <w:b/>
          <w:sz w:val="20"/>
        </w:rPr>
        <w:t>Seventh Supplemental Indenture</w:t>
      </w:r>
      <w:r>
        <w:rPr>
          <w:rFonts w:ascii="Times New Roman" w:hAnsi="Times New Roman"/>
          <w:sz w:val="20"/>
        </w:rPr>
        <w:t>”) is dated as of September 10, 2026 between AUTODESK, INC., a Delaware corporation (the “</w:t>
      </w:r>
      <w:r>
        <w:rPr>
          <w:rFonts w:ascii="Times New Roman" w:hAnsi="Times New Roman"/>
          <w:b/>
          <w:sz w:val="20"/>
        </w:rPr>
        <w:t>Company</w:t>
      </w:r>
      <w:r>
        <w:rPr>
          <w:rFonts w:ascii="Times New Roman" w:hAnsi="Times New Roman"/>
          <w:sz w:val="20"/>
        </w:rPr>
        <w:t>”), and U.S. Bank Trust Company, National Association, a national banking association (as successor in interest to U.S. Bank National Association), as trustee (the “</w:t>
      </w:r>
      <w:r>
        <w:rPr>
          <w:rFonts w:ascii="Times New Roman" w:hAnsi="Times New Roman"/>
          <w:b/>
          <w:sz w:val="20"/>
        </w:rPr>
        <w:t>Trustee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1. The Company and the Trustee executed and delivered an Indenture, dated as of December 13, 2012 (the “</w:t>
      </w:r>
      <w:r>
        <w:rPr>
          <w:rFonts w:ascii="Times New Roman" w:hAnsi="Times New Roman"/>
          <w:b/>
          <w:sz w:val="20"/>
        </w:rPr>
        <w:t>Base Indenture</w:t>
      </w:r>
      <w:r>
        <w:rPr>
          <w:rFonts w:ascii="Times New Roman" w:hAnsi="Times New Roman"/>
          <w:sz w:val="20"/>
        </w:rPr>
        <w:t>” and, as supplemented by the Seventh Supplemental Indenture, the “</w:t>
      </w:r>
      <w:r>
        <w:rPr>
          <w:rFonts w:ascii="Times New Roman" w:hAnsi="Times New Roman"/>
          <w:b/>
          <w:sz w:val="20"/>
        </w:rPr>
        <w:t>Indenture</w:t>
      </w:r>
      <w:r>
        <w:rPr>
          <w:rFonts w:ascii="Times New Roman" w:hAnsi="Times New Roman"/>
          <w:sz w:val="20"/>
        </w:rPr>
        <w:t xml:space="preserve">”), to provide for the issuance by the Company from time to time of senior debt securities evidencing its unsecured indebtedness. </w:t>
      </w:r>
    </w:p>
    <w:p>
      <w:pPr>
        <w:pStyle w:val="TextBody"/>
        <w:bidi w:val="0"/>
        <w:spacing w:before="240" w:after="0"/>
        <w:jc w:val="left"/>
        <w:rPr>
          <w:rFonts w:ascii="Times New Roman" w:hAnsi="Times New Roman"/>
          <w:sz w:val="20"/>
        </w:rPr>
      </w:pPr>
      <w:r>
        <w:rPr>
          <w:rFonts w:ascii="Times New Roman" w:hAnsi="Times New Roman"/>
          <w:sz w:val="20"/>
        </w:rPr>
        <w:t>2. Pursuant to Board Resolutions and an Officer’s Certificate, the Company has authorized the issuance of $500,000,000 aggregate principal amount of 5.050% Notes due 2029 (the “</w:t>
      </w:r>
      <w:r>
        <w:rPr>
          <w:rFonts w:ascii="Times New Roman" w:hAnsi="Times New Roman"/>
          <w:b/>
          <w:sz w:val="20"/>
        </w:rPr>
        <w:t>2029 Notes</w:t>
      </w:r>
      <w:r>
        <w:rPr>
          <w:rFonts w:ascii="Times New Roman" w:hAnsi="Times New Roman"/>
          <w:sz w:val="20"/>
        </w:rPr>
        <w:t>”) and $500,000,000 aggregate principal amount of 5.650% Notes due 2033 (the “</w:t>
      </w:r>
      <w:r>
        <w:rPr>
          <w:rFonts w:ascii="Times New Roman" w:hAnsi="Times New Roman"/>
          <w:b/>
          <w:sz w:val="20"/>
        </w:rPr>
        <w:t>2033 Notes</w:t>
      </w:r>
      <w:r>
        <w:rPr>
          <w:rFonts w:ascii="Times New Roman" w:hAnsi="Times New Roman"/>
          <w:sz w:val="20"/>
        </w:rPr>
        <w:t>” and, together with the 2029 Notes, 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The entry into this Seventh Supplemental Indenture by the parties hereto is in all respects authorized by the provisions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4. The Company desires to enter into this Seventh Supplemental Indenture pursuant to Section 9.01 of the Base Indenture to establish the terms of the Notes in accordance with Section 2.01 of the Base Indenture and to establish the form of the Notes in accordance with Sections 2.01(a)(10) and 2.02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5. All things necessary to make this Seventh Supplemental Indenture a valid and legally binding agreement according to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and in consideration of the foregoing premises, the Company and the Trustee mutually covenant and agree for the equal and proportionate benefit of the respective Holders from time to time of the Notes as follows: </w:t>
      </w:r>
    </w:p>
    <w:p>
      <w:pPr>
        <w:pStyle w:val="TextBody"/>
        <w:bidi w:val="0"/>
        <w:spacing w:before="480" w:after="0"/>
        <w:jc w:val="center"/>
        <w:rPr>
          <w:rFonts w:ascii="Times New Roman" w:hAnsi="Times New Roman"/>
          <w:sz w:val="24"/>
        </w:rPr>
      </w:pPr>
      <w:r>
        <w:rPr>
          <w:rFonts w:ascii="Times New Roman" w:hAnsi="Times New Roman"/>
          <w:sz w:val="24"/>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Terms of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relate to the Notes: </w:t>
      </w:r>
    </w:p>
    <w:p>
      <w:pPr>
        <w:pStyle w:val="TextBody"/>
        <w:bidi w:val="0"/>
        <w:spacing w:before="120" w:after="0"/>
        <w:jc w:val="left"/>
        <w:rPr>
          <w:rFonts w:ascii="Times New Roman" w:hAnsi="Times New Roman"/>
          <w:sz w:val="20"/>
        </w:rPr>
      </w:pPr>
      <w:r>
        <w:rPr>
          <w:rFonts w:ascii="Times New Roman" w:hAnsi="Times New Roman"/>
          <w:sz w:val="20"/>
        </w:rPr>
        <w:t xml:space="preserve">(1) The 2029 Notes shall constitute a series of Notes having the title “5.050% Notes due 2029” and the 2033 Notes shall constitute a separate series of Notes having the title “5.650% Notes due 2033”. </w:t>
      </w:r>
    </w:p>
    <w:p>
      <w:pPr>
        <w:pStyle w:val="TextBody"/>
        <w:bidi w:val="0"/>
        <w:spacing w:before="240" w:after="0"/>
        <w:jc w:val="left"/>
        <w:rPr>
          <w:rFonts w:ascii="Times New Roman" w:hAnsi="Times New Roman"/>
          <w:sz w:val="20"/>
        </w:rPr>
      </w:pPr>
      <w:r>
        <w:rPr>
          <w:rFonts w:ascii="Times New Roman" w:hAnsi="Times New Roman"/>
          <w:sz w:val="20"/>
        </w:rPr>
        <w:t>(2) The aggregate principal amount of the 2029 Notes that may be initially authenticated and delivered under the Indenture shall be $500,000,000 (the “</w:t>
      </w:r>
      <w:r>
        <w:rPr>
          <w:rFonts w:ascii="Times New Roman" w:hAnsi="Times New Roman"/>
          <w:b/>
          <w:sz w:val="20"/>
        </w:rPr>
        <w:t>Initial 2029 Notes</w:t>
      </w:r>
      <w:r>
        <w:rPr>
          <w:rFonts w:ascii="Times New Roman" w:hAnsi="Times New Roman"/>
          <w:sz w:val="20"/>
        </w:rPr>
        <w:t>”) and the aggregate principal amount of the 2033 Notes that may be initially authenticated and delivered under the Indenture shall be $500,000,000 (the “</w:t>
      </w:r>
      <w:r>
        <w:rPr>
          <w:rFonts w:ascii="Times New Roman" w:hAnsi="Times New Roman"/>
          <w:b/>
          <w:sz w:val="20"/>
        </w:rPr>
        <w:t>Initial 2033 Notes</w:t>
      </w:r>
      <w:r>
        <w:rPr>
          <w:rFonts w:ascii="Times New Roman" w:hAnsi="Times New Roman"/>
          <w:sz w:val="20"/>
        </w:rPr>
        <w:t>” and, together with the Initial 2029 Notes, the “</w:t>
      </w:r>
      <w:r>
        <w:rPr>
          <w:rFonts w:ascii="Times New Roman" w:hAnsi="Times New Roman"/>
          <w:b/>
          <w:sz w:val="20"/>
        </w:rPr>
        <w:t>Initial Notes</w:t>
      </w:r>
      <w:r>
        <w:rPr>
          <w:rFonts w:ascii="Times New Roman" w:hAnsi="Times New Roman"/>
          <w:sz w:val="20"/>
        </w:rPr>
        <w:t xml:space="preserve">”). The Company may from time to time, without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consent of the Holders of Notes, issue additional 2029 Notes (in any such case, the “</w:t>
      </w:r>
      <w:r>
        <w:rPr>
          <w:rFonts w:ascii="Times New Roman" w:hAnsi="Times New Roman"/>
          <w:b/>
          <w:sz w:val="20"/>
        </w:rPr>
        <w:t>Additional 2029 Notes</w:t>
      </w:r>
      <w:r>
        <w:rPr>
          <w:rFonts w:ascii="Times New Roman" w:hAnsi="Times New Roman"/>
          <w:sz w:val="20"/>
        </w:rPr>
        <w:t>”) or additional 2033 Notes (in any such case, the “</w:t>
      </w:r>
      <w:r>
        <w:rPr>
          <w:rFonts w:ascii="Times New Roman" w:hAnsi="Times New Roman"/>
          <w:b/>
          <w:sz w:val="20"/>
        </w:rPr>
        <w:t>Additional 2033 Notes</w:t>
      </w:r>
      <w:r>
        <w:rPr>
          <w:rFonts w:ascii="Times New Roman" w:hAnsi="Times New Roman"/>
          <w:sz w:val="20"/>
        </w:rPr>
        <w:t>” and together with the Additional 2029 Notes, the “</w:t>
      </w:r>
      <w:r>
        <w:rPr>
          <w:rFonts w:ascii="Times New Roman" w:hAnsi="Times New Roman"/>
          <w:b/>
          <w:sz w:val="20"/>
        </w:rPr>
        <w:t>Additional Notes</w:t>
      </w:r>
      <w:r>
        <w:rPr>
          <w:rFonts w:ascii="Times New Roman" w:hAnsi="Times New Roman"/>
          <w:sz w:val="20"/>
        </w:rPr>
        <w:t xml:space="preserve">”) having the same ranking and the same interest rate, maturity and other terms as the Initial 2029 Notes or the Initial 2033 Notes, as the case may be. Any Additional 2029 Notes and the Initial 2029 Notes and any Additional 2033 Notes and the Initial 2033 Notes, as the case may be, shall each constitute a single series under the Indenture and all references to the 2029 Notes shall include the Initial 2029 Notes and any Additional 2029 Notes and all references to the 2033 Notes shall include the Initial 2033 Notes and any Additional 2033 Notes, unless the context otherwise requires; provided that if such Additional Notes of the applicable series are not fungible with the applicable series of Initial Notes, for U.S. federal income tax purposes, the applicable series of Additional Notes will have a separate CUSIP number. The aggregate principal amount of each series of the Additional Notes shall be unlimited. </w:t>
      </w:r>
    </w:p>
    <w:p>
      <w:pPr>
        <w:pStyle w:val="TextBody"/>
        <w:bidi w:val="0"/>
        <w:spacing w:before="240" w:after="0"/>
        <w:jc w:val="left"/>
        <w:rPr>
          <w:rFonts w:ascii="Times New Roman" w:hAnsi="Times New Roman"/>
          <w:sz w:val="20"/>
        </w:rPr>
      </w:pPr>
      <w:r>
        <w:rPr>
          <w:rFonts w:ascii="Times New Roman" w:hAnsi="Times New Roman"/>
          <w:sz w:val="20"/>
        </w:rPr>
        <w:t xml:space="preserve">(3) The entire Outstanding principal of the 2029 Notes and 2033 Notes shall be payable on September 15, 2029 and on September 15, 2033, respectively. </w:t>
      </w:r>
    </w:p>
    <w:p>
      <w:pPr>
        <w:pStyle w:val="TextBody"/>
        <w:bidi w:val="0"/>
        <w:spacing w:before="240" w:after="0"/>
        <w:jc w:val="left"/>
        <w:rPr>
          <w:rFonts w:ascii="Times New Roman" w:hAnsi="Times New Roman"/>
          <w:sz w:val="20"/>
        </w:rPr>
      </w:pPr>
      <w:r>
        <w:rPr>
          <w:rFonts w:ascii="Times New Roman" w:hAnsi="Times New Roman"/>
          <w:sz w:val="20"/>
        </w:rPr>
        <w:t>(4) The rate at which the Notes shall bear interest shall be 5.050% per year for the 2029 Notes and 5.650% per year for the 2033 Notes. The date from which interest shall accrue on the Notes shall be the most recent Interest Payment Date to which interest has been paid or provided for or, if no interest has been paid, from September 10, 2026. The Interest Payment Dates for the Notes shall be March 15 and September 15 of each year, beginning March 15, 2027. Interest shall be payable on each Interest Payment Date to the Holders of record at the close of business on the March 1 and September 1 prior to each Interest Payment Date (in connection with the Notes, a “</w:t>
      </w:r>
      <w:r>
        <w:rPr>
          <w:rFonts w:ascii="Times New Roman" w:hAnsi="Times New Roman"/>
          <w:b/>
          <w:sz w:val="20"/>
        </w:rPr>
        <w:t>regular record date</w:t>
      </w:r>
      <w:r>
        <w:rPr>
          <w:rFonts w:ascii="Times New Roman" w:hAnsi="Times New Roman"/>
          <w:sz w:val="20"/>
        </w:rPr>
        <w:t xml:space="preserve">”). The basis upon which interest shall be calculated shall be that of a 360-day year consisting of twelve 30-day months. All dollar amounts resulting from the calculation of interest shall be rounded to the nearest cent. </w:t>
      </w:r>
    </w:p>
    <w:p>
      <w:pPr>
        <w:pStyle w:val="TextBody"/>
        <w:bidi w:val="0"/>
        <w:spacing w:before="240" w:after="0"/>
        <w:jc w:val="left"/>
        <w:rPr>
          <w:rFonts w:ascii="Times New Roman" w:hAnsi="Times New Roman"/>
          <w:sz w:val="20"/>
        </w:rPr>
      </w:pPr>
      <w:r>
        <w:rPr>
          <w:rFonts w:ascii="Times New Roman" w:hAnsi="Times New Roman"/>
          <w:sz w:val="20"/>
        </w:rPr>
        <w:t xml:space="preserve">(5) The Notes shall be issuable in whole in the form of one or more registered Global Securities, and the Depository for such Global Securities shall be The Depository Trust Company, New York, New York. The Notes shall be substantially in the form attached hereto as Exhibit A, the terms of which are herein incorporated by reference. The Notes shall be issuable in denominations of $2,000 or any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(6) The Notes may be redeemed at the option of the Company prior to the Stated Maturity, as provided in Section 1.3 of this Seventh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(7) The Notes will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(8) Except as provided herein, the Holders of the Notes shall have no special rights in addition to those provided in the Base Indenture upon the occurrence of any particular events. </w:t>
      </w:r>
    </w:p>
    <w:p>
      <w:pPr>
        <w:pStyle w:val="TextBody"/>
        <w:bidi w:val="0"/>
        <w:spacing w:before="240" w:after="0"/>
        <w:jc w:val="left"/>
        <w:rPr>
          <w:rFonts w:ascii="Times New Roman" w:hAnsi="Times New Roman"/>
          <w:sz w:val="20"/>
        </w:rPr>
      </w:pPr>
      <w:r>
        <w:rPr>
          <w:rFonts w:ascii="Times New Roman" w:hAnsi="Times New Roman"/>
          <w:sz w:val="20"/>
        </w:rPr>
        <w:t xml:space="preserve">(9) The Notes will be senior unsecured obligations of the Company and will rank equal in right of payment to all of the Company’s other existing and future senior unsecured indebtedness and among themselves.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The Notes are not convertible into shares of common stock or other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(11) The restrictive covenants set forth in Section 1.5 hereof shall be applicable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Additional 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following defined terms shall have the following meanings with respect to the Notes only: </w:t>
      </w:r>
    </w:p>
    <w:p>
      <w:pPr>
        <w:pStyle w:val="TextBody"/>
        <w:bidi w:val="0"/>
        <w:spacing w:before="120" w:after="0"/>
        <w:jc w:val="left"/>
        <w:rPr/>
      </w:pPr>
      <w:r>
        <w:rPr/>
        <w:t>“</w:t>
      </w:r>
      <w:r>
        <w:rPr>
          <w:rFonts w:ascii="Times New Roman" w:hAnsi="Times New Roman"/>
          <w:b/>
          <w:sz w:val="20"/>
        </w:rPr>
        <w:t>Attributable Debt</w:t>
      </w:r>
      <w:r>
        <w:rPr>
          <w:rFonts w:ascii="Times New Roman" w:hAnsi="Times New Roman"/>
          <w:sz w:val="20"/>
        </w:rPr>
        <w:t xml:space="preserve">” means, with respect to any sale and leaseback transaction, at the time of determination, the lesser of (1) fair market value of such Principal Property as determined in good faith by the Board of Directors, and (2) the total obligation (discounted to the present value at the implicit interest factor, determined in accordance with U.S.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to the Company or one of its Subsidiaries; (2) the adoption of a plan by the Board of Directors of the Company relating to the Company’s liquidation or dissolution; (3) the consummation of any transaction (including, without limitation, any merger or consolidation) the result of which is that any “person” (as defined above) becomes the “beneficial owner” (as defined in Rules 13d-3 and 13d-5 under the Exchange Act), directly or indirectly, of more than 50% of the aggregate of the total voting power of the Voting Stock of the Company or other Voting Stock into which the Company’s Voting Stock is reclassified, consolidated, exchanged or changed, measured by voting power rather than number of shares; provided, however, that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or (4) the Company consolidates with, or merges with or into, any “person” (as defined above), or any “person” (as defined above) consolidates with, or merges with or into, the Company, in any such event pursuant to a transaction in which any of the outstanding Voting Stock of the Company or the outstanding Voting Stock of such other “person” (as defined above)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(as defined above) or any direct or indirect parent company of any surviving “person” (as defined above) immediately after giving effect to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transaction will not be deemed to involve a Change of Control if (a) the Company becomes a direct or indirect wholly owned Subsidiary of a holding company and (b)(i) the holders of the Voting Stock of such holding company immediately following that transaction are substantially the same as the holders of the Company’s Voting Stock immediately prior to that transaction or (ii) no “person” (as defined above) (other than a holding company satisfying the requirements of this sentence) becomes the “beneficial owner” (as defined in Rules 13d-3 and 13d-5 under the Exchange Act), directly or indirectly, of more than 50% of the voting power of the Voting Stock of such holding company immediately following such transaction. </w:t>
      </w:r>
    </w:p>
    <w:p>
      <w:pPr>
        <w:pStyle w:val="TextBody"/>
        <w:bidi w:val="0"/>
        <w:spacing w:before="240" w:after="0"/>
        <w:jc w:val="left"/>
        <w:rPr/>
      </w:pPr>
      <w:r>
        <w:rPr/>
        <w:t>“</w:t>
      </w:r>
      <w:r>
        <w:rPr>
          <w:rFonts w:ascii="Times New Roman" w:hAnsi="Times New Roman"/>
          <w:b/>
          <w:sz w:val="20"/>
        </w:rPr>
        <w:t>Change of Control Repurchase Event</w:t>
      </w:r>
      <w:r>
        <w:rPr>
          <w:rFonts w:ascii="Times New Roman" w:hAnsi="Times New Roman"/>
          <w:sz w:val="20"/>
        </w:rPr>
        <w:t xml:space="preserve">” means the occurrence of both a Change of Control and a Ratings Event. </w:t>
      </w:r>
    </w:p>
    <w:p>
      <w:pPr>
        <w:pStyle w:val="TextBody"/>
        <w:bidi w:val="0"/>
        <w:spacing w:before="240" w:after="0"/>
        <w:jc w:val="left"/>
        <w:rPr/>
      </w:pPr>
      <w:r>
        <w:rPr/>
        <w:t>“</w:t>
      </w:r>
      <w:r>
        <w:rPr>
          <w:rFonts w:ascii="Times New Roman" w:hAnsi="Times New Roman"/>
          <w:b/>
          <w:sz w:val="20"/>
        </w:rPr>
        <w:t>Consolidated Net Tangible Assets</w:t>
      </w:r>
      <w:r>
        <w:rPr>
          <w:rFonts w:ascii="Times New Roman" w:hAnsi="Times New Roman"/>
          <w:sz w:val="20"/>
        </w:rPr>
        <w:t xml:space="preserve">” means, as of the time of determination, the aggregate amount of the assets of the Company and the assets of its consolidated Subsidiaries after deducting (1) all goodwill, trade names, trademarks, service marks, patents, unamortized debt discount and expense and other intangible assets and (2) all current liabilities, as reflected on the most recent consolidated balance sheet prepared by the Company in accordance with U.S. GAAP contained in an Annual Report on Form 10-K or a Quarterly Report on Form 10-Q filed or any amendment thereto (and not subsequently disclaimed as not being reliable by the Company) pursuant to the Exchange Act by the Company prior to the time as of which Consolidated Net Tangible Assets is being determined, or, if the Company is not required to so file, as reflected on its most recent consolidated balance sheet prepared by the Company in accordance with U.S. GAAP.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 </w:t>
      </w:r>
    </w:p>
    <w:p>
      <w:pPr>
        <w:pStyle w:val="TextBody"/>
        <w:bidi w:val="0"/>
        <w:spacing w:before="240" w:after="0"/>
        <w:jc w:val="left"/>
        <w:rPr/>
      </w:pPr>
      <w:r>
        <w:rPr/>
        <w:t>“</w:t>
      </w:r>
      <w:r>
        <w:rPr>
          <w:rFonts w:ascii="Times New Roman" w:hAnsi="Times New Roman"/>
          <w:b/>
          <w:sz w:val="20"/>
        </w:rPr>
        <w:t>incur</w:t>
      </w:r>
      <w:r>
        <w:rPr>
          <w:rFonts w:ascii="Times New Roman" w:hAnsi="Times New Roman"/>
          <w:sz w:val="20"/>
        </w:rPr>
        <w:t xml:space="preserve">” means issue, assume, guarantee or otherwise become liable for.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with respect to any Person, any indebtedness of such Person for borrowed money (including, without limitation, indebtedness for borrowed money evidenced by notes, bonds, debentures or similar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Investment Grade</w:t>
      </w:r>
      <w:r>
        <w:rPr>
          <w:rFonts w:ascii="Times New Roman" w:hAnsi="Times New Roman"/>
          <w:sz w:val="20"/>
        </w:rPr>
        <w:t xml:space="preserve">” means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any mortgage, security interest, pledge, lien, charge, or other similar encumbrance.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b/>
          <w:sz w:val="20"/>
        </w:rPr>
        <w:t>Non-recourse Obligation</w:t>
      </w:r>
      <w:r>
        <w:rPr>
          <w:rFonts w:ascii="Times New Roman" w:hAnsi="Times New Roman"/>
          <w:sz w:val="20"/>
        </w:rPr>
        <w:t xml:space="preserve">” means indebtedness or other obligations substantially related to (1) the acquisition of assets not previously owned by the Company or any direct or indirect Subsidiaries of the Company or (2) the financing of a project involving the development or expansion of properties of the Company or any direct or indirect Subsidiaries of the Company, as to which the obligee with respect to such indebtedness or obligation has no recourse to the Company or any direct or indirect Subsidiary of the Company or such Subsidiary’s assets other than the assets which were acquired with the proceeds of such transaction or the project financed with the proceeds of such transaction (and the proceeds thereof). </w:t>
      </w:r>
    </w:p>
    <w:p>
      <w:pPr>
        <w:pStyle w:val="TextBody"/>
        <w:bidi w:val="0"/>
        <w:spacing w:before="240" w:after="0"/>
        <w:jc w:val="left"/>
        <w:rPr/>
      </w:pPr>
      <w:r>
        <w:rPr/>
        <w:t>“</w:t>
      </w:r>
      <w:r>
        <w:rPr>
          <w:rFonts w:ascii="Times New Roman" w:hAnsi="Times New Roman"/>
          <w:b/>
          <w:sz w:val="20"/>
        </w:rPr>
        <w:t>Optional Redemption Date</w:t>
      </w:r>
      <w:r>
        <w:rPr>
          <w:rFonts w:ascii="Times New Roman" w:hAnsi="Times New Roman"/>
          <w:sz w:val="20"/>
        </w:rPr>
        <w:t xml:space="preserve">” when used with respect to any Note to be redeemed at the Company’s option, means the date fixed for such redemption by or pursuant to Section 1.3 of this Seventh Supplemental Indenture. </w:t>
      </w:r>
    </w:p>
    <w:p>
      <w:pPr>
        <w:pStyle w:val="TextBody"/>
        <w:bidi w:val="0"/>
        <w:spacing w:before="240" w:after="0"/>
        <w:jc w:val="left"/>
        <w:rPr/>
      </w:pPr>
      <w:r>
        <w:rPr/>
        <w:t>“</w:t>
      </w:r>
      <w:r>
        <w:rPr>
          <w:rFonts w:ascii="Times New Roman" w:hAnsi="Times New Roman"/>
          <w:b/>
          <w:sz w:val="20"/>
        </w:rPr>
        <w:t>Optional Redemption Price</w:t>
      </w:r>
      <w:r>
        <w:rPr>
          <w:rFonts w:ascii="Times New Roman" w:hAnsi="Times New Roman"/>
          <w:sz w:val="20"/>
        </w:rPr>
        <w:t xml:space="preserve">” when used with respect to any Note to be redeemed at the Company’s option, means the price at which it is to be redeemed pursuant to Section 1.3 of this Seventh Supplemental Indenture. </w:t>
      </w:r>
    </w:p>
    <w:p>
      <w:pPr>
        <w:pStyle w:val="TextBody"/>
        <w:bidi w:val="0"/>
        <w:spacing w:before="240" w:after="0"/>
        <w:jc w:val="left"/>
        <w:rPr/>
      </w:pPr>
      <w:r>
        <w:rPr/>
        <w:t>“</w:t>
      </w:r>
      <w:r>
        <w:rPr>
          <w:rFonts w:ascii="Times New Roman" w:hAnsi="Times New Roman"/>
          <w:b/>
          <w:sz w:val="20"/>
        </w:rPr>
        <w:t>Par Call Date</w:t>
      </w:r>
      <w:r>
        <w:rPr>
          <w:rFonts w:ascii="Times New Roman" w:hAnsi="Times New Roman"/>
          <w:sz w:val="20"/>
        </w:rPr>
        <w:t xml:space="preserve">” means August 15, 2029 with respect to the 2029 Notes and July 15, 2033 with respect to the 2033 Notes.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has the meaning set forth in Section 1.5 hereto. </w:t>
      </w:r>
    </w:p>
    <w:p>
      <w:pPr>
        <w:pStyle w:val="TextBody"/>
        <w:bidi w:val="0"/>
        <w:spacing w:before="240" w:after="0"/>
        <w:jc w:val="left"/>
        <w:rPr/>
      </w:pPr>
      <w:r>
        <w:rPr/>
        <w:t>“</w:t>
      </w:r>
      <w:r>
        <w:rPr>
          <w:rFonts w:ascii="Times New Roman" w:hAnsi="Times New Roman"/>
          <w:b/>
          <w:sz w:val="20"/>
        </w:rPr>
        <w:t>Principal Property</w:t>
      </w:r>
      <w:r>
        <w:rPr>
          <w:rFonts w:ascii="Times New Roman" w:hAnsi="Times New Roman"/>
          <w:sz w:val="20"/>
        </w:rPr>
        <w:t xml:space="preserve">” means the land, improvements, buildings and fixtures owned by the Company or any of its wholly-owned domestic Subsidiaries that constitutes the Company’s principal offices in San Francisco, California, any research and development facility and any service and support facility (in each case including associated office facilities) located within the territorial limits of the States of the United States of America, except such as the Board of Directors by resolution determines in good faith (taking into account, among other things, the importance of such property to the business, financial condition and earnings of the Company and its Subsidiaries taken as a whole) not to be of material importance to the Company’s and its Subsidiaries’ business, taken as a whole. </w:t>
      </w:r>
    </w:p>
    <w:p>
      <w:pPr>
        <w:pStyle w:val="TextBody"/>
        <w:bidi w:val="0"/>
        <w:spacing w:before="240" w:after="0"/>
        <w:jc w:val="left"/>
        <w:rPr/>
      </w:pPr>
      <w:r>
        <w:rPr/>
        <w:t>“</w:t>
      </w:r>
      <w:r>
        <w:rPr>
          <w:rFonts w:ascii="Times New Roman" w:hAnsi="Times New Roman"/>
          <w:b/>
          <w:sz w:val="20"/>
        </w:rPr>
        <w:t>Rating Agency</w:t>
      </w:r>
      <w:r>
        <w:rPr>
          <w:rFonts w:ascii="Times New Roman" w:hAnsi="Times New Roman"/>
          <w:sz w:val="20"/>
        </w:rPr>
        <w:t xml:space="preserve">” means (1) each of Moody’s and S&amp;P; and (2) if either of Moody’s or S&amp;P ceases to rate the Notes or fails to make a rating of the Notes publicly available for reasons outside of the control of the Company, a Substitute Rating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Rating Category</w:t>
      </w:r>
      <w:r>
        <w:rPr>
          <w:rFonts w:ascii="Times New Roman" w:hAnsi="Times New Roman"/>
          <w:sz w:val="20"/>
        </w:rPr>
        <w:t xml:space="preserve">” means (i) with respect to S&amp;P, any of the following categories: BBB, BB, B, CCC, CC, C and D (or equivalent successor categories); (ii) with respect to Moody’s, any of the following categories: Baa, Ba, B, Caa, Ca, C and D (or equivalent successor categories); and (iii)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a rating from BB+ to BB, as well as from BB- to B+, will constitute a decrease of one gradation). </w:t>
      </w:r>
    </w:p>
    <w:p>
      <w:pPr>
        <w:pStyle w:val="TextBody"/>
        <w:bidi w:val="0"/>
        <w:spacing w:before="240" w:after="0"/>
        <w:jc w:val="left"/>
        <w:rPr/>
      </w:pPr>
      <w:r>
        <w:rPr/>
        <w:t>“</w:t>
      </w:r>
      <w:r>
        <w:rPr>
          <w:rFonts w:ascii="Times New Roman" w:hAnsi="Times New Roman"/>
          <w:b/>
          <w:sz w:val="20"/>
        </w:rPr>
        <w:t>Ratings Event</w:t>
      </w:r>
      <w:r>
        <w:rPr>
          <w:rFonts w:ascii="Times New Roman" w:hAnsi="Times New Roman"/>
          <w:sz w:val="20"/>
        </w:rPr>
        <w:t>” means that the series of Notes ceases to be rated Investment Grade by both Rating Agencies on any day during the period (the “</w:t>
      </w:r>
      <w:r>
        <w:rPr>
          <w:rFonts w:ascii="Times New Roman" w:hAnsi="Times New Roman"/>
          <w:b/>
          <w:sz w:val="20"/>
        </w:rPr>
        <w:t>Trigger Period</w:t>
      </w:r>
      <w:r>
        <w:rPr>
          <w:rFonts w:ascii="Times New Roman" w:hAnsi="Times New Roman"/>
          <w:sz w:val="20"/>
        </w:rPr>
        <w:t xml:space="preserve">”) commencing on the earlier of (a) the first public notice of the occurrence of a Change of Control or (b) the public announcement by the Company of its intention to effect a Change of Control, and ending 60 days following consummation of such Change of Control (which period shall be extended so long as the rating of the series of Notes is under publicly announced consideration for a possible rating downgrade by either of the Rating Agencies on such 60th day, such extension to last with respect to each such Rating Agency until the date on which such Rating Agency considering such possible downgrade either (x) rates the series of Notes below Investment Grade or (y) publicly announces that it is no longer considering the series of Notes for possible downgrade, provided that no such extension will occur if on such 60th day the series of Notes are rated Investment Grade by at least one of such Rating Agencies in question and are not subject to review for possible downgrade by such Rating Agency). If either Rating Agency is not providing a rating of the Notes on any day during the Trigger Period for any reason, the rating of such Rating Agency shall be deemed to have ceased to be rated Investment Grade during the Trigger Period. </w:t>
      </w:r>
    </w:p>
    <w:p>
      <w:pPr>
        <w:pStyle w:val="TextBody"/>
        <w:bidi w:val="0"/>
        <w:spacing w:before="240" w:after="0"/>
        <w:jc w:val="left"/>
        <w:rPr/>
      </w:pPr>
      <w:r>
        <w:rPr/>
        <w:t>“</w:t>
      </w:r>
      <w:r>
        <w:rPr>
          <w:rFonts w:ascii="Times New Roman" w:hAnsi="Times New Roman"/>
          <w:b/>
          <w:sz w:val="20"/>
        </w:rPr>
        <w:t>Remaining Scheduled Payments</w:t>
      </w:r>
      <w:r>
        <w:rPr>
          <w:rFonts w:ascii="Times New Roman" w:hAnsi="Times New Roman"/>
          <w:sz w:val="20"/>
        </w:rPr>
        <w:t xml:space="preserve">” means, with respect to any Note to be redeemed, the sum of present values of the remaining scheduled payments of the principal thereof and interest thereon discounted to the Optional Redemption Date (assuming the Notes matured on the applicable Par Call Date) on a semi-annual basis (assuming a 360-day year consisting of twelve 30-day months) at the Treasury Rate plus (a) 10 basis points in the case of the 2029 Notes, or (b) 15 basis points in the case of the 2033 Notes. </w:t>
      </w:r>
    </w:p>
    <w:p>
      <w:pPr>
        <w:pStyle w:val="TextBody"/>
        <w:bidi w:val="0"/>
        <w:spacing w:before="240" w:after="0"/>
        <w:jc w:val="left"/>
        <w:rPr/>
      </w:pPr>
      <w:r>
        <w:rPr/>
        <w:t>“</w:t>
      </w:r>
      <w:r>
        <w:rPr>
          <w:rFonts w:ascii="Times New Roman" w:hAnsi="Times New Roman"/>
          <w:b/>
          <w:sz w:val="20"/>
        </w:rPr>
        <w:t>Restricted Subsidiary</w:t>
      </w:r>
      <w:r>
        <w:rPr>
          <w:rFonts w:ascii="Times New Roman" w:hAnsi="Times New Roman"/>
          <w:sz w:val="20"/>
        </w:rPr>
        <w:t xml:space="preserve">” means any domestic Subsidiary that owns any Principal Property other than (1) any Subsidiary primarily engaged in financing receivables or in the finance business, or (2) any of the Company’s less than 80%-owned Subsidiaries if the common stock of such Subsidiary is traded on any national securities exchange or on the over-the-counter markets. </w:t>
      </w:r>
    </w:p>
    <w:p>
      <w:pPr>
        <w:pStyle w:val="TextBody"/>
        <w:bidi w:val="0"/>
        <w:spacing w:before="240" w:after="0"/>
        <w:jc w:val="left"/>
        <w:rPr/>
      </w:pPr>
      <w:r>
        <w:rPr/>
        <w:t>“</w:t>
      </w:r>
      <w:r>
        <w:rPr>
          <w:rFonts w:ascii="Times New Roman" w:hAnsi="Times New Roman"/>
          <w:b/>
          <w:sz w:val="20"/>
        </w:rPr>
        <w:t>Sale and Leaseback Transaction</w:t>
      </w:r>
      <w:r>
        <w:rPr>
          <w:rFonts w:ascii="Times New Roman" w:hAnsi="Times New Roman"/>
          <w:sz w:val="20"/>
        </w:rPr>
        <w:t xml:space="preserve">” means any arrangement with any Person providing for the leasing by the Company or any Subsidiary of the Company of any Principal Property which has been or is to be sold or transferred by the Company or such Subsidiary to such Person, excluding (1) leases for a term, including renewals at the option of the lessee, of not more than three years, and (2) leases between the Company and a Subsidiary or between Subsidiaries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Subsidiary</w:t>
      </w:r>
      <w:r>
        <w:rPr>
          <w:rFonts w:ascii="Times New Roman" w:hAnsi="Times New Roman"/>
          <w:sz w:val="20"/>
        </w:rPr>
        <w:t>” means, with respect to any Person (the “</w:t>
      </w:r>
      <w:r>
        <w:rPr>
          <w:rFonts w:ascii="Times New Roman" w:hAnsi="Times New Roman"/>
          <w:b/>
          <w:sz w:val="20"/>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U.S. GAAP as of that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 </w:t>
      </w:r>
    </w:p>
    <w:p>
      <w:pPr>
        <w:pStyle w:val="TextBody"/>
        <w:bidi w:val="0"/>
        <w:spacing w:before="240" w:after="0"/>
        <w:jc w:val="left"/>
        <w:rPr/>
      </w:pPr>
      <w:r>
        <w:rPr/>
        <w:t>“</w:t>
      </w:r>
      <w:r>
        <w:rPr>
          <w:rFonts w:ascii="Times New Roman" w:hAnsi="Times New Roman"/>
          <w:b/>
          <w:sz w:val="20"/>
        </w:rPr>
        <w:t>Substitute Rating Agency</w:t>
      </w:r>
      <w:r>
        <w:rPr>
          <w:rFonts w:ascii="Times New Roman" w:hAnsi="Times New Roman"/>
          <w:sz w:val="20"/>
        </w:rPr>
        <w:t xml:space="preserve">” means a “nationally recognized statistical rating organization” within the meaning of Section 3(a)(62) of the Exchange Act, selected by the Company (as certified by a resolution of the Board of Directors) as a replacement agency for Moody’s or S&amp;P, or both of them, as the case may be.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and any successor to its rating agency business.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Optional Redemption Date, the yield determined by the Company in the following manner: </w:t>
      </w:r>
    </w:p>
    <w:p>
      <w:pPr>
        <w:pStyle w:val="TextBody"/>
        <w:bidi w:val="0"/>
        <w:spacing w:before="12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Optional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hAnsi="Times New Roman"/>
          <w:b/>
          <w:sz w:val="20"/>
        </w:rPr>
        <w:t>H.15</w:t>
      </w:r>
      <w:r>
        <w:rPr>
          <w:rFonts w:ascii="Times New Roman" w:hAnsi="Times New Roman"/>
          <w:sz w:val="20"/>
        </w:rPr>
        <w:t>”) under the caption “U.S. government securities – Treasury constant maturities – Nominal” (or any successor caption or heading) (“</w:t>
      </w:r>
      <w:r>
        <w:rPr>
          <w:rFonts w:ascii="Times New Roman" w:hAnsi="Times New Roman"/>
          <w:b/>
          <w:sz w:val="20"/>
        </w:rPr>
        <w:t>H.15 TCM</w:t>
      </w:r>
      <w:r>
        <w:rPr>
          <w:rFonts w:ascii="Times New Roman" w:hAnsi="Times New Roman"/>
          <w:sz w:val="20"/>
        </w:rPr>
        <w:t>”). In determining the Treasury Rate, the Company shall select, as applicable: (1) the yield for the Treasury constant maturity on H.15 exactly equal to the period from the applicable Optional Redemption Date to the applicable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Optional Redemption Date H.15 TCM is no longer published, the Company shall calculate the Treasury Rate based on the rate per annum equal to the semi-annual equivalent yield to maturity at 11:00 a.m., New York City time, on the second Business Day preceding such Optional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of any specified “person” (as that term is used in Section 13(d)(3) of the Exchange Act) as of any date means the Capital Stock of such person that is at the time entitled to vote generally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Article III of the Base Indenture, as amended by the provisions of this Seventh Supplemental Indenture, shall apply to the Notes with respect to this Section 1.3.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applicable Par Call Date, each series of Notes shall be redeemable, in whole or in part, at any time and from time to time, at the Company’s option. Upon redemption of the applicable series of Notes prior to the applicable Par Call Date, the Company shall pay an Optional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Remaining Scheduled Payments of such series of Notes to be redeemed, less (B) interest accrued to the Optional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(ii) 100% of the aggregate principal amount of such series of Notes to be redeemed, </w:t>
      </w:r>
    </w:p>
    <w:p>
      <w:pPr>
        <w:pStyle w:val="TextBody"/>
        <w:bidi w:val="0"/>
        <w:spacing w:before="24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in addition to such Optional Redemption Price, accrued and unpaid interest thereon to, but excluding, the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Upon redemption of the Notes of the applicable series on or after the applicable Par Call Date, the Company may, at its option, redeem any of the Notes of such series, in whole or in part, at any time and from time to time, at an Optional Redemption Price equal to 100% of the aggregate principal amount of the Notes of such series being redeemed, plus accrued and unpaid interest thereon, if any, to, but excluding, the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whose Stated Maturity is on or prior to the Optional Redemption Date shall be payable on the applicable Interest Payment Date to the Holders of such series of Notes registered as such at the close of business on the applicable record date pursuant to the Notes and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On and after the Optional Redemption Date for the applicable series of Notes, interest shall cease to accrue on such Notes or any portion thereof called for redemption, unless the Company defaults in the payment of the applicable Optional Redemption Price and accrued interest, if any. On or before 12:00 p.m., New York City time, on the Optional Redemption Date for the applicable series of Notes, the Company shall deposit with the Trustee or a paying agent, funds sufficient to pay the Optional Redemption Price of such series of Notes to be redeemed on the Optional Redemption Date, and (except if the date fixed for redemption shall be an Interest Payment Date) accrued interest, if any. If less than all of the Notes of a series are to be redeemed, the Notes of such series shall be redeemed in accordance with Section 3.02 of the Base Indenture. No Notes of a principal amount of $2,000 or less will be redeemed in part. If any Note is to be redeemed in part only, the notice of redemption that relates to the Note of such series will state the portion of the principal amount of such Note to be redeemed. A new note in a principal amount equal to the unredeemed portion of such Note will be issued in the name of the holder of the Note of such series upon surrender for cancellation of the original note. For so long as the Notes are held by The Depository Trust Company, Euroclear Bank SA/NV, as operator of the Euroclear System, or Clearstream Banking S.A. (or another Depository), the redemption of the Notes of either series shall be done in accordance with the policies and procedures of the Depository. Any redemption or Notice of redemption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(d) Notice of any redemption shall be delivered at least 10 days but not more than 60 days before the Optional Redemption Date to each Holder of the Notes of such series to be redeemed; provided, however, that the Company shall notify the Trustee of the Optional Redemption Date at least 5 days prior to the date of the giving of such notice (unless a shorter notice shall be satisfactory to the Trustee). Such notice shall be provided in accordance with Section 3.02 of the Base Indenture. If the Optional Redemption Price cannot be determined at the time such notice is to be given, the actual Optional Redemption Price, calculated as described above in clause (b), shall be set forth in an Officer’s Certificate of the Company delivered to the Trustee no later than two (2) Business Days prior to the Optional Redemption Date. Notice of redemption having been given as provided in the Indenture, the Notes of a series called for redemption shall, on the Optional Redemption Date, become due and payable at the Optional Redemption Price, and accrued and unpaid interest, if any, to, but excluding, the Optional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Change of Control Repurchase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 Change of Control Repurchase Event occurs with respect to the Notes, unless the Company shall have exercised its right to redeem the 2029 Notes and 2033 Notes in full, as set forth in Section 1.3 of this Seventh Supplemental Indenture or the Company shall have defeased the Notes or have satisfied and discharged the Notes, as set forth in Article XI of the Base Indenture, each Holder of the 2029 Notes and 2033 Notes shall have the right (a “</w:t>
      </w:r>
      <w:r>
        <w:rPr>
          <w:rFonts w:ascii="Times New Roman" w:hAnsi="Times New Roman"/>
          <w:b/>
          <w:sz w:val="20"/>
        </w:rPr>
        <w:t>Change of Control Right</w:t>
      </w:r>
      <w:r>
        <w:rPr>
          <w:rFonts w:ascii="Times New Roman" w:hAnsi="Times New Roman"/>
          <w:sz w:val="20"/>
        </w:rPr>
        <w:t>”) to require the Company to repurchase all or any part of such Holder’s 2029 Notes and 2033 Notes at a repurchase price in cash equal to 101% of the aggregate principal amount of the 2029 Notes and 2033 Notes to be repurchased (such principal amount to be equal to $2,000 or an integral multiple of $1,000 in excess of $2,000), plus accrued and unpaid interest, if any, on the 2029 Notes and 2033 Notes to be repurchased up to, but excluding, the date of repurchase (the “</w:t>
      </w:r>
      <w:r>
        <w:rPr>
          <w:rFonts w:ascii="Times New Roman" w:hAnsi="Times New Roman"/>
          <w:b/>
          <w:sz w:val="20"/>
        </w:rPr>
        <w:t>Change</w:t>
      </w:r>
      <w:r>
        <w:rPr>
          <w:rFonts w:ascii="Times New Roman" w:hAnsi="Times New Roman"/>
          <w:sz w:val="20"/>
        </w:rPr>
        <w:t> </w:t>
      </w:r>
      <w:r>
        <w:rPr>
          <w:rFonts w:ascii="Times New Roman" w:hAnsi="Times New Roman"/>
          <w:b/>
          <w:sz w:val="20"/>
        </w:rPr>
        <w:t>of Control Payment</w:t>
      </w:r>
      <w:r>
        <w:rPr>
          <w:rFonts w:ascii="Times New Roman" w:hAnsi="Times New Roman"/>
          <w:sz w:val="20"/>
        </w:rPr>
        <w:t xml:space="preserve">”). Within 30 days following any 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Control Repurchase Event, or at the option of the Company, prior to any Change of Control, but after the public announcement of the Change of Control or event that may constitute the Change of Control, the Company shall deliver a notice (a “</w:t>
      </w:r>
      <w:r>
        <w:rPr>
          <w:rFonts w:ascii="Times New Roman" w:hAnsi="Times New Roman"/>
          <w:b/>
          <w:sz w:val="20"/>
        </w:rPr>
        <w:t>Change of Control Notice</w:t>
      </w:r>
      <w:r>
        <w:rPr>
          <w:rFonts w:ascii="Times New Roman" w:hAnsi="Times New Roman"/>
          <w:sz w:val="20"/>
        </w:rPr>
        <w:t>”) to each Holder of the Notes, with a copy to the Trustee, describing the transaction or transactions that constitute or may constitute the Change of Control Repurchase Event and the Company’s obligation to repurchase the Notes on the date specified in the notice, which date will be no earlier than 30 days and no later than 60 days from the date such notice is delivered (the “</w:t>
      </w:r>
      <w:r>
        <w:rPr>
          <w:rFonts w:ascii="Times New Roman" w:hAnsi="Times New Roman"/>
          <w:b/>
          <w:sz w:val="20"/>
        </w:rPr>
        <w:t>Change of Control Payment Date</w:t>
      </w:r>
      <w:r>
        <w:rPr>
          <w:rFonts w:ascii="Times New Roman" w:hAnsi="Times New Roman"/>
          <w:sz w:val="20"/>
        </w:rPr>
        <w:t xml:space="preserve">”). The Change of Control Notice shall, if delivered prior to the date of the consummation of the Change of Control, state that the Company’s obligation to repurchase the Notes is conditioned on a Change of Control Repurchase Event occurring on or prior to the Change of Control Payment Date. Holders of Definitive Securities electing to have a Note repurchased pursuant to this Section 1.4 will be required to surrender the Notes, with the form entitled “Option of Securityholder to Elect Purchase” on the reverse of the Note completed, to the paying agent at the address specified in the notice, or Holders of Global Securities must transfer their Notes to the paying agent by book-entry transfer pursuant to the Applicable Procedures of the paying agent, prior to the close of business on the Business Day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installments of interest whose Stated Maturity is on or prior to the Change of Control Payment Date shall be payable on the applicable Interest Payment Date to the Holders of such Notes registered as such at the close of business on the applicable record date pursuant to the Notes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On the Change of Control Payment Date, the Company shall,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(i) accept for payment all Notes or portions of Notes properly tendered pursuant to the Change of Control Notice; </w:t>
      </w:r>
    </w:p>
    <w:p>
      <w:pPr>
        <w:pStyle w:val="TextBody"/>
        <w:bidi w:val="0"/>
        <w:spacing w:before="240" w:after="0"/>
        <w:jc w:val="left"/>
        <w:rPr>
          <w:rFonts w:ascii="Times New Roman" w:hAnsi="Times New Roman"/>
          <w:sz w:val="20"/>
        </w:rPr>
      </w:pPr>
      <w:r>
        <w:rPr>
          <w:rFonts w:ascii="Times New Roman" w:hAnsi="Times New Roman"/>
          <w:sz w:val="20"/>
        </w:rPr>
        <w:t xml:space="preserve">(ii) deposit with the paying agent an amount equal to the Change of Control Payment in respect of all Notes or portions of Notes properly tendered; and </w:t>
      </w:r>
    </w:p>
    <w:p>
      <w:pPr>
        <w:pStyle w:val="TextBody"/>
        <w:bidi w:val="0"/>
        <w:spacing w:before="240" w:after="0"/>
        <w:jc w:val="left"/>
        <w:rPr>
          <w:rFonts w:ascii="Times New Roman" w:hAnsi="Times New Roman"/>
          <w:sz w:val="20"/>
        </w:rPr>
      </w:pPr>
      <w:r>
        <w:rPr>
          <w:rFonts w:ascii="Times New Roman" w:hAnsi="Times New Roman"/>
          <w:sz w:val="20"/>
        </w:rPr>
        <w:t xml:space="preserve">(iii) deliver or cause to be delivered to the Trustee the Notes properly accepted, together with an Officer’s Certificate stating the aggregate principal amount of Notes being repurchased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will not be obligated to repurchase the Notes pursuant to this Section 1.4 if a third party agrees to repurchase the Notes in the manner, at the times required and otherwise in compliance with the requirements for the Company under this Indenture, and such third party repurchases all Notes properly tendered and not withdrawn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such securities laws or regulations conflict with this Section 1.4, the Company shall comply with the applicable securities laws and regulations and shall not be deemed to have breached its obligations under this Section 1.4 by virtue of any such conflict.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additional covenants shall apply with respect to the Notes so long as any of the Notes remain Outstanding: </w:t>
      </w:r>
    </w:p>
    <w:p>
      <w:pPr>
        <w:pStyle w:val="TextBody"/>
        <w:bidi w:val="0"/>
        <w:spacing w:before="120" w:after="0"/>
        <w:jc w:val="left"/>
        <w:rPr>
          <w:rFonts w:ascii="Times New Roman" w:hAnsi="Times New Roman"/>
          <w:sz w:val="20"/>
        </w:rPr>
      </w:pPr>
      <w:r>
        <w:rPr>
          <w:rFonts w:ascii="Times New Roman" w:hAnsi="Times New Roman"/>
          <w:sz w:val="20"/>
        </w:rPr>
        <w:t xml:space="preserve">(a) Limitation on Liens.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incur, and will not permit any of its Restricted Subsidiaries to incur, any indebtedness secured by a Lien on any Principal Property of the Company or any of its Restricted Subsidiaries or upon shares of stock or indebtedness of any Restricted Subsidiary (whether such Principal Property, or shares of stock or indebtedness of any Restricted Subsidiary, are now existing or owned or hereafter created or acquired), in each case, unless prior to or at the same time the Company or such Restricted Subsidiary also secures all payments due under any series of Notes having the benefit of this Section (together with, if the Company shall so determine, any other indebtedness or guarantees of the Company or any Subsidiary of the Company ranking equally with the Notes or such guarantee), on an equal and ratable basis with, or at the option of the Company, prior to, such other indebtedness so secured for so long as such other indebtedness shall be so secured. </w:t>
      </w:r>
    </w:p>
    <w:p>
      <w:pPr>
        <w:pStyle w:val="TextBody"/>
        <w:bidi w:val="0"/>
        <w:spacing w:before="240" w:after="0"/>
        <w:jc w:val="left"/>
        <w:rPr>
          <w:rFonts w:ascii="Times New Roman" w:hAnsi="Times New Roman"/>
          <w:sz w:val="20"/>
        </w:rPr>
      </w:pPr>
      <w:r>
        <w:rPr>
          <w:rFonts w:ascii="Times New Roman" w:hAnsi="Times New Roman"/>
          <w:sz w:val="20"/>
        </w:rPr>
        <w:t>The foregoing prohibition shall not apply to any of the following Liens (“</w:t>
      </w:r>
      <w:r>
        <w:rPr>
          <w:rFonts w:ascii="Times New Roman" w:hAnsi="Times New Roman"/>
          <w:b/>
          <w:sz w:val="20"/>
        </w:rPr>
        <w:t>Permitted</w:t>
      </w:r>
      <w:r>
        <w:rPr>
          <w:rFonts w:ascii="Times New Roman" w:hAnsi="Times New Roman"/>
          <w:sz w:val="20"/>
        </w:rPr>
        <w:t> </w:t>
      </w:r>
      <w:r>
        <w:rPr>
          <w:rFonts w:ascii="Times New Roman" w:hAnsi="Times New Roman"/>
          <w:b/>
          <w:sz w:val="20"/>
        </w:rPr>
        <w:t>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Liens on property, shares of stock or indebtedness existing with respect to any Person at the time such Person becomes a Subsidiary of the Company or a Subsidiary of any Subsidiary of the Company, provided that such Lien was not incurred in anticipation of such Person becoming a Subsidiary; </w:t>
      </w:r>
    </w:p>
    <w:p>
      <w:pPr>
        <w:pStyle w:val="TextBody"/>
        <w:bidi w:val="0"/>
        <w:spacing w:before="240" w:after="0"/>
        <w:jc w:val="left"/>
        <w:rPr>
          <w:rFonts w:ascii="Times New Roman" w:hAnsi="Times New Roman"/>
          <w:sz w:val="20"/>
        </w:rPr>
      </w:pPr>
      <w:r>
        <w:rPr>
          <w:rFonts w:ascii="Times New Roman" w:hAnsi="Times New Roman"/>
          <w:sz w:val="20"/>
        </w:rPr>
        <w:t xml:space="preserve">(2) Liens on property, shares of stock or indebtedness existing at the time of acquisition by the Company or any of its Subsidiaries or a Subsidiary of any Subsidiary of the Company of such property, shares of stock or indebtedness or Liens on property, shares of stock or indebtedness to secure the payment of all or any part of the purchase price of such property, shares of stock or indebtedness, or Liens on property, shares of stock or indebtedness to secure any indebtedness for borrowed money incurred prior to, at the time of, or within 18 months after, the latest of the acquisition of such property, shares of stock or indebtedness or, in the case of property, the completion of construction, the completion of improvements or the commencement of substantial commercial operation of such property for the purpose of financing all or any part of the purchase price of the property and related costs and expenses, the construction or the making of the improvements; </w:t>
      </w:r>
    </w:p>
    <w:p>
      <w:pPr>
        <w:pStyle w:val="TextBody"/>
        <w:bidi w:val="0"/>
        <w:spacing w:before="240" w:after="0"/>
        <w:jc w:val="left"/>
        <w:rPr>
          <w:rFonts w:ascii="Times New Roman" w:hAnsi="Times New Roman"/>
          <w:sz w:val="20"/>
        </w:rPr>
      </w:pPr>
      <w:r>
        <w:rPr>
          <w:rFonts w:ascii="Times New Roman" w:hAnsi="Times New Roman"/>
          <w:sz w:val="20"/>
        </w:rPr>
        <w:t xml:space="preserve">(3) any Lien securing indebtedness of the Company or a Subsidiary of the Company owing to the Company or to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 Liens existing on the date when the Company first issues Notes pursuant to this Indenture (other than any Additional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Liens on property or assets of a Person existing at the time such Person is merged into or consolidated with the Company or any of its Subsidiaries, at the time such Person becomes a Subsidiary of the Company, or at the time of a sale, lease or other disposition of all or substantially all of the properties or assets of a Person to the Company or any of its Subsidiaries, provided that such Lien was not incurred in anticipation of the merger, consolidation or sale, lease, other disposition or other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(6) Liens created in connection with a project financed with, and created to secure, a Non-recourse Obligation; </w:t>
      </w:r>
    </w:p>
    <w:p>
      <w:pPr>
        <w:pStyle w:val="TextBody"/>
        <w:bidi w:val="0"/>
        <w:spacing w:before="240" w:after="0"/>
        <w:jc w:val="left"/>
        <w:rPr>
          <w:rFonts w:ascii="Times New Roman" w:hAnsi="Times New Roman"/>
          <w:sz w:val="20"/>
        </w:rPr>
      </w:pPr>
      <w:r>
        <w:rPr>
          <w:rFonts w:ascii="Times New Roman" w:hAnsi="Times New Roman"/>
          <w:sz w:val="20"/>
        </w:rPr>
        <w:t xml:space="preserve">(7) Liens created to secure the Notes; </w:t>
      </w:r>
    </w:p>
    <w:p>
      <w:pPr>
        <w:pStyle w:val="TextBody"/>
        <w:bidi w:val="0"/>
        <w:spacing w:before="240" w:after="0"/>
        <w:jc w:val="left"/>
        <w:rPr>
          <w:rFonts w:ascii="Times New Roman" w:hAnsi="Times New Roman"/>
          <w:sz w:val="20"/>
        </w:rPr>
      </w:pPr>
      <w:r>
        <w:rPr>
          <w:rFonts w:ascii="Times New Roman" w:hAnsi="Times New Roman"/>
          <w:sz w:val="20"/>
        </w:rPr>
        <w:t xml:space="preserve">(8) Liens imposed by law, such as materialmen’s, workmen’s or repairmen’s, carriers’, warehousemen’s and mechanic’s Liens or other similar Liens, in each case for sums not yet overdue by more than 30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w:t>
      </w:r>
    </w:p>
    <w:p>
      <w:pPr>
        <w:pStyle w:val="TextBody"/>
        <w:bidi w:val="0"/>
        <w:spacing w:before="240" w:after="0"/>
        <w:jc w:val="left"/>
        <w:rPr>
          <w:rFonts w:ascii="Times New Roman" w:hAnsi="Times New Roman"/>
          <w:sz w:val="20"/>
        </w:rPr>
      </w:pPr>
      <w:r>
        <w:rPr>
          <w:rFonts w:ascii="Times New Roman" w:hAnsi="Times New Roman"/>
          <w:sz w:val="20"/>
        </w:rPr>
        <w:t xml:space="preserve">(9) Liens for taxes, assessments or other governmental charges not yet due or payable or subject to penalties for non-payment or which are being contested in good faith by appropriate proceedings; </w:t>
      </w:r>
    </w:p>
    <w:p>
      <w:pPr>
        <w:pStyle w:val="TextBody"/>
        <w:bidi w:val="0"/>
        <w:spacing w:before="240" w:after="0"/>
        <w:jc w:val="left"/>
        <w:rPr>
          <w:rFonts w:ascii="Times New Roman" w:hAnsi="Times New Roman"/>
          <w:sz w:val="20"/>
        </w:rPr>
      </w:pPr>
      <w:r>
        <w:rPr>
          <w:rFonts w:ascii="Times New Roman" w:hAnsi="Times New Roman"/>
          <w:sz w:val="20"/>
        </w:rPr>
        <w:t xml:space="preserve">(10) Liens to secure the performance of bids, trade contracts, leases, statutory obligations, surety and appeal bonds, performance bonds and other obligations of a like nature; </w:t>
      </w:r>
    </w:p>
    <w:p>
      <w:pPr>
        <w:pStyle w:val="TextBody"/>
        <w:bidi w:val="0"/>
        <w:spacing w:before="240" w:after="0"/>
        <w:jc w:val="left"/>
        <w:rPr>
          <w:rFonts w:ascii="Times New Roman" w:hAnsi="Times New Roman"/>
          <w:sz w:val="20"/>
        </w:rPr>
      </w:pPr>
      <w:r>
        <w:rPr>
          <w:rFonts w:ascii="Times New Roman" w:hAnsi="Times New Roman"/>
          <w:sz w:val="20"/>
        </w:rPr>
        <w:t xml:space="preserve">(11) pledges or deposits under workmen’s compensation, unemployment insurance, or similar legislation and liens of judgments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U.S. to secure surety, appeal or customs bonds, or deposits in litigation or other proceedings such as, but not limited to, interpleader proceedings; </w:t>
      </w:r>
    </w:p>
    <w:p>
      <w:pPr>
        <w:pStyle w:val="TextBody"/>
        <w:bidi w:val="0"/>
        <w:spacing w:before="240" w:after="0"/>
        <w:jc w:val="left"/>
        <w:rPr>
          <w:rFonts w:ascii="Times New Roman" w:hAnsi="Times New Roman"/>
          <w:sz w:val="20"/>
        </w:rPr>
      </w:pPr>
      <w:r>
        <w:rPr>
          <w:rFonts w:ascii="Times New Roman" w:hAnsi="Times New Roman"/>
          <w:sz w:val="20"/>
        </w:rPr>
        <w:t xml:space="preserve">(12) Liens consisting of easements, rights-of-way, zoning restrictions, restrictions on the use of real property, and defects and irregularities in the title thereto, landlords’ Liens and other similar Liens none of which interfere materially with the use of the property covered thereby in the ordinary course of business and which do not, in the Company’s opinion, materially detract from the value of such properties; </w:t>
      </w:r>
    </w:p>
    <w:p>
      <w:pPr>
        <w:pStyle w:val="TextBody"/>
        <w:bidi w:val="0"/>
        <w:spacing w:before="240" w:after="0"/>
        <w:jc w:val="left"/>
        <w:rPr>
          <w:rFonts w:ascii="Times New Roman" w:hAnsi="Times New Roman"/>
          <w:sz w:val="20"/>
        </w:rPr>
      </w:pPr>
      <w:r>
        <w:rPr>
          <w:rFonts w:ascii="Times New Roman" w:hAnsi="Times New Roman"/>
          <w:sz w:val="20"/>
        </w:rPr>
        <w:t xml:space="preserve">(13) 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any extension, renewal or replacement of any Lien referred to in clauses (1) through (13) above, inclusive, so long as (i) the principal amount of the indebtedness secured thereby does not exceed the principal amount of indebtedness so secured at the time of the extension, renewal or replacement (except to the extent of any fees or other costs associated with any such extension, renewal or replacement) and (ii) the Lien is limited to the same property subject to the Lien so extended, renewed or replaced (and improvements on the property).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set forth in the second paragraph of Section 1.5(a) of this Seventh Supplemental Indenture, the Company and its Restricted Subsidiaries will be permitted to incur indebtedness secured by Liens which would otherwise be subject to the foregoing restrictions without equally and ratably securing the Notes, provided that, after giving effect to such indebtedness, the aggregate amount of all indebtedness secured by Liens (not including Liens permitted under clauses (1) through (14) above), together with all Attributable Debt outstanding pursuant to second paragraph of Section 1.5(b) of this Seventh Supplemental Indenture, does not exceed the greater of $500 million and 15% of the Consolidated Net Tangible Assets of the Company. The Company and its Restricted Subsidiaries also may, without equally and ratably securing the Notes, create or incur Liens that extend, renew, substitute or replace (including successive extensions, renewals, substitutions or replacements), in whole or in part, any Lien permitted pursuant to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(b) Limitation on Sale and Leaseback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and will not permit any of its Restricted Subsidiaries to, enter into any sale and leaseback transaction for the sale and leasing back of any Principal Property, whether now owned or hereafter acquired, unless: </w:t>
      </w:r>
    </w:p>
    <w:p>
      <w:pPr>
        <w:pStyle w:val="TextBody"/>
        <w:bidi w:val="0"/>
        <w:spacing w:before="120" w:after="0"/>
        <w:jc w:val="left"/>
        <w:rPr>
          <w:rFonts w:ascii="Times New Roman" w:hAnsi="Times New Roman"/>
          <w:sz w:val="20"/>
        </w:rPr>
      </w:pPr>
      <w:r>
        <w:rPr>
          <w:rFonts w:ascii="Times New Roman" w:hAnsi="Times New Roman"/>
          <w:sz w:val="20"/>
        </w:rPr>
        <w:t xml:space="preserve">(1) such transaction was entered into prior to the date of the initial issuance of the Notes (other than any 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(2) such transaction was for the sale and leasing back to the Company or any of its wholly owned Subsidiaries of any Principal Property by one of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(3) such transaction involves a lease for not more than three years (or which may be terminated by the Company or its Subsidiaries within a period of not more than three years); </w:t>
      </w:r>
    </w:p>
    <w:p>
      <w:pPr>
        <w:pStyle w:val="TextBody"/>
        <w:bidi w:val="0"/>
        <w:spacing w:before="240" w:after="0"/>
        <w:jc w:val="left"/>
        <w:rPr>
          <w:rFonts w:ascii="Times New Roman" w:hAnsi="Times New Roman"/>
          <w:sz w:val="20"/>
        </w:rPr>
      </w:pPr>
      <w:r>
        <w:rPr>
          <w:rFonts w:ascii="Times New Roman" w:hAnsi="Times New Roman"/>
          <w:sz w:val="20"/>
        </w:rPr>
        <w:t xml:space="preserve">(4) the Company would be entitled to incur indebtedness secured by a Lien with respect to such sale and leaseback transaction without equally and ratably securing the Notes pursuant to the second paragraph of Section 1.5(a) of this Seventh Supplemental Indenture; or </w:t>
      </w:r>
    </w:p>
    <w:p>
      <w:pPr>
        <w:pStyle w:val="TextBody"/>
        <w:bidi w:val="0"/>
        <w:spacing w:before="240" w:after="0"/>
        <w:jc w:val="left"/>
        <w:rPr>
          <w:rFonts w:ascii="Times New Roman" w:hAnsi="Times New Roman"/>
          <w:sz w:val="20"/>
        </w:rPr>
      </w:pPr>
      <w:r>
        <w:rPr>
          <w:rFonts w:ascii="Times New Roman" w:hAnsi="Times New Roman"/>
          <w:sz w:val="20"/>
        </w:rPr>
        <w:t xml:space="preserve">(5) The Company or any Restricted Subsidiary applies an amount equal to the net proceeds from the sale of such Principal Property to the purchase of other property or assets used or useful in its business (including the purchase or development of other Principal Property) or to the retirement of indebtedness that is pari passu with the Notes (including the Notes) within 365 days before or after the effective date of any such sale and leaseback transaction, provided that, in lieu of applying such amount to the retirement of pari passu indebtedness, the Company may deliver Notes to the trustee for cancellation, such Notes to be credited at the cost thereof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restrictions set forth in Section 1.5(b) of this Seventh Supplemental Indenture, the Company and its Restricted Subsidiaries may enter into any sale and leaseback transaction which would otherwise be subject to the restrictions in the first paragraph of Section 1.5(b) of this Seventh Supplemental Indenture, if after giving effect thereto the aggregate amount of all Attributable Debt with respect to such transactions, together with all indebtedness outstanding pursuant to the third paragraph of Section 1.5(a) of this Seventh Supplemental Indenture, does not exceed the greater of $500 million and 15% of the Consolidated Net Tangible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Section 1.6 shall replace Section 6.01 of the Base Indenture with respect to the Notes only. </w:t>
      </w:r>
    </w:p>
    <w:p>
      <w:pPr>
        <w:pStyle w:val="TextBody"/>
        <w:bidi w:val="0"/>
        <w:spacing w:before="240" w:after="0"/>
        <w:jc w:val="left"/>
        <w:rPr>
          <w:rFonts w:ascii="Times New Roman" w:hAnsi="Times New Roman"/>
          <w:sz w:val="20"/>
        </w:rPr>
      </w:pPr>
      <w:r>
        <w:rPr>
          <w:rFonts w:ascii="Times New Roman" w:hAnsi="Times New Roman"/>
          <w:sz w:val="20"/>
        </w:rPr>
        <w:t>(a) With respect to the Notes, “</w:t>
      </w:r>
      <w:r>
        <w:rPr>
          <w:rFonts w:ascii="Times New Roman" w:hAnsi="Times New Roman"/>
          <w:b/>
          <w:sz w:val="20"/>
        </w:rPr>
        <w:t>Event of Default</w:t>
      </w:r>
      <w:r>
        <w:rPr>
          <w:rFonts w:ascii="Times New Roman" w:hAnsi="Times New Roman"/>
          <w:sz w:val="20"/>
        </w:rPr>
        <w:t xml:space="preserve">”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(1) default in the payment of any interest on any Note of such series when it becomes due and payable, and the continuance of such default for a period of 30 days (unless the entire amount of such payment is deposited by the Company with the Trustee or a Paying Agent prior to the expiration of such 30-day period); </w:t>
      </w:r>
    </w:p>
    <w:p>
      <w:pPr>
        <w:pStyle w:val="TextBody"/>
        <w:bidi w:val="0"/>
        <w:spacing w:before="240" w:after="0"/>
        <w:jc w:val="left"/>
        <w:rPr>
          <w:rFonts w:ascii="Times New Roman" w:hAnsi="Times New Roman"/>
          <w:sz w:val="20"/>
        </w:rPr>
      </w:pPr>
      <w:r>
        <w:rPr>
          <w:rFonts w:ascii="Times New Roman" w:hAnsi="Times New Roman"/>
          <w:sz w:val="20"/>
        </w:rPr>
        <w:t xml:space="preserve">(2) default in the payment of the principal of or any premium, if any, on, any Note of such series when due at its Stated Maturity, upon optional redemption pursuant to Section 1.3 of this Seventh Supplemental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(3) failure by the Company to repurchase the Notes tendered for repurchase following a Change of Control Repurchase Event in accordance with Section 1.4 of this Seventh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(4) default in the performance or breach of any covenant by the Company in the Indenture (other than those referred to in (1), (2) or (3) above and other than a covenant that has been included in the Indenture solely for the benefit of another series of Securities), which default continues uncured for a period of 90 days after the Company receives, by registered or certified mail, written notice from the Trustee or the Company and the Trustee receive, by registered or certified mail, written notice from the Holders of not less than 25% in principal amount of the Notes of the affected series Outstanding; </w:t>
      </w:r>
    </w:p>
    <w:p>
      <w:pPr>
        <w:pStyle w:val="TextBody"/>
        <w:bidi w:val="0"/>
        <w:spacing w:before="240" w:after="0"/>
        <w:jc w:val="left"/>
        <w:rPr>
          <w:rFonts w:ascii="Times New Roman" w:hAnsi="Times New Roman"/>
          <w:sz w:val="20"/>
        </w:rPr>
      </w:pPr>
      <w:r>
        <w:rPr>
          <w:rFonts w:ascii="Times New Roman" w:hAnsi="Times New Roman"/>
          <w:sz w:val="20"/>
        </w:rPr>
        <w:t xml:space="preserve">(5) the entry by a court having competent jurisdiction of: </w:t>
      </w:r>
    </w:p>
    <w:p>
      <w:pPr>
        <w:pStyle w:val="TextBody"/>
        <w:bidi w:val="0"/>
        <w:spacing w:before="120" w:after="0"/>
        <w:jc w:val="left"/>
        <w:rPr>
          <w:rFonts w:ascii="Times New Roman" w:hAnsi="Times New Roman"/>
          <w:sz w:val="20"/>
        </w:rPr>
      </w:pPr>
      <w:r>
        <w:rPr>
          <w:rFonts w:ascii="Times New Roman" w:hAnsi="Times New Roman"/>
          <w:sz w:val="20"/>
        </w:rPr>
        <w:t xml:space="preserve">(A) an order for relief in respect of the Company in an involuntary proceeding under any Bankruptcy Law and such order shall remain unstayed and in effect for a period of 60 consecutive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final and non-appealable order appointing a Custodian, of the Company, or ordering the winding up or liquidation of the affairs of the Company, and such order shall remain unstayed and in effect for a period of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(6) the commencement by the Company of a voluntary proceeding under any Bankruptcy Law or the consent by the Company to the entry of a decree or order for relief in an involuntary proceeding under any Bankruptcy Law or the filing by the Company of a consent to an order for relief in any involuntary proceeding under any Bankruptcy Law or to the appointment of a Custodian or the making by the Company of an assignment for the benefit of creditors. </w:t>
      </w:r>
    </w:p>
    <w:p>
      <w:pPr>
        <w:pStyle w:val="TextBody"/>
        <w:bidi w:val="0"/>
        <w:spacing w:before="240" w:after="0"/>
        <w:jc w:val="left"/>
        <w:rPr>
          <w:rFonts w:ascii="Times New Roman" w:hAnsi="Times New Roman"/>
          <w:sz w:val="20"/>
        </w:rPr>
      </w:pPr>
      <w:r>
        <w:rPr>
          <w:rFonts w:ascii="Times New Roman" w:hAnsi="Times New Roman"/>
          <w:sz w:val="20"/>
        </w:rPr>
        <w:t xml:space="preserve">(7) (a) the failure by the Company to make any payment at maturity, including any applicable grace period, on any indebtedness of the Company (other than indebtedness of the Company owing to any of its Subsidiaries) outstanding in an amount in excess of $200,000,000 and continuance of this failure to pay or (b) a default on any indebtedness of the Company (other than indebtedness owing to any of its Subsidiaries), which default results in the acceleration of such indebtedness in an amount in excess of $200,000,000 without such indebtedness having been discharged or the acceleration having been cured, waived, rescinded or annulled, in the case of clause (a) or (b) above, for a period of 30 days after written notice thereof to the Company by the Trustee or to the Company and the Trustee by the Holders of not less than 25% in principal amount of Outstanding Notes (including any Additional Notes); provided, however, that if any failure, default or acceleration referred to in clause (a) or (b) above ceases or is cured, waived, rescinded or annulled, then the Event of Default will be deemed cured.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in this Seventh Supplemental Indenture shall have the meanings ascribed thereto in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Amendment to Section 11.03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Seventh Supplemental Indenture, references in Sections 11.03(c)(iv) and 11.03(c)(v) of the Base Indenture to “Holders” of Outstanding Securities shall be deemed to refer to beneficial owners of such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Confirmation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Base Indenture, as supplemented and amended by this Seventh Supplemental Indenture, is in all respects ratified and confirmed, and the Base Indenture, this Seventh Supplemental Indenture and all indentures supplemental thereto shall be read, taken and construed as one and the same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Concerning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carrying out the Trustee’s responsibilities hereunder, the Trustee shall have all of the rights, protections and immunities which it possesses under the Indenture.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Seventh Supplemental Indenture or of the Notes. The Trustee shall not be accountable for the use or application by the Company of the Notes or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Seventh Supplemental Indenture and the Notes shall be deemed to be a contract made under the internal laws of the State of New York, and for all purposes shall be construed in accordance with the laws of said State.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Seventh Supplemental Indenture or in the Notes shall for any reason be held to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Seventh Supplemental Indenture may be executed in any number of counterparts each of which shall be an original, but such counterparts shall together constitute but one and the same instrument. All notices, approvals, consents, requests and any communications hereunder must be in writing (provided that any such communication sent to Trustee hereunder must be in the form of a document that is signed manually or by way of a digital signature provided by DocuSign or other electronic signature provider that the Company plans to use (or such other digital signature provider as specified in writing to Trustee by the authorized representative), in English.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Conflicts with Base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provision of this Seventh Supplemental Indenture limits, qualifies or conflicts with a provision of the Base Indenture, such provision of the Seventh Supplemental Indenture will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No Benefit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Seventh Supplemental Indenture, express or implied, shall give to any Person other than the parties hereto and their successors or assigns, and the Holders of the Notes, any benefit or legal or equitable rights, remedy or claim under this Seventh Supplemental Indenture or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Seventh Supplemental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AUTODESK,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Janesh Moorjani</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Janesh Moorjani</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Financial Officer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David A. Jason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David A. Jason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[ ]% NOTES DUE 20[ ] </w:t>
      </w:r>
    </w:p>
    <w:p>
      <w:pPr>
        <w:pStyle w:val="TextBody"/>
        <w:bidi w:val="0"/>
        <w:spacing w:before="120" w:after="0"/>
        <w:jc w:val="center"/>
        <w:rPr>
          <w:rFonts w:ascii="Times New Roman" w:hAnsi="Times New Roman"/>
          <w:i/>
          <w:sz w:val="20"/>
        </w:rPr>
      </w:pPr>
      <w:r>
        <w:rPr>
          <w:rFonts w:ascii="Times New Roman" w:hAnsi="Times New Roman"/>
          <w:i/>
          <w:sz w:val="20"/>
        </w:rPr>
        <w:t xml:space="preserve">[Insert the Global Security legend, if applicable] </w:t>
      </w:r>
    </w:p>
    <w:p>
      <w:pPr>
        <w:pStyle w:val="TextBody"/>
        <w:bidi w:val="0"/>
        <w:spacing w:before="120" w:after="0"/>
        <w:jc w:val="center"/>
        <w:rPr>
          <w:rFonts w:ascii="Times New Roman" w:hAnsi="Times New Roman"/>
          <w:sz w:val="20"/>
        </w:rPr>
      </w:pPr>
      <w:r>
        <w:rPr>
          <w:rFonts w:ascii="Times New Roman" w:hAnsi="Times New Roman"/>
          <w:b/>
          <w:sz w:val="20"/>
        </w:rPr>
        <w:t>AUTODESK</w:t>
      </w:r>
      <w:r>
        <w:rPr>
          <w:rFonts w:ascii="Times New Roman" w:hAnsi="Times New Roman"/>
          <w:sz w:val="20"/>
        </w:rPr>
        <w:t xml:space="preserve">, </w:t>
      </w:r>
      <w:r>
        <w:rPr>
          <w:rFonts w:ascii="Times New Roman" w:hAnsi="Times New Roman"/>
          <w:b/>
          <w:sz w:val="20"/>
        </w:rPr>
        <w:t>INC</w:t>
      </w:r>
      <w:r>
        <w:rPr>
          <w:rFonts w:ascii="Times New Roman" w:hAnsi="Times New Roman"/>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[  ]% NOTES DUE 20[ 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1"/>
        <w:gridCol w:w="120"/>
        <w:gridCol w:w="3211"/>
        <w:gridCol w:w="120"/>
        <w:gridCol w:w="3153"/>
      </w:tblGrid>
      <w:tr>
        <w:trPr/>
        <w:tc>
          <w:tcPr>
            <w:tcW w:w="36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3"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[ ]</w:t>
            </w:r>
          </w:p>
        </w:tc>
        <w:tc>
          <w:tcPr>
            <w:tcW w:w="120" w:type="dxa"/>
            <w:tcBorders/>
            <w:vAlign w:val="bottom"/>
          </w:tcPr>
          <w:p>
            <w:pPr>
              <w:pStyle w:val="TableContents"/>
              <w:bidi w:val="0"/>
              <w:spacing w:before="0" w:after="283"/>
              <w:jc w:val="left"/>
              <w:rPr/>
            </w:pPr>
            <w:r>
              <w:rPr/>
              <w:t>  </w:t>
            </w:r>
          </w:p>
        </w:tc>
        <w:tc>
          <w:tcPr>
            <w:tcW w:w="321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53" w:type="dxa"/>
            <w:tcBorders/>
            <w:vAlign w:val="bottom"/>
          </w:tcPr>
          <w:p>
            <w:pPr>
              <w:pStyle w:val="TableContents"/>
              <w:bidi w:val="0"/>
              <w:spacing w:before="0" w:after="283"/>
              <w:jc w:val="center"/>
              <w:rPr/>
            </w:pPr>
            <w:r>
              <w:rPr/>
              <w:t>$[  ]</w:t>
            </w:r>
          </w:p>
        </w:tc>
      </w:tr>
      <w:tr>
        <w:trPr/>
        <w:tc>
          <w:tcPr>
            <w:tcW w:w="36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CUSIP No. [  ]</w:t>
            </w:r>
          </w:p>
        </w:tc>
        <w:tc>
          <w:tcPr>
            <w:tcW w:w="120" w:type="dxa"/>
            <w:tcBorders/>
            <w:vAlign w:val="bottom"/>
          </w:tcPr>
          <w:p>
            <w:pPr>
              <w:pStyle w:val="TableContents"/>
              <w:bidi w:val="0"/>
              <w:spacing w:before="0" w:after="283"/>
              <w:jc w:val="left"/>
              <w:rPr/>
            </w:pPr>
            <w:r>
              <w:rPr/>
              <w:t>  </w:t>
            </w:r>
          </w:p>
        </w:tc>
        <w:tc>
          <w:tcPr>
            <w:tcW w:w="321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5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Autodesk, Inc., a Delaware corporation (the “Company”), promises to pay to [ ] or registered assigns, the principal sum of $[ ] on September 15, 20[ ].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Record Dates: March 1 and September 1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this Security (as defined below), by accepting the same, agrees to and shall be bound by the provisions hereof and of the Indenture described herein, and authorizes and directs the Trustee described herein on such holder’s behalf to be bound by such provisions. Each holder of this Security hereby waives all notice of the acceptance of the provisions contained herein and in the Indenture and waives reliance by such holder upon said provisions.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entitled to any benefit under the Indenture, or be valid or become obligatory for any purpose, until the Certificate of Authentication hereon shall have been manually signed by or on behalf of the Trustee. The provisions of this Security are continued on the reverse side hereof, and such continued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signed in accordance with Section 2.04 of the Base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9"/>
        <w:gridCol w:w="90"/>
        <w:gridCol w:w="3473"/>
      </w:tblGrid>
      <w:tr>
        <w:trPr/>
        <w:tc>
          <w:tcPr>
            <w:tcW w:w="51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AUTODESK, INC.</w:t>
            </w:r>
          </w:p>
        </w:tc>
      </w:tr>
      <w:tr>
        <w:trPr>
          <w:trHeight w:val="240" w:hRule="atLeast"/>
        </w:trPr>
        <w:tc>
          <w:tcPr>
            <w:tcW w:w="519" w:type="dxa"/>
            <w:tcBorders/>
            <w:vAlign w:val="center"/>
          </w:tcPr>
          <w:p>
            <w:pPr>
              <w:pStyle w:val="TableContents"/>
              <w:bidi w:val="0"/>
              <w:spacing w:before="0" w:after="283"/>
              <w:jc w:val="left"/>
              <w:rPr>
                <w:sz w:val="4"/>
                <w:szCs w:val="4"/>
              </w:rPr>
            </w:pPr>
            <w:r>
              <w:rPr>
                <w:sz w:val="4"/>
                <w:szCs w:val="4"/>
              </w:rPr>
            </w:r>
          </w:p>
        </w:tc>
        <w:tc>
          <w:tcPr>
            <w:tcW w:w="3563"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473" w:type="dxa"/>
            <w:tcBorders>
              <w:bottom w:val="single" w:sz="2" w:space="0" w:color="000000"/>
            </w:tcBorders>
            <w:tcMar>
              <w:bottom w:w="28" w:type="dxa"/>
            </w:tcMar>
          </w:tcPr>
          <w:p>
            <w:pPr>
              <w:pStyle w:val="TableContents"/>
              <w:bidi w:val="0"/>
              <w:spacing w:before="0" w:after="283"/>
              <w:jc w:val="left"/>
              <w:rPr/>
            </w:pPr>
            <w:r>
              <w:rPr/>
              <w:t> </w:t>
            </w:r>
          </w:p>
        </w:tc>
      </w:tr>
      <w:tr>
        <w:trPr/>
        <w:tc>
          <w:tcPr>
            <w:tcW w:w="519"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Name:</w:t>
            </w:r>
          </w:p>
        </w:tc>
      </w:tr>
      <w:tr>
        <w:trPr/>
        <w:tc>
          <w:tcPr>
            <w:tcW w:w="519"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[   ]% Notes due 20[  ] issued by Autodesk, Inc.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U.S. BANK TRUST COMPANY, NATIONAL ASSOCIATION, as Trustee</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345" w:type="dxa"/>
            <w:tcBorders>
              <w:bottom w:val="single" w:sz="2" w:space="0" w:color="000000"/>
            </w:tcBorders>
            <w:tcMar>
              <w:bottom w:w="28" w:type="dxa"/>
            </w:tcMar>
          </w:tcPr>
          <w:p>
            <w:pPr>
              <w:pStyle w:val="TableContents"/>
              <w:bidi w:val="0"/>
              <w:spacing w:before="0" w:after="283"/>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120" w:after="0"/>
        <w:jc w:val="center"/>
        <w:rPr>
          <w:rFonts w:ascii="Times New Roman" w:hAnsi="Times New Roman"/>
          <w:sz w:val="20"/>
        </w:rPr>
      </w:pPr>
      <w:r>
        <w:rPr>
          <w:rFonts w:ascii="Times New Roman" w:hAnsi="Times New Roman"/>
          <w:b/>
          <w:sz w:val="20"/>
        </w:rPr>
        <w:t>AUTODESK</w:t>
      </w:r>
      <w:r>
        <w:rPr>
          <w:rFonts w:ascii="Times New Roman" w:hAnsi="Times New Roman"/>
          <w:sz w:val="20"/>
        </w:rPr>
        <w:t xml:space="preserve">, </w:t>
      </w:r>
      <w:r>
        <w:rPr>
          <w:rFonts w:ascii="Times New Roman" w:hAnsi="Times New Roman"/>
          <w:b/>
          <w:sz w:val="20"/>
        </w:rPr>
        <w:t>INC</w:t>
      </w:r>
      <w:r>
        <w:rPr>
          <w:rFonts w:ascii="Times New Roman" w:hAnsi="Times New Roman"/>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[ ]% Notes due 20[ ]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series of debt securities of Autodesk, Inc., a Delaware corporation (the “Company”), issued or to be issued in one or more series under and pursuant to an Indenture for the Company’s senior debt securities, dated as of December 13, 2012 (the “Base Indenture”), duly executed and delivered by and among the Company and U.S. Bank Trust Company, National Association (as successor in interest to U.S. Bank National Association) (the “Trustee”), as supplemented by the Seventh Supplemental Indenture, dated as of September 10, 2026 (the “Seventh Supplemental Indenture”), by and between the Company and the Trustee. The Base Indenture as supplemented and amended by the Seventh Supplemental Indenture is referred to herein as the “Indenture.” By the terms of the Base Indenture, the debt securities issuable thereunder are issuable in series that may vary as to amount, date of maturity, rate of interest and in other respects as provided in the Base Indenture. This security is one of the series designated on the face hereof (individually, a “Security,” and collectively, the “Securities”), and reference is hereby made to the Indenture for a description of the rights, limitations of rights, obligations, duties and immunities of the Trustee, the Company and the holders of the Securities (the “Securityholders”). Capitalized terms used herein and not otherwise defined shall have the meanings given them in the Base Indenture or the Seventh Supplemental Indenture, as applicable. </w:t>
      </w:r>
    </w:p>
    <w:p>
      <w:pPr>
        <w:pStyle w:val="TextBody"/>
        <w:bidi w:val="0"/>
        <w:spacing w:before="240" w:after="0"/>
        <w:jc w:val="left"/>
        <w:rPr>
          <w:rFonts w:ascii="Times New Roman" w:hAnsi="Times New Roman"/>
          <w:sz w:val="20"/>
        </w:rPr>
      </w:pPr>
      <w:r>
        <w:rPr>
          <w:rFonts w:ascii="Times New Roman" w:hAnsi="Times New Roman"/>
          <w:sz w:val="20"/>
        </w:rPr>
        <w:t>1.</w:t>
      </w:r>
      <w:r>
        <w:rPr>
          <w:rFonts w:ascii="Times New Roman" w:hAnsi="Times New Roman"/>
          <w:sz w:val="20"/>
          <w:u w:val="single"/>
        </w:rPr>
        <w:t xml:space="preserve"> Interest</w:t>
      </w:r>
      <w:r>
        <w:rPr>
          <w:rFonts w:ascii="Times New Roman" w:hAnsi="Times New Roman"/>
          <w:sz w:val="20"/>
        </w:rPr>
        <w:t xml:space="preserve">. The Company promises to pay interest on the principal amount of this Security at an annual rate of [ ]%. The Company will pay interest semi-annually on March 15 and September 15 of each year (each such day, an “Interest Payment Date”). If any Interest Payment Date, redemption date or maturity date of this Security is not a Business Day, then payment of interest or principal (and premium, if any) shall be made on the next succeeding Business Day with the same force and effect as if made on the date such payment was due, and no interest shall accrue for the period after such date to the date of such payment on the next succeeding Business Day. Interest on the Securities will accrue from the most recent date to which interest has been paid or duly provided for or, if no interest has been paid, from the date of issuance; provided that, if there is no existing Default in the payment of interest, and if this Security is authenticated between a regular record date referred to on the face hereof and the next succeeding Interest Payment Date, interest shall accrue from such next succeeding Interest Payment Date; and provided, further, that the first Interest Payment Date shall be March 15, 2027. Interest will be calculated on the basis of a 360-day year of twelve 30-day months. All dollar amounts resulting from this calculation shall be rounded to the nearest cent.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Company will pay interest on the Securities (except defaulted interest), if any, to the Persons in whose name such Securities are registered at the close of business on the regular record date referred to on the facing page of this Security for such interest installment. In the event that the Securities or a portion thereof are called for redemption or there is a Change of Control Notice, and the Optional Redemption Date or the Change of Control Payment Date, as applicable, is subsequent to a regular record date with respect to any Interest Payment Date and prior to such Interest Payment Date, interest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will instead be paid upon presentation and surrender of such Securities as provided in the Indenture. The principal of and the interest on the Securities shall be payable in the coin or currency of the United States of America that at the time is legal tender for public and private debt, at the office or agency of the Company maintained for that purpose in accordance with the Indenture. If any of the Notes are no longer represented by a Global Security, payment of interest on certificated notes in definitive form may, at the option of Company, be made by (i) check mailed to the address of the Person entitled thereto as such address shall appear in the Security Register, or (ii) upon request of any Securityholder of at least $5,000,000 principal amount of Securities, wire transfer to an account located in the United States maintained by the such payee.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U.S. Bank Trust Company, National Association, the Trustee, will act as paying agent and Security Registrar. The Company may change or appoint any paying agent or Security Registrar without notice to any Securityholder. The Company or any of its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xml:space="preserve">. The terms of the Securities include those stated in the Indenture and those made part of the Indenture by reference to the Trust Indenture Act of 1939 (“TIA”) as in effect on the date the Indenture is qualified. The Securities are subject to all such terms, and Securityholders are referred to the Indenture and TIA for a statement of such terms. The Securities are unsecured general obligations of the Company and constitute the series designated on the face hereof as the “[  ]% Notes due 20[  ]”, initially limited to $500,000,000 in aggregate principal amount. The Company will furnish to any Securityholder upon written request and without charge a copy of the Base Indenture and the Seventh Supplemental Indenture. Requests may be made to: Autodesk, Inc., One Market Street, Suite 400, San Francisco, California 94105, Attention: Chief Legal Officer.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Redemption</w:t>
      </w:r>
      <w:r>
        <w:rPr>
          <w:rFonts w:ascii="Times New Roman" w:hAnsi="Times New Roman"/>
          <w:sz w:val="20"/>
        </w:rPr>
        <w:t xml:space="preserve">. The Securities may be redeemed at the option of the Company prior to the Stated Maturity, as provided in Section 1.3 of the Seventh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to make sinking fund payments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Change of Control Repurchase Event</w:t>
      </w:r>
      <w:r>
        <w:rPr>
          <w:rFonts w:ascii="Times New Roman" w:hAnsi="Times New Roman"/>
          <w:sz w:val="20"/>
        </w:rPr>
        <w:t xml:space="preserve">. Upon the occurrence of a Change of Control Repurchase Event, unless the Company has exercised its right to redeem this Security or the Company has defeased this Security or satisfied and discharged this Security, the holder of this Security will have the right to require that the Company purchase all or a portion, (such principal amount to be equal to $2,000 or any integral multiple of $1,000 in excess of $2,000), of this Security at a purchase price equal to 101% of the principal amount repurchased plus accrued and unpaid interest, if any, on the amount to be repurchased to, but excluding, the date of purchase. Within 30 days following any Change of Control Repurchase Event, the Company shall deliver a notice to each Holder, in accordance with Section 1.4 of the Seventh Supplemental Indenture, with a copy to the Trustee, which notice shall govern the terms of the Change of Control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Denominations, Transfer, Exchange</w:t>
      </w:r>
      <w:r>
        <w:rPr>
          <w:rFonts w:ascii="Times New Roman" w:hAnsi="Times New Roman"/>
          <w:sz w:val="20"/>
        </w:rPr>
        <w:t xml:space="preserve">. The Securities are in registered form without coupons in the denominations of $2,000 or any integral multiple of $1,000 in excess thereof. The transfer of Securities may be registered and Securities may be exchanged as provided in the Indenture. The Securities may be presented for exchange or for registration of transfer (duly endorsed or with the form of transfer endorsed thereon duly executed if so required by the Company or the Security Registrar) at the office of the Security Registrar or at the office of any transfer agent designated by the Company for such purpose. No service charge will be made for any registration of transfer or exchange, but a Securityholder may be required to pay any applicable taxes or other governmental charges. If the Securities are to be redeemed, the Company will not be required to: (i) issue, register the transfer of, or exchange any Security during a period beginning at the opening of business 15 days before the day of mailing of a notice of redemption of less than all of the Outstanding Securities of the same series and ending at the close of business on the day of such mailing; (ii) register the transfer of or exchange any Security of any series or portions thereof selected for redemption, in whole or in part, except the unredeemed portion of any such Security being redeemed in part; nor (iii) register the transfer of or exchange of a Security of any series between the applicable record date and the next succeeding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registered Securityholder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Repayment to the Company</w:t>
      </w:r>
      <w:r>
        <w:rPr>
          <w:rFonts w:ascii="Times New Roman" w:hAnsi="Times New Roman"/>
          <w:sz w:val="20"/>
        </w:rPr>
        <w:t xml:space="preserve">. Any funds or Governmental Obligations deposited with any paying agent or the Trustee, or then held by the Company, in trust for payment of principal of, premium, if any, or interest on the Securities of a particular series that are not applied but remain unclaimed by the Holders of such Securities for at least two years after the date upon which the principal of, premium, if any, or interest on such Securities shall have respectively become due and payable, shall, upon request of the Company, be repaid to the Company, or (if then held by the Company) shall be discharged from such trust. After return to the Company, Securityholders entitled to the money or securities must look to the Company, as applicable, for payment as unsecured general creditors.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Amendments, Supplements and Waivers</w:t>
      </w:r>
      <w:r>
        <w:rPr>
          <w:rFonts w:ascii="Times New Roman" w:hAnsi="Times New Roman"/>
          <w:sz w:val="20"/>
        </w:rPr>
        <w:t xml:space="preserve">. The Indenture permits, with certain exceptions as therein provided, the amendment thereof and the modification of the rights and obligations of the Company and the rights of the Securityholders of the Securities of each series to be affected under the Indenture at any time by the Company and the Trustee with the consent of the Securityholders of a majority in principal amount of the Securities at the time Outstanding of each series to be affected. The Indenture also contains provisions permitting the Securityholders of a majority in principal amount of the Securities of each series at the time Outstanding, on behalf of the Securityholders of all Securities of such series, to waive compliance by the Company with certain provisions of the Indenture and certain past defaults under the Indenture and their consequences. Any such consent or waiver by the Securityholder of this Security shall be conclusive and binding upon such Securityholder and upon all future Securityholders of this Security and of any Security issued upon the registration of transfer hereof or in exchange herefor or in lieu hereof, whether or not notation of such consent or waiver is made upon this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Defaults and Remedies</w:t>
      </w:r>
      <w:r>
        <w:rPr>
          <w:rFonts w:ascii="Times New Roman" w:hAnsi="Times New Roman"/>
          <w:sz w:val="20"/>
        </w:rPr>
        <w:t xml:space="preserve">. If an Event of Default with respect to the securities of a series issued pursuant to the Seventh Supplemental Indenture occurs and is continuing (other than certain events of bankruptcy, insolvency or reorganization of the Company), the Trustee or the holders of at least 25% in aggregate principal amount of the Securities of such series then Outstanding, by notice in writing to the Company (and to the Trustee if notice is given by such holders), may declare the unpaid principal of, premium, if any, and accrued interest, if any, due and payable immediately. In the case of certain events of bankruptcy, insolvency or reorganization of the Company, the principal and accrued and unpaid interest, if any, on all outstanding Securities will become and be immediately due and payable. Subject to the terms of the Indenture, if an Event of Default under the Indenture shall occur and be continuing, the Trustee will be under no obligation to exercise any of its rights or powers under the Indenture at the request or direction of any of the holders, unless such holders have offered the Trustee indemnity satisfactory to it. Upon satisfaction of certain conditions set forth in the Indenture, the holders of a majority in principal amount of the Outstanding securities of a series issued pursuant to the Seventh Supplemental Indenture will have the right to direct the time, method and place of conducting any proceeding for any remedy available to the Trustee, or exercising any trust or power conferred on the Trustee,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Trustee, Paying Agent and Security Registrar May Hold Securities</w:t>
      </w:r>
      <w:r>
        <w:rPr>
          <w:rFonts w:ascii="Times New Roman" w:hAnsi="Times New Roman"/>
          <w:sz w:val="20"/>
        </w:rPr>
        <w:t xml:space="preserve">. The Trustee, subject to certain limitations imposed by the TIA,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 Recourse Against Others</w:t>
      </w:r>
      <w:r>
        <w:rPr>
          <w:rFonts w:ascii="Times New Roman" w:hAnsi="Times New Roman"/>
          <w:sz w:val="20"/>
        </w:rPr>
        <w:t xml:space="preserve">. No recourse under or upon any obligation, covenant or agreement of the Indenture, or of any Security, or for any claim based thereon or otherwise in respect hereof or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the Indenture and the obligations issued hereunder and thereunder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authorized by the Indenture, or under or by reason of the obligations, covenants or agreements contained in the Indenture or in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authorized by the Indenture, or under or by reason of the obligations, covenants or agreements contained in the Indenture or in the Securities or implied therefrom, are hereby expressly waived and released as a condition of, and as a consideration for, the acceptance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Discharge of Indenture</w:t>
      </w:r>
      <w:r>
        <w:rPr>
          <w:rFonts w:ascii="Times New Roman" w:hAnsi="Times New Roman"/>
          <w:sz w:val="20"/>
        </w:rPr>
        <w:t xml:space="preserve">. The Indenture contains certain provisions pertaining to discharge and defeasance, which provisions shall for all purposes have the same effect as if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Authentication</w:t>
      </w:r>
      <w:r>
        <w:rPr>
          <w:rFonts w:ascii="Times New Roman" w:hAnsi="Times New Roman"/>
          <w:sz w:val="20"/>
        </w:rPr>
        <w:t xml:space="preserve">. This Security shall not be valid until the Trustee manually signs the certificate of authentication attached to the other side of this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Abbreviations</w:t>
      </w:r>
      <w:r>
        <w:rPr>
          <w:rFonts w:ascii="Times New Roman" w:hAnsi="Times New Roman"/>
          <w:sz w:val="20"/>
        </w:rPr>
        <w:t xml:space="preserve">. Customary abbreviations may be used in the name of a Securityholder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Governing Law</w:t>
      </w:r>
      <w:r>
        <w:rPr>
          <w:rFonts w:ascii="Times New Roman" w:hAnsi="Times New Roman"/>
          <w:sz w:val="20"/>
        </w:rPr>
        <w:t xml:space="preserve">. The Base Indenture, the Seventh Supplemental Indenture and this Security shall be deemed to be a contract made under the internal laws of the State of New York, and for all purposes shall be construed in accordance with the laws of said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center"/>
        <w:rPr>
          <w:rFonts w:ascii="Times New Roman" w:hAnsi="Times New Roman"/>
          <w:sz w:val="20"/>
        </w:rPr>
      </w:pPr>
      <w:r>
        <w:rPr>
          <w:rFonts w:ascii="Times New Roman" w:hAnsi="Times New Roman"/>
          <w:sz w:val="20"/>
        </w:rPr>
        <w:t xml:space="preserve">To assign this Security, fill in the form below: (I) or (we) assign and transfer this Security to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 as agent to transfer this Security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Your Signature:</w:t>
            </w:r>
          </w:p>
        </w:tc>
      </w:tr>
      <w:tr>
        <w:trPr/>
        <w:tc>
          <w:tcPr>
            <w:tcW w:w="4082" w:type="dxa"/>
            <w:tcBorders/>
            <w:vAlign w:val="bottom"/>
          </w:tcPr>
          <w:p>
            <w:pPr>
              <w:pStyle w:val="TableContents"/>
              <w:bidi w:val="0"/>
              <w:spacing w:before="0" w:after="283"/>
              <w:jc w:val="left"/>
              <w:rPr/>
            </w:pPr>
            <w:r>
              <w:rPr/>
              <w:t>(Sign exactly as your name appears on the face of this Security)</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150"/>
        <w:gridCol w:w="60"/>
        <w:gridCol w:w="1872"/>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150" w:type="dxa"/>
            <w:tcBorders/>
            <w:vAlign w:val="center"/>
          </w:tcPr>
          <w:p>
            <w:pPr>
              <w:pStyle w:val="TableContents"/>
              <w:bidi w:val="0"/>
              <w:spacing w:before="0" w:after="283"/>
              <w:jc w:val="left"/>
              <w:rPr>
                <w:sz w:val="4"/>
                <w:szCs w:val="4"/>
              </w:rPr>
            </w:pPr>
            <w:r>
              <w:rPr>
                <w:sz w:val="4"/>
                <w:szCs w:val="4"/>
              </w:rPr>
            </w:r>
          </w:p>
        </w:tc>
        <w:tc>
          <w:tcPr>
            <w:tcW w:w="1932"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tcPr>
          <w:p>
            <w:pPr>
              <w:pStyle w:val="TableContents"/>
              <w:bidi w:val="0"/>
              <w:spacing w:before="0" w:after="283"/>
              <w:jc w:val="left"/>
              <w:rPr/>
            </w:pPr>
            <w:r>
              <w:rPr/>
              <w:t>Signature Guarantee: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7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2150" w:type="dxa"/>
            <w:tcBorders/>
            <w:vAlign w:val="center"/>
          </w:tcPr>
          <w:p>
            <w:pPr>
              <w:pStyle w:val="TableContents"/>
              <w:bidi w:val="0"/>
              <w:spacing w:before="0" w:after="283"/>
              <w:jc w:val="left"/>
              <w:rPr>
                <w:sz w:val="4"/>
                <w:szCs w:val="4"/>
              </w:rPr>
            </w:pPr>
            <w:r>
              <w:rPr>
                <w:sz w:val="4"/>
                <w:szCs w:val="4"/>
              </w:rPr>
            </w:r>
          </w:p>
        </w:tc>
        <w:tc>
          <w:tcPr>
            <w:tcW w:w="1932"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2" w:type="dxa"/>
            <w:tcBorders/>
            <w:vAlign w:val="bottom"/>
          </w:tcPr>
          <w:p>
            <w:pPr>
              <w:pStyle w:val="TableContents"/>
              <w:bidi w:val="0"/>
              <w:spacing w:before="0" w:after="283"/>
              <w:jc w:val="left"/>
              <w:rPr/>
            </w:pPr>
            <w:r>
              <w:rPr/>
              <w:t>(Signature must be guaranteed by a participant in a recognized signature guarantee medallion program)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OPTION OF SECURITYHOLDER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Security purchased by the Company pursuant to Section 1.4 of the Seventh Supplemental Indenture, check the box: ☐ 1.4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Note purchased by the Company pursuant to Section 1.4 of the Seventh Supplemental Indenture, state the amount: </w:t>
      </w:r>
    </w:p>
    <w:p>
      <w:pPr>
        <w:pStyle w:val="TextBody"/>
        <w:bidi w:val="0"/>
        <w:spacing w:before="120" w:after="0"/>
        <w:jc w:val="left"/>
        <w:rPr>
          <w:rFonts w:ascii="Times New Roman" w:hAnsi="Times New Roman"/>
          <w:sz w:val="20"/>
        </w:rPr>
      </w:pP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Your Signature:</w:t>
            </w:r>
          </w:p>
        </w:tc>
      </w:tr>
      <w:tr>
        <w:trPr/>
        <w:tc>
          <w:tcPr>
            <w:tcW w:w="4082" w:type="dxa"/>
            <w:tcBorders/>
            <w:vAlign w:val="bottom"/>
          </w:tcPr>
          <w:p>
            <w:pPr>
              <w:pStyle w:val="TableContents"/>
              <w:bidi w:val="0"/>
              <w:spacing w:before="0" w:after="283"/>
              <w:jc w:val="left"/>
              <w:rPr/>
            </w:pPr>
            <w:r>
              <w:rPr/>
              <w:t>(Sign exactly as your name appears on the other side of the Security)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Tax I.D. number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175"/>
        <w:gridCol w:w="60"/>
        <w:gridCol w:w="1847"/>
      </w:tblGrid>
      <w:tr>
        <w:trPr/>
        <w:tc>
          <w:tcPr>
            <w:tcW w:w="2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175" w:type="dxa"/>
            <w:tcBorders/>
          </w:tcPr>
          <w:p>
            <w:pPr>
              <w:pStyle w:val="TableContents"/>
              <w:bidi w:val="0"/>
              <w:spacing w:before="0" w:after="283"/>
              <w:jc w:val="left"/>
              <w:rPr/>
            </w:pPr>
            <w:r>
              <w:rPr/>
              <w:t>Signature Guarantee: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4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2175" w:type="dxa"/>
            <w:tcBorders/>
            <w:vAlign w:val="center"/>
          </w:tcPr>
          <w:p>
            <w:pPr>
              <w:pStyle w:val="TableContents"/>
              <w:bidi w:val="0"/>
              <w:spacing w:before="0" w:after="283"/>
              <w:jc w:val="left"/>
              <w:rPr>
                <w:sz w:val="4"/>
                <w:szCs w:val="4"/>
              </w:rPr>
            </w:pPr>
            <w:r>
              <w:rPr>
                <w:sz w:val="4"/>
                <w:szCs w:val="4"/>
              </w:rPr>
            </w:r>
          </w:p>
        </w:tc>
        <w:tc>
          <w:tcPr>
            <w:tcW w:w="1907" w:type="dxa"/>
            <w:gridSpan w:val="2"/>
            <w:tcBorders/>
            <w:vAlign w:val="center"/>
          </w:tcPr>
          <w:p>
            <w:pPr>
              <w:pStyle w:val="TableContents"/>
              <w:bidi w:val="0"/>
              <w:spacing w:before="0" w:after="283"/>
              <w:jc w:val="left"/>
              <w:rPr>
                <w:sz w:val="4"/>
                <w:szCs w:val="4"/>
              </w:rPr>
            </w:pPr>
            <w:r>
              <w:rPr>
                <w:sz w:val="4"/>
                <w:szCs w:val="4"/>
              </w:rPr>
            </w:r>
          </w:p>
        </w:tc>
      </w:tr>
      <w:tr>
        <w:trPr/>
        <w:tc>
          <w:tcPr>
            <w:tcW w:w="2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 must be</w:t>
            </w:r>
          </w:p>
          <w:p>
            <w:pPr>
              <w:pStyle w:val="TableContents"/>
              <w:bidi w:val="0"/>
              <w:spacing w:before="0" w:after="0"/>
              <w:jc w:val="left"/>
              <w:rPr>
                <w:rFonts w:ascii="Times New Roman" w:hAnsi="Times New Roman"/>
                <w:sz w:val="20"/>
              </w:rPr>
            </w:pPr>
            <w:r>
              <w:rPr>
                <w:rFonts w:ascii="Times New Roman" w:hAnsi="Times New Roman"/>
                <w:sz w:val="20"/>
              </w:rPr>
              <w:t>guaranteed by a participant in a recognized signature</w:t>
            </w:r>
          </w:p>
          <w:p>
            <w:pPr>
              <w:pStyle w:val="TableContents"/>
              <w:bidi w:val="0"/>
              <w:spacing w:before="0" w:after="20"/>
              <w:jc w:val="left"/>
              <w:rPr>
                <w:rFonts w:ascii="Times New Roman" w:hAnsi="Times New Roman"/>
                <w:sz w:val="20"/>
              </w:rPr>
            </w:pPr>
            <w:r>
              <w:rPr>
                <w:rFonts w:ascii="Times New Roman" w:hAnsi="Times New Roman"/>
                <w:sz w:val="20"/>
              </w:rPr>
              <w:t>guarantee medallion program)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right"/>
        <w:rPr>
          <w:rFonts w:ascii="Times New Roman" w:hAnsi="Times New Roman"/>
          <w:b/>
          <w:sz w:val="20"/>
        </w:rPr>
      </w:pPr>
      <w:bookmarkStart w:id="6" w:name="d103766dex51.htm"/>
      <w:bookmarkStart w:id="7" w:name="ksd103766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1"/>
        <w:gridCol w:w="121"/>
        <w:gridCol w:w="3083"/>
      </w:tblGrid>
      <w:tr>
        <w:trPr/>
        <w:tc>
          <w:tcPr>
            <w:tcW w:w="70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r>
      <w:tr>
        <w:trPr/>
        <w:tc>
          <w:tcPr>
            <w:tcW w:w="7001" w:type="dxa"/>
            <w:tcBorders/>
          </w:tcPr>
          <w:p>
            <w:pPr>
              <w:pStyle w:val="TableContents"/>
              <w:bidi w:val="0"/>
              <w:spacing w:before="0" w:after="283"/>
              <w:jc w:val="left"/>
              <w:rPr/>
            </w:pPr>
            <w:r>
              <w:rPr/>
              <w:drawing>
                <wp:inline distT="0" distB="0" distL="0" distR="0">
                  <wp:extent cx="1219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4572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0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 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650 Page Mill Road </w:t>
              <w:br/>
              <w:t>Palo Alto, California 94304-1050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O: 650.493.9300 </w:t>
              <w:br/>
              <w:t>F: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Autodesk, Inc. </w:t>
      </w:r>
    </w:p>
    <w:p>
      <w:pPr>
        <w:pStyle w:val="TextBody"/>
        <w:bidi w:val="0"/>
        <w:spacing w:before="0" w:after="0"/>
        <w:jc w:val="left"/>
        <w:rPr>
          <w:rFonts w:ascii="Times New Roman" w:hAnsi="Times New Roman"/>
          <w:sz w:val="20"/>
        </w:rPr>
      </w:pPr>
      <w:r>
        <w:rPr>
          <w:rFonts w:ascii="Times New Roman" w:hAnsi="Times New Roman"/>
          <w:sz w:val="20"/>
        </w:rPr>
        <w:t xml:space="preserve">One Market Street, Ste. 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Re: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Statement on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Autodesk, Inc., a Delaware corporation (the “Company”), in connection with the filing by the Company with the Securities and Exchange Commission (the “Commission”) on May 29, 2025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with an indeterminate amount as may at various times be issued at indeterminate prices, in reliance on Rule 456(b) and Rule 457(r) under the Act.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Statement, the Company issued $500,000,000 aggregate principal amount of 5.050% Senior Notes due 2029 (the “2029 Notes”) and $500,000,000 aggregate principal amount of 5.650% Senior Notes due 2033 (the “2033 Notes”, and together with the 2029 Notes, the “Notes”), which have been sold pursuant to that certain Underwriting Agreement (the “Underwriting Agreement”), dated as of September 10, 2026, among the Company, Morgan Stanley &amp; Co. LLC, BNP Paribas Securities Corp., and Citigroup Global Markets Inc., as representatives of the other several underwriters named in Schedule I thereto.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been issued in the form set forth in the Indenture, dated as of December 13, 2012 (the “Base Indenture”), between the Company and U.S. Bank Trust Company, National Association (as successor in interest to U.S. Bank National Association), as trustee (the “Trustee”) and, as supplemented by that certain Seventh Supplemental Indenture, dated as of September 10, 2026 (together with the Base Indenture, the “Indenture”),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together with the exhibits thereto and the documents incorporated by reference therein; the prospectus, dated May 29, 2025, together with the documents incorporated by reference therein, filed with the Registration Statement (the “Prospectus”); the preliminary prospectus supplement, dated September 8, 2026, in the form filed with the Commission pursuant to Rule 424(b) of the Securities Act relating to the offering of the Notes; the free writing prospectus, dated September 8, 2026, in the form filed with the Commission pursuant to Rule 433 of the Securities Act; the final prospectus supplement, dated September 8, 2026, in the form filed with the Commission pursuant to Rule 424(b) of the Securities Act relating to the offering of the Notes (collectively with the Prospectus, the </w:t>
      </w:r>
    </w:p>
    <w:p>
      <w:pPr>
        <w:pStyle w:val="TextBody"/>
        <w:bidi w:val="0"/>
        <w:spacing w:before="0" w:after="0"/>
        <w:jc w:val="left"/>
        <w:rPr/>
      </w:pPr>
      <w:r>
        <w:rPr/>
        <w:t> </w:t>
      </w:r>
    </w:p>
    <w:p>
      <w:pPr>
        <w:pStyle w:val="TextBody"/>
        <w:bidi w:val="0"/>
        <w:spacing w:before="0" w:after="0"/>
        <w:jc w:val="center"/>
        <w:rPr>
          <w:rFonts w:ascii="Times New Roman" w:hAnsi="Times New Roman"/>
          <w:sz w:val="19"/>
        </w:rPr>
      </w:pPr>
      <w:r>
        <w:rPr>
          <w:rFonts w:ascii="Times New Roman" w:hAnsi="Times New Roman"/>
          <w:sz w:val="19"/>
        </w:rPr>
        <w:t xml:space="preserve">AUSTIN   BOSTON   BOULDER   BRUSSELS   HONG KONG   LONDON   LOS ANGELES   NEW YORK   PALO ALTO </w:t>
      </w:r>
    </w:p>
    <w:p>
      <w:pPr>
        <w:pStyle w:val="TextBody"/>
        <w:bidi w:val="0"/>
        <w:spacing w:before="0" w:after="0"/>
        <w:jc w:val="center"/>
        <w:rPr>
          <w:rFonts w:ascii="Times New Roman" w:hAnsi="Times New Roman"/>
          <w:sz w:val="19"/>
        </w:rPr>
      </w:pPr>
      <w:r>
        <w:rPr>
          <w:rFonts w:ascii="Times New Roman" w:hAnsi="Times New Roman"/>
          <w:sz w:val="19"/>
        </w:rPr>
        <w:t xml:space="preserve">SALT LAKE CITY   SAN DIEGO   SAN FRANCISCO   SEATTLE   SHANGHAI   WASHINGTON, DC   WILMINGTON, DE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0960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9600" cy="2286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Autodesk, Inc. </w:t>
      </w:r>
    </w:p>
    <w:p>
      <w:pPr>
        <w:pStyle w:val="TextBody"/>
        <w:bidi w:val="0"/>
        <w:spacing w:before="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0960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9600" cy="2286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Autodesk, Inc. </w:t>
      </w:r>
    </w:p>
    <w:p>
      <w:pPr>
        <w:pStyle w:val="TextBody"/>
        <w:bidi w:val="0"/>
        <w:spacing w:before="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as an exhibit to the Company’s Current Report on Form 8-K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WILSON SONSINI GOODRICH &amp; ROSATI</w:t>
            </w:r>
          </w:p>
          <w:p>
            <w:pPr>
              <w:pStyle w:val="TableContents"/>
              <w:bidi w:val="0"/>
              <w:spacing w:before="0" w:after="20"/>
              <w:jc w:val="left"/>
              <w:rPr>
                <w:rFonts w:ascii="Times New Roman" w:hAnsi="Times New Roman"/>
                <w:sz w:val="20"/>
              </w:rPr>
            </w:pPr>
            <w:r>
              <w:rPr>
                <w:rFonts w:ascii="Times New Roman" w:hAnsi="Times New Roman"/>
                <w:sz w:val="20"/>
              </w:rPr>
              <w:t>Professional Corporation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Wilson Sonsini Goodrich &amp; Rosati, P.C.</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26220</Words>
  <Characters>136445</Characters>
  <CharactersWithSpaces>162818</CharactersWithSpaces>
  <Paragraphs>986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