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October 31, 2013</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November 29, 2013, registrant had outstanding approximately 225.6 million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80" w:type="dxa"/>
            <w:vAlign w:val="bottom"/>
            <w:tcBorders>
              <w:bottom w:val="single" w:sz="8" w:color="0000FF"/>
            </w:tcBorders>
            <w:gridSpan w:val="7"/>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90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60" w:type="dxa"/>
            <w:vAlign w:val="bottom"/>
            <w:gridSpan w:val="23"/>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3"/>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Consolidated Statements of Operations Three and Nine Months Ended October 31, 2013 and 2012</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3"/>
          </w:tcPr>
          <w:p>
            <w:pPr>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Condensed Consolidated Statements of Comprehensive Income Three and Nine Months Ended October 31, 2013 and</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3">
              <w:r>
                <w:rPr>
                  <w:rFonts w:ascii="Arial" w:cs="Arial" w:eastAsia="Arial" w:hAnsi="Arial"/>
                  <w:sz w:val="18"/>
                  <w:szCs w:val="18"/>
                  <w:color w:val="0000FF"/>
                  <w:w w:val="84"/>
                </w:rPr>
                <w:t>2012</w:t>
              </w:r>
            </w:hyperlink>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372"/>
        </w:trPr>
        <w:tc>
          <w:tcPr>
            <w:tcW w:w="1040" w:type="dxa"/>
            <w:vAlign w:val="bottom"/>
          </w:tcPr>
          <w:p>
            <w:pPr>
              <w:spacing w:after="0"/>
              <w:rPr>
                <w:sz w:val="24"/>
                <w:szCs w:val="24"/>
                <w:color w:val="auto"/>
              </w:rPr>
            </w:pPr>
          </w:p>
        </w:tc>
        <w:tc>
          <w:tcPr>
            <w:tcW w:w="5820" w:type="dxa"/>
            <w:vAlign w:val="bottom"/>
            <w:tcBorders>
              <w:bottom w:val="single" w:sz="8" w:color="0000FF"/>
            </w:tcBorders>
            <w:gridSpan w:val="17"/>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October 31, 2013 and January 31, 2013</w:t>
              </w:r>
            </w:hyperlink>
          </w:p>
        </w:tc>
        <w:tc>
          <w:tcPr>
            <w:tcW w:w="3040" w:type="dxa"/>
            <w:vAlign w:val="bottom"/>
            <w:gridSpan w:val="6"/>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722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Cash Flows Nine Months Ended October 31, 2013 and 2012</w:t>
              </w:r>
            </w:hyperlink>
          </w:p>
        </w:tc>
        <w:tc>
          <w:tcPr>
            <w:tcW w:w="16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3"/>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9"/>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Quantitative and Qualitative Disclosures About Market Risk</w:t>
              </w:r>
            </w:hyperlink>
          </w:p>
        </w:tc>
        <w:tc>
          <w:tcPr>
            <w:tcW w:w="204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5"/>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Controls and Procedures</w:t>
              </w:r>
            </w:hyperlink>
          </w:p>
        </w:tc>
        <w:tc>
          <w:tcPr>
            <w:tcW w:w="420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372"/>
        </w:trPr>
        <w:tc>
          <w:tcPr>
            <w:tcW w:w="10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12"/>
          </w:tcPr>
          <w:p>
            <w:pPr>
              <w:jc w:val="center"/>
              <w:ind w:right="2900"/>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5"/>
          </w:tcPr>
          <w:p>
            <w:pPr>
              <w:spacing w:after="0"/>
              <w:rPr>
                <w:rFonts w:ascii="Arial" w:cs="Arial" w:eastAsia="Arial" w:hAnsi="Arial"/>
                <w:sz w:val="18"/>
                <w:szCs w:val="18"/>
                <w:b w:val="1"/>
                <w:bCs w:val="1"/>
                <w:color w:val="0000FF"/>
                <w:w w:val="86"/>
              </w:rPr>
            </w:pPr>
            <w:hyperlink w:anchor="page48">
              <w:r>
                <w:rPr>
                  <w:rFonts w:ascii="Arial" w:cs="Arial" w:eastAsia="Arial" w:hAnsi="Arial"/>
                  <w:sz w:val="18"/>
                  <w:szCs w:val="18"/>
                  <w:b w:val="1"/>
                  <w:bCs w:val="1"/>
                  <w:color w:val="0000FF"/>
                  <w:w w:val="86"/>
                </w:rPr>
                <w:t>Legal Proceedings</w:t>
              </w:r>
            </w:hyperlink>
          </w:p>
        </w:tc>
        <w:tc>
          <w:tcPr>
            <w:tcW w:w="164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06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5"/>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Risk Factors</w:t>
              </w:r>
            </w:hyperlink>
          </w:p>
        </w:tc>
        <w:tc>
          <w:tcPr>
            <w:tcW w:w="746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3"/>
          </w:tcPr>
          <w:p>
            <w:pPr>
              <w:spacing w:after="0"/>
              <w:rPr>
                <w:rFonts w:ascii="Arial" w:cs="Arial" w:eastAsia="Arial" w:hAnsi="Arial"/>
                <w:sz w:val="18"/>
                <w:szCs w:val="18"/>
                <w:b w:val="1"/>
                <w:bCs w:val="1"/>
                <w:color w:val="0000FF"/>
              </w:rPr>
            </w:pPr>
            <w:hyperlink w:anchor="page61">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10"/>
          </w:tcPr>
          <w:p>
            <w:pPr>
              <w:spacing w:after="0"/>
              <w:rPr>
                <w:rFonts w:ascii="Arial" w:cs="Arial" w:eastAsia="Arial" w:hAnsi="Arial"/>
                <w:sz w:val="18"/>
                <w:szCs w:val="18"/>
                <w:b w:val="1"/>
                <w:bCs w:val="1"/>
                <w:color w:val="0000FF"/>
                <w:w w:val="88"/>
              </w:rPr>
            </w:pPr>
            <w:hyperlink w:anchor="page61">
              <w:r>
                <w:rPr>
                  <w:rFonts w:ascii="Arial" w:cs="Arial" w:eastAsia="Arial" w:hAnsi="Arial"/>
                  <w:sz w:val="18"/>
                  <w:szCs w:val="18"/>
                  <w:b w:val="1"/>
                  <w:bCs w:val="1"/>
                  <w:color w:val="0000FF"/>
                  <w:w w:val="88"/>
                </w:rPr>
                <w:t>Defaults Upon Senior Securities</w:t>
              </w:r>
            </w:hyperlink>
          </w:p>
        </w:tc>
        <w:tc>
          <w:tcPr>
            <w:tcW w:w="2120" w:type="dxa"/>
            <w:vAlign w:val="bottom"/>
            <w:gridSpan w:val="4"/>
          </w:tcPr>
          <w:p>
            <w:pPr>
              <w:spacing w:after="0"/>
              <w:rPr>
                <w:sz w:val="24"/>
                <w:szCs w:val="24"/>
                <w:color w:val="auto"/>
              </w:rPr>
            </w:pPr>
          </w:p>
        </w:tc>
        <w:tc>
          <w:tcPr>
            <w:tcW w:w="430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8"/>
          </w:tcPr>
          <w:p>
            <w:pPr>
              <w:spacing w:after="0"/>
              <w:rPr>
                <w:rFonts w:ascii="Arial" w:cs="Arial" w:eastAsia="Arial" w:hAnsi="Arial"/>
                <w:sz w:val="18"/>
                <w:szCs w:val="18"/>
                <w:b w:val="1"/>
                <w:bCs w:val="1"/>
                <w:color w:val="0000FF"/>
                <w:w w:val="87"/>
              </w:rPr>
            </w:pPr>
            <w:hyperlink w:anchor="page61">
              <w:r>
                <w:rPr>
                  <w:rFonts w:ascii="Arial" w:cs="Arial" w:eastAsia="Arial" w:hAnsi="Arial"/>
                  <w:sz w:val="18"/>
                  <w:szCs w:val="18"/>
                  <w:b w:val="1"/>
                  <w:bCs w:val="1"/>
                  <w:color w:val="0000FF"/>
                  <w:w w:val="87"/>
                </w:rPr>
                <w:t>Mine Safety Disclosures</w:t>
              </w:r>
            </w:hyperlink>
          </w:p>
        </w:tc>
        <w:tc>
          <w:tcPr>
            <w:tcW w:w="600" w:type="dxa"/>
            <w:vAlign w:val="bottom"/>
            <w:gridSpan w:val="2"/>
          </w:tcPr>
          <w:p>
            <w:pPr>
              <w:spacing w:after="0"/>
              <w:rPr>
                <w:sz w:val="24"/>
                <w:szCs w:val="24"/>
                <w:color w:val="auto"/>
              </w:rPr>
            </w:pPr>
          </w:p>
        </w:tc>
        <w:tc>
          <w:tcPr>
            <w:tcW w:w="642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6"/>
          </w:tcPr>
          <w:p>
            <w:pPr>
              <w:spacing w:after="0"/>
              <w:rPr>
                <w:rFonts w:ascii="Arial" w:cs="Arial" w:eastAsia="Arial" w:hAnsi="Arial"/>
                <w:sz w:val="18"/>
                <w:szCs w:val="18"/>
                <w:b w:val="1"/>
                <w:bCs w:val="1"/>
                <w:color w:val="0000FF"/>
                <w:w w:val="93"/>
              </w:rPr>
            </w:pPr>
            <w:hyperlink w:anchor="page61">
              <w:r>
                <w:rPr>
                  <w:rFonts w:ascii="Arial" w:cs="Arial" w:eastAsia="Arial" w:hAnsi="Arial"/>
                  <w:sz w:val="18"/>
                  <w:szCs w:val="18"/>
                  <w:b w:val="1"/>
                  <w:bCs w:val="1"/>
                  <w:color w:val="0000FF"/>
                  <w:w w:val="93"/>
                </w:rPr>
                <w:t>Other Information</w:t>
              </w:r>
            </w:hyperlink>
          </w:p>
        </w:tc>
        <w:tc>
          <w:tcPr>
            <w:tcW w:w="400" w:type="dxa"/>
            <w:vAlign w:val="bottom"/>
            <w:gridSpan w:val="2"/>
          </w:tcPr>
          <w:p>
            <w:pPr>
              <w:spacing w:after="0"/>
              <w:rPr>
                <w:sz w:val="24"/>
                <w:szCs w:val="24"/>
                <w:color w:val="auto"/>
              </w:rPr>
            </w:pPr>
          </w:p>
        </w:tc>
        <w:tc>
          <w:tcPr>
            <w:tcW w:w="702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42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gridSpan w:val="2"/>
          </w:tcPr>
          <w:p>
            <w:pPr>
              <w:spacing w:after="0"/>
              <w:rPr>
                <w:rFonts w:ascii="Arial" w:cs="Arial" w:eastAsia="Arial" w:hAnsi="Arial"/>
                <w:sz w:val="18"/>
                <w:szCs w:val="18"/>
                <w:b w:val="1"/>
                <w:bCs w:val="1"/>
                <w:color w:val="0000FF"/>
                <w:w w:val="88"/>
              </w:rPr>
            </w:pPr>
            <w:hyperlink w:anchor="page61">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42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4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b w:val="1"/>
                <w:bCs w:val="1"/>
                <w:color w:val="0000FF"/>
                <w:w w:val="85"/>
              </w:rPr>
            </w:pPr>
            <w:hyperlink w:anchor="page62">
              <w:r>
                <w:rPr>
                  <w:rFonts w:ascii="Arial" w:cs="Arial" w:eastAsia="Arial" w:hAnsi="Arial"/>
                  <w:sz w:val="18"/>
                  <w:szCs w:val="18"/>
                  <w:b w:val="1"/>
                  <w:bCs w:val="1"/>
                  <w:color w:val="0000FF"/>
                  <w:w w:val="85"/>
                </w:rPr>
                <w:t>Signatures</w:t>
              </w:r>
            </w:hyperlink>
          </w:p>
        </w:tc>
        <w:tc>
          <w:tcPr>
            <w:tcW w:w="804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3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October 31,</w:t>
            </w:r>
          </w:p>
        </w:tc>
        <w:tc>
          <w:tcPr>
            <w:tcW w:w="140" w:type="dxa"/>
            <w:vAlign w:val="bottom"/>
          </w:tcPr>
          <w:p>
            <w:pPr>
              <w:spacing w:after="0"/>
              <w:rPr>
                <w:sz w:val="14"/>
                <w:szCs w:val="14"/>
                <w:color w:val="auto"/>
              </w:rPr>
            </w:pPr>
          </w:p>
        </w:tc>
        <w:tc>
          <w:tcPr>
            <w:tcW w:w="164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3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297.5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310.2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934.2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999.4</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705.9</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555.2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548.0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7"/>
              </w:rPr>
              <w:t>1,687.3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1,705.3</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3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subscription revenue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7"/>
              </w:rPr>
              <w:t>1,484.9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1,528.8</w:t>
            </w:r>
          </w:p>
        </w:tc>
        <w:tc>
          <w:tcPr>
            <w:tcW w:w="0" w:type="dxa"/>
            <w:vAlign w:val="bottom"/>
          </w:tcPr>
          <w:p>
            <w:pPr>
              <w:spacing w:after="0"/>
              <w:rPr>
                <w:sz w:val="1"/>
                <w:szCs w:val="1"/>
                <w:color w:val="auto"/>
              </w:rPr>
            </w:pP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639.5</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448.7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450.6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180.7</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Restructuring charges, net</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7"/>
              </w:rPr>
              <w:t>1,251.8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1,307.5</w:t>
            </w:r>
          </w:p>
        </w:tc>
        <w:tc>
          <w:tcPr>
            <w:tcW w:w="0" w:type="dxa"/>
            <w:vAlign w:val="bottom"/>
          </w:tcPr>
          <w:p>
            <w:pPr>
              <w:spacing w:after="0"/>
              <w:rPr>
                <w:sz w:val="1"/>
                <w:szCs w:val="1"/>
                <w:color w:val="auto"/>
              </w:rPr>
            </w:pPr>
          </w:p>
        </w:tc>
      </w:tr>
      <w:tr>
        <w:trPr>
          <w:trHeight w:val="217"/>
        </w:trPr>
        <w:tc>
          <w:tcPr>
            <w:tcW w:w="732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233.1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221.3</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73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7"/>
        </w:trPr>
        <w:tc>
          <w:tcPr>
            <w:tcW w:w="73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73"/>
        </w:trPr>
        <w:tc>
          <w:tcPr>
            <w:tcW w:w="73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3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vMerge w:val="continue"/>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0.77</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73"/>
        </w:trPr>
        <w:tc>
          <w:tcPr>
            <w:tcW w:w="73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3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income per share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227.7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Nine Months Ended</w:t>
            </w:r>
          </w:p>
        </w:tc>
      </w:t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October 31,</w:t>
            </w:r>
          </w:p>
        </w:tc>
      </w:tr>
      <w:tr>
        <w:trPr>
          <w:trHeight w:val="264"/>
        </w:trPr>
        <w:tc>
          <w:tcPr>
            <w:tcW w:w="77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2012</w:t>
            </w:r>
          </w:p>
        </w:tc>
      </w:tr>
      <w:tr>
        <w:trPr>
          <w:trHeight w:val="23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172.9</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income (loss), net of reclassifications: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on derivative instruments (net of tax effect of $0.3, ($0.2), $0.5 and ($0.5))</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20"/>
        </w:trPr>
        <w:tc>
          <w:tcPr>
            <w:tcW w:w="7780" w:type="dxa"/>
            <w:vAlign w:val="bottom"/>
          </w:tcPr>
          <w:p>
            <w:pPr>
              <w:ind w:left="280"/>
              <w:spacing w:after="0"/>
              <w:rPr>
                <w:sz w:val="20"/>
                <w:szCs w:val="20"/>
                <w:color w:val="auto"/>
              </w:rPr>
            </w:pPr>
            <w:r>
              <w:rPr>
                <w:rFonts w:ascii="Arial" w:cs="Arial" w:eastAsia="Arial" w:hAnsi="Arial"/>
                <w:sz w:val="16"/>
                <w:szCs w:val="16"/>
                <w:color w:val="auto"/>
                <w:w w:val="94"/>
              </w:rPr>
              <w:t>Change in net unrealized gain (loss) on available-for-sale securities (net of tax effect of ($0.2), ($1.4), ($0.2) and</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6"/>
        </w:trPr>
        <w:tc>
          <w:tcPr>
            <w:tcW w:w="7780" w:type="dxa"/>
            <w:vAlign w:val="bottom"/>
          </w:tcPr>
          <w:p>
            <w:pPr>
              <w:ind w:left="600"/>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7"/>
                <w:szCs w:val="17"/>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3"/>
              </w:rPr>
              <w:t>Net change in cumulative foreign currency translation gain (loss) (net of tax effect of ($1.0), ($0.4), $1.0 and $0.4)</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7780" w:type="dxa"/>
            <w:vAlign w:val="bottom"/>
          </w:tcPr>
          <w:p>
            <w:pPr>
              <w:ind w:left="280"/>
              <w:spacing w:after="0"/>
              <w:rPr>
                <w:sz w:val="20"/>
                <w:szCs w:val="20"/>
                <w:color w:val="auto"/>
              </w:rPr>
            </w:pPr>
            <w:r>
              <w:rPr>
                <w:rFonts w:ascii="Arial" w:cs="Arial" w:eastAsia="Arial" w:hAnsi="Arial"/>
                <w:sz w:val="16"/>
                <w:szCs w:val="16"/>
                <w:color w:val="auto"/>
              </w:rPr>
              <w:t>Total other comprehensive gain (loss)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160.6</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2013</w:t>
            </w:r>
          </w:p>
        </w:tc>
        <w:tc>
          <w:tcPr>
            <w:tcW w:w="18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January 31, 2013</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37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1,612.2</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587.1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342.1</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495.1</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7"/>
        </w:trPr>
        <w:tc>
          <w:tcPr>
            <w:tcW w:w="804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2,517.9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2,552.4</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411.1</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Purchased technologies, net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922.3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871.5</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4,308.4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6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647.0</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1,043.7</w:t>
            </w:r>
          </w:p>
        </w:tc>
        <w:tc>
          <w:tcPr>
            <w:tcW w:w="0" w:type="dxa"/>
            <w:vAlign w:val="bottom"/>
          </w:tcPr>
          <w:p>
            <w:pPr>
              <w:spacing w:after="0"/>
              <w:rPr>
                <w:sz w:val="1"/>
                <w:szCs w:val="1"/>
                <w:color w:val="auto"/>
              </w:rPr>
            </w:pP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income taxes payable</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color w:val="auto"/>
              </w:rPr>
              <w:t>Long term notes payable, net of discount</w:t>
            </w: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746.2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745.6</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Preferred stock</w:t>
            </w:r>
          </w:p>
        </w:tc>
        <w:tc>
          <w:tcPr>
            <w:tcW w:w="1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1,449.8</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599.1</w:t>
            </w:r>
          </w:p>
        </w:tc>
        <w:tc>
          <w:tcPr>
            <w:tcW w:w="0" w:type="dxa"/>
            <w:vAlign w:val="bottom"/>
          </w:tcPr>
          <w:p>
            <w:pPr>
              <w:spacing w:after="0"/>
              <w:rPr>
                <w:sz w:val="1"/>
                <w:szCs w:val="1"/>
                <w:color w:val="auto"/>
              </w:rPr>
            </w:pP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2,043.2</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4,308.4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1013"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Nine Months Ended October</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r>
      <w:tr>
        <w:trPr>
          <w:trHeight w:val="23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172.9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72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93.1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118.8</w:t>
            </w:r>
          </w:p>
        </w:tc>
      </w:tr>
      <w:tr>
        <w:trPr>
          <w:trHeight w:val="224"/>
        </w:trPr>
        <w:tc>
          <w:tcPr>
            <w:tcW w:w="9480" w:type="dxa"/>
            <w:vAlign w:val="bottom"/>
          </w:tcPr>
          <w:p>
            <w:pPr>
              <w:ind w:left="720"/>
              <w:spacing w:after="0"/>
              <w:rPr>
                <w:sz w:val="20"/>
                <w:szCs w:val="20"/>
                <w:color w:val="auto"/>
              </w:rPr>
            </w:pPr>
            <w:r>
              <w:rPr>
                <w:rFonts w:ascii="Arial" w:cs="Arial" w:eastAsia="Arial" w:hAnsi="Arial"/>
                <w:sz w:val="16"/>
                <w:szCs w:val="16"/>
                <w:color w:val="auto"/>
              </w:rPr>
              <w:t>Excess tax benefits from stock-based compensation</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Restructuring charges, net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r>
      <w:tr>
        <w:trPr>
          <w:trHeight w:val="224"/>
        </w:trPr>
        <w:tc>
          <w:tcPr>
            <w:tcW w:w="9480" w:type="dxa"/>
            <w:vAlign w:val="bottom"/>
          </w:tcPr>
          <w:p>
            <w:pPr>
              <w:ind w:left="720"/>
              <w:spacing w:after="0"/>
              <w:rPr>
                <w:sz w:val="20"/>
                <w:szCs w:val="20"/>
                <w:color w:val="auto"/>
              </w:rPr>
            </w:pPr>
            <w:r>
              <w:rPr>
                <w:rFonts w:ascii="Arial" w:cs="Arial" w:eastAsia="Arial" w:hAnsi="Arial"/>
                <w:sz w:val="16"/>
                <w:szCs w:val="16"/>
                <w:color w:val="auto"/>
              </w:rPr>
              <w:t>Other operating activities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380.0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403.5</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Purchases of marketable securities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(1,103.1)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marketable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207.0</w:t>
            </w: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Maturities of marketable securities</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395.1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436.6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(204.2)</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(730.5)</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199.6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(340.5)</w:t>
            </w:r>
          </w:p>
        </w:tc>
      </w:tr>
      <w:tr>
        <w:trPr>
          <w:trHeight w:val="237"/>
        </w:trPr>
        <w:tc>
          <w:tcPr>
            <w:tcW w:w="9480" w:type="dxa"/>
            <w:vAlign w:val="bottom"/>
          </w:tcPr>
          <w:p>
            <w:pPr>
              <w:ind w:left="380"/>
              <w:spacing w:after="0"/>
              <w:rPr>
                <w:sz w:val="20"/>
                <w:szCs w:val="20"/>
                <w:color w:val="auto"/>
              </w:rPr>
            </w:pPr>
            <w:r>
              <w:rPr>
                <w:rFonts w:ascii="Arial" w:cs="Arial" w:eastAsia="Arial" w:hAnsi="Arial"/>
                <w:sz w:val="16"/>
                <w:szCs w:val="16"/>
                <w:color w:val="auto"/>
              </w:rPr>
              <w:t>Draws on line of credit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110.0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0"/>
        </w:trPr>
        <w:tc>
          <w:tcPr>
            <w:tcW w:w="9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580" w:right="239" w:bottom="1440" w:gutter="0" w:footer="0" w:header="0"/>
        </w:sectPr>
      </w:pPr>
    </w:p>
    <w:p>
      <w:pPr>
        <w:ind w:left="40"/>
        <w:spacing w:after="0"/>
        <w:rPr>
          <w:sz w:val="20"/>
          <w:szCs w:val="20"/>
          <w:color w:val="auto"/>
        </w:rPr>
      </w:pPr>
      <w:r>
        <w:rPr>
          <w:rFonts w:ascii="Arial" w:cs="Arial" w:eastAsia="Arial" w:hAnsi="Arial"/>
          <w:sz w:val="16"/>
          <w:szCs w:val="16"/>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fiscal year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jc w:val="right"/>
        <w:ind w:right="60"/>
        <w:spacing w:after="0"/>
        <w:tabs>
          <w:tab w:leader="none" w:pos="440" w:val="left"/>
        </w:tabs>
        <w:rPr>
          <w:sz w:val="20"/>
          <w:szCs w:val="20"/>
          <w:color w:val="auto"/>
        </w:rPr>
      </w:pPr>
      <w:r>
        <w:rPr>
          <w:rFonts w:ascii="Arial" w:cs="Arial" w:eastAsia="Arial" w:hAnsi="Arial"/>
          <w:sz w:val="16"/>
          <w:szCs w:val="16"/>
          <w:color w:val="auto"/>
        </w:rPr>
        <w:t>(138.8)</w:t>
      </w:r>
      <w:r>
        <w:rPr>
          <w:sz w:val="20"/>
          <w:szCs w:val="20"/>
          <w:color w:val="auto"/>
        </w:rPr>
        <w:tab/>
      </w:r>
      <w:r>
        <w:rPr>
          <w:rFonts w:ascii="Arial" w:cs="Arial" w:eastAsia="Arial" w:hAnsi="Arial"/>
          <w:sz w:val="14"/>
          <w:szCs w:val="14"/>
          <w:color w:val="auto"/>
        </w:rPr>
        <w:t>(329.9)</w:t>
      </w:r>
    </w:p>
    <w:p>
      <w:pPr>
        <w:spacing w:after="0" w:line="73" w:lineRule="exact"/>
        <w:rPr>
          <w:sz w:val="20"/>
          <w:szCs w:val="20"/>
          <w:color w:val="auto"/>
        </w:rPr>
      </w:pPr>
    </w:p>
    <w:p>
      <w:pPr>
        <w:ind w:left="300"/>
        <w:spacing w:after="0"/>
        <w:tabs>
          <w:tab w:leader="none" w:pos="1280" w:val="left"/>
        </w:tabs>
        <w:rPr>
          <w:sz w:val="20"/>
          <w:szCs w:val="20"/>
          <w:color w:val="auto"/>
        </w:rPr>
      </w:pPr>
      <w:r>
        <w:rPr>
          <w:rFonts w:ascii="Arial" w:cs="Arial" w:eastAsia="Arial" w:hAnsi="Arial"/>
          <w:sz w:val="16"/>
          <w:szCs w:val="16"/>
          <w:color w:val="auto"/>
        </w:rPr>
        <w:t>1,612.2</w:t>
      </w:r>
      <w:r>
        <w:rPr>
          <w:sz w:val="20"/>
          <w:szCs w:val="20"/>
          <w:color w:val="auto"/>
        </w:rPr>
        <w:tab/>
      </w:r>
      <w:r>
        <w:rPr>
          <w:rFonts w:ascii="Arial" w:cs="Arial" w:eastAsia="Arial" w:hAnsi="Arial"/>
          <w:sz w:val="14"/>
          <w:szCs w:val="14"/>
          <w:color w:val="auto"/>
        </w:rPr>
        <w:t>1,156.9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34925</wp:posOffset>
            </wp:positionV>
            <wp:extent cx="12261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66" w:lineRule="exact"/>
        <w:rPr>
          <w:sz w:val="20"/>
          <w:szCs w:val="20"/>
          <w:color w:val="auto"/>
        </w:rPr>
      </w:pPr>
    </w:p>
    <w:p>
      <w:pPr>
        <w:spacing w:after="0"/>
        <w:tabs>
          <w:tab w:leader="none" w:pos="280" w:val="left"/>
          <w:tab w:leader="none" w:pos="1020" w:val="left"/>
          <w:tab w:leader="none" w:pos="1400" w:val="left"/>
        </w:tabs>
        <w:rPr>
          <w:sz w:val="20"/>
          <w:szCs w:val="20"/>
          <w:color w:val="auto"/>
        </w:rPr>
      </w:pPr>
      <w:r>
        <w:rPr>
          <w:rFonts w:ascii="Arial" w:cs="Arial" w:eastAsia="Arial" w:hAnsi="Arial"/>
          <w:sz w:val="16"/>
          <w:szCs w:val="16"/>
          <w:color w:val="auto"/>
        </w:rPr>
        <w:t>$</w:t>
        <w:tab/>
        <w:t>1,473.4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827.0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34925</wp:posOffset>
            </wp:positionV>
            <wp:extent cx="122618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2618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0" w:space="720"/>
            <w:col w:w="1900"/>
          </w:cols>
          <w:pgMar w:left="240" w:top="580" w:right="2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Autodesk, Inc. (“Autodesk” or the “Company”) as of October 31, 2013, and for the three and nine months ended October 31, 2013,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2013 are not necessarily indicative of the results for the entire fiscal year ending January 31, 2014,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2013, filed on March 18, 2013.</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the first quarter of fiscal 2014, Autodesk combined maintenance revenue and cloud services offering-related revenue into one category named “Subscription.” As a result, revenue and cost of revenue related to cloud service offerings previously reflected in “License and other revenue” and “Cost of license and other revenue” were reclassified to “Subscription revenue” and “Cost of subscription revenue.” These revenues and expenses have been reclassified in the Consolidated Statements of Operations for the three and nine months ended October 31, 2012 to conform to the current period presentation as follows: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left="782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31115</wp:posOffset>
            </wp:positionV>
            <wp:extent cx="1166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01"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October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340"/>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31115</wp:posOffset>
            </wp:positionV>
            <wp:extent cx="12179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01"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October 31, 2012</w:t>
      </w:r>
    </w:p>
    <w:p>
      <w:pPr>
        <w:spacing w:after="0" w:line="81" w:lineRule="exact"/>
        <w:rPr>
          <w:sz w:val="20"/>
          <w:szCs w:val="20"/>
          <w:color w:val="auto"/>
        </w:rPr>
      </w:pPr>
    </w:p>
    <w:p>
      <w:pPr>
        <w:sectPr>
          <w:pgSz w:w="11900" w:h="16838" w:orient="portrait"/>
          <w:cols w:equalWidth="0" w:num="2">
            <w:col w:w="9140" w:space="700"/>
            <w:col w:w="158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Reclassifications within revenue: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20" w:type="dxa"/>
            <w:vAlign w:val="bottom"/>
          </w:tcPr>
          <w:p>
            <w:pPr>
              <w:ind w:left="180"/>
              <w:spacing w:after="0"/>
              <w:rPr>
                <w:sz w:val="20"/>
                <w:szCs w:val="20"/>
                <w:color w:val="auto"/>
              </w:rPr>
            </w:pPr>
            <w:r>
              <w:rPr>
                <w:rFonts w:ascii="Arial" w:cs="Arial" w:eastAsia="Arial" w:hAnsi="Arial"/>
                <w:sz w:val="16"/>
                <w:szCs w:val="16"/>
                <w:color w:val="auto"/>
              </w:rPr>
              <w:t>(Decrease) to License and other revenue</w:t>
            </w:r>
          </w:p>
        </w:tc>
        <w:tc>
          <w:tcPr>
            <w:tcW w:w="292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8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33"/>
        </w:trPr>
        <w:tc>
          <w:tcPr>
            <w:tcW w:w="5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to Subscription revenue</w:t>
            </w:r>
          </w:p>
        </w:tc>
        <w:tc>
          <w:tcPr>
            <w:tcW w:w="2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8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Reclassifications within cost of revenue:</w:t>
            </w:r>
          </w:p>
        </w:tc>
        <w:tc>
          <w:tcPr>
            <w:tcW w:w="2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to Cost of license and other revenue</w:t>
            </w:r>
          </w:p>
        </w:tc>
        <w:tc>
          <w:tcPr>
            <w:tcW w:w="29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8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37"/>
        </w:trPr>
        <w:tc>
          <w:tcPr>
            <w:tcW w:w="5420" w:type="dxa"/>
            <w:vAlign w:val="bottom"/>
          </w:tcPr>
          <w:p>
            <w:pPr>
              <w:ind w:left="180"/>
              <w:spacing w:after="0"/>
              <w:rPr>
                <w:sz w:val="20"/>
                <w:szCs w:val="20"/>
                <w:color w:val="auto"/>
              </w:rPr>
            </w:pPr>
            <w:r>
              <w:rPr>
                <w:rFonts w:ascii="Arial" w:cs="Arial" w:eastAsia="Arial" w:hAnsi="Arial"/>
                <w:sz w:val="16"/>
                <w:szCs w:val="16"/>
                <w:color w:val="auto"/>
              </w:rPr>
              <w:t>Increase to Cost of subscription revenue</w:t>
            </w:r>
          </w:p>
        </w:tc>
        <w:tc>
          <w:tcPr>
            <w:tcW w:w="29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8.2</w:t>
            </w:r>
          </w:p>
        </w:tc>
        <w:tc>
          <w:tcPr>
            <w:tcW w:w="8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21.1</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nine months ended October 31, 2013, that are of significance, or potential significance, to the Company.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Adopted in the Nine Months Ended October 31, 2013</w:t>
      </w:r>
    </w:p>
    <w:p>
      <w:pPr>
        <w:spacing w:after="0" w:line="225"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Effective February 1, 2013, Autodesk adopted FASB's Accounting Standards Update (“ASU”) 2013-02, Comprehensive Income (Topic 220) - Reporting of Amounts Reclassified Out of Accumulated Other Comprehensive Income. This ASU requires additional disclosure about the changes in the components of accumulated other comprehensive income, including amounts reclassified and amounts due to current period other comprehensive income. The adoption of this standard did not impact the Company's financial condition, results of operations or cash flows.</w:t>
      </w:r>
    </w:p>
    <w:p>
      <w:pPr>
        <w:spacing w:after="0" w:line="17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Effective February 1, 2013, Autodesk adopted FASB's ASU 2011-11 and ASU 2013-01 regarding ASC Topic 210 “Balance Sheet: Disclosure about Offsetting Assets and Liabilities.” This ASU requires that entities disclose additional information about offsetting and related arrangements to enable users of the financial statements to understand the effect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type w:val="continuous"/>
        </w:sectPr>
      </w:pPr>
    </w:p>
    <w:bookmarkStart w:id="7" w:name="page8"/>
    <w:bookmarkEnd w:id="7"/>
    <w:p>
      <w:pPr>
        <w:ind w:right="320"/>
        <w:spacing w:after="0" w:line="277" w:lineRule="auto"/>
        <w:rPr>
          <w:sz w:val="20"/>
          <w:szCs w:val="20"/>
          <w:color w:val="auto"/>
        </w:rPr>
      </w:pPr>
      <w:r>
        <w:rPr>
          <w:rFonts w:ascii="Arial" w:cs="Arial" w:eastAsia="Arial" w:hAnsi="Arial"/>
          <w:sz w:val="18"/>
          <w:szCs w:val="18"/>
          <w:color w:val="auto"/>
        </w:rPr>
        <w:t>those arrangements on the financial position. The adoption of this standard did not impact the Company's financial condition, results of operations or cash flows.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July 2013, the FASB issued ASU 2013-11 regarding ASC Topic 740 “Income Tax.” This ASU clarifies the guidance on the presentation of an unrecognized tax benefit, or a portion of an unrecognized tax benefit, in the financial statements as a reduction to a deferred tax asset for a net operating loss carryforward, a similar tax loss, or a tax credit carryforward. This ASU will be effective for Autodesk's fiscal year beginning February 1, 2014. Early adoption is permitted. At this time, Autodesk expects that the adoption of this ASU will impact the presentation of tax assets and liabilities on the statement of financial position, but will not impact its consolidated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 It is Autodesk’s policy to limit the amounts invested with any one institution by type of security and issuer.</w:t>
      </w:r>
    </w:p>
    <w:p>
      <w:pPr>
        <w:spacing w:after="0" w:line="18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24% and 25% of Autodesk’s total net revenue for the three and nine months ended October 31, 2013, respectively, and 24% and 23% of Autodesk's total net revenue for the three and nine months ended October 31, 2012, respectively. The majority of the net revenue from sales to Tech Data relates to Autodesk’s Platform Solutions and Emerging Business (“PSEB”) segment and is for sales made outside of the United States. In addition, Tech Data accounted for 25% and 23% of trade accounts receivable at October 31, 2013 and January 31, 2013, respectively.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October 31, 2013 and January 31, 2013:</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October 31, 2013</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6"/>
                <w:szCs w:val="16"/>
                <w:color w:val="auto"/>
              </w:rPr>
              <w:t>Certificates of deposit and time deposits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277.2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256.0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6"/>
                <w:szCs w:val="16"/>
                <w:color w:val="auto"/>
              </w:rPr>
              <w:t>Money market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6"/>
                <w:szCs w:val="16"/>
                <w:color w:val="auto"/>
              </w:rPr>
              <w:t>Short-term available for sale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6"/>
              </w:rPr>
              <w:t>Commercial paper and 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Certificates of deposit and time deposits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Other (2)</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Short-term trading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Sovereign debt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(3)</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Derivative contracts (4)</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sovereign debt and other short-term securities.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5"/>
        </w:trPr>
        <w:tc>
          <w:tcPr>
            <w:tcW w:w="3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January 31, 2013</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13"/>
                <w:szCs w:val="13"/>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3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0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368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160"/>
              <w:spacing w:after="0"/>
              <w:rPr>
                <w:sz w:val="20"/>
                <w:szCs w:val="20"/>
                <w:color w:val="auto"/>
              </w:rPr>
            </w:pPr>
            <w:r>
              <w:rPr>
                <w:rFonts w:ascii="Arial" w:cs="Arial" w:eastAsia="Arial" w:hAnsi="Arial"/>
                <w:sz w:val="16"/>
                <w:szCs w:val="16"/>
                <w:color w:val="auto"/>
              </w:rPr>
              <w:t>Certificates of deposit and time deposits</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392.4</w:t>
            </w:r>
          </w:p>
        </w:tc>
        <w:tc>
          <w:tcPr>
            <w:tcW w:w="120" w:type="dxa"/>
            <w:vAlign w:val="bottom"/>
          </w:tcPr>
          <w:p>
            <w:pPr>
              <w:spacing w:after="0"/>
              <w:rPr>
                <w:sz w:val="20"/>
                <w:szCs w:val="20"/>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Corporate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16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Short-term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w w:val="92"/>
              </w:rPr>
              <w:t>Commercial paper and 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Certificates of deposit and time deposits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U.S. treasury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Sovereign debt</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Short-term trading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Mutual funds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Sovereign debt</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Taxable auction-rate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44"/>
        </w:trPr>
        <w:tc>
          <w:tcPr>
            <w:tcW w:w="3680" w:type="dxa"/>
            <w:vAlign w:val="bottom"/>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2,029.2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2,038.0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678.3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1,327.3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1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08" w:right="239" w:bottom="1440" w:gutter="0" w:footer="0" w:header="0"/>
        </w:sectPr>
      </w:pPr>
    </w:p>
    <w:bookmarkStart w:id="10" w:name="page11"/>
    <w:bookmarkEnd w:id="10"/>
    <w:p>
      <w:pPr>
        <w:ind w:right="460"/>
        <w:spacing w:after="0" w:line="277" w:lineRule="auto"/>
        <w:rPr>
          <w:sz w:val="20"/>
          <w:szCs w:val="20"/>
          <w:color w:val="auto"/>
        </w:rPr>
      </w:pPr>
      <w:r>
        <w:rPr>
          <w:rFonts w:ascii="Arial" w:cs="Arial" w:eastAsia="Arial" w:hAnsi="Arial"/>
          <w:sz w:val="18"/>
          <w:szCs w:val="18"/>
          <w:color w:val="auto"/>
        </w:rPr>
        <w:t>data and relies on unobservable inputs only when observable market data is not available. There have been no transfers between fair value measurement levels during the three and nine months ended October 31, 2013.</w:t>
      </w:r>
    </w:p>
    <w:p>
      <w:pPr>
        <w:spacing w:after="0" w:line="1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auction rate securities, convertible debt securities and derivative contracts which are valued using probability weighted discounted cash flow models, in which some of the inputs are unobservable in the market.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nine months ended October 31, 2013 was as follows:</w:t>
      </w:r>
    </w:p>
    <w:p>
      <w:pPr>
        <w:spacing w:after="0" w:line="379"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13335</wp:posOffset>
            </wp:positionV>
            <wp:extent cx="31299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9"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1299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Convertible Debt</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Taxable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Auction-Rate</w:t>
            </w:r>
          </w:p>
        </w:tc>
        <w:tc>
          <w:tcPr>
            <w:tcW w:w="200" w:type="dxa"/>
            <w:vAlign w:val="bottom"/>
          </w:tcPr>
          <w:p>
            <w:pPr>
              <w:spacing w:after="0"/>
              <w:rPr>
                <w:sz w:val="12"/>
                <w:szCs w:val="12"/>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20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2013</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Net realized losses</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(losses) gains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Balance at October 31, 2013</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w w:val="98"/>
              </w:rPr>
              <w:t>October 31, 2013</w:t>
            </w:r>
          </w:p>
        </w:tc>
      </w:tr>
      <w:tr>
        <w:trPr>
          <w:trHeight w:val="264"/>
        </w:trPr>
        <w:tc>
          <w:tcPr>
            <w:tcW w:w="82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1 year</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544.8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544.8</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4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438.7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440.1</w:t>
            </w:r>
          </w:p>
        </w:tc>
      </w:tr>
      <w:tr>
        <w:trPr>
          <w:trHeight w:val="33"/>
        </w:trPr>
        <w:tc>
          <w:tcPr>
            <w:tcW w:w="8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983.5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984.9</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As of October 31, 2013 and January 31, 2013, Autodesk did not have any securities in a continuous unrealized loss position for greater than twelve months.</w:t>
      </w:r>
    </w:p>
    <w:p>
      <w:pPr>
        <w:spacing w:after="0" w:line="17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Autodesk also has direct investments in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its cost method investments considering available information such as pricing in recent rounds of financing, current cash positions, earnings and cash flow forecasts, recent operational performance and any other readily available market data. During the nine months ended October 31, 2013, Autodesk recorded no other-than-temporary impairment on its privately held equity investments. During the nine months ended October 31, 2012, Autodesk recorded $10.5 million other-than-temporary impairments on its privately held equity investments.</w:t>
      </w:r>
    </w:p>
    <w:p>
      <w:pPr>
        <w:spacing w:after="0" w:line="16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sale or settlement of “available-for-sale securities</w:t>
      </w:r>
      <w:r>
        <w:rPr>
          <w:rFonts w:ascii="Arial" w:cs="Arial" w:eastAsia="Arial" w:hAnsi="Arial"/>
          <w:sz w:val="16"/>
          <w:szCs w:val="16"/>
          <w:color w:val="auto"/>
        </w:rPr>
        <w:t>”</w:t>
      </w:r>
      <w:r>
        <w:rPr>
          <w:rFonts w:ascii="Arial" w:cs="Arial" w:eastAsia="Arial" w:hAnsi="Arial"/>
          <w:sz w:val="18"/>
          <w:szCs w:val="18"/>
          <w:color w:val="auto"/>
        </w:rPr>
        <w:t xml:space="preserve"> during the nine months ended October 31, 2013 and 2012 resulted in a loss of $0.2 million and a gain of $5.0 million, respectively. The losses and gains were recorded in “Interest and other income (expense), net” on the Company's Condensed Consolidated Statement of Operations.</w:t>
      </w:r>
    </w:p>
    <w:p>
      <w:pPr>
        <w:spacing w:after="0" w:line="18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nine months ended October 31, 2013 and 2012 were $725.0 million and $643.6 million,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71"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Autodesk utilizes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monthly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income (expense), net” in the Company's Condensed Consolidated Financial Statements at that time.</w:t>
      </w:r>
    </w:p>
    <w:p>
      <w:pPr>
        <w:spacing w:after="0" w:line="179"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The net notional amounts of these contracts are presented net settled and were $410.2 million at October 31, 2013 and $359.8 million at January 31, 2013. Outstanding contracts are recognized as either assets or liabilities on the balance sheet at fair value. The majority of the net gain of $1.2 million remaining in “Accumulated other comprehensive loss” as of October 31, 2013 is expected to be recognized into earnings within the next twelve months.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on a monthly basis with gains and losses recognized as “Interest and other income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$4.7 million at October 31, 2013 and $78.4 million at January 31, 2013.</w:t>
      </w:r>
    </w:p>
    <w:p>
      <w:pPr>
        <w:spacing w:after="0" w:line="178"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income (expense), net.”</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4" w:right="27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fair value of derivative instruments in Autodesk’s Condensed Consolidated Balance Sheets were as follows as of October 31, 2013 and January 31, 2013:</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2520" w:type="dxa"/>
            <w:vAlign w:val="bottom"/>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2013</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2013</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7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17"/>
                <w:szCs w:val="17"/>
                <w:color w:val="auto"/>
              </w:rPr>
            </w:pPr>
          </w:p>
        </w:tc>
        <w:tc>
          <w:tcPr>
            <w:tcW w:w="2520" w:type="dxa"/>
            <w:vAlign w:val="bottom"/>
          </w:tcPr>
          <w:p>
            <w:pPr>
              <w:ind w:left="180"/>
              <w:spacing w:after="0"/>
              <w:rPr>
                <w:sz w:val="20"/>
                <w:szCs w:val="20"/>
                <w:color w:val="auto"/>
              </w:rPr>
            </w:pPr>
            <w:r>
              <w:rPr>
                <w:rFonts w:ascii="Arial" w:cs="Arial" w:eastAsia="Arial" w:hAnsi="Arial"/>
                <w:sz w:val="16"/>
                <w:szCs w:val="16"/>
                <w:color w:val="auto"/>
              </w:rPr>
              <w:t>assets (1)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84"/>
        </w:trPr>
        <w:tc>
          <w:tcPr>
            <w:tcW w:w="57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 (2)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derivative liabilities</w:t>
            </w:r>
          </w:p>
        </w:tc>
        <w:tc>
          <w:tcPr>
            <w:tcW w:w="25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line="251"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$4.0 million and $8.2 million at October 31, 2013 and January 31, 2013, respectively.</w:t>
      </w:r>
    </w:p>
    <w:p>
      <w:pPr>
        <w:ind w:left="420" w:hanging="412"/>
        <w:spacing w:after="0" w:line="276"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Considering Autodesk's master netting arrangements, these contracts are presented net settled. The gross balance is $3.9 million and $5.4 million at October 31, 2013 and January 31, 2013, respectively.</w:t>
      </w:r>
    </w:p>
    <w:p>
      <w:pPr>
        <w:spacing w:after="0" w:line="17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nine months ended October 31, 2013 and 2012, respectively (amounts presented include any income tax effects):</w:t>
      </w:r>
    </w:p>
    <w:p>
      <w:pPr>
        <w:spacing w:after="0" w:line="324"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Foreign Currency</w:t>
      </w:r>
    </w:p>
    <w:p>
      <w:pPr>
        <w:spacing w:after="0" w:line="4"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right="920" w:hanging="161"/>
        <w:spacing w:after="0" w:line="293" w:lineRule="auto"/>
        <w:rPr>
          <w:sz w:val="20"/>
          <w:szCs w:val="20"/>
          <w:color w:val="auto"/>
        </w:rPr>
      </w:pPr>
      <w:r>
        <w:rPr>
          <w:rFonts w:ascii="Arial" w:cs="Arial" w:eastAsia="Arial" w:hAnsi="Arial"/>
          <w:sz w:val="16"/>
          <w:szCs w:val="16"/>
          <w:i w:val="1"/>
          <w:iCs w:val="1"/>
          <w:color w:val="auto"/>
        </w:rPr>
        <w:t>Amount of (loss) gain recognized in accumulated other comprehensive income on derivatives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200" w:hanging="161"/>
        <w:spacing w:after="0" w:line="288" w:lineRule="auto"/>
        <w:rPr>
          <w:sz w:val="20"/>
          <w:szCs w:val="20"/>
          <w:color w:val="auto"/>
        </w:rPr>
      </w:pPr>
      <w:r>
        <w:rPr>
          <w:rFonts w:ascii="Arial" w:cs="Arial" w:eastAsia="Arial" w:hAnsi="Arial"/>
          <w:sz w:val="16"/>
          <w:szCs w:val="16"/>
          <w:i w:val="1"/>
          <w:iCs w:val="1"/>
          <w:color w:val="auto"/>
        </w:rPr>
        <w:t>Amount and location of gain (loss) reclassified from accumulated other comprehensive income into income (effective portion)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Three Months Ended October 31,</w:t>
            </w:r>
          </w:p>
        </w:tc>
        <w:tc>
          <w:tcPr>
            <w:tcW w:w="214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Nine Months Ended October 31,</w:t>
            </w:r>
          </w:p>
        </w:tc>
      </w:tr>
      <w:tr>
        <w:trPr>
          <w:trHeight w:val="264"/>
        </w:trPr>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2012</w:t>
            </w:r>
          </w:p>
        </w:tc>
      </w:tr>
      <w:tr>
        <w:trPr>
          <w:trHeight w:val="399"/>
        </w:trPr>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4"/>
                <w:szCs w:val="24"/>
                <w:color w:val="auto"/>
              </w:rPr>
            </w:pPr>
          </w:p>
        </w:tc>
        <w:tc>
          <w:tcPr>
            <w:tcW w:w="680" w:type="dxa"/>
            <w:vAlign w:val="bottom"/>
          </w:tcPr>
          <w:p>
            <w:pPr>
              <w:jc w:val="right"/>
              <w:ind w:right="485"/>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w w:val="98"/>
              </w:rPr>
              <w:t>8.0</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2.7</w:t>
            </w:r>
          </w:p>
        </w:tc>
      </w:tr>
      <w:tr>
        <w:trPr>
          <w:trHeight w:val="33"/>
        </w:trPr>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32" w:lineRule="exact"/>
        <w:rPr>
          <w:sz w:val="20"/>
          <w:szCs w:val="20"/>
          <w:color w:val="auto"/>
        </w:rPr>
      </w:pPr>
    </w:p>
    <w:p>
      <w:pPr>
        <w:sectPr>
          <w:pgSz w:w="11900" w:h="16838" w:orient="portrait"/>
          <w:cols w:equalWidth="0" w:num="2">
            <w:col w:w="6980" w:space="100"/>
            <w:col w:w="43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6"/>
                <w:szCs w:val="16"/>
                <w:i w:val="1"/>
                <w:iCs w:val="1"/>
                <w:color w:val="auto"/>
                <w:w w:val="92"/>
              </w:rPr>
              <w:t>Amount and location of (loss) recognized in income on derivatives (ineffective portion and amount excluded</w:t>
            </w: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200"/>
              <w:spacing w:after="0"/>
              <w:rPr>
                <w:sz w:val="20"/>
                <w:szCs w:val="20"/>
                <w:color w:val="auto"/>
              </w:rPr>
            </w:pPr>
            <w:r>
              <w:rPr>
                <w:rFonts w:ascii="Arial" w:cs="Arial" w:eastAsia="Arial" w:hAnsi="Arial"/>
                <w:sz w:val="16"/>
                <w:szCs w:val="16"/>
                <w:i w:val="1"/>
                <w:iCs w:val="1"/>
                <w:color w:val="auto"/>
              </w:rPr>
              <w:t>from effectiveness testing)</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and other income (expense), net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effects of derivatives not designated as hedging instruments on Autodesk’s Condensed Consolidated Statements of Operations were as follows for the three and nine months ended October 31, 2013 and 2012, respectively (amounts presented include any income tax effects):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Nine Months Ended October</w:t>
            </w:r>
          </w:p>
        </w:tc>
      </w:tr>
      <w:tr>
        <w:trPr>
          <w:trHeight w:val="192"/>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October 31,</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31,</w:t>
            </w:r>
          </w:p>
        </w:tc>
        <w:tc>
          <w:tcPr>
            <w:tcW w:w="680" w:type="dxa"/>
            <w:vAlign w:val="bottom"/>
          </w:tcPr>
          <w:p>
            <w:pPr>
              <w:spacing w:after="0"/>
              <w:rPr>
                <w:sz w:val="16"/>
                <w:szCs w:val="16"/>
                <w:color w:val="auto"/>
              </w:rPr>
            </w:pPr>
          </w:p>
        </w:tc>
      </w:tr>
      <w:tr>
        <w:trPr>
          <w:trHeight w:val="263"/>
        </w:trPr>
        <w:tc>
          <w:tcPr>
            <w:tcW w:w="76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2012</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i w:val="1"/>
                <w:iCs w:val="1"/>
                <w:color w:val="auto"/>
              </w:rPr>
              <w:t>Amount and location of gain recognized in income on derivatives</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and other income (expense),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2.6</w:t>
            </w:r>
          </w:p>
        </w:tc>
      </w:tr>
      <w:tr>
        <w:trPr>
          <w:trHeight w:val="33"/>
        </w:trPr>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5. Stock-based Compensation Expense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Plans</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of October 31, 2013, Autodesk maintained two active stock plans for the purpose of granting equity awards to employees and to non-employee members of Autodesk’s Board of Directors: the 2012 Employee Stock Plan (“2012 Employee Plan”), which is available only to employees, and the Autodesk 2012 Outside Directors’ Plan (“2012 Directors' Plan”), which is available only to non-employee directors. Additionally, there are eight expired or terminated plans with options outstanding. The exercise price of all stock options granted under these plans was equal to the fair market value of the stock on the grant date.</w:t>
      </w:r>
    </w:p>
    <w:p>
      <w:pPr>
        <w:spacing w:after="0" w:line="18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2012 Employee Plan was approved by Autodesk's stockholders and became effective in January 2012. The 2012 Employee Plan reserves up to 21.2 million shares which includes 15.2 million shares reserved upon the effectiveness of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October 31, 2013, 12.7 million shares subject to options and restricted stock units have been granted under the 2012 Employee Plan. Options and restricted stock units that were granted under the 2012 Stock Plan vest over periods ranging from immediately upon grant to over a three-year period and options expire 10 years from the date of grant. The 2012 Employee Plan will expire on June 30, 2022. At October 31, 2013, 9.3 million shares were available for future issuance under the 2012 Employee Plan.</w:t>
      </w:r>
    </w:p>
    <w:p>
      <w:pPr>
        <w:spacing w:after="0" w:line="178"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The 2012 Directors' Plan was approved by Autodesk's stockholders in January 2012.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October 31, 2013, 0.4 million restricted stock units have been granted under the 2012 Directors' Plan. Restricted stock units that were granted under the 2012 Directors' Plan vest over one to three years from the date of grant. The 2012 Directors' Plan reserved 2.6 million shares of Autodesk common stock. The 2012 Directors' Plan will expire on June 30, 2022. At October 31, 2013, 2.2 million shares were available for future issuance under the 2012 Directors' Plan.</w:t>
      </w:r>
    </w:p>
    <w:p>
      <w:pPr>
        <w:spacing w:after="0" w:line="16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At a special meeting to be held on January 14, 2014, Autodesk is requesting that its stockholders approve an amendment to the 2012 Employee Stock Plan to increase the number of shares, which may be issued under the 2012 Employee Plan by approximately 11.4 million shares and to add new performance goals related to executive share based awards.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4" w:name="page15"/>
    <w:bookmarkEnd w:id="14"/>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nine months ended October 31, 2013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exercise 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21"/>
                <w:szCs w:val="21"/>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2013</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19.0</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32.69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Granted (1)</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Canceled</w:t>
            </w: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44.57</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October 31, 2013</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9.9</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vested and exercisable at October 31, 2013</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7.8</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30.69</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as of October 31, 2013 and expected to vest thereafter (2)</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9.9</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available for grant at October 31, 2013</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vMerge w:val="continue"/>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Autodesk did not grant stock options in the nine months ended October 31, 2013.</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w:t>
      </w:r>
    </w:p>
    <w:p>
      <w:pPr>
        <w:spacing w:after="0" w:line="5" w:lineRule="exact"/>
        <w:rPr>
          <w:rFonts w:ascii="Arial" w:cs="Arial" w:eastAsia="Arial" w:hAnsi="Arial"/>
          <w:sz w:val="16"/>
          <w:szCs w:val="16"/>
          <w:color w:val="auto"/>
        </w:rPr>
      </w:pPr>
    </w:p>
    <w:p>
      <w:pPr>
        <w:ind w:left="420" w:right="120" w:hanging="412"/>
        <w:spacing w:after="0" w:line="257"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$39.90 per share as of October 31, 2013, which would have been received by the option holders had all option holders exercised their options as of that date.</w:t>
      </w:r>
    </w:p>
    <w:p>
      <w:pPr>
        <w:spacing w:after="0" w:line="18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October 31, 2013, compensation cost of $14.5 million related to non-vested options is expected to be recognized over a weighted average period of 0.7 year.</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and the weighted average grant date fair value per share of options granted, during the three and nine months ended October 31, 2013 and 2012.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2013</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2012</w:t>
            </w: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31, 2013</w:t>
            </w:r>
          </w:p>
        </w:tc>
        <w:tc>
          <w:tcPr>
            <w:tcW w:w="160" w:type="dxa"/>
            <w:vAlign w:val="bottom"/>
          </w:tcPr>
          <w:p>
            <w:pPr>
              <w:spacing w:after="0"/>
              <w:rPr>
                <w:sz w:val="22"/>
                <w:szCs w:val="22"/>
                <w:color w:val="auto"/>
              </w:rPr>
            </w:pPr>
          </w:p>
        </w:tc>
        <w:tc>
          <w:tcPr>
            <w:tcW w:w="1300" w:type="dxa"/>
            <w:vAlign w:val="bottom"/>
          </w:tcPr>
          <w:p>
            <w:pPr>
              <w:jc w:val="right"/>
              <w:ind w:right="123"/>
              <w:spacing w:after="0"/>
              <w:rPr>
                <w:sz w:val="20"/>
                <w:szCs w:val="20"/>
                <w:color w:val="auto"/>
              </w:rPr>
            </w:pPr>
            <w:r>
              <w:rPr>
                <w:rFonts w:ascii="Arial" w:cs="Arial" w:eastAsia="Arial" w:hAnsi="Arial"/>
                <w:sz w:val="14"/>
                <w:szCs w:val="14"/>
                <w:b w:val="1"/>
                <w:bCs w:val="1"/>
                <w:color w:val="auto"/>
                <w:w w:val="96"/>
              </w:rPr>
              <w:t>October 31, 2012</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80.2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73.5</w:t>
            </w:r>
          </w:p>
        </w:tc>
      </w:tr>
      <w:tr>
        <w:trPr>
          <w:trHeight w:val="220"/>
        </w:trPr>
        <w:tc>
          <w:tcPr>
            <w:tcW w:w="516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225"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8"/>
          <w:szCs w:val="18"/>
          <w:color w:val="auto"/>
        </w:rPr>
        <w:t>The following table summarizes information about options outstanding and exercisable at October 31, 2013:</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Options Vested and Exercisable</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9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intrinsic</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value (1)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9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value (1)</w:t>
            </w: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6"/>
                <w:szCs w:val="16"/>
                <w:color w:val="auto"/>
              </w:rPr>
            </w:pPr>
          </w:p>
        </w:tc>
        <w:tc>
          <w:tcPr>
            <w:tcW w:w="96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per-share</w:t>
            </w: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$2.28 - $23.74</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$24.97 - $29.50</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$29.56 - $38.55</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33.87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34.18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$41.62 - $42.32</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$42.39 - $48.72</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45.12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44.58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0"/>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20" w:hanging="412"/>
        <w:spacing w:after="0" w:line="263"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$39.90 per share as of October 31, 2013, which would have been received by the option holders had all option holders exercised their options as of that date.</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4" w:right="239" w:bottom="1440" w:gutter="0" w:footer="0" w:header="0"/>
          <w:type w:val="continuous"/>
        </w:sectPr>
      </w:pPr>
    </w:p>
    <w:bookmarkStart w:id="15" w:name="page16"/>
    <w:bookmarkEnd w:id="15"/>
    <w:p>
      <w:pPr>
        <w:ind w:left="440"/>
        <w:spacing w:after="0"/>
        <w:rPr>
          <w:sz w:val="20"/>
          <w:szCs w:val="20"/>
          <w:color w:val="auto"/>
        </w:rPr>
      </w:pPr>
      <w:r>
        <w:rPr>
          <w:rFonts w:ascii="Arial" w:cs="Arial" w:eastAsia="Arial" w:hAnsi="Arial"/>
          <w:sz w:val="17"/>
          <w:szCs w:val="17"/>
          <w:color w:val="auto"/>
        </w:rPr>
        <w:t>These options will expire if not exercised at specific dates ranging through September 2022.</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restricted stock unit activity for the nine months ended October 31, 2013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1691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Unreleased restricted stock units at January 31, 2013</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91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91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Unreleased restricted stock units at October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Unreleased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Stock 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5,020.8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33.89</w:t>
            </w:r>
          </w:p>
        </w:tc>
        <w:tc>
          <w:tcPr>
            <w:tcW w:w="0" w:type="dxa"/>
            <w:vAlign w:val="bottom"/>
          </w:tcPr>
          <w:p>
            <w:pPr>
              <w:spacing w:after="0"/>
              <w:rPr>
                <w:sz w:val="1"/>
                <w:szCs w:val="1"/>
                <w:color w:val="auto"/>
              </w:rPr>
            </w:pPr>
          </w:p>
        </w:tc>
      </w:tr>
      <w:tr>
        <w:trPr>
          <w:trHeight w:val="270"/>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3,309.4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40.64</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(1,434.6)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(341.8)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35.17</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35.94</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6,539.8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37.39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943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740" w:space="520"/>
            <w:col w:w="3140"/>
          </w:cols>
          <w:pgMar w:left="240" w:top="584" w:right="259" w:bottom="1440" w:gutter="0" w:footer="0" w:header="0"/>
        </w:sect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-130175</wp:posOffset>
            </wp:positionV>
            <wp:extent cx="9436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 w:lineRule="exact"/>
        <w:rPr>
          <w:sz w:val="20"/>
          <w:szCs w:val="20"/>
          <w:color w:val="auto"/>
        </w:rPr>
      </w:pPr>
    </w:p>
    <w:p>
      <w:pPr>
        <w:ind w:left="420" w:right="200" w:hanging="412"/>
        <w:spacing w:after="0" w:line="263"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Autodesk's financial results for the performance period, the fiscal 2013 performance stock units were earned at 92.3% of the target award. The vesting of the performance stock units is subject to the holders satisfying the remaining service condition of the awards.</w:t>
      </w:r>
    </w:p>
    <w:p>
      <w:pPr>
        <w:spacing w:after="0" w:line="17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During the nine months ended October 31, 2013, Autodesk granted 2.8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primarily expensed ratably over the vesting period. Autodesk recorded stock-based compensation expense related to restricted stock units of $18.8 million and $52.4 million during the three and nine months ended October 31, 2013, respectively. Autodesk recorded stock-based compensation expense related to restricted stock units of $31.8 million and $55.1 million during the three and nine months ended October 31, 2012, respectively. As of October 31, 2013, total compensation cost not yet recognized of $141.9 million related to non-vested restricted stock units, is expected to be recognized over a weighted average period of 1.9 years. At October 31, 2013, the number of restricted stock units granted but unreleased was 5.7 million.</w:t>
      </w:r>
    </w:p>
    <w:p>
      <w:pPr>
        <w:spacing w:after="0" w:line="16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During the nine months ended October 31, 2013, Autodesk granted 0.5 million performance restricted stock units (“PSUs”) for which the ultimate number of shares earned is determined based on the achievement of performance criteria at the end of the stated performance period. The performance criteria is based upon annual revenue and non-GAAP operating margin goals adopted by the Compensation and Human Resource Committee (the “Annual Financial Results”), as well as total stockholder return compared against the S&amp;P Computer Software Select Index (“Relative TSR”). Each PSU covers a three year period:</w:t>
      </w:r>
    </w:p>
    <w:p>
      <w:pPr>
        <w:spacing w:after="0" w:line="188" w:lineRule="exact"/>
        <w:rPr>
          <w:sz w:val="20"/>
          <w:szCs w:val="20"/>
          <w:color w:val="auto"/>
        </w:rPr>
      </w:pPr>
    </w:p>
    <w:p>
      <w:pPr>
        <w:ind w:left="660" w:right="1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one depending upon the achievement of Annual Financial Results for year one as well as 1 year Relative TSR (covering year one).</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two depending upon the achievement of Annual Financial Results for year two as well as 2 year Relative TSR (covering years one and two).</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three depending upon the achievement of Annual Financial Results for year three as well as 3 year Relative TSR (covering years one, two and three).</w:t>
      </w:r>
    </w:p>
    <w:p>
      <w:pPr>
        <w:spacing w:after="0" w:line="170"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PSUs is expensed using the straight-line method over the vesting period. Autodesk recorded stock-based compensation expense related to PSUs of $2.1 million and $6.9 million for the three and nine months ended October 31, 2013, respectively. Autodesk recorded stock-based compensation expense related to PSUs of $1.9 million and $5.2 million during the three and nine months ended October 31, 2012, respectively. As of October 31, 2013, total compensation cost not yet recognized of $4.6 million related to non-vested performance restricted stock units, is expected to be recognized over a weighted average period of 1.2 years. At October 31, 2013, the number of PSUs granted but not vested was 0.8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type w:val="continuous"/>
        </w:sectPr>
      </w:pPr>
    </w:p>
    <w:bookmarkStart w:id="16" w:name="page17"/>
    <w:bookmarkEnd w:id="16"/>
    <w:p>
      <w:pPr>
        <w:ind w:left="22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22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October 31, 2013, a total of 33.3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9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Autodesk issued 1.4 million and 2.9 million shares under the ESP Plan during the three and nine months ended October 31, 2013, respectively, with an average price of $22.95 and $22.61 per share, respectively. During the nine months ended October 31, 2012, Autodesk issued 1.3 million and 2.9 million shares, respectively, under the ESP Plan, at average prices of $21.98 and $21.79 per share, respectively. The weighted average grant date fair value of awards granted under the ESP Plan was $11.80 during both the three and nine months ended October 31, 2013, calculated as of the award grant date using the Black-Scholes-Merton option pricing model. The weighted average grant date fair value of awards granted under the ESP Plan during the three and nine months ended October 31, 2012, calculated as of the award grant date using the Black-Scholes-Merton option pricing model, was $11.57 and $11.02 per share, respectively.</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summarizes stock-based compensation expense for the three and nine months ended October 31, 2013 and 2012, respectively,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64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October 31, 2013</w:t>
            </w:r>
          </w:p>
        </w:tc>
        <w:tc>
          <w:tcPr>
            <w:tcW w:w="160" w:type="dxa"/>
            <w:vAlign w:val="bottom"/>
          </w:tcPr>
          <w:p>
            <w:pPr>
              <w:spacing w:after="0"/>
              <w:rPr>
                <w:sz w:val="16"/>
                <w:szCs w:val="16"/>
                <w:color w:val="auto"/>
              </w:rPr>
            </w:pPr>
          </w:p>
        </w:tc>
        <w:tc>
          <w:tcPr>
            <w:tcW w:w="164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October 31, 2012</w:t>
            </w:r>
          </w:p>
        </w:tc>
      </w:tr>
      <w:tr>
        <w:trPr>
          <w:trHeight w:val="236"/>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Cost of subscription</w:t>
            </w:r>
          </w:p>
        </w:tc>
        <w:tc>
          <w:tcPr>
            <w:tcW w:w="200" w:type="dxa"/>
            <w:vAlign w:val="bottom"/>
          </w:tcPr>
          <w:p>
            <w:pPr>
              <w:spacing w:after="0"/>
              <w:rPr>
                <w:sz w:val="20"/>
                <w:szCs w:val="20"/>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0.3</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20"/>
                <w:szCs w:val="20"/>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28.1</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51.9</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41.2</w:t>
            </w:r>
          </w:p>
        </w:tc>
      </w:tr>
      <w:tr>
        <w:trPr>
          <w:trHeight w:val="33"/>
        </w:trPr>
        <w:tc>
          <w:tcPr>
            <w:tcW w:w="766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33"/>
        </w:trPr>
        <w:tc>
          <w:tcPr>
            <w:tcW w:w="7660" w:type="dxa"/>
            <w:vAlign w:val="bottom"/>
          </w:tcPr>
          <w:p>
            <w:pPr>
              <w:spacing w:after="0"/>
              <w:rPr>
                <w:sz w:val="11"/>
                <w:szCs w:val="11"/>
                <w:color w:val="auto"/>
              </w:rPr>
            </w:pPr>
          </w:p>
        </w:tc>
        <w:tc>
          <w:tcPr>
            <w:tcW w:w="196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Nine Months Ended October</w:t>
            </w:r>
          </w:p>
        </w:tc>
        <w:tc>
          <w:tcPr>
            <w:tcW w:w="160" w:type="dxa"/>
            <w:vAlign w:val="bottom"/>
          </w:tcPr>
          <w:p>
            <w:pPr>
              <w:spacing w:after="0"/>
              <w:rPr>
                <w:sz w:val="11"/>
                <w:szCs w:val="11"/>
                <w:color w:val="auto"/>
              </w:rPr>
            </w:pPr>
          </w:p>
        </w:tc>
        <w:tc>
          <w:tcPr>
            <w:tcW w:w="164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7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31, 2013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2"/>
              </w:rPr>
              <w:t>October 31, 2012</w:t>
            </w:r>
          </w:p>
        </w:tc>
      </w:tr>
      <w:tr>
        <w:trPr>
          <w:trHeight w:val="23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Cost of subscription</w:t>
            </w:r>
          </w:p>
        </w:tc>
        <w:tc>
          <w:tcPr>
            <w:tcW w:w="200" w:type="dxa"/>
            <w:vAlign w:val="bottom"/>
          </w:tcPr>
          <w:p>
            <w:pPr>
              <w:spacing w:after="0"/>
              <w:rPr>
                <w:sz w:val="20"/>
                <w:szCs w:val="20"/>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1.1</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20"/>
                <w:szCs w:val="20"/>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49.6</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18.0</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118.8</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92.1</w:t>
            </w:r>
          </w:p>
        </w:tc>
      </w:tr>
      <w:tr>
        <w:trPr>
          <w:trHeight w:val="33"/>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Autodesk determines the grant-date fair value of its share-based payment awards using a Black-Scholes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pacing w:after="0" w:line="381" w:lineRule="exact"/>
        <w:rPr>
          <w:sz w:val="20"/>
          <w:szCs w:val="20"/>
          <w:color w:val="auto"/>
        </w:rPr>
      </w:pPr>
    </w:p>
    <w:tbl>
      <w:tblPr>
        <w:tblLayout w:type="fixed"/>
        <w:tblInd w:w="4800" w:type="dxa"/>
        <w:tblCellMar>
          <w:top w:w="0" w:type="dxa"/>
          <w:left w:w="0" w:type="dxa"/>
          <w:bottom w:w="0" w:type="dxa"/>
          <w:right w:w="0" w:type="dxa"/>
        </w:tblCellMar>
      </w:tblPr>
      <w:tr>
        <w:trPr>
          <w:trHeight w:val="192"/>
        </w:trPr>
        <w:tc>
          <w:tcPr>
            <w:tcW w:w="32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Three Months Ended October 31, 2013</w:t>
            </w:r>
          </w:p>
        </w:tc>
        <w:tc>
          <w:tcPr>
            <w:tcW w:w="12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Three Months Ended October 31, 2012</w:t>
            </w:r>
          </w:p>
        </w:tc>
        <w:tc>
          <w:tcPr>
            <w:tcW w:w="0" w:type="dxa"/>
            <w:vAlign w:val="bottom"/>
          </w:tcPr>
          <w:p>
            <w:pPr>
              <w:spacing w:after="0"/>
              <w:rPr>
                <w:sz w:val="1"/>
                <w:szCs w:val="1"/>
                <w:color w:val="auto"/>
              </w:rPr>
            </w:pPr>
          </w:p>
        </w:tc>
      </w:tr>
      <w:tr>
        <w:trPr>
          <w:trHeight w:val="152"/>
        </w:trPr>
        <w:tc>
          <w:tcPr>
            <w:tcW w:w="1860" w:type="dxa"/>
            <w:vAlign w:val="bottom"/>
          </w:tcPr>
          <w:p>
            <w:pPr>
              <w:jc w:val="center"/>
              <w:ind w:right="188"/>
              <w:spacing w:after="0" w:line="153" w:lineRule="exact"/>
              <w:rPr>
                <w:sz w:val="20"/>
                <w:szCs w:val="20"/>
                <w:color w:val="auto"/>
              </w:rPr>
            </w:pPr>
            <w:r>
              <w:rPr>
                <w:rFonts w:ascii="Arial" w:cs="Arial" w:eastAsia="Arial" w:hAnsi="Arial"/>
                <w:sz w:val="14"/>
                <w:szCs w:val="14"/>
                <w:b w:val="1"/>
                <w:bCs w:val="1"/>
                <w:color w:val="auto"/>
                <w:w w:val="93"/>
              </w:rPr>
              <w:t>Performance Stock Unit</w:t>
            </w:r>
          </w:p>
        </w:tc>
        <w:tc>
          <w:tcPr>
            <w:tcW w:w="14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ESP Plan</w:t>
            </w:r>
          </w:p>
        </w:tc>
        <w:tc>
          <w:tcPr>
            <w:tcW w:w="18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Stock Option (2)</w:t>
            </w:r>
          </w:p>
        </w:tc>
        <w:tc>
          <w:tcPr>
            <w:tcW w:w="14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86"/>
        </w:trPr>
        <w:tc>
          <w:tcPr>
            <w:tcW w:w="1860" w:type="dxa"/>
            <w:vAlign w:val="bottom"/>
          </w:tcPr>
          <w:p>
            <w:pPr>
              <w:jc w:val="right"/>
              <w:ind w:right="908"/>
              <w:spacing w:after="0"/>
              <w:rPr>
                <w:sz w:val="20"/>
                <w:szCs w:val="20"/>
                <w:color w:val="auto"/>
              </w:rPr>
            </w:pPr>
            <w:r>
              <w:rPr>
                <w:rFonts w:ascii="Arial" w:cs="Arial" w:eastAsia="Arial" w:hAnsi="Arial"/>
                <w:sz w:val="14"/>
                <w:szCs w:val="14"/>
                <w:b w:val="1"/>
                <w:bCs w:val="1"/>
                <w:color w:val="auto"/>
              </w:rPr>
              <w:t>(1)</w:t>
            </w:r>
          </w:p>
        </w:tc>
        <w:tc>
          <w:tcPr>
            <w:tcW w:w="1460" w:type="dxa"/>
            <w:vAlign w:val="bottom"/>
            <w:gridSpan w:val="2"/>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forfeitures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840" w:type="dxa"/>
            <w:vAlign w:val="bottom"/>
          </w:tcPr>
          <w:p>
            <w:pPr>
              <w:jc w:val="center"/>
              <w:ind w:right="162"/>
              <w:spacing w:after="0"/>
              <w:rPr>
                <w:sz w:val="20"/>
                <w:szCs w:val="20"/>
                <w:color w:val="auto"/>
              </w:rPr>
            </w:pPr>
            <w:r>
              <w:rPr>
                <w:rFonts w:ascii="Arial" w:cs="Arial" w:eastAsia="Arial" w:hAnsi="Arial"/>
                <w:sz w:val="16"/>
                <w:szCs w:val="16"/>
                <w:color w:val="auto"/>
              </w:rPr>
              <w:t>N/A</w:t>
            </w:r>
          </w:p>
        </w:tc>
        <w:tc>
          <w:tcPr>
            <w:tcW w:w="1360" w:type="dxa"/>
            <w:vAlign w:val="bottom"/>
          </w:tcPr>
          <w:p>
            <w:pPr>
              <w:jc w:val="center"/>
              <w:ind w:right="20"/>
              <w:spacing w:after="0"/>
              <w:rPr>
                <w:sz w:val="20"/>
                <w:szCs w:val="20"/>
                <w:color w:val="auto"/>
              </w:rPr>
            </w:pPr>
            <w:r>
              <w:rPr>
                <w:rFonts w:ascii="Arial" w:cs="Arial" w:eastAsia="Arial" w:hAnsi="Arial"/>
                <w:sz w:val="16"/>
                <w:szCs w:val="16"/>
                <w:color w:val="auto"/>
                <w:w w:val="90"/>
              </w:rPr>
              <w:t>30 - 35%</w:t>
            </w:r>
          </w:p>
        </w:tc>
        <w:tc>
          <w:tcPr>
            <w:tcW w:w="120" w:type="dxa"/>
            <w:vAlign w:val="bottom"/>
          </w:tcPr>
          <w:p>
            <w:pPr>
              <w:spacing w:after="0"/>
              <w:rPr>
                <w:sz w:val="17"/>
                <w:szCs w:val="17"/>
                <w:color w:val="auto"/>
              </w:rPr>
            </w:pPr>
          </w:p>
        </w:tc>
        <w:tc>
          <w:tcPr>
            <w:tcW w:w="1780" w:type="dxa"/>
            <w:vAlign w:val="bottom"/>
          </w:tcPr>
          <w:p>
            <w:pPr>
              <w:jc w:val="center"/>
              <w:ind w:right="22"/>
              <w:spacing w:after="0"/>
              <w:rPr>
                <w:sz w:val="20"/>
                <w:szCs w:val="20"/>
                <w:color w:val="auto"/>
              </w:rPr>
            </w:pPr>
            <w:r>
              <w:rPr>
                <w:rFonts w:ascii="Arial" w:cs="Arial" w:eastAsia="Arial" w:hAnsi="Arial"/>
                <w:sz w:val="16"/>
                <w:szCs w:val="16"/>
                <w:color w:val="auto"/>
                <w:w w:val="93"/>
              </w:rPr>
              <w:t>42 - 45%</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42 - 44%</w:t>
            </w:r>
          </w:p>
        </w:tc>
        <w:tc>
          <w:tcPr>
            <w:tcW w:w="0" w:type="dxa"/>
            <w:vAlign w:val="bottom"/>
          </w:tcPr>
          <w:p>
            <w:pPr>
              <w:spacing w:after="0"/>
              <w:rPr>
                <w:sz w:val="1"/>
                <w:szCs w:val="1"/>
                <w:color w:val="auto"/>
              </w:rPr>
            </w:pPr>
          </w:p>
        </w:tc>
      </w:tr>
      <w:tr>
        <w:trPr>
          <w:trHeight w:val="270"/>
        </w:trPr>
        <w:tc>
          <w:tcPr>
            <w:tcW w:w="1840" w:type="dxa"/>
            <w:vAlign w:val="bottom"/>
          </w:tcPr>
          <w:p>
            <w:pPr>
              <w:jc w:val="center"/>
              <w:ind w:right="162"/>
              <w:spacing w:after="0"/>
              <w:rPr>
                <w:sz w:val="20"/>
                <w:szCs w:val="20"/>
                <w:color w:val="auto"/>
              </w:rPr>
            </w:pPr>
            <w:r>
              <w:rPr>
                <w:rFonts w:ascii="Arial" w:cs="Arial" w:eastAsia="Arial" w:hAnsi="Arial"/>
                <w:sz w:val="16"/>
                <w:szCs w:val="16"/>
                <w:color w:val="auto"/>
              </w:rPr>
              <w:t>N/A</w:t>
            </w:r>
          </w:p>
        </w:tc>
        <w:tc>
          <w:tcPr>
            <w:tcW w:w="1360" w:type="dxa"/>
            <w:vAlign w:val="bottom"/>
          </w:tcPr>
          <w:p>
            <w:pPr>
              <w:jc w:val="center"/>
              <w:ind w:right="20"/>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780" w:type="dxa"/>
            <w:vAlign w:val="bottom"/>
          </w:tcPr>
          <w:p>
            <w:pPr>
              <w:jc w:val="center"/>
              <w:ind w:right="2"/>
              <w:spacing w:after="0"/>
              <w:rPr>
                <w:sz w:val="20"/>
                <w:szCs w:val="20"/>
                <w:color w:val="auto"/>
              </w:rPr>
            </w:pPr>
            <w:r>
              <w:rPr>
                <w:rFonts w:ascii="Arial" w:cs="Arial" w:eastAsia="Arial" w:hAnsi="Arial"/>
                <w:sz w:val="16"/>
                <w:szCs w:val="16"/>
                <w:color w:val="auto"/>
                <w:w w:val="91"/>
              </w:rPr>
              <w:t>3.6 - 4.2</w:t>
            </w: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840" w:type="dxa"/>
            <w:vAlign w:val="bottom"/>
          </w:tcPr>
          <w:p>
            <w:pPr>
              <w:jc w:val="center"/>
              <w:ind w:right="162"/>
              <w:spacing w:after="0"/>
              <w:rPr>
                <w:sz w:val="20"/>
                <w:szCs w:val="20"/>
                <w:color w:val="auto"/>
              </w:rPr>
            </w:pPr>
            <w:r>
              <w:rPr>
                <w:rFonts w:ascii="Arial" w:cs="Arial" w:eastAsia="Arial" w:hAnsi="Arial"/>
                <w:sz w:val="16"/>
                <w:szCs w:val="16"/>
                <w:color w:val="auto"/>
              </w:rPr>
              <w:t>N/A</w:t>
            </w: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1780" w:type="dxa"/>
            <w:vAlign w:val="bottom"/>
          </w:tcPr>
          <w:p>
            <w:pPr>
              <w:jc w:val="center"/>
              <w:ind w:right="2"/>
              <w:spacing w:after="0"/>
              <w:rPr>
                <w:sz w:val="20"/>
                <w:szCs w:val="20"/>
                <w:color w:val="auto"/>
              </w:rPr>
            </w:pPr>
            <w:r>
              <w:rPr>
                <w:rFonts w:ascii="Arial" w:cs="Arial" w:eastAsia="Arial" w:hAnsi="Arial"/>
                <w:sz w:val="16"/>
                <w:szCs w:val="16"/>
                <w:color w:val="auto"/>
                <w:w w:val="99"/>
              </w:rPr>
              <w: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840" w:type="dxa"/>
            <w:vAlign w:val="bottom"/>
          </w:tcPr>
          <w:p>
            <w:pPr>
              <w:jc w:val="center"/>
              <w:ind w:right="162"/>
              <w:spacing w:after="0"/>
              <w:rPr>
                <w:sz w:val="20"/>
                <w:szCs w:val="20"/>
                <w:color w:val="auto"/>
              </w:rPr>
            </w:pPr>
            <w:r>
              <w:rPr>
                <w:rFonts w:ascii="Arial" w:cs="Arial" w:eastAsia="Arial" w:hAnsi="Arial"/>
                <w:sz w:val="16"/>
                <w:szCs w:val="16"/>
                <w:color w:val="auto"/>
              </w:rPr>
              <w:t>N/A</w:t>
            </w:r>
          </w:p>
        </w:tc>
        <w:tc>
          <w:tcPr>
            <w:tcW w:w="1360" w:type="dxa"/>
            <w:vAlign w:val="bottom"/>
          </w:tcPr>
          <w:p>
            <w:pPr>
              <w:jc w:val="center"/>
              <w:ind w:right="40"/>
              <w:spacing w:after="0"/>
              <w:rPr>
                <w:sz w:val="20"/>
                <w:szCs w:val="20"/>
                <w:color w:val="auto"/>
              </w:rPr>
            </w:pPr>
            <w:r>
              <w:rPr>
                <w:rFonts w:ascii="Arial" w:cs="Arial" w:eastAsia="Arial" w:hAnsi="Arial"/>
                <w:sz w:val="16"/>
                <w:szCs w:val="16"/>
                <w:color w:val="auto"/>
                <w:w w:val="93"/>
              </w:rPr>
              <w:t>0.1 - 0.4%</w:t>
            </w:r>
          </w:p>
        </w:tc>
        <w:tc>
          <w:tcPr>
            <w:tcW w:w="120" w:type="dxa"/>
            <w:vAlign w:val="bottom"/>
          </w:tcPr>
          <w:p>
            <w:pPr>
              <w:spacing w:after="0"/>
              <w:rPr>
                <w:sz w:val="23"/>
                <w:szCs w:val="23"/>
                <w:color w:val="auto"/>
              </w:rPr>
            </w:pPr>
          </w:p>
        </w:tc>
        <w:tc>
          <w:tcPr>
            <w:tcW w:w="1780" w:type="dxa"/>
            <w:vAlign w:val="bottom"/>
          </w:tcPr>
          <w:p>
            <w:pPr>
              <w:jc w:val="center"/>
              <w:ind w:right="2"/>
              <w:spacing w:after="0"/>
              <w:rPr>
                <w:sz w:val="20"/>
                <w:szCs w:val="20"/>
                <w:color w:val="auto"/>
              </w:rPr>
            </w:pPr>
            <w:r>
              <w:rPr>
                <w:rFonts w:ascii="Arial" w:cs="Arial" w:eastAsia="Arial" w:hAnsi="Arial"/>
                <w:sz w:val="16"/>
                <w:szCs w:val="16"/>
                <w:color w:val="auto"/>
                <w:w w:val="93"/>
              </w:rPr>
              <w:t>0.5%</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0.1 - 0.3%</w:t>
            </w:r>
          </w:p>
        </w:tc>
        <w:tc>
          <w:tcPr>
            <w:tcW w:w="0" w:type="dxa"/>
            <w:vAlign w:val="bottom"/>
          </w:tcPr>
          <w:p>
            <w:pPr>
              <w:spacing w:after="0"/>
              <w:rPr>
                <w:sz w:val="1"/>
                <w:szCs w:val="1"/>
                <w:color w:val="auto"/>
              </w:rPr>
            </w:pPr>
          </w:p>
        </w:tc>
      </w:tr>
      <w:tr>
        <w:trPr>
          <w:trHeight w:val="270"/>
        </w:trPr>
        <w:tc>
          <w:tcPr>
            <w:tcW w:w="1840" w:type="dxa"/>
            <w:vAlign w:val="bottom"/>
          </w:tcPr>
          <w:p>
            <w:pPr>
              <w:jc w:val="center"/>
              <w:ind w:right="162"/>
              <w:spacing w:after="0"/>
              <w:rPr>
                <w:sz w:val="20"/>
                <w:szCs w:val="20"/>
                <w:color w:val="auto"/>
              </w:rPr>
            </w:pPr>
            <w:r>
              <w:rPr>
                <w:rFonts w:ascii="Arial" w:cs="Arial" w:eastAsia="Arial" w:hAnsi="Arial"/>
                <w:sz w:val="16"/>
                <w:szCs w:val="16"/>
                <w:color w:val="auto"/>
              </w:rPr>
              <w:t>N/A</w:t>
            </w:r>
          </w:p>
        </w:tc>
        <w:tc>
          <w:tcPr>
            <w:tcW w:w="1360" w:type="dxa"/>
            <w:vAlign w:val="bottom"/>
          </w:tcPr>
          <w:p>
            <w:pPr>
              <w:jc w:val="center"/>
              <w:ind w:right="20"/>
              <w:spacing w:after="0"/>
              <w:rPr>
                <w:sz w:val="20"/>
                <w:szCs w:val="20"/>
                <w:color w:val="auto"/>
              </w:rPr>
            </w:pPr>
            <w:r>
              <w:rPr>
                <w:rFonts w:ascii="Arial" w:cs="Arial" w:eastAsia="Arial" w:hAnsi="Arial"/>
                <w:sz w:val="16"/>
                <w:szCs w:val="16"/>
                <w:color w:val="auto"/>
                <w:w w:val="93"/>
              </w:rPr>
              <w:t>7.2%</w:t>
            </w:r>
          </w:p>
        </w:tc>
        <w:tc>
          <w:tcPr>
            <w:tcW w:w="120" w:type="dxa"/>
            <w:vAlign w:val="bottom"/>
          </w:tcPr>
          <w:p>
            <w:pPr>
              <w:spacing w:after="0"/>
              <w:rPr>
                <w:sz w:val="23"/>
                <w:szCs w:val="23"/>
                <w:color w:val="auto"/>
              </w:rPr>
            </w:pPr>
          </w:p>
        </w:tc>
        <w:tc>
          <w:tcPr>
            <w:tcW w:w="1780" w:type="dxa"/>
            <w:vAlign w:val="bottom"/>
          </w:tcPr>
          <w:p>
            <w:pPr>
              <w:jc w:val="center"/>
              <w:ind w:right="2"/>
              <w:spacing w:after="0"/>
              <w:rPr>
                <w:sz w:val="20"/>
                <w:szCs w:val="20"/>
                <w:color w:val="auto"/>
              </w:rPr>
            </w:pPr>
            <w:r>
              <w:rPr>
                <w:rFonts w:ascii="Arial" w:cs="Arial" w:eastAsia="Arial" w:hAnsi="Arial"/>
                <w:sz w:val="16"/>
                <w:szCs w:val="16"/>
                <w:color w:val="auto"/>
                <w:w w:val="93"/>
              </w:rPr>
              <w:t>7.7%</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7.7%</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Nine Months Ended October 31, 2013</w:t>
            </w:r>
          </w:p>
        </w:tc>
        <w:tc>
          <w:tcPr>
            <w:tcW w:w="120" w:type="dxa"/>
            <w:vAlign w:val="bottom"/>
          </w:tcPr>
          <w:p>
            <w:pPr>
              <w:spacing w:after="0"/>
              <w:rPr>
                <w:sz w:val="24"/>
                <w:szCs w:val="24"/>
                <w:color w:val="auto"/>
              </w:rPr>
            </w:pPr>
          </w:p>
        </w:tc>
        <w:tc>
          <w:tcPr>
            <w:tcW w:w="328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Nine Months Ended October 31, 2012</w:t>
            </w:r>
          </w:p>
        </w:tc>
        <w:tc>
          <w:tcPr>
            <w:tcW w:w="0" w:type="dxa"/>
            <w:vAlign w:val="bottom"/>
          </w:tcPr>
          <w:p>
            <w:pPr>
              <w:spacing w:after="0"/>
              <w:rPr>
                <w:sz w:val="1"/>
                <w:szCs w:val="1"/>
                <w:color w:val="auto"/>
              </w:rPr>
            </w:pPr>
          </w:p>
        </w:tc>
      </w:tr>
      <w:tr>
        <w:trPr>
          <w:trHeight w:val="152"/>
        </w:trPr>
        <w:tc>
          <w:tcPr>
            <w:tcW w:w="1840" w:type="dxa"/>
            <w:vAlign w:val="bottom"/>
          </w:tcPr>
          <w:p>
            <w:pPr>
              <w:jc w:val="center"/>
              <w:ind w:right="162"/>
              <w:spacing w:after="0" w:line="153" w:lineRule="exact"/>
              <w:rPr>
                <w:sz w:val="20"/>
                <w:szCs w:val="20"/>
                <w:color w:val="auto"/>
              </w:rPr>
            </w:pPr>
            <w:r>
              <w:rPr>
                <w:rFonts w:ascii="Arial" w:cs="Arial" w:eastAsia="Arial" w:hAnsi="Arial"/>
                <w:sz w:val="14"/>
                <w:szCs w:val="14"/>
                <w:b w:val="1"/>
                <w:bCs w:val="1"/>
                <w:color w:val="auto"/>
                <w:w w:val="93"/>
              </w:rPr>
              <w:t>Performance Stock Unit</w:t>
            </w:r>
          </w:p>
        </w:tc>
        <w:tc>
          <w:tcPr>
            <w:tcW w:w="14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ESP Plan</w:t>
            </w:r>
          </w:p>
        </w:tc>
        <w:tc>
          <w:tcPr>
            <w:tcW w:w="17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Stock Option (2)</w:t>
            </w:r>
          </w:p>
        </w:tc>
        <w:tc>
          <w:tcPr>
            <w:tcW w:w="15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86"/>
        </w:trPr>
        <w:tc>
          <w:tcPr>
            <w:tcW w:w="184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(1)</w:t>
            </w:r>
          </w:p>
        </w:tc>
        <w:tc>
          <w:tcPr>
            <w:tcW w:w="1480" w:type="dxa"/>
            <w:vAlign w:val="bottom"/>
            <w:gridSpan w:val="2"/>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-909320</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-566420</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80" w:space="720"/>
            <w:col w:w="6600"/>
          </w:cols>
          <w:pgMar w:left="240" w:top="800" w:right="25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- 44%</w:t>
            </w: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74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460" w:type="dxa"/>
            <w:vAlign w:val="bottom"/>
            <w:gridSpan w:val="2"/>
          </w:tcPr>
          <w:p>
            <w:pPr>
              <w:jc w:val="right"/>
              <w:ind w:right="379"/>
              <w:spacing w:after="0"/>
              <w:rPr>
                <w:sz w:val="20"/>
                <w:szCs w:val="20"/>
                <w:color w:val="auto"/>
              </w:rPr>
            </w:pPr>
            <w:r>
              <w:rPr>
                <w:rFonts w:ascii="Arial" w:cs="Arial" w:eastAsia="Arial" w:hAnsi="Arial"/>
                <w:sz w:val="16"/>
                <w:szCs w:val="16"/>
                <w:color w:val="auto"/>
              </w:rPr>
              <w:t>0.5 - 2.0</w:t>
            </w:r>
          </w:p>
        </w:tc>
        <w:tc>
          <w:tcPr>
            <w:tcW w:w="120" w:type="dxa"/>
            <w:vAlign w:val="bottom"/>
          </w:tcPr>
          <w:p>
            <w:pPr>
              <w:spacing w:after="0"/>
              <w:rPr>
                <w:sz w:val="20"/>
                <w:szCs w:val="20"/>
                <w:color w:val="auto"/>
              </w:rPr>
            </w:pPr>
          </w:p>
        </w:tc>
        <w:tc>
          <w:tcPr>
            <w:tcW w:w="1700" w:type="dxa"/>
            <w:vAlign w:val="bottom"/>
            <w:gridSpan w:val="2"/>
          </w:tcPr>
          <w:p>
            <w:pPr>
              <w:jc w:val="right"/>
              <w:ind w:right="499"/>
              <w:spacing w:after="0"/>
              <w:rPr>
                <w:sz w:val="20"/>
                <w:szCs w:val="20"/>
                <w:color w:val="auto"/>
              </w:rPr>
            </w:pPr>
            <w:r>
              <w:rPr>
                <w:rFonts w:ascii="Arial" w:cs="Arial" w:eastAsia="Arial" w:hAnsi="Arial"/>
                <w:sz w:val="16"/>
                <w:szCs w:val="16"/>
                <w:color w:val="auto"/>
              </w:rPr>
              <w:t>3.6 - 4.6</w:t>
            </w:r>
          </w:p>
        </w:tc>
        <w:tc>
          <w:tcPr>
            <w:tcW w:w="100" w:type="dxa"/>
            <w:vAlign w:val="bottom"/>
          </w:tcPr>
          <w:p>
            <w:pPr>
              <w:spacing w:after="0"/>
              <w:rPr>
                <w:sz w:val="20"/>
                <w:szCs w:val="20"/>
                <w:color w:val="auto"/>
              </w:rPr>
            </w:pPr>
          </w:p>
        </w:tc>
        <w:tc>
          <w:tcPr>
            <w:tcW w:w="1480" w:type="dxa"/>
            <w:vAlign w:val="bottom"/>
            <w:gridSpan w:val="2"/>
          </w:tcPr>
          <w:p>
            <w:pPr>
              <w:jc w:val="right"/>
              <w:ind w:right="399"/>
              <w:spacing w:after="0"/>
              <w:rPr>
                <w:sz w:val="20"/>
                <w:szCs w:val="20"/>
                <w:color w:val="auto"/>
              </w:rPr>
            </w:pPr>
            <w:r>
              <w:rPr>
                <w:rFonts w:ascii="Arial" w:cs="Arial" w:eastAsia="Arial" w:hAnsi="Arial"/>
                <w:sz w:val="16"/>
                <w:szCs w:val="16"/>
                <w:color w:val="auto"/>
              </w:rPr>
              <w:t>0.5 - 2.0</w:t>
            </w:r>
          </w:p>
        </w:tc>
      </w:tr>
      <w:tr>
        <w:trPr>
          <w:trHeight w:val="33"/>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80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840" w:type="dxa"/>
            <w:vAlign w:val="bottom"/>
          </w:tcPr>
          <w:p>
            <w:pPr>
              <w:ind w:left="20"/>
              <w:spacing w:after="0"/>
              <w:rPr>
                <w:sz w:val="20"/>
                <w:szCs w:val="20"/>
                <w:color w:val="auto"/>
              </w:rPr>
            </w:pPr>
            <w:r>
              <w:rPr>
                <w:rFonts w:ascii="Arial" w:cs="Arial" w:eastAsia="Arial" w:hAnsi="Arial"/>
                <w:sz w:val="16"/>
                <w:szCs w:val="16"/>
                <w:color w:val="auto"/>
              </w:rPr>
              <w:t>- 0.4%</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0.5</w:t>
            </w:r>
          </w:p>
        </w:tc>
        <w:tc>
          <w:tcPr>
            <w:tcW w:w="980" w:type="dxa"/>
            <w:vAlign w:val="bottom"/>
          </w:tcPr>
          <w:p>
            <w:pPr>
              <w:ind w:left="20"/>
              <w:spacing w:after="0"/>
              <w:rPr>
                <w:sz w:val="20"/>
                <w:szCs w:val="20"/>
                <w:color w:val="auto"/>
              </w:rPr>
            </w:pPr>
            <w:r>
              <w:rPr>
                <w:rFonts w:ascii="Arial" w:cs="Arial" w:eastAsia="Arial" w:hAnsi="Arial"/>
                <w:sz w:val="16"/>
                <w:szCs w:val="16"/>
                <w:color w:val="auto"/>
              </w:rPr>
              <w:t>- 0.8%</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860" w:type="dxa"/>
            <w:vAlign w:val="bottom"/>
          </w:tcPr>
          <w:p>
            <w:pPr>
              <w:ind w:left="20"/>
              <w:spacing w:after="0"/>
              <w:rPr>
                <w:sz w:val="20"/>
                <w:szCs w:val="20"/>
                <w:color w:val="auto"/>
              </w:rPr>
            </w:pPr>
            <w:r>
              <w:rPr>
                <w:rFonts w:ascii="Arial" w:cs="Arial" w:eastAsia="Arial" w:hAnsi="Arial"/>
                <w:sz w:val="16"/>
                <w:szCs w:val="16"/>
                <w:color w:val="auto"/>
              </w:rPr>
              <w:t>- 0.3%</w:t>
            </w:r>
          </w:p>
        </w:tc>
      </w:tr>
      <w:tr>
        <w:trPr>
          <w:trHeight w:val="33"/>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forfeitures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7.2 - 7.7%</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- 7.7%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- 7.8%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- 7.8%</w:t>
            </w:r>
          </w:p>
        </w:tc>
      </w:tr>
      <w:tr>
        <w:trPr>
          <w:trHeight w:val="193"/>
        </w:trPr>
        <w:tc>
          <w:tcPr>
            <w:tcW w:w="4800" w:type="dxa"/>
            <w:vAlign w:val="bottom"/>
          </w:tcPr>
          <w:p>
            <w:pPr>
              <w:ind w:left="40"/>
              <w:spacing w:after="0"/>
              <w:rPr>
                <w:sz w:val="20"/>
                <w:szCs w:val="20"/>
                <w:color w:val="auto"/>
              </w:rPr>
            </w:pPr>
            <w:r>
              <w:rPr>
                <w:rFonts w:ascii="Arial" w:cs="Arial" w:eastAsia="Arial" w:hAnsi="Arial"/>
                <w:sz w:val="16"/>
                <w:szCs w:val="16"/>
                <w:color w:val="auto"/>
              </w:rPr>
              <w:t>_______________</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ind w:left="420" w:right="180" w:hanging="412"/>
        <w:spacing w:after="0" w:line="246"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Autodesk did not grant PSUs in the three and nine months ended October 31, 2012 that were subject to market conditions. In addition, Autodesk did not grant PSUs in the three months ended October 31, 2013 that were subject to market conditions.</w:t>
      </w:r>
    </w:p>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Autodesk did not grant stock options in the three and nine months ended October 31, 2013.</w:t>
      </w:r>
    </w:p>
    <w:p>
      <w:pPr>
        <w:spacing w:after="0" w:line="20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Black-Scholes-Merton option pricing model and the Monte Carlo simulation model.</w:t>
      </w:r>
    </w:p>
    <w:p>
      <w:pPr>
        <w:spacing w:after="0" w:line="17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risk-free interest rate used in the Black-Scholes-Merton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Autodesk’s effective tax rate was 17% and 22% during the three and nine months ended October 31, 2013, respectively, compared to 14% and 23% during the three and nine months ended October 31, 2012, respectively. Autodesk's effective tax rate increased 3% during the three months ended October 31, 2013 as compared to the same period in the prior fiscal year primarily due to adjustments related to tax return filings partially offset by stock-based compensation expense. Autodesk's effective tax</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00" w:right="259" w:bottom="1440" w:gutter="0" w:footer="0" w:header="0"/>
          <w:type w:val="continuous"/>
        </w:sectPr>
      </w:pPr>
    </w:p>
    <w:bookmarkStart w:id="18" w:name="page19"/>
    <w:bookmarkEnd w:id="18"/>
    <w:p>
      <w:pPr>
        <w:ind w:right="100"/>
        <w:spacing w:after="0" w:line="279" w:lineRule="auto"/>
        <w:rPr>
          <w:sz w:val="20"/>
          <w:szCs w:val="20"/>
          <w:color w:val="auto"/>
        </w:rPr>
      </w:pPr>
      <w:r>
        <w:rPr>
          <w:rFonts w:ascii="Arial" w:cs="Arial" w:eastAsia="Arial" w:hAnsi="Arial"/>
          <w:sz w:val="17"/>
          <w:szCs w:val="17"/>
          <w:color w:val="auto"/>
        </w:rPr>
        <w:t>rate decreased 1% during the nine months ended October 31, 2013 as compared to the same period in the prior fiscal year primarily due to foreign income taxed at lower rates and tax benefits from the reinstated federal research credit. Excluding the impact of discrete tax items, the effective tax rate for each of the three and nine month periods ended October 31, 2013 was 22% and was lower than the Federal statutory tax rate of 35% primarily due to foreign income taxed at lower rates partially offset by the impact of non-deductible stock based compensation expense.</w:t>
      </w:r>
    </w:p>
    <w:p>
      <w:pPr>
        <w:spacing w:after="0" w:line="17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As of October 31, 2013, the Company had $221.7 million of gross unrecognized tax benefits, excluding interest, of which approximately $214.0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166"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At October 31, 2013, Autodesk had net deferred tax assets of $171.8 million. The Company believes that it will generate sufficient future taxable income in appropriate tax jurisdictions to realize these assets.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During the nine months ended October 31, 2013, Autodesk completed a total of ten business combinations and technology acquisitions for total cash consideration of approximately $68.3 million. The results of operations for the following acquisitions are included in the accompanying Condensed Consolidated Statement of Operations since their respective acquisition dates. Pro forma results of operations have not been presented because the effects of the acquisitions, individually and in the aggregate, were not material to Autodesk’s Condensed Consolidated Financial Statements.</w:t>
      </w:r>
    </w:p>
    <w:p>
      <w:pPr>
        <w:spacing w:after="0" w:line="154"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w:t>
      </w:r>
    </w:p>
    <w:p>
      <w:pPr>
        <w:spacing w:after="0" w:line="147"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and technology acquisitions completed during the nine months ended October 31,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r>
      <w:tr>
        <w:trPr>
          <w:trHeight w:val="237"/>
        </w:trPr>
        <w:tc>
          <w:tcPr>
            <w:tcW w:w="1046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3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2.6</w:t>
            </w:r>
          </w:p>
        </w:tc>
      </w:tr>
      <w:tr>
        <w:trPr>
          <w:trHeight w:val="33"/>
        </w:trPr>
        <w:tc>
          <w:tcPr>
            <w:tcW w:w="10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r>
      <w:tr>
        <w:trPr>
          <w:trHeight w:val="237"/>
        </w:trPr>
        <w:tc>
          <w:tcPr>
            <w:tcW w:w="1046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50.7</w:t>
            </w:r>
          </w:p>
        </w:tc>
      </w:tr>
      <w:tr>
        <w:trPr>
          <w:trHeight w:val="33"/>
        </w:trPr>
        <w:tc>
          <w:tcPr>
            <w:tcW w:w="10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r>
      <w:tr>
        <w:trPr>
          <w:trHeight w:val="237"/>
        </w:trPr>
        <w:tc>
          <w:tcPr>
            <w:tcW w:w="10460" w:type="dxa"/>
            <w:vAlign w:val="bottom"/>
          </w:tcPr>
          <w:p>
            <w:pPr>
              <w:ind w:left="40"/>
              <w:spacing w:after="0"/>
              <w:rPr>
                <w:sz w:val="20"/>
                <w:szCs w:val="20"/>
                <w:color w:val="auto"/>
              </w:rPr>
            </w:pPr>
            <w:r>
              <w:rPr>
                <w:rFonts w:ascii="Arial" w:cs="Arial" w:eastAsia="Arial" w:hAnsi="Arial"/>
                <w:sz w:val="16"/>
                <w:szCs w:val="16"/>
                <w:color w:val="auto"/>
              </w:rPr>
              <w:t>Net tangible assets</w:t>
            </w:r>
          </w:p>
        </w:tc>
        <w:tc>
          <w:tcPr>
            <w:tcW w:w="3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1.5</w:t>
            </w:r>
          </w:p>
        </w:tc>
      </w:tr>
      <w:tr>
        <w:trPr>
          <w:trHeight w:val="33"/>
        </w:trPr>
        <w:tc>
          <w:tcPr>
            <w:tcW w:w="10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10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r>
      <w:tr>
        <w:trPr>
          <w:trHeight w:val="20"/>
        </w:trPr>
        <w:tc>
          <w:tcPr>
            <w:tcW w:w="10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Other intangible assets that include purchased technologies, customer relationships, trade names, patents, user lists and the related accumulated amortization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2013</w:t>
            </w:r>
          </w:p>
        </w:tc>
        <w:tc>
          <w:tcPr>
            <w:tcW w:w="14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2013</w:t>
            </w:r>
          </w:p>
        </w:tc>
        <w:tc>
          <w:tcPr>
            <w:tcW w:w="0" w:type="dxa"/>
            <w:vAlign w:val="bottom"/>
          </w:tcPr>
          <w:p>
            <w:pPr>
              <w:spacing w:after="0"/>
              <w:rPr>
                <w:sz w:val="1"/>
                <w:szCs w:val="1"/>
                <w:color w:val="auto"/>
              </w:rPr>
            </w:pPr>
          </w:p>
        </w:tc>
      </w:tr>
      <w:tr>
        <w:trPr>
          <w:trHeight w:val="236"/>
        </w:trPr>
        <w:tc>
          <w:tcPr>
            <w:tcW w:w="8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Purchased technologies, at cost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Customer relationships, trade names, patents, and user list, at cost (1)</w:t>
            </w:r>
          </w:p>
        </w:tc>
        <w:tc>
          <w:tcPr>
            <w:tcW w:w="16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264.0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706.0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690.5</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(546.3)</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0" w:hanging="412"/>
        <w:spacing w:after="0" w:line="263"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 Customer relationships and trade names include the effects of foreign currency translation.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during the nine months ended October 31, 2013,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Architecture,</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2013</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310.3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389.9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1,020.7</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310.3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871.5</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 arising from other acquisitions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20"/>
        </w:trPr>
        <w:tc>
          <w:tcPr>
            <w:tcW w:w="3500" w:type="dxa"/>
            <w:vAlign w:val="bottom"/>
          </w:tcPr>
          <w:p>
            <w:pPr>
              <w:ind w:left="380"/>
              <w:spacing w:after="0"/>
              <w:rPr>
                <w:sz w:val="20"/>
                <w:szCs w:val="20"/>
                <w:color w:val="auto"/>
              </w:rPr>
            </w:pPr>
            <w:r>
              <w:rPr>
                <w:rFonts w:ascii="Arial" w:cs="Arial" w:eastAsia="Arial" w:hAnsi="Arial"/>
                <w:sz w:val="16"/>
                <w:szCs w:val="16"/>
                <w:color w:val="auto"/>
              </w:rPr>
              <w:t>Effect of foreign currency translation and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tcPr>
          <w:p>
            <w:pPr>
              <w:ind w:left="540"/>
              <w:spacing w:after="0"/>
              <w:rPr>
                <w:sz w:val="20"/>
                <w:szCs w:val="20"/>
                <w:color w:val="auto"/>
              </w:rPr>
            </w:pPr>
            <w:r>
              <w:rPr>
                <w:rFonts w:ascii="Arial" w:cs="Arial" w:eastAsia="Arial" w:hAnsi="Arial"/>
                <w:sz w:val="16"/>
                <w:szCs w:val="16"/>
                <w:color w:val="auto"/>
              </w:rPr>
              <w:t>purchase accounting adjustments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October 31, 2013</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140.8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339.4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400.3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1,071.5</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140.8</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339.4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400.3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922.3</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For purposes of the goodwill impairment test, a reporting unit is an operating segment or one level below. Autodesk's operating segments are aligned with the management principles of Autodesk's business.</w:t>
      </w:r>
    </w:p>
    <w:p>
      <w:pPr>
        <w:spacing w:after="0" w:line="18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When assessing goodwill for impairment, Autodesk first assesses qualitative factors to determine whether the existence of events or circumstances leads to a determination that it is more likely than not that the fair value of a reporting unit is less than its carrying amount. Qualitative factors considered in this assessment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a two-step quantitative impairment test is unnecessary. If a two-step quantitative impairment test is necessary,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At October 31, 2013, Autodesk had marketable securities totaling $1,005.6 million, of which $42.3 million related to investments in debt and equity securities that are held in a rabbi trust under non-qualified deferred compensation plans. The total related deferred compensation liability was $42.3 million at October 31, 2013, of which $4.6 million was classified as current and $37.7 million was classified as non-current liabilities. The value of debt and equity securities held in the rabbi trust at January 31, 2013 was $35.3 million. The total related deferred compensation liability at January 31, 2013 was $35.3 million, of which $3.9 million was classified as current and $31.4 million was classified as non-current liabilities. The current and non-current portions of the liability are recorded in the Condensed Consolidated Balance Sheets under “Accrued compensation” and “Other liabilities,”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p>
      <w:pPr>
        <w:jc w:val="right"/>
        <w:ind w:right="340"/>
        <w:spacing w:after="0"/>
        <w:tabs>
          <w:tab w:leader="none" w:pos="1040" w:val="left"/>
        </w:tabs>
        <w:rPr>
          <w:sz w:val="20"/>
          <w:szCs w:val="20"/>
          <w:color w:val="auto"/>
        </w:rPr>
      </w:pPr>
      <w:r>
        <w:rPr>
          <w:rFonts w:ascii="Arial" w:cs="Arial" w:eastAsia="Arial" w:hAnsi="Arial"/>
          <w:sz w:val="14"/>
          <w:szCs w:val="14"/>
          <w:b w:val="1"/>
          <w:bCs w:val="1"/>
          <w:color w:val="auto"/>
        </w:rPr>
        <w:t>October 31, 2013</w:t>
      </w:r>
      <w:r>
        <w:rPr>
          <w:sz w:val="20"/>
          <w:szCs w:val="20"/>
          <w:color w:val="auto"/>
        </w:rPr>
        <w:tab/>
      </w:r>
      <w:r>
        <w:rPr>
          <w:rFonts w:ascii="Arial" w:cs="Arial" w:eastAsia="Arial" w:hAnsi="Arial"/>
          <w:sz w:val="13"/>
          <w:szCs w:val="13"/>
          <w:b w:val="1"/>
          <w:bCs w:val="1"/>
          <w:color w:val="auto"/>
        </w:rPr>
        <w:t>January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660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software,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hardware,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Leasehold improvements, land and buildings,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Furniture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66" w:lineRule="exact"/>
        <w:rPr>
          <w:sz w:val="20"/>
          <w:szCs w:val="20"/>
          <w:color w:val="auto"/>
        </w:rPr>
      </w:pPr>
    </w:p>
    <w:p>
      <w:pPr>
        <w:ind w:left="120" w:right="3200" w:hanging="80"/>
        <w:spacing w:after="0" w:line="293" w:lineRule="auto"/>
        <w:rPr>
          <w:sz w:val="20"/>
          <w:szCs w:val="20"/>
          <w:color w:val="auto"/>
        </w:rPr>
      </w:pPr>
      <w:r>
        <w:rPr>
          <w:rFonts w:ascii="Arial" w:cs="Arial" w:eastAsia="Arial" w:hAnsi="Arial"/>
          <w:sz w:val="16"/>
          <w:szCs w:val="16"/>
          <w:color w:val="auto"/>
        </w:rPr>
        <w:t>Computer software, hardware, leasehold improvements, furniture and equipment, net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95.1</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152.3</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152.4</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46.0</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451.7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445.8</w:t>
            </w:r>
          </w:p>
        </w:tc>
      </w:tr>
      <w:tr>
        <w:trPr>
          <w:trHeight w:val="270"/>
        </w:trPr>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(317.6)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(330.9)</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93"/>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134.1</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114.9</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80" w:space="720"/>
            <w:col w:w="3180"/>
          </w:cols>
          <w:pgMar w:left="240" w:top="584" w:right="2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senior notes due December 15, 2017 and $350.0 million aggregate principal amount of 3.6% senior notes due December 15, 2022, (collectively, the “Senior Notes”). Autodesk received net proceeds of $739.3 million from issuance of the Senior Notes, net of a discount of $4.5 million and issuance costs of $6.1 million. Both the discount and issuance costs are being amortized to interest expense over the respective terms of the Senior Notes using the effective interest method. The proceeds of the Senior Notes are available for general corporate purposes. Autodesk may redeem the Senior Notes at any time, subject to a make whole premium. In addition, upon the occurrence of certain change of control triggering events, Autodesk may be required to repurchase the Senior Notes, at a price equal to 101% of their principal amount, plus accrued and unpaid interest to the date of repurchase. The Senior Notes contain restrictive covenants that limit Autodesk's ability to create certain liens, to enter into certain sale and leaseback transactions and to consolidate or merge with, or convey, transfer or lease all or substantially all of its assets, subject to significant qualifications and exceptions. Based on quoted market prices, the fair value of the Senior Notes was approximately $730.7 million as of October 31, 2013.</w:t>
      </w:r>
    </w:p>
    <w:p>
      <w:pPr>
        <w:spacing w:after="0" w:line="178"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line of credit is syndicated with various financial institutions, including Citibank, N.A., an affiliate of Citigroup, which is one of the lead lenders and an agent. In May 2013, Autodesk amended and restated the credit agreement extending the facility's maturity date from May 2016 to May 2018 and reducing facility fees and lowering borrowing costs by aligning margins with our recent public investment grade credit ratings. At October 31, 2013, Autodesk had no outstanding borrowings on this line of credit.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During the third quarter of fiscal 2014, the Board of Directors of the Company approved a world-wide restructuring plan in order to re-balance staffing levels to better align them with the evolving needs of the business. The Company authorized plan included a reduction of approximately 85 positions and the consolidation of four leased facilities, with a total cost of approximately $15.0 million ("Fiscal 2014 Plan"). The Company expects to substantially pay the one-time termination benefits and facility related liabilities related to the Fiscal 2014 Plan by the end of its first quarter of fiscal 2015.</w:t>
      </w:r>
    </w:p>
    <w:p>
      <w:pPr>
        <w:spacing w:after="0" w:line="15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During the third quarter of fiscal 2013, the Board of Directors of the Company approved a world-wide restructuring plan in line with the Company's strategy, including its continuing shift to cloud and mobile computing ("Fiscal 2013 Plan"). The approved plan resulted in a reduction of approximately 500 positions and the consolidation of eight leased facilities, with an aggregate charge of $46.2 million to date. As of October 31, 2013, the personnel and facilities related actions included in this restructuring plan were substantially complete.</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During the three and nine months ended October 31, 2013, Autodesk recorded restructuring charges of $4.4 million and $6.5 million, respectively.</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4" w:right="279" w:bottom="1440" w:gutter="0" w:footer="0" w:header="0"/>
          <w:type w:val="continuous"/>
        </w:sectPr>
      </w:pPr>
    </w:p>
    <w:bookmarkStart w:id="21" w:name="page22"/>
    <w:bookmarkEnd w:id="21"/>
    <w:p>
      <w:pPr>
        <w:ind w:left="420"/>
        <w:spacing w:after="0"/>
        <w:rPr>
          <w:sz w:val="20"/>
          <w:szCs w:val="20"/>
          <w:color w:val="auto"/>
        </w:rPr>
      </w:pPr>
      <w:r>
        <w:rPr>
          <w:rFonts w:ascii="Arial" w:cs="Arial" w:eastAsia="Arial" w:hAnsi="Arial"/>
          <w:sz w:val="18"/>
          <w:szCs w:val="18"/>
          <w:color w:val="auto"/>
        </w:rPr>
        <w:t>The following table sets forth the restructuring activities during the nine months ended October 31, 2013:</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Balance at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Balance at October 31,</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2013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Fiscal 2014 Plan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Current portion (2)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portion (2)</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During the three and nine months ended October 31, 2013, Autodesk repurchased and retired 2.0 million and 8.3 million shares at an average repurchase price of $39.37 and $38.58 per share, respectively. Common stock and additional paid-in capital and retained earnings were reduced by $49.4 million and $29.5 million, respectively, during the three months ended October 31, 2013. Common stock and additional paid-in capital and retained earnings were reduced by $175.6 million and $143.1 million, respectively, during the nine months ended October 31, 2013.</w:t>
      </w:r>
    </w:p>
    <w:p>
      <w:pPr>
        <w:spacing w:after="0" w:line="16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At October 31, 2013, 24.0 million shares remained available for repurchase under the repurchase program approved by the Board of Directors. During the nine months ended October 31, 2013,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October 31, 2013 and January 31, 2013:</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2013</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2013</w:t>
            </w:r>
          </w:p>
        </w:tc>
      </w:tr>
      <w:tr>
        <w:trPr>
          <w:trHeight w:val="236"/>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gain on derivative instruments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Net unrealized gain on available-for-sale securities (1)</w:t>
            </w:r>
          </w:p>
        </w:tc>
        <w:tc>
          <w:tcPr>
            <w:tcW w:w="1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2.9</w:t>
            </w: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portion of pension plans (1)</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 (1)</w:t>
            </w:r>
          </w:p>
        </w:tc>
        <w:tc>
          <w:tcPr>
            <w:tcW w:w="1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1715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(1) For comparability, the presentation of the balances at January 31, 2013 was adjusted to align with current year presentation.</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Reclassifications from Accumulated other comprehensive loss to Net income for the nine months ended October 31, 2013 were not significant.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Per Share</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October 31,</w:t>
            </w:r>
          </w:p>
        </w:tc>
        <w:tc>
          <w:tcPr>
            <w:tcW w:w="120" w:type="dxa"/>
            <w:vAlign w:val="bottom"/>
          </w:tcPr>
          <w:p>
            <w:pPr>
              <w:spacing w:after="0"/>
              <w:rPr>
                <w:sz w:val="16"/>
                <w:szCs w:val="16"/>
                <w:color w:val="auto"/>
              </w:rPr>
            </w:pPr>
          </w:p>
        </w:tc>
        <w:tc>
          <w:tcPr>
            <w:tcW w:w="21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3"/>
              </w:rPr>
              <w:t>Nine Months Ended October 31,</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5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5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223.1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225.5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223.4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652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227.7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229.9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5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0.77</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computation of diluted net income per share does not include shares that are anti-dilutive under the treasury stock method because their exercise prices are higher than the average market value of Autodesk’s stock during the period. For the three and nine months ended October 31, 2013, 5.5 million and 6.7 million potentially anti-dilutive shares, respectively, were excluded from the computation of diluted net income per share. For the three and nine months ended October 31, 2012, 11.8 million and 9.8 million potentially anti-dilutive shares, respectively, were excluded from the computation of diluted net income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PSEB, Architecture, Engineering and Construction (“AEC”), Manufacturing (“MFG”) and Media and Entertainment (“M&amp;E”). Autodesk has no material inter-segment revenue.</w:t>
      </w:r>
    </w:p>
    <w:p>
      <w:pPr>
        <w:spacing w:after="0" w:line="18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60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200"/>
        <w:spacing w:after="0" w:line="277" w:lineRule="auto"/>
        <w:rPr>
          <w:sz w:val="20"/>
          <w:szCs w:val="20"/>
          <w:color w:val="auto"/>
        </w:rPr>
      </w:pPr>
      <w:r>
        <w:rPr>
          <w:rFonts w:ascii="Arial" w:cs="Arial" w:eastAsia="Arial" w:hAnsi="Arial"/>
          <w:sz w:val="17"/>
          <w:szCs w:val="17"/>
          <w:color w:val="auto"/>
        </w:rPr>
        <w:t>serve. Autodesk’s AutoCAD product also provides a platform for Autodesk’s developer partners to build custom solutions for a range of diverse design-oriented markets. PSEB's revenue primarily includes revenue from sales of AutoCAD and AutoCAD LT, the Autodesk Design Suite and many other design products, including consumer design products, as well as from sales of licenses of other Autodesk's design products.</w:t>
      </w:r>
    </w:p>
    <w:p>
      <w:pPr>
        <w:spacing w:after="0" w:line="173"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AutoCAD Civil 3D, AutoCAD Map, and Autodesk Infrastructure Design Suites.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40" w:firstLine="405"/>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AutoCAD Mechanical, and Autodesk Moldflow products.</w:t>
      </w:r>
    </w:p>
    <w:p>
      <w:pPr>
        <w:spacing w:after="0" w:line="18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M&amp;E consists of two product groups: Animation, including design visualization, and Creative Finishing. Animation products, such as Autodesk Maya, Autodesk 3ds Max, and the Autodesk Entertainment Creation Suites, provide tools for digital sculpting, modeling, animation, effects, rendering and compositing, for design visualization, visual effects and games production. M&amp;E products are also included in a number of PSEB, AEC, and MFG focused suites. Creative Finishing products provide editing, finishing and visual effects design and color grading.</w:t>
      </w:r>
    </w:p>
    <w:p>
      <w:pPr>
        <w:spacing w:after="0" w:line="18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1, “Business and Summary of Significant Accounting Policies” of Autodesk's Annual Report on Form 10-K for the fiscal year ended January 31, 2013. Autodesk evaluates each segment’s performance on the basis of gross profit. Autodesk currently does not separately accumulate and report asset information by segment, except for goodwill, which is disclosed in Note 9, “Goodwill.”</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214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Nine Months Ended October 31,</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 (1)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183.4</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203.2</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593.4</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646.0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 (1)</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492.9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142.0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425.1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418.8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147.6</w:t>
            </w: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555.2</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548.0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1,687.3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1,705.3</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 (1)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165.9</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540.7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606.2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 (1)</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450.1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130.1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389.9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386.7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Unallocated (2)</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488.1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1,528.8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fiscal 2013 quarterly segment revenue amounts have been updated to conform with the current period's presentation.</w:t>
      </w:r>
    </w:p>
    <w:p>
      <w:pPr>
        <w:spacing w:after="0" w:line="9" w:lineRule="exact"/>
        <w:rPr>
          <w:rFonts w:ascii="Arial" w:cs="Arial" w:eastAsia="Arial" w:hAnsi="Arial"/>
          <w:sz w:val="16"/>
          <w:szCs w:val="16"/>
          <w:color w:val="auto"/>
        </w:rPr>
      </w:pPr>
    </w:p>
    <w:p>
      <w:pPr>
        <w:ind w:left="420" w:right="500" w:hanging="412"/>
        <w:spacing w:after="0" w:line="257"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64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 October 31,</w:t>
            </w:r>
          </w:p>
        </w:tc>
        <w:tc>
          <w:tcPr>
            <w:tcW w:w="214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Nine Months Ended October 31,</w:t>
            </w:r>
          </w:p>
        </w:tc>
      </w:tr>
      <w:tr>
        <w:trPr>
          <w:trHeight w:val="264"/>
        </w:trPr>
        <w:tc>
          <w:tcPr>
            <w:tcW w:w="664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r>
      <w:tr>
        <w:trPr>
          <w:trHeight w:val="21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60"/>
        </w:trPr>
        <w:tc>
          <w:tcPr>
            <w:tcW w:w="66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24"/>
        </w:trPr>
        <w:tc>
          <w:tcPr>
            <w:tcW w:w="6640" w:type="dxa"/>
            <w:vAlign w:val="bottom"/>
          </w:tcPr>
          <w:p>
            <w:pPr>
              <w:ind w:left="380"/>
              <w:spacing w:after="0"/>
              <w:rPr>
                <w:sz w:val="20"/>
                <w:szCs w:val="20"/>
                <w:color w:val="auto"/>
              </w:rPr>
            </w:pPr>
            <w:r>
              <w:rPr>
                <w:rFonts w:ascii="Arial" w:cs="Arial" w:eastAsia="Arial" w:hAnsi="Arial"/>
                <w:sz w:val="16"/>
                <w:szCs w:val="16"/>
                <w:color w:val="auto"/>
              </w:rPr>
              <w:t>Americas</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7"/>
        </w:trPr>
        <w:tc>
          <w:tcPr>
            <w:tcW w:w="6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80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500.5</w:t>
            </w:r>
          </w:p>
        </w:tc>
      </w:tr>
      <w:tr>
        <w:trPr>
          <w:trHeight w:val="237"/>
        </w:trPr>
        <w:tc>
          <w:tcPr>
            <w:tcW w:w="664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80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115.0</w:t>
            </w:r>
          </w:p>
        </w:tc>
      </w:tr>
      <w:tr>
        <w:trPr>
          <w:trHeight w:val="33"/>
        </w:trPr>
        <w:tc>
          <w:tcPr>
            <w:tcW w:w="66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208.3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615.5</w:t>
            </w:r>
          </w:p>
        </w:tc>
      </w:tr>
      <w:tr>
        <w:trPr>
          <w:trHeight w:val="217"/>
        </w:trPr>
        <w:tc>
          <w:tcPr>
            <w:tcW w:w="664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8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4"/>
              </w:rPr>
              <w:t>204.4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622.4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630.3</w:t>
            </w:r>
          </w:p>
        </w:tc>
      </w:tr>
      <w:tr>
        <w:trPr>
          <w:trHeight w:val="33"/>
        </w:trPr>
        <w:tc>
          <w:tcPr>
            <w:tcW w:w="66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4"/>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60"/>
        </w:trPr>
        <w:tc>
          <w:tcPr>
            <w:tcW w:w="66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37"/>
        </w:trPr>
        <w:tc>
          <w:tcPr>
            <w:tcW w:w="6640" w:type="dxa"/>
            <w:vAlign w:val="bottom"/>
          </w:tcPr>
          <w:p>
            <w:pPr>
              <w:ind w:left="720"/>
              <w:spacing w:after="0"/>
              <w:rPr>
                <w:sz w:val="20"/>
                <w:szCs w:val="20"/>
                <w:color w:val="auto"/>
              </w:rPr>
            </w:pPr>
            <w:r>
              <w:rPr>
                <w:rFonts w:ascii="Arial" w:cs="Arial" w:eastAsia="Arial" w:hAnsi="Arial"/>
                <w:sz w:val="16"/>
                <w:szCs w:val="16"/>
                <w:color w:val="auto"/>
              </w:rPr>
              <w:t>Japan</w:t>
            </w:r>
          </w:p>
        </w:tc>
        <w:tc>
          <w:tcPr>
            <w:tcW w:w="80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207.6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211.6</w:t>
            </w:r>
          </w:p>
        </w:tc>
      </w:tr>
      <w:tr>
        <w:trPr>
          <w:trHeight w:val="33"/>
        </w:trPr>
        <w:tc>
          <w:tcPr>
            <w:tcW w:w="6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247.9</w:t>
            </w:r>
          </w:p>
        </w:tc>
      </w:tr>
      <w:tr>
        <w:trPr>
          <w:trHeight w:val="217"/>
        </w:trPr>
        <w:tc>
          <w:tcPr>
            <w:tcW w:w="664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8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4"/>
              </w:rPr>
              <w:t>142.5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452.8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459.5</w:t>
            </w:r>
          </w:p>
        </w:tc>
      </w:tr>
      <w:tr>
        <w:trPr>
          <w:trHeight w:val="33"/>
        </w:trPr>
        <w:tc>
          <w:tcPr>
            <w:tcW w:w="66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80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555.2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1,705.3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Subsequent Events</w:t>
      </w:r>
    </w:p>
    <w:p>
      <w:pPr>
        <w:spacing w:after="0" w:line="22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On September 19, 2013, Autodesk entered into a definitive agreement with the shareholders of Graitec SA (“Graitec”) to acquire certain technology assets, including Graitec’s Advance Steel and Advance Concrete product lines, and associated employees for approximately $87.0 million. The transaction closed on November 21, 2013. The acquisition will enhance Autodesk’s current offerings for structural engineering and expand its portfolio of technology for Building Information Modeling (BIM) for structural fabrication and detailing. Graitec will be integrated into Autodesk’s AEC reportable segment. The initial accounting for this acquisition was not complete as of December 6, 2013, due to the timing of the acquisition.</w:t>
      </w:r>
    </w:p>
    <w:p>
      <w:pPr>
        <w:spacing w:after="0" w:line="17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November 7, 2013, Autodesk announced its intention to acquire Delcam plc (“Delcam”), for £20.75 per share, or approximately £172.5 million. Delcam is a public company (LON: DLC) and is a leading supplier of advanced CADCAM and industrial measurement solutions for the manufacturing industry. Delcam’s range of design, manufacturing and inspection software provides automated CADCAM solutions for a variety of industries, ranging from aerospace to toys and sports equipment. The transaction will be structured as a cash offer for all the outstanding shares of Delcam, is subject to customary closing conditions including regulatory approvals, and is expected to close in Autodesk’s first quarter of fiscal 2015. Autodesk expects to use its non-U.S.-based cash for the transaction.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and Nine Months Ended October 31, 2013-Business Outlook” below, anticipated future net revenue, future GAAP and non-GAAP earnings per share, operating margin and other future financial results (by product type and geography) and operating expenses, the effectiveness of our efforts to successfully manage transitions to new business models and markets, the effectiveness of efforts to reduce our operating expenses, expected market trends, including the growth of cloud, mobile and social computing, the effect of unemployment and availability of credit, the effects of weak global economic conditions, the effects of revenue recognition, our backlog, expected trends in certain financial metrics, the impact of acquisitions and investment activities, the effects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and the resulting effect on our financial results.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and digital artists, professionals and non-professionals alike—the people who create the world's products, buildings, infrastructure, films, and games. Autodesk serves professional customers in three primary markets: architecture, engineering and construction; manufacturing; and digital media and entertainment.</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thirty years ago, we believe our industry is undergoing a similar transition from the personal computer to cloud, social, and mobile computing. To address this transition we have accelerated our move to the cloud and are offering more flexible product licenses. More specifically, during the early part of this fiscal year, we announced more flexible term-based license offerings including rental access for certain products. These offerings are designed to give our customers even more flexibility with how they position us to engage with our products and address new types of customers such as project-based users and small businesses.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strategy is predicated upon our major business initiatives to grow, transform and expand our business:</w:t>
      </w:r>
    </w:p>
    <w:p>
      <w:pPr>
        <w:spacing w:after="0" w:line="185" w:lineRule="exact"/>
        <w:rPr>
          <w:sz w:val="20"/>
          <w:szCs w:val="20"/>
          <w:color w:val="auto"/>
        </w:rPr>
      </w:pPr>
    </w:p>
    <w:p>
      <w:pPr>
        <w:ind w:left="660" w:right="2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 We believe opportunity remains in our desktop software business, and we intend to continue to grow this business. In particular we are offering product suites with improved interoperability and usability to enhance our customers' productivity and effectiveness. We are continuing to develop new ways to deliver capability and value to our customers, including flexible license and service offerings, product suites and cloud and social-based services, to better match the business needs of our customers. We will continue to emphasize developing relationships with large, global customers and pursuing opportunities in emerging economies.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ind w:left="660" w:right="20" w:hanging="328"/>
        <w:spacing w:after="0" w:line="30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Transform. At the same time we grow our desktop software business, we are migrating many of our products to the cloud. This entails development of new cloud computing infrastructure and redesigning our applications to leverage the cloud. We are also developing new capabilities that are enabled by the cloud such as collaborative Product Lifecycle Management (“PLM”), Business Information Modeling (“BIM”) and online simulation. Our goal is to lead our industry in transitioning to the cloud, and use cloud services to provide more value to new and existing subscribers.</w:t>
      </w:r>
    </w:p>
    <w:p>
      <w:pPr>
        <w:spacing w:after="0" w:line="154" w:lineRule="exact"/>
        <w:rPr>
          <w:rFonts w:ascii="Arial" w:cs="Arial" w:eastAsia="Arial" w:hAnsi="Arial"/>
          <w:sz w:val="16"/>
          <w:szCs w:val="16"/>
          <w:color w:val="auto"/>
        </w:rPr>
      </w:pPr>
    </w:p>
    <w:p>
      <w:pPr>
        <w:ind w:left="660" w:right="100" w:hanging="32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We believe that the combination of cloud, social and mobile computing affords us the opportunity to expand our business into new markets and extend the value of our customers' digital design information into visualization, analysis and simulation. We have added new customers through our products and services that are delivered and experienced through the web, cloud and mobile devices providing our advanced visualization technologies to consumers - a whole new category of Autodesk customer. We intend to continue to develop our business to both add new customers and find new capabilities to incorporate in our core business.</w:t>
      </w:r>
    </w:p>
    <w:p>
      <w:pPr>
        <w:spacing w:after="0" w:line="18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believe that expanding our products' portfolios to include our suites presents a meaningful growth opportunity and is an important part of our overall strategy. As our customers in all industries adopt our design suites, we believe they will experience an increase in their productivity and the value of their design data. For the three and nine months ended October 31, 2013, revenue from suites increased 21% and 16%, respectively, as compared to the same period in the prior fiscal year. As a percentage of revenue, suites consisted of 36% and 34% of our net revenue in the three and nine months ended October 31, 2013, respectively, as compared to 30% and 29% of our net revenue in the three and nine months ended October 31, 2012, respectively.</w:t>
      </w:r>
    </w:p>
    <w:p>
      <w:pPr>
        <w:spacing w:after="0" w:line="15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Expanding our geographic coverage is another key element of our growth strategy. Much of the growth in the world’s construction and manufacturing is happening in emerging economies. Further, emerging economies face many of the challenges that our design technology can help address, for example infrastructure build-out. Revenue from emerging economies increased 6% and decreased 1% during the three and nine months ended October 31, 2013, respectively, as compared to the same periods of the prior fiscal year. We believe that emerging economies continue to present long-term growth opportunities for us. Revenue from emerging countries represented 15% of net revenue for all periods presented. While we believe there are long-term growth opportunities in emerging economies, conducting business in these countries presents significant challenges, including economic volatility, geopolitical risk, local competition, intellectual property protection, poorly developed business infrastructure, scarcity of talent, software piracy and different purchase patterns as compared to the developed world.</w:t>
      </w:r>
    </w:p>
    <w:p>
      <w:pPr>
        <w:spacing w:after="0" w:line="192"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46"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By innovating within existing technology categories, we bring powerful new design capabilities to volume markets. Our products are designed to be easy-to-learn and use, and to provide customers with a low cost of deployment, a low total cost of access to our software offerings,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24"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32"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We offer extensive educational programs supporting our software and services that include providing educational licenses for our software to all students and teachers for little or no fees. For example, beginning the three months ended April 30, 2013, we initiated a new program granting software licenses to educational institutions in select regions and to key partners. Through our partners, we offer curricula and faculty development opportunities to educational institutions worldwide. Through these programs we intend to further Science, Technology, Engineering and Math (STEM) education initiatives. With an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right="80"/>
        <w:spacing w:after="0" w:line="277" w:lineRule="auto"/>
        <w:rPr>
          <w:sz w:val="20"/>
          <w:szCs w:val="20"/>
          <w:color w:val="auto"/>
        </w:rPr>
      </w:pPr>
      <w:r>
        <w:rPr>
          <w:rFonts w:ascii="Arial" w:cs="Arial" w:eastAsia="Arial" w:hAnsi="Arial"/>
          <w:sz w:val="18"/>
          <w:szCs w:val="18"/>
          <w:color w:val="auto"/>
        </w:rPr>
        <w:t>extensive global community of students who are experienced with our software and poised to become the next generation of professional users, our goal is to reduce the cost of training and education of new talent for our customers.</w:t>
      </w:r>
    </w:p>
    <w:p>
      <w:pPr>
        <w:spacing w:after="0" w:line="130"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2013. In addition, we highlighted those policies that involve a higher degree of judgment and complexity with further discussion in Item 7, “Management’s Discussion and Analysis of Financial Condition and Results of Operations” in such Form 10-K. We believe these policies are the most critical to aid in fully understanding and evaluating our financial condition and results of operations. Updates on the relevant periodic financial disclosures related to these policies are provided below.</w:t>
      </w:r>
    </w:p>
    <w:p>
      <w:pPr>
        <w:spacing w:after="0" w:line="17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At October 31, 2013 we had $171.8 million of net deferred tax assets, primarily a result of tax credits, net operating losses, capital losses,</w:t>
      </w:r>
      <w:r>
        <w:rPr>
          <w:rFonts w:ascii="Arial" w:cs="Arial" w:eastAsia="Arial" w:hAnsi="Arial"/>
          <w:sz w:val="17"/>
          <w:szCs w:val="17"/>
          <w:i w:val="1"/>
          <w:iCs w:val="1"/>
          <w:color w:val="auto"/>
        </w:rPr>
        <w:t xml:space="preserve"> </w:t>
      </w:r>
      <w:r>
        <w:rPr>
          <w:rFonts w:ascii="Arial" w:cs="Arial" w:eastAsia="Arial" w:hAnsi="Arial"/>
          <w:sz w:val="17"/>
          <w:szCs w:val="17"/>
          <w:color w:val="auto"/>
        </w:rPr>
        <w:t>and timing differences for reserves, accrued liabilities, stock options and restricted stock units, fixed assets, deferred revenue, deferred compensation, purchased technologies and capitalized intangibles, partially offset by the establishment of U.S. deferred tax liabilities on unremitted earnings from certain foreign subsidiaries, deferred tax liabilities associated with tax method changes, and valuation allowances against U.S.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that such challenges may have a significant impact on our effective tax rate.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Overview of the Three and Nine Months Ended October 31,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As a % of Net</w:t>
            </w:r>
          </w:p>
        </w:tc>
        <w:tc>
          <w:tcPr>
            <w:tcW w:w="180" w:type="dxa"/>
            <w:vAlign w:val="bottom"/>
          </w:tcPr>
          <w:p>
            <w:pPr>
              <w:spacing w:after="0"/>
              <w:rPr>
                <w:sz w:val="14"/>
                <w:szCs w:val="14"/>
                <w:color w:val="auto"/>
              </w:rPr>
            </w:pPr>
          </w:p>
        </w:tc>
        <w:tc>
          <w:tcPr>
            <w:tcW w:w="160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2"/>
              </w:rPr>
              <w:t>October 31, 2013</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October 31, 2012</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555.2</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548.0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67.1</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57.9</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488.1</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490.1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420.0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455.7</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68.1</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34.4</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75"/>
        </w:trPr>
        <w:tc>
          <w:tcPr>
            <w:tcW w:w="3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23"/>
                <w:szCs w:val="23"/>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As a % of Net</w:t>
            </w:r>
          </w:p>
        </w:tc>
        <w:tc>
          <w:tcPr>
            <w:tcW w:w="180" w:type="dxa"/>
            <w:vAlign w:val="bottom"/>
          </w:tcPr>
          <w:p>
            <w:pPr>
              <w:spacing w:after="0"/>
              <w:rPr>
                <w:sz w:val="23"/>
                <w:szCs w:val="23"/>
                <w:color w:val="auto"/>
              </w:rPr>
            </w:pPr>
          </w:p>
        </w:tc>
        <w:tc>
          <w:tcPr>
            <w:tcW w:w="160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2"/>
              </w:rPr>
              <w:t>October 31, 2013</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October 31, 2012</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1,687.3</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1,705.3</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202.4</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176.5</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1,484.9</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1,528.8</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1,251.8</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1,307.5</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233.1</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221.3</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Our results in the three and nine months ended October 31, 2013, as compared to the same periods in the prior fiscal year, were driven by growth in our Architecture, Engineering and Construction (“AEC”), and Manufacturing (“MFG”) segments and in our suites. Offsetting this growth were mixed results from other parts of our business such as decreases in revenue from our major products, ACAD and ACAD LT, our Platform Solutions and Emerging Business (“PSEB”) and Media and Entertainment (“M&amp;E”) segments and some of our geographic areas during the three and nine months ended October 31, 2013 as compared to the same periods in the prior fiscal year. Negatively impacting revenue, especially within the Asia Pacific ("APAC") geography, between the three and nine months ended October 31, 2013 and the same periods in the prior fiscal year were changes in foreign currency rates. In addition, our strategic decision for our educational program to begin granting software licenses to educational institutions in select regions and to key partners negatively impacted revenue, especially within the Americas geography, between the three and nine months ended October 31, 2013 and the same periods in the prior fiscal year.</w:t>
      </w:r>
    </w:p>
    <w:p>
      <w:pPr>
        <w:spacing w:after="0" w:line="1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During the three months ended October 31, 2013, as compared to the same period in the prior fiscal year, net revenue increased 1%, gross profit remained flat and income from operations increased 98%. During the nine months ended October 31, 2013, as compared to the same period in the prior fiscal year, net revenue decreased 1%, gross profit decreased 3% and income from operations increased 5%. Contributing to the year over year impact to revenue during the three months ended October 31, 2013 were increases in subscription revenue partially offset by decreases in license and other revenue. Contributing to the year over year impact to revenue during the nine months ended October 31, 2013 were decreases in license and other revenue partially offset by increases in subscription revenue.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reasons for these changes are discussed below under the heading “Results from Operations.”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Revenue from flagship products was 50% and 52% of total net revenue during the three and nine months ended October 31, 2013, respectively, a decrease of 9% and 10%, respectively, as compared to the same periods in the prior fiscal year. Revenue from suites was 36% and 34% of total net revenue for the three and nine months ended October 31, 2013, an increase of 21% and 16%, respectively, as compared to the same periods in the prior fiscal year. Revenue from new and adjacent products was 15% and 14% of total net revenue for the three and nine months ended October 31, 2013, respectively, and remained flat in the three and nine months ended October 31, 2013 as compared to the three and nine months ended October 31, 2012. We anticipate that, as our new and existing customers migrate from our stand-alone products, our revenue from suites will increase as a percentage of revenue and that our revenue from our flagship and new and adjacent products will continue to decline as a percentage of revenue.</w:t>
      </w:r>
    </w:p>
    <w:p>
      <w:pPr>
        <w:spacing w:after="0" w:line="178"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Tech Data accounted for 24% and 25% of our consolidated net revenue during the three and nine months ended October 31, 2013, respectively, as compared to 24% and 23% in the three and nine months ended October 31, 2012, respectively. We believe our business is not substantially dependent on Tech Data. Our customers through Tech Data are the resellers and end users who purchase our software licenses and services. Should any of the agreements between Tech Data and us be terminated for any reason, we believe the resellers and end users who currently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80" w:right="279" w:bottom="1440" w:gutter="0" w:footer="0" w:header="0"/>
        </w:sectPr>
      </w:pPr>
    </w:p>
    <w:bookmarkStart w:id="30" w:name="page31"/>
    <w:bookmarkEnd w:id="30"/>
    <w:p>
      <w:pPr>
        <w:ind w:right="480"/>
        <w:spacing w:after="0" w:line="277" w:lineRule="auto"/>
        <w:rPr>
          <w:sz w:val="20"/>
          <w:szCs w:val="20"/>
          <w:color w:val="auto"/>
        </w:rPr>
      </w:pPr>
      <w:r>
        <w:rPr>
          <w:rFonts w:ascii="Arial" w:cs="Arial" w:eastAsia="Arial" w:hAnsi="Arial"/>
          <w:sz w:val="18"/>
          <w:szCs w:val="18"/>
          <w:color w:val="auto"/>
        </w:rPr>
        <w:t>purchase our products through Tech Data would be able to continue to do so under substantially the same terms from one of our many other distributors without substantial disruption to our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Income from operations increased 98% in the three months ended October 31, 2013 due to a $35.7 million or 8% decline in our operating expenses and a $7.2 million or 1% increase in net revenue partially offset by a $9.2 million or 16% increase in cost of revenue, as compared to the same period in the prior fiscal year. Our operating margin increased to 12% for the three months ended October 31, 2013 from 6% for the three months ended October 31, 2012. The decrease in operating expenses and the corresponding increase in operating margin was primarily related to lower restructuring charges and stock-based compensation expense partially offset by an increase in employee-related costs related to fringe benefits, salaries and commissions during the three months ended October 31, 2013.</w:t>
      </w:r>
    </w:p>
    <w:p>
      <w:pPr>
        <w:spacing w:after="0" w:line="19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Income from operations increased 5% in the nine months ended October 31, 2013 due to a $55.7 million or 4% decline in our operating expenses partially offset by a $25.9 million or 15% increase in cost of revenue and an $18.0 million or 1% decline in net revenue, as compared to the same period in prior fiscal year. Our operating margin increased to 14% for the nine months ended October 31, 2013 from 13% for the nine months ended October 31, 2012. The decrease in operating expenses and the corresponding increase in operating margin was primarily related to lower restructuring charges and stock-based compensation expense.</w:t>
      </w:r>
    </w:p>
    <w:p>
      <w:pPr>
        <w:spacing w:after="0" w:line="188"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Impacting the comparison between the three and nine months ended October 31, 2013 and the same periods in the prior fiscal year was the world-wide restructuring plan ("Fiscal 2013 Plan") approved by the Company during the three months ended October 31, 2012 and the one-time stock-based compensation expense associated with the acquisition of Socialcam during the three months ended October 31, 2012.</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Further discussion regarding the cost of goods sold and operating expense activities are discussed below under the heading “Results of Operations.”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generate a significant amount of our revenue in the U.S., Japan, Germany, the United Kingdom and France. Our revenue was negatively impacted by foreign exchange rate changes during both the three and nine months ended October 31, 2013, as compared to the same periods in the prior fiscal year. Had applicable exchange rates from the three and nine months ended October 31, 2012 been in effect during the three and nine months ended October 31, 2013 and had we excluded foreign exchange hedge gains and losses from the three and nine months ended October 31, 2013, (“on a constant currency basis”), net revenue would have increased 4% and 2% during the three and nine months ended October 31, 2013, respectively, as compared to the same periods in the prior fiscal year.</w:t>
      </w:r>
    </w:p>
    <w:p>
      <w:pPr>
        <w:spacing w:after="0" w:line="19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total spend, defined as cost of revenue plus operating expenses, during the three and nine months ended October 31, 2013 declined 5% and 2%, respectively, on an as reported basis as compared to the same periods in the prior fiscal year. Had applicable exchange rates from the three months ended October 31, 2012 been in effect during the three months ended October 31, 2013 and had we excluded foreign exchange hedge gains and losses from the three months ended October 31, 2013, total spend would have been minimally impacted by foreign exchange rate changes and would have decreased 5% on a constant currency basis compared to the same period in the prior fiscal year. Had applicable exchange rates from the nine months ended October 31, 2012 been in effect during the nine months ended October 31, 2013 and had we excluded foreign exchange hedge gains and losses from the nine months ended October 31, 2013, total spend would have benefited from foreign exchange rates changes and would have decreased 1% on a constant currency basis compared to the same period in the prior fiscal year.</w:t>
      </w:r>
    </w:p>
    <w:p>
      <w:pPr>
        <w:spacing w:after="0" w:line="179"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At October 31, 2013, we had $2,479.0 million in cash and marketable securities. We completed the nine months ended October 31, 2013 with lower deferred revenue and accounts receivable balances as compared to the end of the fiscal year ended January 31, 2013. Our deferred revenue balance at October 31, 2013 included $698.7 million of deferred subscription revenue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right="20"/>
        <w:spacing w:after="0" w:line="272" w:lineRule="auto"/>
        <w:rPr>
          <w:sz w:val="20"/>
          <w:szCs w:val="20"/>
          <w:color w:val="auto"/>
        </w:rPr>
      </w:pPr>
      <w:r>
        <w:rPr>
          <w:rFonts w:ascii="Arial" w:cs="Arial" w:eastAsia="Arial" w:hAnsi="Arial"/>
          <w:sz w:val="17"/>
          <w:szCs w:val="17"/>
          <w:color w:val="auto"/>
        </w:rPr>
        <w:t>primarily related to customer maintenance contracts, which will be recognized as revenue ratably over the life of the contracts. The term of our maintenance contracts is typically between one and three years. Our cash flow from operations decreased 6% to $380.0 million as of October 31, 2013 from $403.5 million at October 31, 2012. We repurchased 2.0 million shares of our common stock for $78.9 million during the three months ended October 31, 2013. Comparatively, we repurchased 4.0 million shares of our common stock for $130.2 million during the three months ended October 31, 2012. We repurchased 8.3 million shares of our common stock for $318.7 million during the nine months ended October 31, 2013. Comparatively, we repurchased 9.9 million shares of our common stock for $340.5 million during the nine months ended October 31, 2012. Further discussion regarding the balance sheet and cash flow activities are discussed below under the heading “Liquidity and Capital Resources.”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Outlook</w:t>
      </w:r>
    </w:p>
    <w:p>
      <w:pPr>
        <w:spacing w:after="0" w:line="225"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Autodesk's business model is evolving. We continue to assess current business offerings including introducing more flexible license and service offerings that have ratable revenue streams, such as rental license and cloud-based offerings. The accounting impact of these offerings and other business decisions are expected to result in an increase in the percentage of our ratable revenue, making for a more predictable business over time, while correspondingly reducing our upfront perpetual revenue stream. Over time, we expect our business model transition to expand our customer base by eliminating higher up-front licensing costs and providing more flexibility with how they use our products. However, we expect the business model transition to cause our traditional upfront perpetual license revenue to decline without a corresponding decrease in expenses. In the future, we expect this business model transition will increase our long-term revenue growth rate by increasing the lifetime value of our subscribers and increasing our subscriber base over time. Additionally, the shift is expected to increase the amount of our recurring revenue that is ratably reported over the next several years.</w:t>
      </w:r>
    </w:p>
    <w:p>
      <w:pPr>
        <w:spacing w:after="0" w:line="12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expect net revenue for the fourth quarter of fiscal 2014 will be from $560 million to $580 million, and that GAAP diluted earnings per share will range from $0.09 to $0.16 while non-GAAP diluted earnings per share will range from $0.29 to $0.36. Non-GAAP earnings per diluted share exclude $0.11 related to stock-based compensation expense, $0.07 for the amortization of acquisition related intangibles and $0.02 related to restructuring charges. We expect net revenue for the full fiscal year 2014 will be from $2,247 million to $2,267 million, and that GAAP diluted earnings per share will range from $0.84 to $0.90 while non-GAAP diluted earnings per share will range from $1.55 to $1.61. Non-GAAP earnings per diluted share exclude $0.41 related to stock-based compensation expense, $0.26 for the amortization of acquisition related intangibles and $0.04 related to restructuring charges. Our revenue assumptions for both the fourth quarter and full fiscal year 2014 include the impact of approximately $50 million from the business model transition as revenue that would have otherwise been recognized during this period will be deferred. Deferred revenue is expected to increase by an equivalent amount related to this transition.</w:t>
      </w:r>
    </w:p>
    <w:p>
      <w:pPr>
        <w:spacing w:after="0" w:line="15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remain diligent about managing our spend while making essential investments to drive growth. If we are unable to successfully achieve our major business initiatives we may not achieve our financial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License and other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Subscription</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Revenue by Geographic Area: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c>
          <w:tcPr>
            <w:tcW w:w="2220" w:type="dxa"/>
            <w:vAlign w:val="bottom"/>
            <w:gridSpan w:val="5"/>
          </w:tcPr>
          <w:p>
            <w:pPr>
              <w:ind w:left="60"/>
              <w:spacing w:after="0"/>
              <w:rPr>
                <w:sz w:val="20"/>
                <w:szCs w:val="20"/>
                <w:color w:val="auto"/>
              </w:rPr>
            </w:pPr>
            <w:r>
              <w:rPr>
                <w:rFonts w:ascii="Arial" w:cs="Arial" w:eastAsia="Arial" w:hAnsi="Arial"/>
                <w:sz w:val="14"/>
                <w:szCs w:val="14"/>
                <w:b w:val="1"/>
                <w:bCs w:val="1"/>
                <w:color w:val="auto"/>
                <w:w w:val="97"/>
              </w:rPr>
              <w:t>Increase/(Decrease) compared to</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Nine Months</w:t>
            </w:r>
          </w:p>
        </w:tc>
        <w:tc>
          <w:tcPr>
            <w:tcW w:w="2200" w:type="dxa"/>
            <w:vAlign w:val="bottom"/>
            <w:gridSpan w:val="5"/>
          </w:tcPr>
          <w:p>
            <w:pPr>
              <w:ind w:left="60"/>
              <w:spacing w:after="0"/>
              <w:rPr>
                <w:sz w:val="20"/>
                <w:szCs w:val="20"/>
                <w:color w:val="auto"/>
              </w:rPr>
            </w:pPr>
            <w:r>
              <w:rPr>
                <w:rFonts w:ascii="Arial" w:cs="Arial" w:eastAsia="Arial" w:hAnsi="Arial"/>
                <w:sz w:val="14"/>
                <w:szCs w:val="14"/>
                <w:b w:val="1"/>
                <w:bCs w:val="1"/>
                <w:color w:val="auto"/>
                <w:w w:val="96"/>
              </w:rPr>
              <w:t>Increase/(Decrease) compared to</w:t>
            </w:r>
          </w:p>
        </w:tc>
        <w:tc>
          <w:tcPr>
            <w:tcW w:w="120" w:type="dxa"/>
            <w:vAlign w:val="bottom"/>
          </w:tcPr>
          <w:p>
            <w:pPr>
              <w:spacing w:after="0"/>
              <w:rPr>
                <w:sz w:val="14"/>
                <w:szCs w:val="14"/>
                <w:color w:val="auto"/>
              </w:rPr>
            </w:pPr>
          </w:p>
        </w:tc>
        <w:tc>
          <w:tcPr>
            <w:tcW w:w="900" w:type="dxa"/>
            <w:vAlign w:val="bottom"/>
          </w:tcPr>
          <w:p>
            <w:pPr>
              <w:jc w:val="center"/>
              <w:ind w:right="24"/>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52"/>
        </w:trPr>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October 31, 2013</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spacing w:after="0"/>
              <w:rPr>
                <w:sz w:val="13"/>
                <w:szCs w:val="13"/>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October 31,</w:t>
            </w:r>
          </w:p>
        </w:tc>
        <w:tc>
          <w:tcPr>
            <w:tcW w:w="260" w:type="dxa"/>
            <w:vAlign w:val="bottom"/>
          </w:tcPr>
          <w:p>
            <w:pPr>
              <w:spacing w:after="0"/>
              <w:rPr>
                <w:sz w:val="13"/>
                <w:szCs w:val="13"/>
                <w:color w:val="auto"/>
              </w:rPr>
            </w:pPr>
          </w:p>
        </w:tc>
        <w:tc>
          <w:tcPr>
            <w:tcW w:w="68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spacing w:after="0"/>
              <w:rPr>
                <w:sz w:val="13"/>
                <w:szCs w:val="13"/>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24"/>
              <w:spacing w:after="0" w:line="153" w:lineRule="exact"/>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92"/>
        </w:trPr>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507"/>
        </w:trPr>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297.5</w:t>
            </w:r>
          </w:p>
        </w:tc>
        <w:tc>
          <w:tcPr>
            <w:tcW w:w="12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(12.7)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310.2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934.2</w:t>
            </w:r>
          </w:p>
        </w:tc>
        <w:tc>
          <w:tcPr>
            <w:tcW w:w="120" w:type="dxa"/>
            <w:vAlign w:val="bottom"/>
          </w:tcPr>
          <w:p>
            <w:pPr>
              <w:spacing w:after="0"/>
              <w:rPr>
                <w:sz w:val="24"/>
                <w:szCs w:val="24"/>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(65.2)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999.4</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257.7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63"/>
              <w:spacing w:after="0"/>
              <w:rPr>
                <w:sz w:val="20"/>
                <w:szCs w:val="20"/>
                <w:color w:val="auto"/>
              </w:rPr>
            </w:pPr>
            <w:r>
              <w:rPr>
                <w:rFonts w:ascii="Arial" w:cs="Arial" w:eastAsia="Arial" w:hAnsi="Arial"/>
                <w:sz w:val="16"/>
                <w:szCs w:val="16"/>
                <w:color w:val="auto"/>
              </w:rPr>
              <w:t>19.9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237.8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753.1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6"/>
                <w:szCs w:val="16"/>
                <w:color w:val="auto"/>
              </w:rPr>
              <w:t>47.2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705.9</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555.2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7.2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548.0</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1,687.3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1,705.3</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-719455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-368300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-16510</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2280" w:space="240"/>
            <w:col w:w="8900"/>
          </w:cols>
          <w:pgMar w:left="240" w:top="726" w:right="239" w:bottom="1440" w:gutter="0" w:footer="0" w:header="0"/>
        </w:sectPr>
      </w:pPr>
    </w:p>
    <w:tbl>
      <w:tblPr>
        <w:tblLayout w:type="fixed"/>
        <w:tblInd w:w="0" w:type="dxa"/>
        <w:tblCellMar>
          <w:top w:w="0" w:type="dxa"/>
          <w:left w:w="0" w:type="dxa"/>
          <w:bottom w:w="0" w:type="dxa"/>
          <w:right w:w="0" w:type="dxa"/>
        </w:tblCellMar>
      </w:tblPr>
      <w:tr>
        <w:trPr>
          <w:trHeight w:val="220"/>
        </w:trPr>
        <w:tc>
          <w:tcPr>
            <w:tcW w:w="25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208.3</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209.4</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612.1</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6"/>
              </w:rPr>
              <w:t>Europe, Middle East and Africa</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4 %</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630.3</w:t>
            </w:r>
          </w:p>
        </w:tc>
        <w:tc>
          <w:tcPr>
            <w:tcW w:w="0" w:type="dxa"/>
            <w:vAlign w:val="bottom"/>
          </w:tcPr>
          <w:p>
            <w:pPr>
              <w:spacing w:after="0"/>
              <w:rPr>
                <w:sz w:val="1"/>
                <w:szCs w:val="1"/>
                <w:color w:val="auto"/>
              </w:rPr>
            </w:pPr>
          </w:p>
        </w:tc>
      </w:tr>
      <w:tr>
        <w:trPr>
          <w:trHeight w:val="237"/>
        </w:trPr>
        <w:tc>
          <w:tcPr>
            <w:tcW w:w="252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452.8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459.5</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1 %</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1,705.3</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w w:val="93"/>
              </w:rPr>
              <w:t>Net Revenue by Operating Segment:</w:t>
            </w: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5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Platform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646.0</w:t>
            </w: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and Emerging Business</w:t>
            </w: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20" w:type="dxa"/>
            <w:vAlign w:val="bottom"/>
          </w:tcPr>
          <w:p>
            <w:pPr>
              <w:ind w:left="380"/>
              <w:spacing w:after="0"/>
              <w:rPr>
                <w:sz w:val="20"/>
                <w:szCs w:val="20"/>
                <w:color w:val="auto"/>
              </w:rPr>
            </w:pPr>
            <w:r>
              <w:rPr>
                <w:rFonts w:ascii="Arial" w:cs="Arial" w:eastAsia="Arial" w:hAnsi="Arial"/>
                <w:sz w:val="16"/>
                <w:szCs w:val="16"/>
                <w:color w:val="auto"/>
              </w:rPr>
              <w:t>Architecture, Engineering and</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21.3</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13 %</w:t>
            </w:r>
          </w:p>
        </w:tc>
        <w:tc>
          <w:tcPr>
            <w:tcW w:w="3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164.6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535.1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42.2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9 %</w:t>
            </w:r>
          </w:p>
        </w:tc>
        <w:tc>
          <w:tcPr>
            <w:tcW w:w="2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492.9</w:t>
            </w:r>
          </w:p>
        </w:tc>
        <w:tc>
          <w:tcPr>
            <w:tcW w:w="0" w:type="dxa"/>
            <w:vAlign w:val="bottom"/>
          </w:tcPr>
          <w:p>
            <w:pPr>
              <w:spacing w:after="0"/>
              <w:rPr>
                <w:sz w:val="1"/>
                <w:szCs w:val="1"/>
                <w:color w:val="auto"/>
              </w:rPr>
            </w:pPr>
          </w:p>
        </w:tc>
      </w:tr>
      <w:tr>
        <w:trPr>
          <w:trHeight w:val="206"/>
        </w:trPr>
        <w:tc>
          <w:tcPr>
            <w:tcW w:w="2520" w:type="dxa"/>
            <w:vAlign w:val="bottom"/>
          </w:tcPr>
          <w:p>
            <w:pPr>
              <w:ind w:left="620"/>
              <w:spacing w:after="0"/>
              <w:rPr>
                <w:sz w:val="20"/>
                <w:szCs w:val="20"/>
                <w:color w:val="auto"/>
              </w:rPr>
            </w:pPr>
            <w:r>
              <w:rPr>
                <w:rFonts w:ascii="Arial" w:cs="Arial" w:eastAsia="Arial" w:hAnsi="Arial"/>
                <w:sz w:val="16"/>
                <w:szCs w:val="16"/>
                <w:color w:val="auto"/>
              </w:rPr>
              <w:t>Construction</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8 %</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2 %</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418.8</w:t>
            </w:r>
          </w:p>
        </w:tc>
        <w:tc>
          <w:tcPr>
            <w:tcW w:w="0" w:type="dxa"/>
            <w:vAlign w:val="bottom"/>
          </w:tcPr>
          <w:p>
            <w:pPr>
              <w:spacing w:after="0"/>
              <w:rPr>
                <w:sz w:val="1"/>
                <w:szCs w:val="1"/>
                <w:color w:val="auto"/>
              </w:rPr>
            </w:pPr>
          </w:p>
        </w:tc>
      </w:tr>
      <w:tr>
        <w:trPr>
          <w:trHeight w:val="224"/>
        </w:trPr>
        <w:tc>
          <w:tcPr>
            <w:tcW w:w="252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(13.9)</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147.6</w:t>
            </w:r>
          </w:p>
        </w:tc>
        <w:tc>
          <w:tcPr>
            <w:tcW w:w="0" w:type="dxa"/>
            <w:vAlign w:val="bottom"/>
          </w:tcPr>
          <w:p>
            <w:pPr>
              <w:spacing w:after="0"/>
              <w:rPr>
                <w:sz w:val="1"/>
                <w:szCs w:val="1"/>
                <w:color w:val="auto"/>
              </w:rPr>
            </w:pPr>
          </w:p>
        </w:tc>
      </w:tr>
      <w:tr>
        <w:trPr>
          <w:trHeight w:val="47"/>
        </w:trPr>
        <w:tc>
          <w:tcPr>
            <w:tcW w:w="25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1 %</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1,705.3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License and other revenue consists of two components: all forms of product license revenue and other revenue. Product license revenue includes: software license revenue from the sale of new seat licenses and upgrades and product revenue for Creative Finishing. Other revenue includes revenue from consulting, training, Autodesk Developers Network and Creative Finishing customer support, and is recognized over time, as the services are performed.</w:t>
      </w:r>
    </w:p>
    <w:p>
      <w:pPr>
        <w:spacing w:after="0" w:line="147" w:lineRule="exact"/>
        <w:rPr>
          <w:sz w:val="20"/>
          <w:szCs w:val="20"/>
          <w:color w:val="auto"/>
        </w:rPr>
      </w:pPr>
    </w:p>
    <w:p>
      <w:pPr>
        <w:jc w:val="both"/>
        <w:ind w:right="340" w:firstLine="405"/>
        <w:spacing w:after="0" w:line="259" w:lineRule="auto"/>
        <w:rPr>
          <w:sz w:val="20"/>
          <w:szCs w:val="20"/>
          <w:color w:val="auto"/>
        </w:rPr>
      </w:pPr>
      <w:r>
        <w:rPr>
          <w:rFonts w:ascii="Arial" w:cs="Arial" w:eastAsia="Arial" w:hAnsi="Arial"/>
          <w:sz w:val="18"/>
          <w:szCs w:val="18"/>
          <w:color w:val="auto"/>
        </w:rPr>
        <w:t>Total License and other revenue decreased 4% during the three months ended October 31, 2013, as compared to the three months ended October 31, 2012. This decrease was primarily due to a 4% decrease in product license revenue as compared to the same period in the prior fiscal year. The decline in product license revenue was primarily due to a decrease of 14% in revenue from our flagship products partially offset by an increase of 18% in our suites products.</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During the three months ended October 31, 2013, the 4% decrease in product license revenue was due to a 22% decrease in the number of seats sold partially offset by a 18% increase in the average net revenue per seat. Product license revenue, as a percentage of License and other revenue, was 83% for the three months ended October 31, 2013 and 82% for the three months ended October 31, 2012.</w:t>
      </w:r>
    </w:p>
    <w:p>
      <w:pPr>
        <w:spacing w:after="0" w:line="18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During the three months ended October 31, 2013, total other revenue represented 17% of License and other revenue. Other revenue decreased by 6% during the three months ended October 31, 2013, as compared to the three months ended October 31, 2012 primarily due to a 60% decrease in our education products as a result of our transition to granting software licenses to educational institutions in select regions and to key partners during the three months ended October 31, 2013, consistent with our strategy.</w:t>
      </w:r>
    </w:p>
    <w:p>
      <w:pPr>
        <w:spacing w:after="0" w:line="187"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Total License and other revenue decreased 7% during the nine months ended October 31, 2013, as compared to the nine months ended October 31, 2012. This decrease was primarily due to a 6% decrease in product license revenue as compared to the same period in the prior fiscal year. The decline in product license revenue was primarily due to a 15% decrease in revenue from our flagship products partially offset by a 14% increase in our suites products.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26" w:right="239" w:bottom="1440" w:gutter="0" w:footer="0" w:header="0"/>
          <w:type w:val="continuous"/>
        </w:sectPr>
      </w:pPr>
    </w:p>
    <w:bookmarkStart w:id="33" w:name="page34"/>
    <w:bookmarkEnd w:id="33"/>
    <w:p>
      <w:pPr>
        <w:jc w:val="both"/>
        <w:ind w:right="340" w:firstLine="405"/>
        <w:spacing w:after="0" w:line="264" w:lineRule="auto"/>
        <w:rPr>
          <w:sz w:val="20"/>
          <w:szCs w:val="20"/>
          <w:color w:val="auto"/>
        </w:rPr>
      </w:pPr>
      <w:r>
        <w:rPr>
          <w:rFonts w:ascii="Arial" w:cs="Arial" w:eastAsia="Arial" w:hAnsi="Arial"/>
          <w:sz w:val="18"/>
          <w:szCs w:val="18"/>
          <w:color w:val="auto"/>
        </w:rPr>
        <w:t>During the nine months ended October 31, 2013, the 6% decrease in product license revenue was due to a 27% decrease in the number of seats sold partially offset by a 21% increase in the average net revenue per seat. Product license revenue, as a percentage of License and other revenue, was 84% for both the nine months ended October 31, 2013 and 2012.</w:t>
      </w:r>
    </w:p>
    <w:p>
      <w:pPr>
        <w:spacing w:after="0" w:line="18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During the nine months ended October 31, 2013, total other revenue represented 16% of License and other revenue. Other revenue decreased by 8% during the nine months ended October 31, 2013, as compared to the nine months ended October 31, 2012 primarily due to a 60% decrease in our education products as a result of our transition to granting software licenses to educational institutions in select regions and to key partners during the nine months ended October 31, 2013, consistent with our strategy.</w:t>
      </w:r>
    </w:p>
    <w:p>
      <w:pPr>
        <w:spacing w:after="0" w:line="18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Backlog related to current software license product orders that had not shipped at the end of the quarter decreased by $17.7 million during the nine months ended October 31, 2013 from $20.0 million at January 31, 2013 to $2.3 million at October 31, 2013.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Our Subscription revenue consists of two components: maintenance revenue for our software products and revenue for our cloud service offerings, including Autodesk 360.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but can occasionally be as long as five years. Revenue for our cloud service offerings is recognized ratably over the contract term commencing with the date our service is made available to customers and all other revenue recognition criteria have been satisfied.</w:t>
      </w:r>
    </w:p>
    <w:p>
      <w:pPr>
        <w:spacing w:after="0" w:line="17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Subscription revenue increased 8% during the three months ended October 31, 2013, as compared to the three months ended October 31, 2012, primarily due to a 10% increase in commercial maintenance revenue. The 10% increase in commercial maintenance revenue was due to a 5% increase from commercial enrollment during the corresponding maintenance contract term and a 5% increase from net revenue per maintenance seat. Commercial maintenance revenue represented 96% and 94% of Subscription revenue for the three months ended October 31, 2013 and 2012, respectively.</w:t>
      </w:r>
    </w:p>
    <w:p>
      <w:pPr>
        <w:spacing w:after="0" w:line="154"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Subscription revenue increased 7% during the nine months ended October 31, 2013, as compared to the nine months ended October 31, 2012, primarily due to an 8% increase in commercial maintenance revenue. The 8% increase in commercial maintenance revenue was due to a 4% increase from commercial enrollment during the corresponding maintenance contract term and a 4% increase from net revenue per maintenance seat. Commercial maintenance revenue represented 95% and 94% of Subscription revenue for the nine months ended October 31, 2013 and 2012, respectively.</w:t>
      </w:r>
    </w:p>
    <w:p>
      <w:pPr>
        <w:spacing w:after="0" w:line="15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Changes in Subscription revenue lag changes in net billings for subscription contracts because we recognize the revenue from those contracts ratably over their contract terms. Net subscription billings increased 11% during the three months ended October 31, 2013 as compared to the same period in the prior fiscal year primarily due to an increase in multi-year maintenance subscriptions (related to a pricing change in the third fiscal quarter last year, which drove early renewal activity in the second fiscal quarter of last year) and an increase in billings from suites, which have higher maintenance subscription prices. Net subscription billings decreased 2% during the nine months ended October 31, 2013 as compared to the same periods in the prior fiscal year primarily due to a decline in multi-year maintenance subscription partially offset by an increase in sales of suites, which have higher maintenance subscription prices.</w:t>
      </w:r>
    </w:p>
    <w:p>
      <w:pPr>
        <w:spacing w:after="0" w:line="189"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Our deferred subscription revenue balance at October 31, 2013 and January 31, 2013 was $698.7 million and $753.1 million, respectively, and primarily related to customer maintenance agreements, which will be recognized as revenue ratably over the term of the maintenance agreement.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Net revenue in the Americas geography decreased by 1% and remained flat on a constant currency basis, during the three months ended October 31, 2013, as compared to the same period in the prior fiscal year. This increase was primarily due to a 12% decrease in our flagship product revenue partially offset by a 19% increase in our suites revenue in this geography during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right="60"/>
        <w:spacing w:after="0" w:line="277" w:lineRule="auto"/>
        <w:rPr>
          <w:sz w:val="20"/>
          <w:szCs w:val="20"/>
          <w:color w:val="auto"/>
        </w:rPr>
      </w:pPr>
      <w:r>
        <w:rPr>
          <w:rFonts w:ascii="Arial" w:cs="Arial" w:eastAsia="Arial" w:hAnsi="Arial"/>
          <w:sz w:val="18"/>
          <w:szCs w:val="18"/>
          <w:color w:val="auto"/>
        </w:rPr>
        <w:t>the three months ended October 31, 2013 as compared to the three months ended October 31, 2012. The decrease in our revenue in this geography was led by the U.S. partially offset by an increase in revenue from Canada.</w:t>
      </w:r>
    </w:p>
    <w:p>
      <w:pPr>
        <w:spacing w:after="0" w:line="170"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Net revenue in the Americas geography decreased by 1% on as reported basis and on a constant currency basis, during the nine months ended October 31, 2013, as compared to the same period in the prior fiscal year. This decrease was primarily due to a 9% decrease in our flagship products in this geography partially offset by a 10% increase in our suites revenue during the nine months ended October 31, 2013 as compared to the nine months ended October 31, 2012. The decrease in our revenue in this geography was led by Canada and Brazil partially offset by an increase in revenue from the U.S.</w:t>
      </w:r>
    </w:p>
    <w:p>
      <w:pPr>
        <w:spacing w:after="0" w:line="15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Net revenue in the Europe, Middle East and Africa ("EMEA") geography increased by 4%, and increased 5% on a constant currency basis, during the three months ended October 31, 2013 as compared to the same period in the prior fiscal year. This increase was primarily due to a 30% increase in our suites products partially offset by a 9% decrease in our flagship products in this geography during the three months ended October 31, 2013 as compared to the three months ended October 31, 2012. The increase in our revenue in this geography was led by the United Kingdom and Finland partially offset by declines in revenue from Ireland and Switzerland.</w:t>
      </w:r>
    </w:p>
    <w:p>
      <w:pPr>
        <w:spacing w:after="0" w:line="188"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Net revenue in the EMEA geography decreased by 1%, and increased by 2% on a constant currency basis, during the nine months ended October 31, 2013 as compared to the same period in the prior fiscal year. This decrease was primarily due to a 13% decrease in our flagship products in this geography partially offset by a 24% increase in our suites products during the nine months ended October 31, 2013 as compared to the nine months ended October 31, 2012. The decrease in our revenue in this geography was led by Ireland, Sweden and Italy partially offset by an increase in revenue from Finland and the United Kingdom.</w:t>
      </w:r>
    </w:p>
    <w:p>
      <w:pPr>
        <w:spacing w:after="0" w:line="188"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Net revenue in the APAC geography remained flat and increased by 7% on a constant currency basis, during the three months ended October 31, 2013, as compared to the same period in the prior fiscal year, primarily due to a 10% increase in our suites products partially offset by a 4% decrease in our flagship products in this geography. Our revenue in this geography during the three months ended October 31, 2013 was impacted by increases in revenue from China, Malaysia and Singapore offset by a decline in revenue in Japan.</w:t>
      </w:r>
    </w:p>
    <w:p>
      <w:pPr>
        <w:spacing w:after="0" w:line="18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Net revenue in the APAC geography decreased by 1% and increased by 4% on a constant currency basis, during the nine months ended October 31, 2013, as compared to the same period in the prior fiscal year. This decrease was primarily due to a 6% decrease in our flagship products in this geography partially offset by a 12% increase in our suites products during the nine months ended October 31, 2013 as compared to the nine months ended October 31, 2012. The decrease in our revenue in this geography during the nine months ended October 31, 2013 was led by Japan, Taiwan, and Australia partially offset by an increase in revenue from China, Indonesia and Singapore.</w:t>
      </w:r>
    </w:p>
    <w:p>
      <w:pPr>
        <w:spacing w:after="0" w:line="188"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Net revenue in emerging economies increased by 6% during the three months ended October 31, 2013 as compared to the same period in the prior fiscal year, primarily due to increases in revenue from China, Hungary and Qatar partially offset by a decrease in revenue from Mexico. Revenue from emerging economies represented 15% of total net revenue for both the three months ended October 31, 2013 and 2012.</w:t>
      </w:r>
    </w:p>
    <w:p>
      <w:pPr>
        <w:spacing w:after="0" w:line="166"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Net revenue in emerging economies decreased by 1% during the nine months ended October 31, 2013 as compared to the same period in the prior fiscal year, primarily due to decreases in revenue from the Russian Federation and Taiwan partially offset by an increase in revenue from China. Revenue from emerging economies represented 15% of total net revenue during both the nine months ended October 31, 2013 and 2012.</w:t>
      </w:r>
    </w:p>
    <w:p>
      <w:pPr>
        <w:spacing w:after="0" w:line="166"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International net revenue represented 69% and 70% of our total net revenue for the three and nine months ended October 31, 2013, respectively. International net revenue represented 68% and 71% of our total net revenue for the three and nine months ended October 31, 2012, respectively. We believe that international revenue will continue to comprise a majority of our total net revenue. Unfavorable economic conditions in the countries that contribute a significant portion of our net revenue, including in emerging economies,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four reportable segments: PSEB, AEC, MFG and M&amp;E. We have no material inter-segment revenue.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ind w:right="140" w:firstLine="432"/>
        <w:spacing w:after="0" w:line="259" w:lineRule="auto"/>
        <w:rPr>
          <w:sz w:val="20"/>
          <w:szCs w:val="20"/>
          <w:color w:val="auto"/>
        </w:rPr>
      </w:pPr>
      <w:r>
        <w:rPr>
          <w:rFonts w:ascii="Arial" w:cs="Arial" w:eastAsia="Arial" w:hAnsi="Arial"/>
          <w:sz w:val="18"/>
          <w:szCs w:val="18"/>
          <w:color w:val="auto"/>
        </w:rPr>
        <w:t>During the three months ended October 31, 2013, net revenue for PSEB decreased by 10% as compared to the same period of the prior fiscal year primarily due to a 12% and 9% decrease in revenue from our flagship products, AutoCAD LT and AutoCAD, respectively. During the nine months ended October 31, 2013, net revenue for PSEB decreased by 8% as compared to the same period of the prior fiscal year primarily due to a 10% and 7% decrease in revenue from our flagship products, AutoCAD and AutoCAD LT, respectively.</w:t>
      </w:r>
    </w:p>
    <w:p>
      <w:pPr>
        <w:spacing w:after="0" w:line="18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the three months ended October 31, 2013, net revenue for AEC increased by 13% as compared to the same period of the prior fiscal year primarily due to a 42% increase in revenue from our AEC suites, which was primarily driven by Autodesk Building Design Suite and Autodesk Infrastructure Design Suite. During the nine months ended October 31, 2013, net revenue for AEC increased by 9% as compared to the same period of the prior fiscal year primarily due to a 30% increase in revenue from our AEC suites, which was primarily driven by Autodesk Building Design Suite and Autodesk Infrastructure Design Suite.</w:t>
      </w:r>
    </w:p>
    <w:p>
      <w:pPr>
        <w:spacing w:after="0" w:line="188"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During the three months ended October 31, 2013, net revenue for MFG increased by 8% as compared to the same period of the prior fiscal year primarily due to an 11% increase in revenue from our MFG suites, which was primarily driven by the Autodesk Product Design Suite. During the nine months ended October 31, 2013, net revenue for MFG increased by 2% as compared to the same period of the prior fiscal year primarily due to an 11% increase in revenue from our MFG suites, which was primarily driven by the Autodesk Product Design Suite partially offset by a 23% decrease in revenue from our flagship product, AutoCAD Mechanical.</w:t>
      </w:r>
    </w:p>
    <w:p>
      <w:pPr>
        <w:spacing w:after="0" w:line="188"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During the three months ended October 31, 2013, net revenue for M&amp;E decreased by 9% as compared to the same period in the prior fiscal year, primarily due to a 22% decrease in revenue from Creative Finishing and a 5% decrease in revenue from Animation. The decline in Creative Finishing was marked by a general decrease in M&amp;E industry end-market demand. The decrease in Animation revenue was primarily due to a 9% decrease in revenue from our flagship product, Maya and a 12% decrease from our M&amp;E suites, which was driven by our Autodesk Entertainment Creation Suite. During the nine months ended October 31, 2013, net revenue for M&amp;E decreased by 9% as compared to the same period in the prior fiscal year, primarily due to an 8% decrease in revenue from Animation and a 13% decrease in revenue from Creative Finishing. The decrease in Animation revenue was primarily due to a 17% decrease in revenue from our M&amp;E suites, which was driven by our Autodesk Entertainment Creation Suite, a 9% decrease in revenue from each of our flagship products, Maya and 3Ds Max. The decline in Creative Finishing was marked by a general decrease in M&amp;E industry end-market demand. As more of our customers move to our suites products, our revenue on stand-alone products like 3Ds Max may decrease because it is included in a number of our various segments' suites. Integration of our M&amp;E offerings into our other segments' suites is part of our strategy and we believe it represents a growth opportunity for us over the long-term.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rPr>
              <w:t>Increase compared to</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18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Increase compared to</w:t>
            </w:r>
          </w:p>
        </w:tc>
        <w:tc>
          <w:tcPr>
            <w:tcW w:w="160" w:type="dxa"/>
            <w:vAlign w:val="bottom"/>
          </w:tcPr>
          <w:p>
            <w:pPr>
              <w:spacing w:after="0"/>
              <w:rPr>
                <w:sz w:val="14"/>
                <w:szCs w:val="14"/>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22"/>
                <w:szCs w:val="2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October 31, 2013</w:t>
            </w:r>
          </w:p>
        </w:tc>
        <w:tc>
          <w:tcPr>
            <w:tcW w:w="200" w:type="dxa"/>
            <w:vAlign w:val="bottom"/>
          </w:tcPr>
          <w:p>
            <w:pPr>
              <w:spacing w:after="0"/>
              <w:rPr>
                <w:sz w:val="22"/>
                <w:szCs w:val="22"/>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October 31, 2012</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2013</w:t>
            </w:r>
          </w:p>
        </w:tc>
        <w:tc>
          <w:tcPr>
            <w:tcW w:w="180" w:type="dxa"/>
            <w:vAlign w:val="bottom"/>
          </w:tcPr>
          <w:p>
            <w:pPr>
              <w:spacing w:after="0"/>
              <w:rPr>
                <w:sz w:val="22"/>
                <w:szCs w:val="22"/>
                <w:color w:val="auto"/>
              </w:rPr>
            </w:pPr>
          </w:p>
        </w:tc>
        <w:tc>
          <w:tcPr>
            <w:tcW w:w="62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October 31, 2012</w:t>
            </w:r>
          </w:p>
        </w:tc>
      </w:tr>
      <w:tr>
        <w:trPr>
          <w:trHeight w:val="21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60"/>
        </w:trPr>
        <w:tc>
          <w:tcPr>
            <w:tcW w:w="2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3"/>
              <w:spacing w:after="0"/>
              <w:rPr>
                <w:sz w:val="20"/>
                <w:szCs w:val="20"/>
                <w:color w:val="auto"/>
              </w:rPr>
            </w:pPr>
            <w:r>
              <w:rPr>
                <w:rFonts w:ascii="Arial" w:cs="Arial" w:eastAsia="Arial" w:hAnsi="Arial"/>
                <w:sz w:val="16"/>
                <w:szCs w:val="16"/>
                <w:color w:val="auto"/>
              </w:rPr>
              <w:t>2.1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3"/>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3"/>
              <w:spacing w:after="0"/>
              <w:rPr>
                <w:sz w:val="20"/>
                <w:szCs w:val="20"/>
                <w:color w:val="auto"/>
              </w:rPr>
            </w:pPr>
            <w:r>
              <w:rPr>
                <w:rFonts w:ascii="Arial" w:cs="Arial" w:eastAsia="Arial" w:hAnsi="Arial"/>
                <w:sz w:val="16"/>
                <w:szCs w:val="16"/>
                <w:color w:val="auto"/>
              </w:rPr>
              <w:t>6.0</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124.6</w:t>
            </w:r>
          </w:p>
        </w:tc>
      </w:tr>
      <w:tr>
        <w:trPr>
          <w:trHeight w:val="3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7.1</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19.9</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51.9</w:t>
            </w:r>
          </w:p>
        </w:tc>
      </w:tr>
      <w:tr>
        <w:trPr>
          <w:trHeight w:val="284"/>
        </w:trPr>
        <w:tc>
          <w:tcPr>
            <w:tcW w:w="24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67.1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9.2</w:t>
            </w:r>
          </w:p>
        </w:tc>
        <w:tc>
          <w:tcPr>
            <w:tcW w:w="10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25.9</w:t>
            </w:r>
          </w:p>
        </w:tc>
        <w:tc>
          <w:tcPr>
            <w:tcW w:w="9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176.5</w:t>
            </w:r>
          </w:p>
        </w:tc>
      </w:tr>
      <w:tr>
        <w:trPr>
          <w:trHeight w:val="224"/>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2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Cost of license and other revenue includes labor costs associated with product setup and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physical media, packaging materials and shipping and handling costs.</w:t>
      </w:r>
    </w:p>
    <w:p>
      <w:pPr>
        <w:spacing w:after="0" w:line="173"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Cost of license and other revenue increased 5% for both the three and nine months ended October 31, 2013, as compared to the same periods in the prior fiscal year, primarily due to an increase in Autodesk consulting related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6" w:name="page37"/>
    <w:bookmarkEnd w:id="36"/>
    <w:p>
      <w:pPr>
        <w:ind w:right="100" w:firstLine="432"/>
        <w:spacing w:after="0" w:line="257" w:lineRule="auto"/>
        <w:rPr>
          <w:sz w:val="20"/>
          <w:szCs w:val="20"/>
          <w:color w:val="auto"/>
        </w:rPr>
      </w:pPr>
      <w:r>
        <w:rPr>
          <w:rFonts w:ascii="Arial" w:cs="Arial" w:eastAsia="Arial" w:hAnsi="Arial"/>
          <w:sz w:val="18"/>
          <w:szCs w:val="18"/>
          <w:color w:val="auto"/>
        </w:rPr>
        <w:t>Cost of subscription revenue includes the labor costs of providing product support to our maintenance and cloud subscription customers, including rent and occupancy, shipping and handling costs, professional services fees related to operating our network infrastructure, including depreciation expense and operating lease payments associated with computer equipment, data center costs, salaries and related expenses of network operations. Cost of subscription revenue increased 43% and 38% during the three and nine months ended October 31, 2013, respectively, as compared to the same periods in the prior fiscal year, primarily due to higher cloud services-related expenses.</w:t>
      </w:r>
    </w:p>
    <w:p>
      <w:pPr>
        <w:spacing w:after="0" w:line="18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We expect cost of revenue to slightly increase in absolute dollars and as a percentage of net revenue during the fourth quarter of fiscal 2014, as compared to the fourth quarter of fiscal 2013, primarily due to an increase in cloud services-related expenses associated with meeting our major business initiatives.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20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0"/>
              </w:rPr>
              <w:t>Decrease compared to</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2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Decrease compared to</w:t>
            </w:r>
          </w:p>
        </w:tc>
        <w:tc>
          <w:tcPr>
            <w:tcW w:w="14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2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2"/>
              </w:rPr>
              <w:t>October 31, 2013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2"/>
              </w:rPr>
              <w:t>October 31, 2012</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2013</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2012</w:t>
            </w:r>
          </w:p>
        </w:tc>
      </w:tr>
      <w:tr>
        <w:trPr>
          <w:trHeight w:val="236"/>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203.4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(0.5)</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 %  $</w:t>
            </w:r>
          </w:p>
        </w:tc>
        <w:tc>
          <w:tcPr>
            <w:tcW w:w="11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203.9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610.3</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(29.2)</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639.5</w:t>
            </w:r>
          </w:p>
        </w:tc>
      </w:tr>
      <w:tr>
        <w:trPr>
          <w:trHeight w:val="237"/>
        </w:trPr>
        <w:tc>
          <w:tcPr>
            <w:tcW w:w="2280" w:type="dxa"/>
            <w:vAlign w:val="bottom"/>
          </w:tcPr>
          <w:p>
            <w:pPr>
              <w:ind w:left="40"/>
              <w:spacing w:after="0"/>
              <w:rPr>
                <w:sz w:val="20"/>
                <w:szCs w:val="20"/>
                <w:color w:val="auto"/>
              </w:rPr>
            </w:pPr>
            <w:r>
              <w:rPr>
                <w:rFonts w:ascii="Arial" w:cs="Arial" w:eastAsia="Arial" w:hAnsi="Arial"/>
                <w:sz w:val="16"/>
                <w:szCs w:val="16"/>
                <w:color w:val="auto"/>
                <w:w w:val="99"/>
              </w:rPr>
              <w:t>As a percentage of net revenue</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r>
    </w:tbl>
    <w:p>
      <w:pPr>
        <w:spacing w:after="0" w:line="235"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7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Marketing and sales expenses remained flat for the three months ended October 31, 2013 as compared to the same period in the prior fiscal year primarily due to an increase in employee-related costs offset by a decrease in stock-based compensation charges. Marketing and sales expenses decreased 5% for the nine months ended October 31, 2013 as compared to the same period in the prior fiscal year primarily due to a decrease in professional fees and marketing related costs and a decrease in employee-related costs related to bonuses, salaries, commissions, and fringe benefits.</w:t>
      </w:r>
    </w:p>
    <w:p>
      <w:pPr>
        <w:spacing w:after="0" w:line="15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For the fourth quarter of fiscal 2014, as compared to the fourth quarter of fiscal 2013, we expect marketing and sales expense to remain relatively consistent in absolute dollars and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188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Decrease compared to</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Nine Months</w:t>
            </w:r>
          </w:p>
        </w:tc>
        <w:tc>
          <w:tcPr>
            <w:tcW w:w="22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Decrease compared to</w:t>
            </w:r>
          </w:p>
        </w:tc>
        <w:tc>
          <w:tcPr>
            <w:tcW w:w="14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2012</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October 31, 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2012</w:t>
            </w:r>
          </w:p>
        </w:tc>
      </w:tr>
      <w:tr>
        <w:trPr>
          <w:trHeight w:val="236"/>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149.0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448.7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450.6</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3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7" w:name="page38"/>
    <w:bookmarkEnd w:id="37"/>
    <w:p>
      <w:pPr>
        <w:jc w:val="both"/>
        <w:ind w:right="180" w:firstLine="432"/>
        <w:spacing w:after="0" w:line="264" w:lineRule="auto"/>
        <w:rPr>
          <w:sz w:val="20"/>
          <w:szCs w:val="20"/>
          <w:color w:val="auto"/>
        </w:rPr>
      </w:pPr>
      <w:r>
        <w:rPr>
          <w:rFonts w:ascii="Arial" w:cs="Arial" w:eastAsia="Arial" w:hAnsi="Arial"/>
          <w:sz w:val="18"/>
          <w:szCs w:val="18"/>
          <w:color w:val="auto"/>
        </w:rPr>
        <w:t>Research and development expenses decreased 3% during the three months ended October 31, 2013 as compared to the same period in the prior fiscal year, primarily due to a decrease in stock-based compensation expense partially offset by an increase in employee-related costs related to salaries and fringe benefits and professional fees.</w:t>
      </w:r>
    </w:p>
    <w:p>
      <w:pPr>
        <w:spacing w:after="0" w:line="18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Research and development expenses remained flat during the nine months ended October 31, 2013 as compared to the same period in the prior fiscal year, primarily due to a decrease in stock-based compensation expense and employee-related costs related to bonuses offset by an increase in employee-related costs related to salaries and fringe benefits, professional fees, and consulting related costs.</w:t>
      </w:r>
    </w:p>
    <w:p>
      <w:pPr>
        <w:spacing w:after="0" w:line="181" w:lineRule="exact"/>
        <w:rPr>
          <w:sz w:val="20"/>
          <w:szCs w:val="20"/>
          <w:color w:val="auto"/>
        </w:rPr>
      </w:pPr>
    </w:p>
    <w:p>
      <w:pPr>
        <w:ind w:right="1040" w:firstLine="432"/>
        <w:spacing w:after="0" w:line="308" w:lineRule="auto"/>
        <w:rPr>
          <w:sz w:val="20"/>
          <w:szCs w:val="20"/>
          <w:color w:val="auto"/>
        </w:rPr>
      </w:pPr>
      <w:r>
        <w:rPr>
          <w:rFonts w:ascii="Arial" w:cs="Arial" w:eastAsia="Arial" w:hAnsi="Arial"/>
          <w:sz w:val="17"/>
          <w:szCs w:val="17"/>
          <w:color w:val="auto"/>
        </w:rPr>
        <w:t>The decline in stock-based expense for both the three and nine months ended October 31, 2013 was impacted by the one-time stock-based compensation expense associated with the acquisition of Socialcam during the three months ended October 31, 2012.</w:t>
      </w:r>
    </w:p>
    <w:p>
      <w:pPr>
        <w:spacing w:after="0" w:line="14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For the fourth quarter of fiscal 2014, as compared to the fourth quarter of fiscal 2013, we expect research and development expense to slightly increase in absolute dollars and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Increase compared to</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18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Increase compared to</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3"/>
              </w:rPr>
              <w:t>prior fiscal year</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prior fiscal year</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2012</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2012</w:t>
            </w:r>
          </w:p>
        </w:tc>
      </w:tr>
      <w:tr>
        <w:trPr>
          <w:trHeight w:val="23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186.3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5.6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180.7</w:t>
            </w:r>
          </w:p>
        </w:tc>
      </w:tr>
      <w:tr>
        <w:trPr>
          <w:trHeight w:val="237"/>
        </w:trPr>
        <w:tc>
          <w:tcPr>
            <w:tcW w:w="2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finance, human resources and legal employees, as well as professional fees for legal and accounting services, amortization of acquisition related customer relationships and trade names, gains and losses on our operating expense cash flow hedges, expense of travel, entertainment and training, expense of communication and the cost of supplies and equipment.</w:t>
      </w:r>
    </w:p>
    <w:p>
      <w:pPr>
        <w:spacing w:after="0" w:line="187"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General and administrative expenses increased 2% during the three months ended October 31, 2013 as compared to the same period in the prior fiscal year, primarily due to an increase in employee-related costs related to salaries and fringe benefits, and legal fees partially offset by a decrease in amortization of acquisition related customer relationships and trade names.</w:t>
      </w:r>
    </w:p>
    <w:p>
      <w:pPr>
        <w:ind w:right="100" w:firstLine="432"/>
        <w:spacing w:after="0" w:line="255" w:lineRule="auto"/>
        <w:rPr>
          <w:sz w:val="20"/>
          <w:szCs w:val="20"/>
          <w:color w:val="auto"/>
        </w:rPr>
      </w:pPr>
      <w:r>
        <w:rPr>
          <w:rFonts w:ascii="Arial" w:cs="Arial" w:eastAsia="Arial" w:hAnsi="Arial"/>
          <w:sz w:val="18"/>
          <w:szCs w:val="18"/>
          <w:color w:val="auto"/>
        </w:rPr>
        <w:t>General and administrative expenses increased 3% during the nine months ended October 31, 2013 as compared to the same period in the prior fiscal year, primarily due to an increase in employee-related costs related to salaries and fringe benefits, and legal fees partially offset by a decrease in amortization of acquisition related customer relationships and trade names, and employee-related costs related to bonuses.</w:t>
      </w:r>
    </w:p>
    <w:p>
      <w:pPr>
        <w:spacing w:after="0" w:line="190"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For the fourth quarter of fiscal 2014, as compared to the fourth quarter of fiscal 2013, we expect general and administrative expenses to remain relatively consistent in absolute dollars and as a percentage of net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Decrease compared to</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w:t>
            </w:r>
          </w:p>
        </w:tc>
        <w:tc>
          <w:tcPr>
            <w:tcW w:w="220" w:type="dxa"/>
            <w:vAlign w:val="bottom"/>
          </w:tcPr>
          <w:p>
            <w:pPr>
              <w:spacing w:after="0"/>
              <w:rPr>
                <w:sz w:val="14"/>
                <w:szCs w:val="14"/>
                <w:color w:val="auto"/>
              </w:rPr>
            </w:pPr>
          </w:p>
        </w:tc>
        <w:tc>
          <w:tcPr>
            <w:tcW w:w="18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Decrease compared to</w:t>
            </w:r>
          </w:p>
        </w:tc>
        <w:tc>
          <w:tcPr>
            <w:tcW w:w="14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03"/>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123"/>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October 31,</w:t>
            </w: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2"/>
              </w:rPr>
              <w:t>October 31, 2012</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October 31,</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2012</w:t>
            </w:r>
          </w:p>
        </w:tc>
      </w:tr>
      <w:tr>
        <w:trPr>
          <w:trHeight w:val="236"/>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36.7</w:t>
            </w:r>
          </w:p>
        </w:tc>
      </w:tr>
      <w:tr>
        <w:trPr>
          <w:trHeight w:val="237"/>
        </w:trPr>
        <w:tc>
          <w:tcPr>
            <w:tcW w:w="2180" w:type="dxa"/>
            <w:vAlign w:val="bottom"/>
          </w:tcPr>
          <w:p>
            <w:pPr>
              <w:ind w:left="40"/>
              <w:spacing w:after="0"/>
              <w:rPr>
                <w:sz w:val="20"/>
                <w:szCs w:val="20"/>
                <w:color w:val="auto"/>
              </w:rPr>
            </w:pPr>
            <w:r>
              <w:rPr>
                <w:rFonts w:ascii="Arial" w:cs="Arial" w:eastAsia="Arial" w:hAnsi="Arial"/>
                <w:sz w:val="16"/>
                <w:szCs w:val="16"/>
                <w:color w:val="auto"/>
                <w:w w:val="94"/>
              </w:rPr>
              <w:t>As a percentage of net revenue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3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During the third quarter of fiscal 2014, the the Board of Directors of the Company approved a world-wide restructuring plan in order to re-balance staffing levels to better align them with the evolving needs of the business. The Company authorized plan included a reduction of approximately 85 positions and the consolidation of four leased facilities, with a total cost of approximately $15.0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ind w:right="40" w:firstLine="405"/>
        <w:spacing w:after="0" w:line="286" w:lineRule="auto"/>
        <w:rPr>
          <w:sz w:val="20"/>
          <w:szCs w:val="20"/>
          <w:color w:val="auto"/>
        </w:rPr>
      </w:pPr>
      <w:r>
        <w:rPr>
          <w:rFonts w:ascii="Arial" w:cs="Arial" w:eastAsia="Arial" w:hAnsi="Arial"/>
          <w:sz w:val="17"/>
          <w:szCs w:val="17"/>
          <w:color w:val="auto"/>
        </w:rPr>
        <w:t>During the third quarter of fiscal 2013, the Board of Directors of the Company approved a world-wide restructuring plan in line with the Company's strategy, including its continuing shift to cloud and mobile computing. The approved plan included a reduction in force and the consolidation of certain leased facilities. As of October 31, 2013, the personnel and facilities related actions included in this restructuring plan were substantially complete.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months ended October 31, 2013, we recorded an incremental restructuring charge associated with the Fiscal 2014 Plan of $4.4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October 31, 2013, we recorded an incremental restructuring charge associated with both the Fiscal 2014 Plan and Fiscal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of $6.5 million. See Note 13, “Restructuring,” in the Notes to the Condensed Consolidated Financial Statements for further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and Other Income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income (expense),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r>
      <w:tr>
        <w:trPr>
          <w:trHeight w:val="23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income, net</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Loss on foreign currency</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5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strategic investments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Other income (loss)</w:t>
            </w:r>
          </w:p>
        </w:tc>
        <w:tc>
          <w:tcPr>
            <w:tcW w:w="9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5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 net</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Interest and other income (expense), net, increased $1.2 million during the three months ended October 31, 2013, as compared to the same periods in the prior fiscal year, primarily due to an increase in other income associated with a Quebec ecommerce tax credit partially offset by a reduction in our interest and investment (expense) income, net. Interest and other income (expense), net, decreased $12.1 million during the nine months ended October 31, 2013, as compared to the same period in the prior fiscal year, primarily due to a reduction in our interest and investment (expense) income, net and losses on foreign currency.</w:t>
      </w:r>
    </w:p>
    <w:p>
      <w:pPr>
        <w:spacing w:after="0" w:line="18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decreases in interest and investment (expense) income, net, during the three and nine months ended October 31, 2013, as compared to the same period in the prior fiscal year is primarily due to interest expense resulting from the issuance of $400.0 million aggregate principal amount of 1.95% senior notes due December 15, 2017 and $350.0 million aggregate principal amount of 3.6% senior notes due December 15, 2022, and a decrease in the fair value of our trading securities that are marked-to-market each period. Interest and investment income fluctuates based on average cash, marketable securities and debt balances, average maturities and interest rates.</w:t>
      </w:r>
    </w:p>
    <w:p>
      <w:pPr>
        <w:spacing w:after="0" w:line="18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basis of assets and liabilities, using enacted rates expected to be in effect during the year in which the basis differences reverse.</w:t>
      </w:r>
    </w:p>
    <w:p>
      <w:pPr>
        <w:spacing w:after="0" w:line="181"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Our effective tax rate was 17% and 22% during the three and nine months ended October 31, 2013, respectively, compared to 14% and 23% during the three and nine months ended October 31, 2012, respectively. Our effective tax rate increased 3% during the three months ended October 31, 2013 as compared to the same period in the prior fiscal year primarily due to adjustments related to tax return filings partially offset by stock-based compensation expense. Our effective tax rate decreased 1% during the nine months ended October 31, 2013 as compared to the same period in the prior fiscal year primarily due to foreign income taxed at lower rates and tax benefits from the reinstated federal research credit. Excluding the impact of discrete tax items, the effective tax rate for each of the three and nine month periods ended October 31, 2013 was 22% and was lower than the Federal statutory tax rate of 35% primarily due to foreign income taxed at lower rates partially offset by the impact of non-deductible stock based compensation expense.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39" w:name="page40"/>
    <w:bookmarkEnd w:id="39"/>
    <w:p>
      <w:pPr>
        <w:ind w:right="20"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and investments, U.S. Manufacturer’s deduction, closure of statute of limitations or settlement of tax audits, changes in valuation allowances and changes in tax laws including possible U.S. and foreign tax law changes that, if enacted, could significantly impact how multinational companies are taxed.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At October 31, 2013, we had net deferred tax assets of $171.8 million. We believe that we will generate sufficient future taxable income in appropriate tax jurisdictions to realize these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and nine months ended October 31, 2013, and 2012, our gross profit, gross margin, income from operations, operating margin, net income and diluted earnings per share on a GAAP and non-GAAP basis were as follows (in millions except for gross margin, operating margin and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October 31,</w:t>
            </w:r>
          </w:p>
        </w:tc>
        <w:tc>
          <w:tcPr>
            <w:tcW w:w="260" w:type="dxa"/>
            <w:vAlign w:val="bottom"/>
          </w:tcPr>
          <w:p>
            <w:pPr>
              <w:spacing w:after="0"/>
              <w:rPr>
                <w:sz w:val="16"/>
                <w:szCs w:val="16"/>
                <w:color w:val="auto"/>
              </w:rPr>
            </w:pPr>
          </w:p>
        </w:tc>
        <w:tc>
          <w:tcPr>
            <w:tcW w:w="2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56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488.1</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1,484.9</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1,528.8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500.3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501.3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1,521.8</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1,561.9</w:t>
            </w:r>
          </w:p>
        </w:tc>
      </w:tr>
      <w:tr>
        <w:trPr>
          <w:trHeight w:val="33"/>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88%</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68.1</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233.1</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221.3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122.3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395.8</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435.6</w:t>
            </w:r>
          </w:p>
        </w:tc>
      </w:tr>
      <w:tr>
        <w:trPr>
          <w:trHeight w:val="33"/>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57.6</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174.9</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172.9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Non-GAAP net income (1)</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94.3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292.4</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329.2</w:t>
            </w:r>
          </w:p>
        </w:tc>
      </w:tr>
      <w:tr>
        <w:trPr>
          <w:trHeight w:val="33"/>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(2)</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0.25</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0.77</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0.75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Non-GAAP diluted earnings per share (1) (2)</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0.41</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1.28</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1.42</w:t>
            </w:r>
          </w:p>
        </w:tc>
      </w:tr>
      <w:tr>
        <w:trPr>
          <w:trHeight w:val="249"/>
        </w:trPr>
        <w:tc>
          <w:tcPr>
            <w:tcW w:w="562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ind w:left="420" w:right="300" w:hanging="412"/>
        <w:spacing w:after="0" w:line="248"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 w:lineRule="exact"/>
        <w:rPr>
          <w:rFonts w:ascii="Arial" w:cs="Arial" w:eastAsia="Arial" w:hAnsi="Arial"/>
          <w:sz w:val="16"/>
          <w:szCs w:val="16"/>
          <w:color w:val="auto"/>
        </w:rPr>
      </w:pPr>
    </w:p>
    <w:p>
      <w:pPr>
        <w:ind w:left="420" w:right="40" w:hanging="412"/>
        <w:spacing w:after="0" w:line="257"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8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jc w:val="both"/>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left="5600"/>
        <w:spacing w:after="0"/>
        <w:rPr>
          <w:sz w:val="20"/>
          <w:szCs w:val="20"/>
          <w:color w:val="auto"/>
        </w:rPr>
      </w:pPr>
      <w:r>
        <w:rPr>
          <w:rFonts w:ascii="Arial" w:cs="Arial" w:eastAsia="Arial" w:hAnsi="Arial"/>
          <w:sz w:val="13"/>
          <w:szCs w:val="13"/>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31115</wp:posOffset>
            </wp:positionV>
            <wp:extent cx="1981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14" w:lineRule="exact"/>
        <w:rPr>
          <w:sz w:val="20"/>
          <w:szCs w:val="20"/>
          <w:color w:val="auto"/>
        </w:rPr>
      </w:pPr>
    </w:p>
    <w:p>
      <w:pPr>
        <w:ind w:left="5720"/>
        <w:spacing w:after="0"/>
        <w:tabs>
          <w:tab w:leader="none" w:pos="732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23495</wp:posOffset>
            </wp:positionV>
            <wp:extent cx="19812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89"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31115</wp:posOffset>
            </wp:positionV>
            <wp:extent cx="19894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14"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23495</wp:posOffset>
            </wp:positionV>
            <wp:extent cx="19894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8160" w:space="720"/>
            <w:col w:w="2540"/>
          </w:cols>
          <w:pgMar w:left="240" w:top="806" w:right="239" w:bottom="1440" w:gutter="0" w:footer="0" w:header="0"/>
        </w:sectPr>
      </w:pPr>
    </w:p>
    <w:tbl>
      <w:tblPr>
        <w:tblLayout w:type="fixed"/>
        <w:tblInd w:w="0" w:type="dxa"/>
        <w:tblCellMar>
          <w:top w:w="0" w:type="dxa"/>
          <w:left w:w="0" w:type="dxa"/>
          <w:bottom w:w="0" w:type="dxa"/>
          <w:right w:w="0" w:type="dxa"/>
        </w:tblCellMar>
      </w:tblPr>
      <w:tr>
        <w:trPr>
          <w:trHeight w:val="242"/>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1,528.8</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500.3</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501.3</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1,521.8</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1,561.9</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margin</w:t>
            </w:r>
          </w:p>
        </w:tc>
        <w:tc>
          <w:tcPr>
            <w:tcW w:w="6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60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Income from operations</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233.1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221.3</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income from operations</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435.6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Operating margin</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Net income</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strategic investments (1)</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292.4</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 (2)</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strategic investments (1)</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diluted net income per share (2)</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50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00" w:hanging="412"/>
        <w:spacing w:after="0" w:line="248"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 w:lineRule="exact"/>
        <w:rPr>
          <w:rFonts w:ascii="Arial" w:cs="Arial" w:eastAsia="Arial" w:hAnsi="Arial"/>
          <w:sz w:val="16"/>
          <w:szCs w:val="16"/>
          <w:color w:val="auto"/>
        </w:rPr>
      </w:pPr>
    </w:p>
    <w:p>
      <w:pPr>
        <w:ind w:left="420" w:right="40" w:hanging="412"/>
        <w:spacing w:after="0" w:line="257"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Stock-based compensation expense</w:t>
      </w:r>
      <w:r>
        <w:rPr>
          <w:rFonts w:ascii="Arial" w:cs="Arial" w:eastAsia="Arial" w:hAnsi="Arial"/>
          <w:sz w:val="18"/>
          <w:szCs w:val="18"/>
          <w:color w:val="auto"/>
        </w:rPr>
        <w:t>s. We exclude stock-based compensation expenses from non-GAAP measures primarily because they are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6" w:right="239" w:bottom="1440" w:gutter="0" w:footer="0" w:header="0"/>
          <w:type w:val="continuous"/>
        </w:sectPr>
      </w:pPr>
    </w:p>
    <w:bookmarkStart w:id="42" w:name="page43"/>
    <w:bookmarkEnd w:id="42"/>
    <w:p>
      <w:pPr>
        <w:jc w:val="both"/>
        <w:ind w:right="20"/>
        <w:spacing w:after="0" w:line="277" w:lineRule="auto"/>
        <w:rPr>
          <w:sz w:val="20"/>
          <w:szCs w:val="20"/>
          <w:color w:val="auto"/>
        </w:rPr>
      </w:pPr>
      <w:r>
        <w:rPr>
          <w:rFonts w:ascii="Arial" w:cs="Arial" w:eastAsia="Arial" w:hAnsi="Arial"/>
          <w:sz w:val="18"/>
          <w:szCs w:val="18"/>
          <w:color w:val="auto"/>
        </w:rPr>
        <w:t>ASC Topic 718, we believe excluding stock-based compensation expenses allows investors to make meaningful comparisons between our recurring core business operating results and those of other companies.</w:t>
      </w:r>
    </w:p>
    <w:p>
      <w:pPr>
        <w:spacing w:after="0" w:line="1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Amortization of purchased intangibles. </w:t>
      </w:r>
      <w:r>
        <w:rPr>
          <w:rFonts w:ascii="Arial" w:cs="Arial" w:eastAsia="Arial" w:hAnsi="Arial"/>
          <w:sz w:val="16"/>
          <w:szCs w:val="16"/>
          <w:color w:val="auto"/>
        </w:rPr>
        <w:t>We incur amortization of acquisition-related purchased intangible assets in connection with acquisitions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businesses and technologies. Amortization of intangible assets is inconsistent in amount and frequency and is significantly affected by the timing and size of our acquisitions. Management finds it useful to exclude these variable charges to assess the appropriate level of various operating expenses to assist in budgeting, planning and forecasting future periods. Investors should note that the use of intangible assets contributed to our revenues earned during the periods presented and will contribute to our future period revenues as well. Amortization of purchased intangible assets will recur in future periods.</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Restructuring charges (benefits), net. </w:t>
      </w:r>
      <w:r>
        <w:rPr>
          <w:rFonts w:ascii="Arial" w:cs="Arial" w:eastAsia="Arial" w:hAnsi="Arial"/>
          <w:sz w:val="17"/>
          <w:szCs w:val="17"/>
          <w:color w:val="auto"/>
        </w:rPr>
        <w:t>These expenses are associated with realigning our business strategies based on current economic conditions.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these restructuring actions, we recognize costs related to termination benefits for former employees whose positions were eliminated, and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(Gain) loss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and realized gains and losses on the sale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the Company's operational performance.</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Income tax effects on the difference between GAAP and non-GAAP costs and expenses. </w:t>
      </w:r>
      <w:r>
        <w:rPr>
          <w:rFonts w:ascii="Arial" w:cs="Arial" w:eastAsia="Arial" w:hAnsi="Arial"/>
          <w:sz w:val="18"/>
          <w:szCs w:val="18"/>
          <w:color w:val="auto"/>
        </w:rPr>
        <w:t>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expenses, primarily due to stock-based compensation, purchased intangibles and restructuring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40" w:firstLine="405"/>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7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At October 31, 2013, our principal sources of liquidity were cash, cash equivalents and marketable securities totaling $2,479.0 million and net accounts receivable of $304.1 million.</w:t>
      </w:r>
    </w:p>
    <w:p>
      <w:pPr>
        <w:spacing w:after="0" w:line="1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fiscal 2013, we issued $400.0 million aggregate principal amount of 1.95% senior notes due December 15, 2017 and $350.0 million aggregate principal amount of 3.6% senior notes due December 15, 2022, (collectively, the “Senior Notes”). As of December 6, 2013, we have $750.0 million aggregate principal amount of Senior Notes outstanding. In addition, we have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jc w:val="both"/>
        <w:ind w:right="100"/>
        <w:spacing w:after="0" w:line="286" w:lineRule="auto"/>
        <w:rPr>
          <w:sz w:val="20"/>
          <w:szCs w:val="20"/>
          <w:color w:val="auto"/>
        </w:rPr>
      </w:pPr>
      <w:r>
        <w:rPr>
          <w:rFonts w:ascii="Arial" w:cs="Arial" w:eastAsia="Arial" w:hAnsi="Arial"/>
          <w:sz w:val="17"/>
          <w:szCs w:val="17"/>
          <w:color w:val="auto"/>
        </w:rPr>
        <w:t>line of credit facility that permits unsecured short-term borrowings of up to $400.0 million. As of December 6, 2013, we have no amounts outstanding under the credit facility. We amended and restated the credit facility in May 2013. The amended and restated credit facility expires in May 2018. Borrowings under the credit facility and the net proceeds from the offering of the Senior Notes are available for general corporate purposes.</w:t>
      </w:r>
    </w:p>
    <w:p>
      <w:pPr>
        <w:spacing w:after="0" w:line="16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increase in our cash, cash equivalents and marketable securities from $2,365.4 million at January 31, 2013 to $2,479.0 million at October 31, 2013 is principally due to cash generated by operating activities, and proceeds from the issuance of common stock following stock option exercises and employee stock plan purchases. These increases to cash, cash equivalents and marketable securities are partially offset by cash used for repurchases of common stock, acquisitions including business combination and technology purchases, capital expenditures, and other investing activities. We anticipate the cash proceeds from issuance of common stock will vary based on our stock price, stock option exercise activity and the volume of employee purchases under the Employee Stock Purchase Plan (“ESP Plan”).</w:t>
      </w:r>
    </w:p>
    <w:p>
      <w:pPr>
        <w:spacing w:after="0" w:line="193"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primary source for net cash provided by operating activities of $380.0 million for the nine months ended October 31, 2013 was net income of $174.9 million increased by the cash effect of expenses totaling $191.8 million associated with depreciation, amortization and accretion and stock-based compensation. In addition, net cash flow provided by changes in operating assets and liabilities was $9.1 million. The primary source of working capital was a decrease in accounts receivable and increase in income tax payable. Our days sales outstanding in trade receivables was 50 at October 31, 2013 compared to 74 days at January 31, 2013. The days sales outstanding decrease relates primarily to seasonality in our subscription contract renewals; subscription billings are generally higher in the fourth quarter in comparison to the rest of our fiscal year. The primary working capital uses of cash were a decline in deferred revenue and for the reduction of the accrued compensation expense primarily related to a decrease in the employee bonus accrual.</w:t>
      </w:r>
    </w:p>
    <w:p>
      <w:pPr>
        <w:spacing w:after="0" w:line="16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At October 31, 2013, our short-term investment portfolio had an estimated fair value of $587.1 million and a cost basis of $580.7 million. The portfolio fair value consisted of $280.0 million invested in commercial paper and corporate securities, $131.7 million invested in certificates of deposit and time deposits with remaining maturities at the date of purchase greater than 90 days and less than one year, $68.8 million invested in U.S. government agency securities, $41.2 million invested in U.S. treasury securities, $42.3 million invested in mutual funds, $21.7 million invested in municipal securities and $1.4 million invested in other short-term securities.</w:t>
      </w:r>
    </w:p>
    <w:p>
      <w:pPr>
        <w:spacing w:after="0" w:line="188"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At October 31, 2013, $42.3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the acquisition of businesses, software products, or technologies complementary to our business; common stock repurchases; and capital expenditures, including the purchase and implementation of internal-use software applications.</w:t>
      </w:r>
    </w:p>
    <w:p>
      <w:pPr>
        <w:spacing w:after="0" w:line="18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September 19, 2013, we entered into a definitive agreement with the shareholders of Graitec SA (“Graitec”) to acquire certain technology assets, including Graitec’s Advance Steel and Advance Concrete product lines, and associated employees for approximately $87.0 million. The transaction closed on November 21, 2013. In addition, on November 7, 2013, we announced our intention to acquire Delcam plc (“Delcam”), for £20.75 per share, or approximately £172.5 million. Other than the closed Graitec acquisition and the proposed Delcam acquisition, as of October 31, 2013,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4" w:name="page45"/>
    <w:bookmarkEnd w:id="44"/>
    <w:p>
      <w:pPr>
        <w:ind w:right="20" w:firstLine="405"/>
        <w:spacing w:after="0" w:line="271" w:lineRule="auto"/>
        <w:rPr>
          <w:sz w:val="20"/>
          <w:szCs w:val="20"/>
          <w:color w:val="auto"/>
        </w:rPr>
      </w:pPr>
      <w:r>
        <w:rPr>
          <w:rFonts w:ascii="Arial" w:cs="Arial" w:eastAsia="Arial" w:hAnsi="Arial"/>
          <w:sz w:val="17"/>
          <w:szCs w:val="17"/>
          <w:color w:val="auto"/>
        </w:rPr>
        <w:t>Our cash, cash equivalent and marketable securities balances are concentrated in a few locations around the world, with substantial amounts held outside of the U.S. As of October 31, 2013, approximately 75% of our total cash, cash equivalents and marketable securities are located offshore and will fluctuate subject to business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w:t>
      </w:r>
    </w:p>
    <w:p>
      <w:pPr>
        <w:spacing w:after="0" w:line="1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event that the proposed acquisition of Delcam closes, we expect to fund such purchase with offshore cash and have entered into forward contracts to lock in the U.S. dollar purchase price equivalent for payment in British pounds. In the event the proposed acquisition of Delcam does not close, we will be exposed to the foreign exchange gain or loss on the contracts at the time such contracts are terminated.</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and nine months ended October 31, 2013, we repurchased 2.0 million and 8.3 million, respectively, of our common stock. At October 31, 2013, 24.0 million shares remained available for repurchase under the repurchase program approved by the Board of Directors. This program does not have a fixed expiration date. See Note 15, “Common Stock Repurchase Program,” in the Notes to Condensed Consolidated Financial Statements for further discussion.</w:t>
      </w:r>
    </w:p>
    <w:p>
      <w:pPr>
        <w:spacing w:after="0" w:line="19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common stock in open-market transactions during the quarter ended October 31, 2013:</w:t>
      </w:r>
    </w:p>
    <w:p>
      <w:pPr>
        <w:sectPr>
          <w:pgSz w:w="11900" w:h="16838" w:orient="portrait"/>
          <w:cols w:equalWidth="0" w:num="1">
            <w:col w:w="11380"/>
          </w:cols>
          <w:pgMar w:left="240" w:top="584" w:right="279" w:bottom="1440" w:gutter="0" w:footer="0" w:header="0"/>
        </w:sect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04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89"/>
              </w:rPr>
              <w:t>Average Price</w:t>
            </w:r>
          </w:p>
        </w:tc>
        <w:tc>
          <w:tcPr>
            <w:tcW w:w="29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Total Number of Shares Purchased as Part 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0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9"/>
              </w:rPr>
              <w:t>Shares</w:t>
            </w:r>
          </w:p>
        </w:tc>
        <w:tc>
          <w:tcPr>
            <w:tcW w:w="144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20"/>
                <w:szCs w:val="20"/>
                <w:color w:val="auto"/>
              </w:rPr>
            </w:pPr>
            <w:r>
              <w:rPr>
                <w:rFonts w:ascii="Arial" w:cs="Arial" w:eastAsia="Arial" w:hAnsi="Arial"/>
                <w:sz w:val="14"/>
                <w:szCs w:val="14"/>
                <w:i w:val="1"/>
                <w:iCs w:val="1"/>
                <w:color w:val="auto"/>
              </w:rPr>
              <w:t>(Shares in millions)</w:t>
            </w:r>
          </w:p>
        </w:tc>
        <w:tc>
          <w:tcPr>
            <w:tcW w:w="204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Purchased</w:t>
            </w:r>
          </w:p>
        </w:tc>
        <w:tc>
          <w:tcPr>
            <w:tcW w:w="144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Paid per Share</w:t>
            </w:r>
          </w:p>
        </w:tc>
        <w:tc>
          <w:tcPr>
            <w:tcW w:w="29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Publicly Announced 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8340" w:space="200"/>
            <w:col w:w="2840"/>
          </w:cols>
          <w:pgMar w:left="240" w:top="584" w:right="27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1 - August 31</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September 1 - September 30</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39.33</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2920" w:type="dxa"/>
            <w:vAlign w:val="bottom"/>
            <w:gridSpan w:val="2"/>
          </w:tcPr>
          <w:p>
            <w:pPr>
              <w:jc w:val="right"/>
              <w:ind w:right="19"/>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 October 31</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41.50</w:t>
            </w:r>
          </w:p>
        </w:tc>
        <w:tc>
          <w:tcPr>
            <w:tcW w:w="10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2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44"/>
        </w:trPr>
        <w:tc>
          <w:tcPr>
            <w:tcW w:w="23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2.0</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39.37</w:t>
            </w:r>
          </w:p>
        </w:tc>
        <w:tc>
          <w:tcPr>
            <w:tcW w:w="100" w:type="dxa"/>
            <w:vAlign w:val="bottom"/>
          </w:tcPr>
          <w:p>
            <w:pPr>
              <w:spacing w:after="0"/>
              <w:rPr>
                <w:sz w:val="21"/>
                <w:szCs w:val="21"/>
                <w:color w:val="auto"/>
              </w:rPr>
            </w:pPr>
          </w:p>
        </w:tc>
        <w:tc>
          <w:tcPr>
            <w:tcW w:w="2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200" w:hanging="412"/>
        <w:spacing w:after="0" w:line="257"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June 2012 that authorized the repurchase of 30.0 million. This plan does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nine months ended October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center"/>
        <w:ind w:right="440"/>
        <w:spacing w:after="0" w:line="559" w:lineRule="auto"/>
        <w:rPr>
          <w:sz w:val="20"/>
          <w:szCs w:val="20"/>
          <w:color w:val="auto"/>
        </w:rPr>
      </w:pPr>
      <w:r>
        <w:rPr>
          <w:rFonts w:ascii="Arial" w:cs="Arial" w:eastAsia="Arial" w:hAnsi="Arial"/>
          <w:sz w:val="18"/>
          <w:szCs w:val="18"/>
          <w:color w:val="auto"/>
        </w:rPr>
        <w:t>As of October 31, 2013, we did not have any significant off-balance sheet arrangements, as defined in Item 303(a)(4)(ii) of Regulation S-K. 45</w:t>
      </w:r>
    </w:p>
    <w:p>
      <w:pPr>
        <w:sectPr>
          <w:pgSz w:w="11900" w:h="16838" w:orient="portrait"/>
          <w:cols w:equalWidth="0" w:num="1">
            <w:col w:w="11380"/>
          </w:cols>
          <w:pgMar w:left="240" w:top="584" w:right="2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6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 Our constant currency methodology removes all hedging gains and losses from the calculation.</w:t>
      </w:r>
    </w:p>
    <w:p>
      <w:pPr>
        <w:spacing w:after="0" w:line="176" w:lineRule="exact"/>
        <w:rPr>
          <w:sz w:val="20"/>
          <w:szCs w:val="20"/>
          <w:color w:val="auto"/>
        </w:rPr>
      </w:pPr>
    </w:p>
    <w:p>
      <w:pPr>
        <w:ind w:right="120" w:firstLine="405"/>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AutoCAD Mechanical), Civil 3D, Maya, Plant 3D, Inventor products (standalone) and Revit products (standalone).</w:t>
      </w:r>
    </w:p>
    <w:p>
      <w:pPr>
        <w:spacing w:after="0" w:line="176" w:lineRule="exact"/>
        <w:rPr>
          <w:sz w:val="20"/>
          <w:szCs w:val="20"/>
          <w:color w:val="auto"/>
        </w:rPr>
      </w:pPr>
    </w:p>
    <w:p>
      <w:pPr>
        <w:ind w:right="200" w:firstLine="405"/>
        <w:spacing w:after="0" w:line="266" w:lineRule="auto"/>
        <w:rPr>
          <w:sz w:val="20"/>
          <w:szCs w:val="20"/>
          <w:color w:val="auto"/>
        </w:rPr>
      </w:pPr>
      <w:r>
        <w:rPr>
          <w:rFonts w:ascii="Arial" w:cs="Arial" w:eastAsia="Arial" w:hAnsi="Arial"/>
          <w:sz w:val="18"/>
          <w:szCs w:val="18"/>
          <w:i w:val="1"/>
          <w:iCs w:val="1"/>
          <w:color w:val="auto"/>
        </w:rPr>
        <w:t xml:space="preserve">License and Other revenue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and other revenue consists of two components: all forms of product license revenue and other revenue.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revenue includes: software license revenue from the sale of new seat licenses and upgrades. Other revenue consists of revenue from Creative Finishing, consulting and training services.</w:t>
      </w:r>
    </w:p>
    <w:p>
      <w:pPr>
        <w:spacing w:after="0" w:line="176" w:lineRule="exact"/>
        <w:rPr>
          <w:sz w:val="20"/>
          <w:szCs w:val="20"/>
          <w:color w:val="auto"/>
        </w:rPr>
      </w:pPr>
    </w:p>
    <w:p>
      <w:pPr>
        <w:ind w:firstLine="405"/>
        <w:spacing w:after="0" w:line="281" w:lineRule="auto"/>
        <w:rPr>
          <w:sz w:val="20"/>
          <w:szCs w:val="20"/>
          <w:color w:val="auto"/>
        </w:rPr>
      </w:pPr>
      <w:r>
        <w:rPr>
          <w:rFonts w:ascii="Arial" w:cs="Arial" w:eastAsia="Arial" w:hAnsi="Arial"/>
          <w:sz w:val="17"/>
          <w:szCs w:val="17"/>
          <w:i w:val="1"/>
          <w:iCs w:val="1"/>
          <w:color w:val="auto"/>
        </w:rPr>
        <w:t xml:space="preserve">Maintenance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maintenance program provides our commercial and educational customers with a cost effective and predictable budgetary option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over the term of the agreements, generally between one and three years.</w:t>
      </w:r>
    </w:p>
    <w:p>
      <w:pPr>
        <w:spacing w:after="0" w:line="165"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Consulting, Autodesk Buzzsaw, Autodesk Constructware, Autodesk consumer products, Autodesk Creative Finishing products, Autodesk Moldflow products, Autodesk Navisworks, Autodesk Simulation, Autodesk Vault products and all other products.</w:t>
      </w:r>
    </w:p>
    <w:p>
      <w:pPr>
        <w:spacing w:after="0" w:line="180" w:lineRule="exact"/>
        <w:rPr>
          <w:sz w:val="20"/>
          <w:szCs w:val="20"/>
          <w:color w:val="auto"/>
        </w:rPr>
      </w:pPr>
    </w:p>
    <w:p>
      <w:pPr>
        <w:ind w:right="200" w:firstLine="405"/>
        <w:spacing w:after="0" w:line="303" w:lineRule="auto"/>
        <w:rPr>
          <w:sz w:val="20"/>
          <w:szCs w:val="20"/>
          <w:color w:val="auto"/>
        </w:rPr>
      </w:pPr>
      <w:r>
        <w:rPr>
          <w:rFonts w:ascii="Arial" w:cs="Arial" w:eastAsia="Arial" w:hAnsi="Arial"/>
          <w:sz w:val="16"/>
          <w:szCs w:val="16"/>
          <w:i w:val="1"/>
          <w:iCs w:val="1"/>
          <w:color w:val="auto"/>
        </w:rPr>
        <w:t>Suites</w:t>
      </w:r>
      <w:r>
        <w:rPr>
          <w:rFonts w:ascii="Arial" w:cs="Arial" w:eastAsia="Arial" w:hAnsi="Arial"/>
          <w:sz w:val="16"/>
          <w:szCs w:val="16"/>
          <w:b w:val="1"/>
          <w:bCs w:val="1"/>
          <w:color w:val="auto"/>
        </w:rPr>
        <w:t>—</w:t>
      </w:r>
      <w:r>
        <w:rPr>
          <w:rFonts w:ascii="Arial" w:cs="Arial" w:eastAsia="Arial" w:hAnsi="Arial"/>
          <w:sz w:val="16"/>
          <w:szCs w:val="16"/>
          <w:color w:val="auto"/>
        </w:rPr>
        <w:t>Autodesk design suites are a combination of products that target a specific user objective (product design, building design, etc.) and support a</w:t>
      </w:r>
      <w:r>
        <w:rPr>
          <w:rFonts w:ascii="Arial" w:cs="Arial" w:eastAsia="Arial" w:hAnsi="Arial"/>
          <w:sz w:val="16"/>
          <w:szCs w:val="16"/>
          <w:i w:val="1"/>
          <w:iCs w:val="1"/>
          <w:color w:val="auto"/>
        </w:rPr>
        <w:t xml:space="preserve"> </w:t>
      </w:r>
      <w:r>
        <w:rPr>
          <w:rFonts w:ascii="Arial" w:cs="Arial" w:eastAsia="Arial" w:hAnsi="Arial"/>
          <w:sz w:val="16"/>
          <w:szCs w:val="16"/>
          <w:color w:val="auto"/>
        </w:rPr>
        <w:t>set of workflows for that objective. Our current design and creation suites include: AutoCAD Design Suite, Autodesk Building Design Suite, Autodesk Entertainment Creation Suite, Autodesk Factory Design Suite, Autodesk Infrastructure Design Suite, Autodesk Plant Design Suite, and Autodesk Product Design Suite. Our previously established suites include: Autodesk Inventor family suites, Autodesk Revit family suites, and education solutions suites.</w:t>
      </w:r>
    </w:p>
    <w:p>
      <w:pPr>
        <w:spacing w:after="0" w:line="151" w:lineRule="exact"/>
        <w:rPr>
          <w:sz w:val="20"/>
          <w:szCs w:val="20"/>
          <w:color w:val="auto"/>
        </w:rPr>
      </w:pPr>
    </w:p>
    <w:p>
      <w:pPr>
        <w:ind w:right="160" w:firstLine="405"/>
        <w:spacing w:after="0" w:line="282" w:lineRule="auto"/>
        <w:rPr>
          <w:sz w:val="20"/>
          <w:szCs w:val="20"/>
          <w:color w:val="auto"/>
        </w:rPr>
      </w:pPr>
      <w:r>
        <w:rPr>
          <w:rFonts w:ascii="Arial" w:cs="Arial" w:eastAsia="Arial" w:hAnsi="Arial"/>
          <w:sz w:val="18"/>
          <w:szCs w:val="18"/>
          <w:i w:val="1"/>
          <w:iCs w:val="1"/>
          <w:color w:val="auto"/>
        </w:rPr>
        <w:t xml:space="preserve">Subscription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Autodesk subscription revenue consists of two components: maintenance revenue for our software products and revenue for our cloud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offerings, including Autodesk 360.</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2013 and January 31, 2013,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$414.9 million and $438.2 million at October 31, 2013 and January 31, 2013, respectively.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6" w:right="239" w:bottom="1440" w:gutter="0" w:footer="0" w:header="0"/>
        </w:sectPr>
      </w:pPr>
    </w:p>
    <w:bookmarkStart w:id="46" w:name="page47"/>
    <w:bookmarkEnd w:id="46"/>
    <w:p>
      <w:pPr>
        <w:ind w:right="140" w:firstLine="432"/>
        <w:spacing w:after="0" w:line="257"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October 31, 2013 indicated that a hypothetical 10% appreciation of the U.S. dollar from its value at October 31, 2013 and January 31, 2013 would increase the fair value of our foreign currency contracts by $27.8 million and $29.6 million, respectively. A hypothetical 10% depreciation of the dollar from its value at October 31, 2013 and January 31, 2013 would decrease the fair value of our foreign currency contracts by $30.0 million and $33.1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October 31, 2013, we had $1,820.7 million of cash equivalents and marketable securities, including $587.1 million classified as short-term marketable securities and $418.5 million classified as long-term marketable securities. If interest rates were to move up or down by 50 or 100 basis points over a twelve month period, the market value change of our marketable securities would have a unrealized gain or loss of $4.7 million and $9.4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6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October 31, 2013 that have materially affected, or are reasonably likely to materially affect, our internal controls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conditions may further impact our business, financial results and financial condition.</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relatively high unemployment, a low level of liquidity in many financial markets, increased government deficit spending and debt levels, uncertainty about certain governments' abilities to repay such debt or to address certain fiscal issues (such as “austerity” measures in Southern Europe and the “sequestration” in the United States), and volatility in many financial instrument markets. While some recent indicators point to a slow economic recovery, on the whole indicators continue to suggest a mixed trend in economic activity among the different geographical regions and markets.</w:t>
      </w:r>
    </w:p>
    <w:p>
      <w:pPr>
        <w:spacing w:after="0" w:line="178"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are causing, and over the past several years have caused, us to restructure our business and in turn we have and will incur restructuring charges. Moreover, our financial performance may be negatively impacted by:</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7" w:right="239" w:bottom="1440" w:gutter="0" w:footer="0" w:header="0"/>
        </w:sectPr>
      </w:pPr>
    </w:p>
    <w:bookmarkStart w:id="48" w:name="page49"/>
    <w:bookmarkEnd w:id="48"/>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48"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Even if economic conditions in the U.S. and foreign markets improve generally, a slower economic recovery in industries important to our business, such as the architecture, engineering and construction, manufacturing and digital media and entertainment industries, may adversely affect our business, financial results and financial condition. If a macro-economic recovery does not occur as rapidly as anticipated, our ability to meet our long-term financial targets may also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believe that our future results largely depend upon our ability to offer products that compete favorably with respect to reliability, performance, ease of use, range of useful features, continuing product enhancements, reputation and price.</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Our strategy to develop and introduce new products and services, including our increased emphasis on cloud and mobile computing strategies and flexible license and service offerings, exposes us to risks such as limited customer acceptance, costs related to product defects and large expenditures that may not result in additional net revenue or could result in decreased net revenue.</w:t>
      </w:r>
    </w:p>
    <w:p>
      <w:pPr>
        <w:spacing w:after="0" w:line="18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cloud-based services and delivery of our solutions on mobile devices and new hardware platforms to enable our customers to be more agile and collaborative on their projects. We are also developing consumer products for digital art, personal design and creativity, and home design. We devote significant resources to the development of new technologies, such as our cloud-based and mobile services, design and entertainment products, digital prototyping and collaboration products and consumer products. In addition, we frequently introduce new business models or methods that require a considerable investment of technical and financial resources such as an increase in our portfolio of, and focus on, suites and, most recently, our introduction of flexible license and service offerings. We are making such investments through our internal reorganization efforts and further development and enhancement of our existing products and services, as well as through acquisitions of new product lines. Such investments may not result in sufficient revenue generation to justify their costs and could result in decreased net revenue. Market acceptance of these new technologies, business models or methods will be dependent on our ability to (1) include functionality and usability in such releases that address certain customer requirements with which our operating history is not extensive, and (2) to optimally price and deliver our products in light of marketplace conditions, our costs and customer demand. Customer adoption of our cloud, mobile, and social computing services or rental offerings may not occur as rapidly as anticipated, or competitors may introduce new products and services that achieve acceptance among our current customers, adversely affecting our competitive position. In addition, our cloud, mobile, and social computing and rental offerings price and deliver our products and services in a way that differs from our historical pricing and delivery methods. If we are not able to meet customer requirements, either with respect to our software products or the manner in which we provide such products, or if we are not able to adapt our business model to meet our customers' requirements, our business, financial condition or results of operations may be adversely impacted.</w:t>
      </w:r>
    </w:p>
    <w:p>
      <w:pPr>
        <w:spacing w:after="0" w:line="17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expand their portfolios to include our suites and cloud-based services. Over time, we aim to migrate customers using standalone Autodesk products to expand their portfolio with our suites and cloud-based offerings. At times, sales of licenses of our AutoCAD and AutoCAD LT or standalone Autodesk flagship products have decreased without a corresponding increase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49" w:name="page50"/>
    <w:bookmarkEnd w:id="49"/>
    <w:p>
      <w:pPr>
        <w:ind w:right="160"/>
        <w:spacing w:after="0" w:line="271" w:lineRule="auto"/>
        <w:rPr>
          <w:sz w:val="20"/>
          <w:szCs w:val="20"/>
          <w:color w:val="auto"/>
        </w:rPr>
      </w:pPr>
      <w:r>
        <w:rPr>
          <w:rFonts w:ascii="Arial" w:cs="Arial" w:eastAsia="Arial" w:hAnsi="Arial"/>
          <w:sz w:val="17"/>
          <w:szCs w:val="17"/>
          <w:color w:val="auto"/>
        </w:rPr>
        <w:t>suites product or cloud-based services revenue or without purchases of customer seats to our suites. Should this continue, our results of operations will be adversely affected. Also, adoption of our cloud and mobile computing offerings and changes in the delivery of our software and services to our customers, such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making for a more predictable business over time, while correspondingly reducing our upfront perpetual revenue stream.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7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such as consumer products, our executive management team must act quickly, continuously and with vision. Although we have articulated a strategy that we believe will fulfill these challenges, if we fail to execute properly on that strategy, adapt that strategy as market conditions evolve or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are dependent on our international operations for a significant portion of our revenue. International net revenue represented 69% and 70% of our net revenue in the three and nine months ended October 31, 2013,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Senior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69"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and foreign tax law changes that, if enacted, could significantly impact how multinational companies are taxed,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169"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In addition to the other factors described in this Part II, Item 1A, some of the factors that could cause our financial results to fluctuate include:</w:t>
      </w:r>
    </w:p>
    <w:p>
      <w:pPr>
        <w:spacing w:after="0" w:line="18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 particular geographies, including Europe and emerging economies,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produce sufficient revenue growth and profitability,</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weak or negative growth in one or more of the industries we serve, including architecture, engineering and construction, manufacturing, education and digital media and entertainment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platform and business model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internal business reorganization,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017" w:right="259" w:bottom="1440" w:gutter="0" w:footer="0" w:header="0"/>
        </w:sectPr>
      </w:pPr>
    </w:p>
    <w:bookmarkStart w:id="51" w:name="page52"/>
    <w:bookmarkEnd w:id="51"/>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170" w:lineRule="exact"/>
        <w:rPr>
          <w:rFonts w:ascii="Arial" w:cs="Arial" w:eastAsia="Arial" w:hAnsi="Arial"/>
          <w:sz w:val="18"/>
          <w:szCs w:val="18"/>
          <w:color w:val="auto"/>
        </w:rPr>
      </w:pPr>
    </w:p>
    <w:p>
      <w:pPr>
        <w:jc w:val="both"/>
        <w:ind w:left="6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 and the potential requirement that U.S. registrants prepare financial statements in accordance with International Financial Reporting Standards (“IFRS”),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acquisitions of companies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have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sell our software products both directly to end-users and through a network of distributors and resellers. For the three and nine months ended October 31, 2013, approximately 83% and 84%,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800" w:right="299" w:bottom="1440" w:gutter="0" w:footer="0" w:header="0"/>
        </w:sectPr>
      </w:pPr>
    </w:p>
    <w:bookmarkStart w:id="52" w:name="page53"/>
    <w:bookmarkEnd w:id="52"/>
    <w:p>
      <w:pPr>
        <w:spacing w:after="0" w:line="257" w:lineRule="auto"/>
        <w:rPr>
          <w:sz w:val="20"/>
          <w:szCs w:val="20"/>
          <w:color w:val="auto"/>
        </w:rPr>
      </w:pPr>
      <w:r>
        <w:rPr>
          <w:rFonts w:ascii="Arial" w:cs="Arial" w:eastAsia="Arial" w:hAnsi="Arial"/>
          <w:sz w:val="18"/>
          <w:szCs w:val="18"/>
          <w:color w:val="auto"/>
        </w:rPr>
        <w:t>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24% and 25% of our total net revenue for the three and nine months ended October 31, 2013, respectively, as compared to 24% and 23% of our total net revenue for the three and nine months ended October 31, 2012,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9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restructuring and cost reduction actions may not be as effective as anticipated.</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During fiscal years 2013 and 2014, we undertook restructuring plans. If we are unable to realize the outcomes from the restructuring efforts as planned, we may need to undertake additional restructuring efforts, and our business and operating results may be harmed. In taking any future restructuring actions, we may incur additional costs that negatively impact our operating margins. Additionally, a prolonged and slow economic recovery or a renewed recession in U.S. or foreign markets could also lead to additional restructuring actions and associated costs.</w:t>
      </w:r>
    </w:p>
    <w:p>
      <w:pPr>
        <w:spacing w:after="0" w:line="13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We have taken actions to reduce our cost structure to more closely align our costs with our revenue levels. In taking these actions, we have attempted to balance the cost of such initiatives against their longer term benefits.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131"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In addition, we are taking actions to stimulate demand for our products through a number of programs. Although we are attempting to balance the cost of these programs against their longer term benefits, it is possible that we will make such investments without a corresponding increase in demand for our products. This would further reduce our operating margins and have a negative impact on our financial results.</w:t>
      </w:r>
    </w:p>
    <w:p>
      <w:pPr>
        <w:spacing w:after="0" w:line="1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would negatively impact our future revenue and financial results.</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8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584" w:right="299" w:bottom="1440" w:gutter="0" w:footer="0" w:header="0"/>
        </w:sectPr>
      </w:pPr>
    </w:p>
    <w:bookmarkStart w:id="53" w:name="page54"/>
    <w:bookmarkEnd w:id="53"/>
    <w:p>
      <w:pPr>
        <w:jc w:val="both"/>
        <w:ind w:right="12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jc w:val="both"/>
        <w:ind w:right="14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 such as the recent announcement of our intent to acquire Delcam plc (“Delcam”).</w:t>
      </w:r>
    </w:p>
    <w:p>
      <w:pPr>
        <w:spacing w:after="0" w:line="17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regularly acquire or invest in businesses, software products and technologies that are complementary to our business through acquisitions, strategic alliances or equity or debt investments. For example, we recently announced our intent to acquire Delcam.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any one or multiple of the investments become impaired in a given reporting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4" w:right="259" w:bottom="1440" w:gutter="0" w:footer="0" w:header="0"/>
        </w:sectPr>
      </w:pPr>
    </w:p>
    <w:bookmarkStart w:id="54" w:name="page55"/>
    <w:bookmarkEnd w:id="54"/>
    <w:p>
      <w:pPr>
        <w:ind w:right="4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225"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Specifically, during fiscal 2013 we undertook organizational changes in order to address major business initiatives, including our desire to accelerate our move to the cloud, transform our customers' experience, increase industry focus to meet customer demands, and develop more effective marketing. These reorganizational efforts included changes to the structure and alignment of our product development and marketing teams and re-organization of our sales teams by industry.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including suites, if these products are not successful, our revenue will be adversely affected.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584" w:right="279" w:bottom="1440" w:gutter="0" w:footer="0" w:header="0"/>
        </w:sectPr>
      </w:pPr>
    </w:p>
    <w:bookmarkStart w:id="55" w:name="page56"/>
    <w:bookmarkEnd w:id="55"/>
    <w:p>
      <w:pPr>
        <w:ind w:right="6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products based on AutoCAD, which include our suites that serve specific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and nine months ended October 31, 2013, combined revenue from our AutoCAD and AutoCAD LT products, not including suites having AutoCAD or AutoCAD LT as a component, represented 29% and 31% of our total net revenue, respectively.</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184" w:lineRule="exact"/>
        <w:rPr>
          <w:sz w:val="20"/>
          <w:szCs w:val="20"/>
          <w:color w:val="auto"/>
        </w:rPr>
      </w:pPr>
    </w:p>
    <w:p>
      <w:pPr>
        <w:ind w:right="60" w:firstLine="432"/>
        <w:spacing w:after="0" w:line="303" w:lineRule="auto"/>
        <w:rPr>
          <w:sz w:val="20"/>
          <w:szCs w:val="20"/>
          <w:color w:val="auto"/>
        </w:rPr>
      </w:pPr>
      <w:r>
        <w:rPr>
          <w:rFonts w:ascii="Arial" w:cs="Arial" w:eastAsia="Arial" w:hAnsi="Arial"/>
          <w:sz w:val="16"/>
          <w:szCs w:val="16"/>
          <w:color w:val="auto"/>
        </w:rPr>
        <w:t xml:space="preserve">We make significant efforts to maintain the security and integrity of our product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and computer systems. Despite significant efforts to create security barriers to such programs, it is virtually impossible for us to entirely eliminate this risk. Like all software products, our software is vulnerable to such cyber attacks. In the past, hackers have targeted our software, and they may do so in the future. The impact of cyber attacks could disrupt the proper functioning of our software products, cause errors in the output of our customers' work, allow unauthorized access to sensitive, proprietary or confidential information of ours or our customers, and other destructive outcomes. </w:t>
      </w:r>
      <w:r>
        <w:rPr>
          <w:rFonts w:ascii="Arial" w:cs="Arial" w:eastAsia="Arial" w:hAnsi="Arial"/>
          <w:sz w:val="17"/>
          <w:szCs w:val="17"/>
          <w:color w:val="auto"/>
        </w:rPr>
        <w:t>M</w:t>
      </w:r>
      <w:r>
        <w:rPr>
          <w:rFonts w:ascii="Arial" w:cs="Arial" w:eastAsia="Arial" w:hAnsi="Arial"/>
          <w:sz w:val="16"/>
          <w:szCs w:val="16"/>
          <w:color w:val="auto"/>
        </w:rPr>
        <w:t>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we could face lawsuits and potential liability, and our financial performance could be negatively impacted.</w:t>
      </w:r>
    </w:p>
    <w:p>
      <w:pPr>
        <w:spacing w:after="0" w:line="15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and other operations; any interruption or delay in service from these third parties, breaches of security or privacy, or failures in data collection could expose us to liability, harm our reputation and adversely impact our financial performance.</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6" w:name="page57"/>
    <w:bookmarkEnd w:id="56"/>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decline, this could cause the credit ratings of our investments to deteriorate, illiquidity in the financial marketplace, and we may continue to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and earnings per share.</w:t>
      </w:r>
    </w:p>
    <w:p>
      <w:pPr>
        <w:spacing w:after="0" w:line="17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8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Although outcomes of such actions vary, any claims or regulatory actions initiated by or against us, whether successful or not, could result in expensive costs of defense, costly damage awards, injunctive relief, increased costs of business, fines or orders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change certain business practices, significant dedication of management time, diversion of significant operational resources, or otherwise harm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any of these cases, our financial results could be negatively impacted.</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Although we have determined that our internal control over financial reporting was effective as of January 31, 2013, as indicated in our Management Report on Internal Control over Financial Reporting, included in our Annual Report on Form 10-K for the fiscal year ended January 31, 2013,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the SEC has not yet made a determination regarding how or if IFRS will be incorporated into the financial reporting system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companies. A change in accounting principles from GAAP to IFRS may have a material impact on the way in which we report financial results.</w:t>
      </w:r>
    </w:p>
    <w:p>
      <w:pPr>
        <w:spacing w:after="0" w:line="211"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584" w:right="29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sales models, we are currently unable to determine how these potential changes may impact our new models, particularly in the area of revenue recognition.</w:t>
      </w:r>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Changes in laws and/or regulations related to the Internet or related to privacy and data security concerns or changes in the Internet infrastructure itself may cause our business to suffer.</w:t>
      </w:r>
    </w:p>
    <w:p>
      <w:pPr>
        <w:spacing w:after="0" w:line="170"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Several other countries, including Canada and several Latin American and Asian countries, have constitutional protections for, or have adopted legislation protecting, individuals' personal information. Additionally, some federal, state, or foreign governmental bodies have established laws which seek to censor the transmission of certain types of content over the Internet or require that individuals be provided with the ability to permanently delete all electronic personal information, such as the German Multimedia Law of 1997.</w:t>
      </w:r>
    </w:p>
    <w:p>
      <w:pPr>
        <w:spacing w:after="0" w:line="39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implementation of additional technological safeguards.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jc w:val="both"/>
        <w:ind w:right="260"/>
        <w:spacing w:after="0" w:line="286" w:lineRule="auto"/>
        <w:rPr>
          <w:sz w:val="20"/>
          <w:szCs w:val="20"/>
          <w:color w:val="auto"/>
        </w:rPr>
      </w:pPr>
      <w:r>
        <w:rPr>
          <w:rFonts w:ascii="Arial" w:cs="Arial" w:eastAsia="Arial" w:hAnsi="Arial"/>
          <w:sz w:val="17"/>
          <w:szCs w:val="17"/>
          <w:color w:val="auto"/>
        </w:rPr>
        <w:t>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4" w:right="259" w:bottom="1440" w:gutter="0" w:footer="0" w:header="0"/>
        </w:sectPr>
      </w:pPr>
    </w:p>
    <w:bookmarkStart w:id="60" w:name="page61"/>
    <w:bookmarkEnd w:id="60"/>
    <w:p>
      <w:pPr>
        <w:ind w:right="260"/>
        <w:spacing w:after="0" w:line="308" w:lineRule="auto"/>
        <w:rPr>
          <w:sz w:val="20"/>
          <w:szCs w:val="20"/>
          <w:color w:val="auto"/>
        </w:rPr>
      </w:pPr>
      <w:r>
        <w:rPr>
          <w:rFonts w:ascii="Arial" w:cs="Arial" w:eastAsia="Arial" w:hAnsi="Arial"/>
          <w:sz w:val="17"/>
          <w:szCs w:val="17"/>
          <w:i w:val="1"/>
          <w:iCs w:val="1"/>
          <w:color w:val="auto"/>
        </w:rPr>
        <w:t>We issued $750.0 million aggregate principal amount of senior unsecured notes in a debt offering in December 2012 and have an existing $400.0 million revolving credit facility, and may incur other debt in the future, which may adversely affect our financial condition and future financial results.</w:t>
      </w:r>
    </w:p>
    <w:p>
      <w:pPr>
        <w:spacing w:after="0" w:line="147"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As the December 2017 and December 2022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also have a $400.0 million revolving credit facility. As of October 31, 2013,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are required to comply with the covenants set forth in our senior unsecured notes and revolving credit facility. Our ability to comply with these covenants may be affected by events beyond our control. If we breach any of the covenants and do not obtain a waiver from the noteholders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October 31, 2013.</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00"/>
          </w:cols>
          <w:pgMar w:left="240" w:top="584" w:right="359" w:bottom="1440" w:gutter="0" w:footer="0" w:header="0"/>
        </w:sectPr>
      </w:pPr>
    </w:p>
    <w:bookmarkStart w:id="61" w:name="page62"/>
    <w:bookmarkEnd w:id="61"/>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as part of this Form 10-Q.</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3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700" w:type="dxa"/>
            <w:vAlign w:val="bottom"/>
            <w:vMerge w:val="restart"/>
          </w:tcPr>
          <w:p>
            <w:pPr>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Arial" w:cs="Arial" w:eastAsia="Arial" w:hAnsi="Arial"/>
                <w:sz w:val="16"/>
                <w:szCs w:val="16"/>
                <w:color w:val="auto"/>
                <w:w w:val="96"/>
              </w:rPr>
              <w:t>Bylaws, as amended (</w:t>
            </w:r>
            <w:r>
              <w:rPr>
                <w:rFonts w:ascii="Arial" w:cs="Arial" w:eastAsia="Arial" w:hAnsi="Arial"/>
                <w:sz w:val="16"/>
                <w:szCs w:val="16"/>
                <w:i w:val="1"/>
                <w:iCs w:val="1"/>
                <w:color w:val="auto"/>
                <w:w w:val="96"/>
              </w:rPr>
              <w:t>incorporated by reference to Exhibit 3.1 filed with the Registrant’s Current Report on Form 8-K filed on September 23, 2013)</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Arial" w:cs="Arial" w:eastAsia="Arial" w:hAnsi="Arial"/>
                <w:sz w:val="16"/>
                <w:szCs w:val="16"/>
                <w:color w:val="auto"/>
                <w:w w:val="91"/>
              </w:rPr>
              <w:t xml:space="preserve">Amended and Restated Executive Change in Control Plan </w:t>
            </w:r>
            <w:r>
              <w:rPr>
                <w:rFonts w:ascii="Arial" w:cs="Arial" w:eastAsia="Arial" w:hAnsi="Arial"/>
                <w:sz w:val="16"/>
                <w:szCs w:val="16"/>
                <w:i w:val="1"/>
                <w:iCs w:val="1"/>
                <w:color w:val="auto"/>
                <w:w w:val="91"/>
              </w:rPr>
              <w:t>(incorporated by reference to Item 5.02 of the Registrant's Current Report on Form 8-K filed on</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17"/>
                <w:szCs w:val="17"/>
                <w:color w:val="auto"/>
              </w:rPr>
            </w:pPr>
          </w:p>
        </w:tc>
        <w:tc>
          <w:tcPr>
            <w:tcW w:w="10240" w:type="dxa"/>
            <w:vAlign w:val="bottom"/>
            <w:gridSpan w:val="3"/>
          </w:tcPr>
          <w:p>
            <w:pPr>
              <w:ind w:left="240"/>
              <w:spacing w:after="0"/>
              <w:rPr>
                <w:sz w:val="20"/>
                <w:szCs w:val="20"/>
                <w:color w:val="auto"/>
              </w:rPr>
            </w:pPr>
            <w:r>
              <w:rPr>
                <w:rFonts w:ascii="Arial" w:cs="Arial" w:eastAsia="Arial" w:hAnsi="Arial"/>
                <w:sz w:val="16"/>
                <w:szCs w:val="16"/>
                <w:i w:val="1"/>
                <w:iCs w:val="1"/>
                <w:color w:val="auto"/>
              </w:rPr>
              <w:t>September 23, 2013)</w:t>
            </w:r>
          </w:p>
        </w:tc>
        <w:tc>
          <w:tcPr>
            <w:tcW w:w="0" w:type="dxa"/>
            <w:vAlign w:val="bottom"/>
          </w:tcPr>
          <w:p>
            <w:pPr>
              <w:spacing w:after="0"/>
              <w:rPr>
                <w:sz w:val="1"/>
                <w:szCs w:val="1"/>
                <w:color w:val="auto"/>
              </w:rPr>
            </w:pPr>
          </w:p>
        </w:tc>
      </w:tr>
      <w:tr>
        <w:trPr>
          <w:trHeight w:val="378"/>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tc>
        <w:tc>
          <w:tcPr>
            <w:tcW w:w="0" w:type="dxa"/>
            <w:vAlign w:val="bottom"/>
          </w:tcPr>
          <w:p>
            <w:pPr>
              <w:spacing w:after="0"/>
              <w:rPr>
                <w:sz w:val="1"/>
                <w:szCs w:val="1"/>
                <w:color w:val="auto"/>
              </w:rPr>
            </w:pPr>
          </w:p>
        </w:tc>
      </w:tr>
      <w:tr>
        <w:trPr>
          <w:trHeight w:val="388"/>
        </w:trPr>
        <w:tc>
          <w:tcPr>
            <w:tcW w:w="1020" w:type="dxa"/>
            <w:vAlign w:val="bottom"/>
            <w:gridSpan w:val="2"/>
          </w:tcPr>
          <w:p>
            <w:pPr>
              <w:spacing w:after="0"/>
              <w:rPr>
                <w:sz w:val="20"/>
                <w:szCs w:val="20"/>
                <w:color w:val="auto"/>
              </w:rPr>
            </w:pPr>
            <w:r>
              <w:rPr>
                <w:rFonts w:ascii="Arial" w:cs="Arial" w:eastAsia="Arial" w:hAnsi="Arial"/>
                <w:sz w:val="16"/>
                <w:szCs w:val="16"/>
                <w:color w:val="auto"/>
              </w:rPr>
              <w:t>32.1 †</w:t>
            </w:r>
          </w:p>
        </w:tc>
        <w:tc>
          <w:tcPr>
            <w:tcW w:w="10240" w:type="dxa"/>
            <w:vAlign w:val="bottom"/>
            <w:gridSpan w:val="3"/>
          </w:tcPr>
          <w:p>
            <w:pPr>
              <w:ind w:left="240"/>
              <w:spacing w:after="0"/>
              <w:rPr>
                <w:sz w:val="20"/>
                <w:szCs w:val="20"/>
                <w:color w:val="auto"/>
              </w:rPr>
            </w:pPr>
            <w:r>
              <w:rPr>
                <w:rFonts w:ascii="Arial" w:cs="Arial" w:eastAsia="Arial" w:hAnsi="Arial"/>
                <w:sz w:val="16"/>
                <w:szCs w:val="16"/>
                <w:color w:val="auto"/>
                <w:w w:val="97"/>
              </w:rPr>
              <w:t>Certification of Chief Executive Officer and Chief Financial Officer pursuant to 18 U.S.C. Section 1350, as adopted pursuant to Section 906 of the</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40" w:type="dxa"/>
            <w:vAlign w:val="bottom"/>
            <w:gridSpan w:val="3"/>
          </w:tcPr>
          <w:p>
            <w:pPr>
              <w:ind w:left="240"/>
              <w:spacing w:after="0"/>
              <w:rPr>
                <w:sz w:val="20"/>
                <w:szCs w:val="20"/>
                <w:color w:val="auto"/>
              </w:rPr>
            </w:pPr>
            <w:r>
              <w:rPr>
                <w:rFonts w:ascii="Arial" w:cs="Arial" w:eastAsia="Arial" w:hAnsi="Arial"/>
                <w:sz w:val="16"/>
                <w:szCs w:val="16"/>
                <w:color w:val="auto"/>
              </w:rPr>
              <w:t>Sarbanes-Oxley Act of 2002</w:t>
            </w:r>
          </w:p>
        </w:tc>
        <w:tc>
          <w:tcPr>
            <w:tcW w:w="0" w:type="dxa"/>
            <w:vAlign w:val="bottom"/>
          </w:tcPr>
          <w:p>
            <w:pPr>
              <w:spacing w:after="0"/>
              <w:rPr>
                <w:sz w:val="1"/>
                <w:szCs w:val="1"/>
                <w:color w:val="auto"/>
              </w:rPr>
            </w:pP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10240" w:type="dxa"/>
            <w:vAlign w:val="bottom"/>
            <w:gridSpan w:val="3"/>
          </w:tcPr>
          <w:p>
            <w:pPr>
              <w:ind w:left="24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1024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Schema</w:t>
            </w:r>
          </w:p>
        </w:tc>
        <w:tc>
          <w:tcPr>
            <w:tcW w:w="0" w:type="dxa"/>
            <w:vAlign w:val="bottom"/>
          </w:tcPr>
          <w:p>
            <w:pPr>
              <w:spacing w:after="0"/>
              <w:rPr>
                <w:sz w:val="1"/>
                <w:szCs w:val="1"/>
                <w:color w:val="auto"/>
              </w:rPr>
            </w:pP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1024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Calculation Linkbase</w:t>
            </w:r>
          </w:p>
        </w:tc>
        <w:tc>
          <w:tcPr>
            <w:tcW w:w="0" w:type="dxa"/>
            <w:vAlign w:val="bottom"/>
          </w:tcPr>
          <w:p>
            <w:pPr>
              <w:spacing w:after="0"/>
              <w:rPr>
                <w:sz w:val="1"/>
                <w:szCs w:val="1"/>
                <w:color w:val="auto"/>
              </w:rPr>
            </w:pP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10240" w:type="dxa"/>
            <w:vAlign w:val="bottom"/>
            <w:gridSpan w:val="3"/>
          </w:tcPr>
          <w:p>
            <w:pPr>
              <w:ind w:left="240"/>
              <w:spacing w:after="0"/>
              <w:rPr>
                <w:sz w:val="20"/>
                <w:szCs w:val="20"/>
                <w:color w:val="auto"/>
              </w:rPr>
            </w:pPr>
            <w:r>
              <w:rPr>
                <w:rFonts w:ascii="Arial" w:cs="Arial" w:eastAsia="Arial" w:hAnsi="Arial"/>
                <w:sz w:val="16"/>
                <w:szCs w:val="16"/>
                <w:color w:val="auto"/>
              </w:rPr>
              <w:t>XBRL Taxonomy Definition Linkbase</w:t>
            </w:r>
          </w:p>
        </w:tc>
        <w:tc>
          <w:tcPr>
            <w:tcW w:w="0" w:type="dxa"/>
            <w:vAlign w:val="bottom"/>
          </w:tcPr>
          <w:p>
            <w:pPr>
              <w:spacing w:after="0"/>
              <w:rPr>
                <w:sz w:val="1"/>
                <w:szCs w:val="1"/>
                <w:color w:val="auto"/>
              </w:rPr>
            </w:pP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1024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Label Linkbase</w:t>
            </w:r>
          </w:p>
        </w:tc>
        <w:tc>
          <w:tcPr>
            <w:tcW w:w="0" w:type="dxa"/>
            <w:vAlign w:val="bottom"/>
          </w:tcPr>
          <w:p>
            <w:pPr>
              <w:spacing w:after="0"/>
              <w:rPr>
                <w:sz w:val="1"/>
                <w:szCs w:val="1"/>
                <w:color w:val="auto"/>
              </w:rPr>
            </w:pP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1024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Presentation Linkbase</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720" w:hanging="685"/>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248" w:lineRule="exact"/>
        <w:rPr>
          <w:sz w:val="20"/>
          <w:szCs w:val="20"/>
          <w:color w:val="auto"/>
        </w:rPr>
      </w:pPr>
    </w:p>
    <w:p>
      <w:pPr>
        <w:ind w:left="720" w:hanging="685"/>
        <w:spacing w:after="0" w:line="335" w:lineRule="auto"/>
        <w:tabs>
          <w:tab w:leader="none" w:pos="7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8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62</w:t>
      </w:r>
    </w:p>
    <w:p>
      <w:pPr>
        <w:sectPr>
          <w:pgSz w:w="11900" w:h="16838" w:orient="portrait"/>
          <w:cols w:equalWidth="0" w:num="1">
            <w:col w:w="11380"/>
          </w:cols>
          <w:pgMar w:left="240" w:top="580" w:right="279" w:bottom="1440" w:gutter="0" w:footer="0" w:header="0"/>
        </w:sectPr>
      </w:pPr>
    </w:p>
    <w:bookmarkStart w:id="62" w:name="page63"/>
    <w:bookmarkEnd w:id="62"/>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500"/>
        <w:spacing w:after="0"/>
        <w:tabs>
          <w:tab w:leader="none" w:pos="78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MARK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Mark J. Hawkins</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720"/>
          </w:cols>
          <w:pgMar w:left="240" w:top="580" w:right="9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2013</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918"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17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2013</w:t>
      </w:r>
    </w:p>
    <w:p>
      <w:pPr>
        <w:spacing w:after="0" w:line="252"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31750</wp:posOffset>
            </wp:positionV>
            <wp:extent cx="39535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Mark J. Hawkins</w:t>
      </w:r>
    </w:p>
    <w:p>
      <w:pPr>
        <w:spacing w:after="0" w:line="73" w:lineRule="exact"/>
        <w:rPr>
          <w:sz w:val="20"/>
          <w:szCs w:val="20"/>
          <w:color w:val="auto"/>
        </w:rPr>
      </w:pPr>
    </w:p>
    <w:p>
      <w:pPr>
        <w:ind w:left="64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26"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(Principal Financial Officer and Principal Accounting Officer)</w:t>
      </w:r>
    </w:p>
    <w:p>
      <w:pPr>
        <w:sectPr>
          <w:pgSz w:w="11900" w:h="16838" w:orient="portrait"/>
          <w:cols w:equalWidth="0" w:num="1">
            <w:col w:w="11420"/>
          </w:cols>
          <w:pgMar w:left="240" w:top="66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October 31, 2013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2013</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Quarterly Report of Autodesk, Inc. on Form 10-Q for the quarterly period ended October 31, 2013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2013</w:t>
      </w:r>
    </w:p>
    <w:p>
      <w:pPr>
        <w:spacing w:after="0" w:line="252"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40220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57"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Mark J. Hawkins</w:t>
      </w:r>
    </w:p>
    <w:p>
      <w:pPr>
        <w:spacing w:after="0" w:line="86"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86"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(Principal Financial Officer and Principal Accounting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2019-12-05T22:49:56Z</dcterms:created>
  <dcterms:modified xsi:type="dcterms:W3CDTF">2019-12-05T22:49:56Z</dcterms:modified>
</cp:coreProperties>
</file>