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July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0-14338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AUTODESK,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727" w:type="dxa"/>
        <w:jc w:val="left"/>
        <w:tblInd w:w="0" w:type="dxa"/>
        <w:tblLayout w:type="fixed"/>
        <w:tblCellMar>
          <w:top w:w="28" w:type="dxa"/>
          <w:left w:w="28" w:type="dxa"/>
          <w:bottom w:w="28" w:type="dxa"/>
          <w:right w:w="28" w:type="dxa"/>
        </w:tblCellMar>
      </w:tblPr>
      <w:tblGrid>
        <w:gridCol w:w="1058"/>
        <w:gridCol w:w="927"/>
        <w:gridCol w:w="940"/>
        <w:gridCol w:w="330"/>
        <w:gridCol w:w="330"/>
        <w:gridCol w:w="331"/>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94-2819853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Market Street, Ste. 400</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San Francisco,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94105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507-5000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by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21, 2026, registrant had outstanding 209 million shares of 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849"/>
        <w:gridCol w:w="2849"/>
        <w:gridCol w:w="2854"/>
        <w:gridCol w:w="237"/>
        <w:gridCol w:w="237"/>
        <w:gridCol w:w="3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52e92dc9ba430683ec59e11bbeec5f_10">
              <w:r>
                <w:rPr>
                  <w:rStyle w:val="InternetLink"/>
                  <w:rFonts w:ascii="Times New Roman;serif" w:hAnsi="Times New Roman;serif"/>
                  <w:b/>
                  <w:color w:val="0000FF"/>
                  <w:sz w:val="20"/>
                  <w:u w:val="single"/>
                </w:rPr>
                <w:t>PART I. FINANCIAL INFORMATION</w:t>
              </w:r>
            </w:hyperlink>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3">
              <w:r>
                <w:rPr>
                  <w:rStyle w:val="InternetLink"/>
                  <w:rFonts w:ascii="Times New Roman;serif" w:hAnsi="Times New Roman;serif"/>
                  <w:b/>
                  <w:color w:val="0000FF"/>
                  <w:sz w:val="20"/>
                  <w:u w:val="single"/>
                </w:rPr>
                <w:t>Financial Statements:</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6">
              <w:r>
                <w:rPr>
                  <w:rStyle w:val="InternetLink"/>
                  <w:rFonts w:ascii="Times New Roman;serif" w:hAnsi="Times New Roman;serif"/>
                  <w:b w:val="false"/>
                  <w:color w:val="000080"/>
                  <w:sz w:val="20"/>
                  <w:u w:val="single"/>
                </w:rPr>
                <w:t>Condensed Consolidated Statements of Operations for the Three</w:t>
              </w:r>
            </w:hyperlink>
            <w:hyperlink w:anchor="i7452e92dc9ba430683ec59e11bbeec5f_16">
              <w:r>
                <w:rPr>
                  <w:rStyle w:val="InternetLink"/>
                  <w:rFonts w:ascii="Times New Roman;serif" w:hAnsi="Times New Roman;serif"/>
                  <w:b w:val="false"/>
                  <w:color w:val="000080"/>
                  <w:sz w:val="20"/>
                  <w:u w:val="single"/>
                </w:rPr>
                <w:t xml:space="preserve"> and Six</w:t>
              </w:r>
            </w:hyperlink>
            <w:hyperlink w:anchor="i7452e92dc9ba430683ec59e11bbeec5f_16">
              <w:r>
                <w:rPr>
                  <w:rStyle w:val="InternetLink"/>
                  <w:rFonts w:ascii="Times New Roman;serif" w:hAnsi="Times New Roman;serif"/>
                  <w:b w:val="false"/>
                  <w:color w:val="000080"/>
                  <w:sz w:val="20"/>
                  <w:u w:val="single"/>
                </w:rPr>
                <w:t xml:space="preserve"> Months Ended </w:t>
              </w:r>
            </w:hyperlink>
            <w:hyperlink w:anchor="i7452e92dc9ba430683ec59e11bbeec5f_16">
              <w:r>
                <w:rPr>
                  <w:rStyle w:val="InternetLink"/>
                  <w:rFonts w:ascii="Times New Roman;serif" w:hAnsi="Times New Roman;serif"/>
                  <w:b w:val="false"/>
                  <w:color w:val="000080"/>
                  <w:sz w:val="20"/>
                  <w:u w:val="single"/>
                </w:rPr>
                <w:t>July 31</w:t>
              </w:r>
            </w:hyperlink>
            <w:hyperlink w:anchor="i7452e92dc9ba430683ec59e11bbeec5f_16">
              <w:r>
                <w:rPr>
                  <w:rStyle w:val="InternetLink"/>
                  <w:rFonts w:ascii="Times New Roman;serif" w:hAnsi="Times New Roman;serif"/>
                  <w:b w:val="false"/>
                  <w:color w:val="000080"/>
                  <w:sz w:val="20"/>
                  <w:u w:val="single"/>
                </w:rPr>
                <w:t>, 2026 and 2025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6">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9">
              <w:r>
                <w:rPr>
                  <w:rStyle w:val="InternetLink"/>
                  <w:rFonts w:ascii="Times New Roman;serif" w:hAnsi="Times New Roman;serif"/>
                  <w:b w:val="false"/>
                  <w:color w:val="000080"/>
                  <w:sz w:val="20"/>
                  <w:u w:val="single"/>
                </w:rPr>
                <w:t>Condensed Consolidated Statements of Comprehensive Income for the Three</w:t>
              </w:r>
            </w:hyperlink>
            <w:hyperlink w:anchor="i7452e92dc9ba430683ec59e11bbeec5f_19">
              <w:r>
                <w:rPr>
                  <w:rStyle w:val="InternetLink"/>
                  <w:rFonts w:ascii="Times New Roman;serif" w:hAnsi="Times New Roman;serif"/>
                  <w:b w:val="false"/>
                  <w:color w:val="000080"/>
                  <w:sz w:val="20"/>
                  <w:u w:val="single"/>
                </w:rPr>
                <w:t xml:space="preserve"> and Six</w:t>
              </w:r>
            </w:hyperlink>
            <w:hyperlink w:anchor="i7452e92dc9ba430683ec59e11bbeec5f_19">
              <w:r>
                <w:rPr>
                  <w:rStyle w:val="InternetLink"/>
                  <w:rFonts w:ascii="Times New Roman;serif" w:hAnsi="Times New Roman;serif"/>
                  <w:b w:val="false"/>
                  <w:color w:val="000080"/>
                  <w:sz w:val="20"/>
                  <w:u w:val="single"/>
                </w:rPr>
                <w:t xml:space="preserve"> Months Ended </w:t>
              </w:r>
            </w:hyperlink>
            <w:hyperlink w:anchor="i7452e92dc9ba430683ec59e11bbeec5f_19">
              <w:r>
                <w:rPr>
                  <w:rStyle w:val="InternetLink"/>
                  <w:rFonts w:ascii="Times New Roman;serif" w:hAnsi="Times New Roman;serif"/>
                  <w:b w:val="false"/>
                  <w:color w:val="000080"/>
                  <w:sz w:val="20"/>
                  <w:u w:val="single"/>
                </w:rPr>
                <w:t>July 31</w:t>
              </w:r>
            </w:hyperlink>
            <w:hyperlink w:anchor="i7452e92dc9ba430683ec59e11bbeec5f_19">
              <w:r>
                <w:rPr>
                  <w:rStyle w:val="InternetLink"/>
                  <w:rFonts w:ascii="Times New Roman;serif" w:hAnsi="Times New Roman;serif"/>
                  <w:b w:val="false"/>
                  <w:color w:val="000080"/>
                  <w:sz w:val="20"/>
                  <w:u w:val="single"/>
                </w:rPr>
                <w:t>, 2026 and 2025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9">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22">
              <w:r>
                <w:rPr>
                  <w:rStyle w:val="InternetLink"/>
                  <w:rFonts w:ascii="Times New Roman;serif" w:hAnsi="Times New Roman;serif"/>
                  <w:b w:val="false"/>
                  <w:color w:val="000080"/>
                  <w:sz w:val="20"/>
                  <w:u w:val="single"/>
                </w:rPr>
                <w:t xml:space="preserve">Condensed Consolidated Balance Sheets as of </w:t>
              </w:r>
            </w:hyperlink>
            <w:hyperlink w:anchor="i7452e92dc9ba430683ec59e11bbeec5f_22">
              <w:r>
                <w:rPr>
                  <w:rStyle w:val="InternetLink"/>
                  <w:rFonts w:ascii="Times New Roman;serif" w:hAnsi="Times New Roman;serif"/>
                  <w:b w:val="false"/>
                  <w:color w:val="000080"/>
                  <w:sz w:val="20"/>
                  <w:u w:val="single"/>
                </w:rPr>
                <w:t>July 31</w:t>
              </w:r>
            </w:hyperlink>
            <w:hyperlink w:anchor="i7452e92dc9ba430683ec59e11bbeec5f_22">
              <w:r>
                <w:rPr>
                  <w:rStyle w:val="InternetLink"/>
                  <w:rFonts w:ascii="Times New Roman;serif" w:hAnsi="Times New Roman;serif"/>
                  <w:b w:val="false"/>
                  <w:color w:val="000080"/>
                  <w:sz w:val="20"/>
                  <w:u w:val="single"/>
                </w:rPr>
                <w:t>, 2026 and January 31, 2026</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22">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25">
              <w:r>
                <w:rPr>
                  <w:rStyle w:val="InternetLink"/>
                  <w:rFonts w:ascii="Times New Roman;serif" w:hAnsi="Times New Roman;serif"/>
                  <w:b w:val="false"/>
                  <w:color w:val="000080"/>
                  <w:sz w:val="20"/>
                  <w:u w:val="single"/>
                </w:rPr>
                <w:t xml:space="preserve">Condensed Consolidated Statements of Cash Flows for the </w:t>
              </w:r>
            </w:hyperlink>
            <w:hyperlink w:anchor="i7452e92dc9ba430683ec59e11bbeec5f_25">
              <w:r>
                <w:rPr>
                  <w:rStyle w:val="InternetLink"/>
                  <w:rFonts w:ascii="Times New Roman;serif" w:hAnsi="Times New Roman;serif"/>
                  <w:b w:val="false"/>
                  <w:color w:val="000080"/>
                  <w:sz w:val="20"/>
                  <w:u w:val="single"/>
                </w:rPr>
                <w:t>Six</w:t>
              </w:r>
            </w:hyperlink>
            <w:hyperlink w:anchor="i7452e92dc9ba430683ec59e11bbeec5f_25">
              <w:r>
                <w:rPr>
                  <w:rStyle w:val="InternetLink"/>
                  <w:rFonts w:ascii="Times New Roman;serif" w:hAnsi="Times New Roman;serif"/>
                  <w:b w:val="false"/>
                  <w:color w:val="000080"/>
                  <w:sz w:val="20"/>
                  <w:u w:val="single"/>
                </w:rPr>
                <w:t xml:space="preserve"> Months Ended </w:t>
              </w:r>
            </w:hyperlink>
            <w:hyperlink w:anchor="i7452e92dc9ba430683ec59e11bbeec5f_25">
              <w:r>
                <w:rPr>
                  <w:rStyle w:val="InternetLink"/>
                  <w:rFonts w:ascii="Times New Roman;serif" w:hAnsi="Times New Roman;serif"/>
                  <w:b w:val="false"/>
                  <w:color w:val="000080"/>
                  <w:sz w:val="20"/>
                  <w:u w:val="single"/>
                </w:rPr>
                <w:t>July 31</w:t>
              </w:r>
            </w:hyperlink>
            <w:hyperlink w:anchor="i7452e92dc9ba430683ec59e11bbeec5f_25">
              <w:r>
                <w:rPr>
                  <w:rStyle w:val="InternetLink"/>
                  <w:rFonts w:ascii="Times New Roman;serif" w:hAnsi="Times New Roman;serif"/>
                  <w:b w:val="false"/>
                  <w:color w:val="000080"/>
                  <w:sz w:val="20"/>
                  <w:u w:val="single"/>
                </w:rPr>
                <w:t>, 2026 and 2025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25">
              <w:r>
                <w:rPr>
                  <w:rStyle w:val="InternetLink"/>
                  <w:rFonts w:ascii="Times New Roman;serif" w:hAnsi="Times New Roman;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28">
              <w:r>
                <w:rPr>
                  <w:rStyle w:val="InternetLink"/>
                  <w:rFonts w:ascii="Times New Roman;serif" w:hAnsi="Times New Roman;serif"/>
                  <w:b w:val="false"/>
                  <w:color w:val="0000FF"/>
                  <w:sz w:val="20"/>
                  <w:u w:val="single"/>
                </w:rPr>
                <w:t>Notes to Condensed Consolidated Financial Statements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28">
              <w:r>
                <w:rPr>
                  <w:rStyle w:val="InternetLink"/>
                  <w:rFonts w:ascii="Times New Roman;serif" w:hAnsi="Times New Roman;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94">
              <w:r>
                <w:rPr>
                  <w:rStyle w:val="InternetLink"/>
                  <w:rFonts w:ascii="Times New Roman;serif" w:hAnsi="Times New Roman;serif"/>
                  <w:b/>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94">
              <w:r>
                <w:rPr>
                  <w:rStyle w:val="InternetLink"/>
                  <w:rFonts w:ascii="Times New Roman;serif" w:hAnsi="Times New Roman;serif"/>
                  <w:b w:val="false"/>
                  <w:color w:val="0000FF"/>
                  <w:sz w:val="20"/>
                  <w:u w:val="single"/>
                </w:rPr>
                <w:t>28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36">
              <w:r>
                <w:rPr>
                  <w:rStyle w:val="InternetLink"/>
                  <w:rFonts w:ascii="Times New Roman;serif" w:hAnsi="Times New Roman;serif"/>
                  <w:b/>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36">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39">
              <w:r>
                <w:rPr>
                  <w:rStyle w:val="InternetLink"/>
                  <w:rFonts w:ascii="Times New Roman;serif" w:hAnsi="Times New Roman;serif"/>
                  <w:b/>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39">
              <w:r>
                <w:rPr>
                  <w:rStyle w:val="InternetLink"/>
                  <w:rFonts w:ascii="Times New Roman;serif" w:hAnsi="Times New Roman;serif"/>
                  <w:b w:val="false"/>
                  <w:color w:val="0000FF"/>
                  <w:sz w:val="20"/>
                  <w:u w:val="single"/>
                </w:rPr>
                <w:t>44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52e92dc9ba430683ec59e11bbeec5f_142">
              <w:r>
                <w:rPr>
                  <w:rStyle w:val="InternetLink"/>
                  <w:rFonts w:ascii="Times New Roman;serif" w:hAnsi="Times New Roman;serif"/>
                  <w:b/>
                  <w:color w:val="0000FF"/>
                  <w:sz w:val="20"/>
                  <w:u w:val="single"/>
                </w:rPr>
                <w:t>PART II. OTHER INFORMATION</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45">
              <w:r>
                <w:rPr>
                  <w:rStyle w:val="InternetLink"/>
                  <w:rFonts w:ascii="Times New Roman;serif" w:hAnsi="Times New Roman;serif"/>
                  <w:b/>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45">
              <w:r>
                <w:rPr>
                  <w:rStyle w:val="InternetLink"/>
                  <w:rFonts w:ascii="Times New Roman;serif" w:hAnsi="Times New Roman;serif"/>
                  <w:b w:val="false"/>
                  <w:color w:val="0000FF"/>
                  <w:sz w:val="20"/>
                  <w:u w:val="single"/>
                </w:rPr>
                <w:t>45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48">
              <w:r>
                <w:rPr>
                  <w:rStyle w:val="InternetLink"/>
                  <w:rFonts w:ascii="Times New Roman;serif" w:hAnsi="Times New Roman;serif"/>
                  <w:b/>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48">
              <w:r>
                <w:rPr>
                  <w:rStyle w:val="InternetLink"/>
                  <w:rFonts w:ascii="Times New Roman;serif" w:hAnsi="Times New Roman;serif"/>
                  <w:b w:val="false"/>
                  <w:color w:val="0000FF"/>
                  <w:sz w:val="20"/>
                  <w:u w:val="single"/>
                </w:rPr>
                <w:t>45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51">
              <w:r>
                <w:rPr>
                  <w:rStyle w:val="InternetLink"/>
                  <w:rFonts w:ascii="Times New Roman;serif" w:hAnsi="Times New Roman;serif"/>
                  <w:b/>
                  <w:color w:val="0000FF"/>
                  <w:sz w:val="20"/>
                  <w:u w:val="single"/>
                </w:rPr>
                <w:t>Unregistered Sales of Equity Securities and Use of Proceeds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51">
              <w:r>
                <w:rPr>
                  <w:rStyle w:val="InternetLink"/>
                  <w:rFonts w:ascii="Times New Roman;serif" w:hAnsi="Times New Roman;serif"/>
                  <w:b w:val="false"/>
                  <w:color w:val="0000FF"/>
                  <w:sz w:val="20"/>
                  <w:u w:val="single"/>
                </w:rPr>
                <w:t>64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54">
              <w:r>
                <w:rPr>
                  <w:rStyle w:val="InternetLink"/>
                  <w:rFonts w:ascii="Times New Roman;serif" w:hAnsi="Times New Roman;serif"/>
                  <w:b/>
                  <w:color w:val="0000FF"/>
                  <w:sz w:val="20"/>
                  <w:u w:val="single"/>
                </w:rPr>
                <w:t>Defaults Upon Senior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54">
              <w:r>
                <w:rPr>
                  <w:rStyle w:val="InternetLink"/>
                  <w:rFonts w:ascii="Times New Roman;serif" w:hAnsi="Times New Roman;serif"/>
                  <w:b w:val="false"/>
                  <w:color w:val="0000FF"/>
                  <w:sz w:val="20"/>
                  <w:u w:val="single"/>
                </w:rPr>
                <w:t>65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57">
              <w:r>
                <w:rPr>
                  <w:rStyle w:val="InternetLink"/>
                  <w:rFonts w:ascii="Times New Roman;serif" w:hAnsi="Times New Roman;serif"/>
                  <w:b/>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57">
              <w:r>
                <w:rPr>
                  <w:rStyle w:val="InternetLink"/>
                  <w:rFonts w:ascii="Times New Roman;serif" w:hAnsi="Times New Roman;serif"/>
                  <w:b w:val="false"/>
                  <w:color w:val="0000FF"/>
                  <w:sz w:val="20"/>
                  <w:u w:val="single"/>
                </w:rPr>
                <w:t>65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60">
              <w:r>
                <w:rPr>
                  <w:rStyle w:val="InternetLink"/>
                  <w:rFonts w:ascii="Times New Roman;serif" w:hAnsi="Times New Roman;serif"/>
                  <w:b/>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60">
              <w:r>
                <w:rPr>
                  <w:rStyle w:val="InternetLink"/>
                  <w:rFonts w:ascii="Times New Roman;serif" w:hAnsi="Times New Roman;serif"/>
                  <w:b w:val="false"/>
                  <w:color w:val="0000FF"/>
                  <w:sz w:val="20"/>
                  <w:u w:val="single"/>
                </w:rPr>
                <w:t>65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66">
              <w:r>
                <w:rPr>
                  <w:rStyle w:val="InternetLink"/>
                  <w:rFonts w:ascii="Times New Roman;serif" w:hAnsi="Times New Roman;serif"/>
                  <w:b/>
                  <w:color w:val="0000FF"/>
                  <w:sz w:val="20"/>
                  <w:u w:val="single"/>
                </w:rPr>
                <w:t>Exhibits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66">
              <w:r>
                <w:rPr>
                  <w:rStyle w:val="InternetLink"/>
                  <w:rFonts w:ascii="Times New Roman;serif" w:hAnsi="Times New Roman;serif"/>
                  <w:b w:val="false"/>
                  <w:color w:val="0000FF"/>
                  <w:sz w:val="20"/>
                  <w:u w:val="single"/>
                </w:rPr>
                <w:t>66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2e92dc9ba430683ec59e11bbeec5f_169">
              <w:r>
                <w:rPr>
                  <w:rStyle w:val="InternetLink"/>
                  <w:rFonts w:ascii="Times New Roman;serif" w:hAnsi="Times New Roman;serif"/>
                  <w:b/>
                  <w:color w:val="0000FF"/>
                  <w:sz w:val="20"/>
                  <w:u w:val="single"/>
                </w:rPr>
                <w:t>Signatures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2e92dc9ba430683ec59e11bbeec5f_169">
              <w:r>
                <w:rPr>
                  <w:rStyle w:val="InternetLink"/>
                  <w:rFonts w:ascii="Times New Roman;serif" w:hAnsi="Times New Roman;serif"/>
                  <w:b w:val="false"/>
                  <w:color w:val="0000FF"/>
                  <w:sz w:val="20"/>
                  <w:u w:val="singl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899" w:type="dxa"/>
        <w:jc w:val="left"/>
        <w:tblInd w:w="0" w:type="dxa"/>
        <w:tblLayout w:type="fixed"/>
        <w:tblCellMar>
          <w:top w:w="28" w:type="dxa"/>
          <w:left w:w="28" w:type="dxa"/>
          <w:bottom w:w="28" w:type="dxa"/>
          <w:right w:w="28" w:type="dxa"/>
        </w:tblCellMar>
      </w:tblPr>
      <w:tblGrid>
        <w:gridCol w:w="1904"/>
        <w:gridCol w:w="1665"/>
        <w:gridCol w:w="1681"/>
        <w:gridCol w:w="213"/>
        <w:gridCol w:w="606"/>
        <w:gridCol w:w="118"/>
        <w:gridCol w:w="118"/>
        <w:gridCol w:w="118"/>
        <w:gridCol w:w="118"/>
        <w:gridCol w:w="213"/>
        <w:gridCol w:w="606"/>
        <w:gridCol w:w="118"/>
        <w:gridCol w:w="109"/>
        <w:gridCol w:w="109"/>
        <w:gridCol w:w="109"/>
        <w:gridCol w:w="196"/>
        <w:gridCol w:w="556"/>
        <w:gridCol w:w="109"/>
        <w:gridCol w:w="109"/>
        <w:gridCol w:w="109"/>
        <w:gridCol w:w="109"/>
        <w:gridCol w:w="196"/>
        <w:gridCol w:w="556"/>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(1)</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subscription revenue (1)</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other revenue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computing basic net income per share</w:t>
            </w:r>
          </w:p>
        </w:tc>
        <w:tc>
          <w:tcPr>
            <w:tcW w:w="8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computing diluted net income per share</w:t>
            </w:r>
          </w:p>
        </w:tc>
        <w:tc>
          <w:tcPr>
            <w:tcW w:w="81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During fiscal year 2027, the Company began classifying maintenance revenue within “Subscription revenue”. Prior period amounts have been reclassified to conform to the current period presentation. The reclassification did not impact total net revenue.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12"/>
        <w:gridCol w:w="1858"/>
        <w:gridCol w:w="1876"/>
        <w:gridCol w:w="225"/>
        <w:gridCol w:w="485"/>
        <w:gridCol w:w="125"/>
        <w:gridCol w:w="125"/>
        <w:gridCol w:w="125"/>
        <w:gridCol w:w="125"/>
        <w:gridCol w:w="225"/>
        <w:gridCol w:w="485"/>
        <w:gridCol w:w="125"/>
        <w:gridCol w:w="109"/>
        <w:gridCol w:w="109"/>
        <w:gridCol w:w="109"/>
        <w:gridCol w:w="212"/>
        <w:gridCol w:w="456"/>
        <w:gridCol w:w="117"/>
        <w:gridCol w:w="117"/>
        <w:gridCol w:w="117"/>
        <w:gridCol w:w="117"/>
        <w:gridCol w:w="212"/>
        <w:gridCol w:w="456"/>
        <w:gridCol w:w="183"/>
      </w:tblGrid>
      <w:tr>
        <w:trPr/>
        <w:tc>
          <w:tcPr>
            <w:tcW w:w="211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reclassifications:</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gain (loss) on derivative instruments (net of tax effect of $(1) , $1, $(2), and $3, respectively)</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 on available-for-sale debt securities (net of tax effect of zero, zero, $(6), and zero, respectively)</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Change in defined benefit pension items (net of tax effect of zero for all periods presented)</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change in cumulative foreign currency translation (loss) gain (net of tax effect of $(1), $(2), $(2), and $(5), respectively)</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income (loss) </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231" w:type="dxa"/>
        <w:jc w:val="left"/>
        <w:tblInd w:w="0" w:type="dxa"/>
        <w:tblLayout w:type="fixed"/>
        <w:tblCellMar>
          <w:top w:w="28" w:type="dxa"/>
          <w:left w:w="28" w:type="dxa"/>
          <w:bottom w:w="28" w:type="dxa"/>
          <w:right w:w="28" w:type="dxa"/>
        </w:tblCellMar>
      </w:tblPr>
      <w:tblGrid>
        <w:gridCol w:w="1947"/>
        <w:gridCol w:w="1708"/>
        <w:gridCol w:w="1715"/>
        <w:gridCol w:w="225"/>
        <w:gridCol w:w="744"/>
        <w:gridCol w:w="125"/>
        <w:gridCol w:w="109"/>
        <w:gridCol w:w="109"/>
        <w:gridCol w:w="109"/>
        <w:gridCol w:w="282"/>
        <w:gridCol w:w="933"/>
        <w:gridCol w:w="225"/>
      </w:tblGrid>
      <w:tr>
        <w:trPr/>
        <w:tc>
          <w:tcPr>
            <w:tcW w:w="194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software, furniture and leasehold improvements,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notes payable,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income taxes payable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deferred income taxes </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notes payable,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and additional paid-in capital</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670" w:type="dxa"/>
        <w:jc w:val="left"/>
        <w:tblInd w:w="0" w:type="dxa"/>
        <w:tblLayout w:type="fixed"/>
        <w:tblCellMar>
          <w:top w:w="28" w:type="dxa"/>
          <w:left w:w="28" w:type="dxa"/>
          <w:bottom w:w="28" w:type="dxa"/>
          <w:right w:w="28" w:type="dxa"/>
        </w:tblCellMar>
      </w:tblPr>
      <w:tblGrid>
        <w:gridCol w:w="2096"/>
        <w:gridCol w:w="1843"/>
        <w:gridCol w:w="1850"/>
        <w:gridCol w:w="196"/>
        <w:gridCol w:w="556"/>
        <w:gridCol w:w="109"/>
        <w:gridCol w:w="109"/>
        <w:gridCol w:w="109"/>
        <w:gridCol w:w="109"/>
        <w:gridCol w:w="196"/>
        <w:gridCol w:w="556"/>
        <w:gridCol w:w="941"/>
      </w:tblGrid>
      <w:tr>
        <w:trPr/>
        <w:tc>
          <w:tcPr>
            <w:tcW w:w="209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costs to obtain a contract with a customer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Restructuring-related asset impairments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business combinations: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and other liabilities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strategic investments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Taxes paid related to net share settlement of equity awards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debt, net of discount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“Purchases of strategic investments” were previously presented in “Other investing activities”. Prior period amounts have been reclassified to conform to the current period presentation. This presentation change did not have any impact to “Net cash provided by investing activities”.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 or as otherwise noted)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1</w:t>
      </w:r>
      <w:r>
        <w:rPr>
          <w:rFonts w:ascii="Times New Roman;serif" w:hAnsi="Times New Roman;serif"/>
          <w:b w:val="false"/>
          <w:color w:val="000000"/>
          <w:sz w:val="20"/>
        </w:rPr>
        <w:t xml:space="preserve">. </w:t>
      </w:r>
      <w:r>
        <w:rPr>
          <w:rFonts w:ascii="Times New Roman;serif" w:hAnsi="Times New Roman;serif"/>
          <w:b/>
          <w:i/>
          <w:color w:val="000000"/>
          <w:sz w:val="20"/>
        </w:rPr>
        <w:t>Basis of Presentation</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Autodesk, Inc. (“Autodesk,” “we,” “us,” “our,” or the “Company”) as of July 31, 2026, and for the three and six months ended July 31, 2026 and 2025,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2026, are not necessarily indicative of the results for the entire fiscal year ending January 31, 2027, or for any other period. Further, the balance sheet as of January 31, 2026,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2026.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2026, filed on March 3, 2026.</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2</w:t>
      </w:r>
      <w:r>
        <w:rPr>
          <w:rFonts w:ascii="Times New Roman;serif" w:hAnsi="Times New Roman;serif"/>
          <w:b w:val="false"/>
          <w:color w:val="000000"/>
          <w:sz w:val="20"/>
        </w:rPr>
        <w:t xml:space="preserve">. </w:t>
      </w:r>
      <w:r>
        <w:rPr>
          <w:rFonts w:ascii="Times New Roman;serif" w:hAnsi="Times New Roman;serif"/>
          <w:b/>
          <w:i/>
          <w:color w:val="000000"/>
          <w:sz w:val="20"/>
        </w:rPr>
        <w:t>Recently Issued Accounting Standards</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Financial Accounting Standards Board (“FASB”) issued ASU No. 2025-06, “Intangibles-Goodwill and Other-Internal-Use Software (Subtopic 350-40)” (“ASU 2025-06”), which amends certain aspects of the accounting for and disclosure of software costs under Subtopic 350-40. ASU 2025-06 eliminates accounting consideration of software development “stages”. Cost capitalization will now begin solely when (1) management has authorized and committed to funding the software project, and (2) it is probable the project will be completed and the software used to perform its intended function (the probable-to-complete threshold). In evaluating the probable-to-complete recognition threshold, an entity is required to consider whether there is significant uncertainty associated with the development activities of the software. ASU 2025-06 specifies that the disclosures in Subtopic 360-10, Property, Plant, and Equipment—Overall, are required for all capitalized internal-use software costs, regardless of how those costs are presented in the financial statements. The amendments in ASU 2025-06 supersede the website development costs guidance and incorporate the recognition requirements for website-specific development costs from Subtopic 350-50 into Subtopic 350-40. ASU 2025-06 is effective for Autodesk’s fiscal year beginning February 1, 2028, and interim periods within that fiscal year. Early adoption is permitted. Autodesk is currently evaluating the effect of adopting ASU 2025-06 on its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during the six months ended July 31, 2026, that may have a material impact on our financial position or results of operations.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3</w:t>
      </w:r>
      <w:r>
        <w:rPr>
          <w:rFonts w:ascii="Times New Roman;serif" w:hAnsi="Times New Roman;serif"/>
          <w:b w:val="false"/>
          <w:color w:val="000000"/>
          <w:sz w:val="20"/>
        </w:rPr>
        <w:t xml:space="preserve">. </w:t>
      </w:r>
      <w:r>
        <w:rPr>
          <w:rFonts w:ascii="Times New Roman;serif" w:hAnsi="Times New Roman;serif"/>
          <w:b/>
          <w:i/>
          <w:color w:val="000000"/>
          <w:sz w:val="20"/>
        </w:rPr>
        <w:t>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Disaggregation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Information regarding the components of Autodesk's net revenue from contracts with customers by product family, geographic location, and product type is as follows:</w:t>
      </w:r>
      <w:r>
        <w:rPr>
          <w:color w:val="000000"/>
        </w:rPr>
        <w:t> </w:t>
      </w:r>
    </w:p>
    <w:tbl>
      <w:tblPr>
        <w:tblW w:w="8870" w:type="dxa"/>
        <w:jc w:val="left"/>
        <w:tblInd w:w="0" w:type="dxa"/>
        <w:tblLayout w:type="fixed"/>
        <w:tblCellMar>
          <w:top w:w="28" w:type="dxa"/>
          <w:left w:w="28" w:type="dxa"/>
          <w:bottom w:w="28" w:type="dxa"/>
          <w:right w:w="28" w:type="dxa"/>
        </w:tblCellMar>
      </w:tblPr>
      <w:tblGrid>
        <w:gridCol w:w="1473"/>
        <w:gridCol w:w="1293"/>
        <w:gridCol w:w="1298"/>
        <w:gridCol w:w="213"/>
        <w:gridCol w:w="606"/>
        <w:gridCol w:w="118"/>
        <w:gridCol w:w="118"/>
        <w:gridCol w:w="118"/>
        <w:gridCol w:w="118"/>
        <w:gridCol w:w="213"/>
        <w:gridCol w:w="606"/>
        <w:gridCol w:w="118"/>
        <w:gridCol w:w="109"/>
        <w:gridCol w:w="109"/>
        <w:gridCol w:w="109"/>
        <w:gridCol w:w="196"/>
        <w:gridCol w:w="556"/>
        <w:gridCol w:w="109"/>
        <w:gridCol w:w="109"/>
        <w:gridCol w:w="109"/>
        <w:gridCol w:w="109"/>
        <w:gridCol w:w="196"/>
        <w:gridCol w:w="556"/>
        <w:gridCol w:w="311"/>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 by product family: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Architecture, Engineering, Construction and Operations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Media and Entertainment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geographic area:</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Remaining performance obligations consist of tota</w:t>
      </w:r>
      <w:r>
        <w:rPr>
          <w:rFonts w:ascii="Times New Roman;serif" w:hAnsi="Times New Roman;serif"/>
          <w:b w:val="false"/>
          <w:color w:val="000000"/>
          <w:sz w:val="20"/>
          <w:shd w:fill="FFFFFF" w:val="clear"/>
        </w:rPr>
        <w:t>l short-term, long-term, a</w:t>
      </w:r>
      <w:r>
        <w:rPr>
          <w:rFonts w:ascii="Times New Roman;serif" w:hAnsi="Times New Roman;serif"/>
          <w:b w:val="false"/>
          <w:color w:val="000000"/>
          <w:sz w:val="20"/>
        </w:rPr>
        <w:t>nd unbilled deferred revenue. As of July 31, 2026, Autodesk had remaining performance obligations of $7.43 billion, which represents the total transaction price allocated to remaining performance obligations, which are generally recognized over the next three years. We expect to recognize $5.24 billion or 71% of our remaining performance obligations as revenue during the next 12 months. We expect to recognize the remaining $2.19 billion or 29% of our remaining performance obligations as revenue thereafter.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remaining performance obligations may be impacted by the specific timing, duration, and size of customer subscription and support agreements, the specific timing of customer renewals, and foreign currency fluctuations.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payments from customers based on a billing schedule as established in our contracts. Contract assets relate to performance completed in advance of scheduled billings. Contract assets were not material as of July 31, 2026 and January 31, 2026. Deferred revenue relates to billings in advance of performance under the contract. The primary changes in our contract assets and deferred revenues are due to our performance under the contracts and billings.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three months ended July 31, 2026 and 2025, that was included in the deferred revenue balances at January 31, 2026 and 2025, was $1.33 billion and $1.14 billion, respectively. Revenue recognized during the six months ended July 31, 2026 and 2025, that was included in the deferred revenue balances at January 31, 2026 and 2025,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$2.94 billion and $2.48 billion, respectively. The satisfaction of performance obligations typically lags behind payments received under revenue contracts from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4</w:t>
      </w:r>
      <w:r>
        <w:rPr>
          <w:rFonts w:ascii="Times New Roman;serif" w:hAnsi="Times New Roman;serif"/>
          <w:b w:val="false"/>
          <w:color w:val="000000"/>
          <w:sz w:val="20"/>
        </w:rPr>
        <w:t xml:space="preserve">. </w:t>
      </w:r>
      <w:r>
        <w:rPr>
          <w:rFonts w:ascii="Times New Roman;serif" w:hAnsi="Times New Roman;serif"/>
          <w:b/>
          <w:i/>
          <w:color w:val="000000"/>
          <w:sz w:val="20"/>
        </w:rPr>
        <w:t>Concentration of Credit Risk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acts as administrative agent and a lender under Autodesk’s $2 billion revolving credit facility. See Note 11, “Borrowing Arrangements,” in the Notes to Condensed Consolidated Financial Statements for further discussion.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from the Company's largest distributor TD Synnex Corporation and its global affiliates (“TD Synnex”) accounted for 8% of Autodesk’s total net revenue during both the three and six months ended July 31, 2026. Total revenue from TD Synnex accounted for 16% and 18% of Autodesk’s total net revenue during the three and six months ended July 31, 2025, respectively. The majority of the net revenue from sales to TD Synnex is from sales outside of the United States. No other customer accounted for more than 10% of Autodesk's total net revenue or trade accounts receivable for each of the respective periods.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5</w:t>
      </w:r>
      <w:r>
        <w:rPr>
          <w:rFonts w:ascii="Times New Roman;serif" w:hAnsi="Times New Roman;serif"/>
          <w:b w:val="false"/>
          <w:color w:val="000000"/>
          <w:sz w:val="20"/>
        </w:rPr>
        <w:t xml:space="preserve">. </w:t>
      </w:r>
      <w:r>
        <w:rPr>
          <w:rFonts w:ascii="Times New Roman;serif" w:hAnsi="Times New Roman;serif"/>
          <w:b/>
          <w:i/>
          <w:color w:val="000000"/>
          <w:sz w:val="20"/>
        </w:rPr>
        <w:t>Financial Instruments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financial instruments by significant investment category as of July 31, 2026, and January 31, 2026: </w:t>
      </w:r>
    </w:p>
    <w:tbl>
      <w:tblPr>
        <w:tblW w:w="10001" w:type="dxa"/>
        <w:jc w:val="left"/>
        <w:tblInd w:w="0" w:type="dxa"/>
        <w:tblLayout w:type="fixed"/>
        <w:tblCellMar>
          <w:top w:w="28" w:type="dxa"/>
          <w:left w:w="28" w:type="dxa"/>
          <w:bottom w:w="28" w:type="dxa"/>
          <w:right w:w="28" w:type="dxa"/>
        </w:tblCellMar>
      </w:tblPr>
      <w:tblGrid>
        <w:gridCol w:w="958"/>
        <w:gridCol w:w="837"/>
        <w:gridCol w:w="845"/>
        <w:gridCol w:w="336"/>
        <w:gridCol w:w="722"/>
        <w:gridCol w:w="187"/>
        <w:gridCol w:w="109"/>
        <w:gridCol w:w="109"/>
        <w:gridCol w:w="109"/>
        <w:gridCol w:w="500"/>
        <w:gridCol w:w="1035"/>
        <w:gridCol w:w="280"/>
        <w:gridCol w:w="109"/>
        <w:gridCol w:w="109"/>
        <w:gridCol w:w="109"/>
        <w:gridCol w:w="508"/>
        <w:gridCol w:w="1052"/>
        <w:gridCol w:w="285"/>
        <w:gridCol w:w="109"/>
        <w:gridCol w:w="109"/>
        <w:gridCol w:w="109"/>
        <w:gridCol w:w="239"/>
        <w:gridCol w:w="513"/>
        <w:gridCol w:w="133"/>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Mutual funds (4) </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(2)Primarily consists of agency mortgage backed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(3)Primarily consists of agency commercial mortgage obligations.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(4)Investments in debt and equity securities that are held in a rabbi trust under non-qualified deferred compensation plans, $14 million was classified as current in “Prepaid expenses and other current assets” and $132 million was classified as non-current in “Long-term other assets” in the accompanying Condensed Consolidated Balance Sheets. The liability balance was $150 million in the accompanying Condensed Consolidated Balance Sheets.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tbl>
      <w:tblPr>
        <w:tblW w:w="10109" w:type="dxa"/>
        <w:jc w:val="left"/>
        <w:tblInd w:w="0" w:type="dxa"/>
        <w:tblLayout w:type="fixed"/>
        <w:tblCellMar>
          <w:top w:w="28" w:type="dxa"/>
          <w:left w:w="28" w:type="dxa"/>
          <w:bottom w:w="28" w:type="dxa"/>
          <w:right w:w="28" w:type="dxa"/>
        </w:tblCellMar>
      </w:tblPr>
      <w:tblGrid>
        <w:gridCol w:w="959"/>
        <w:gridCol w:w="836"/>
        <w:gridCol w:w="845"/>
        <w:gridCol w:w="283"/>
        <w:gridCol w:w="803"/>
        <w:gridCol w:w="158"/>
        <w:gridCol w:w="109"/>
        <w:gridCol w:w="109"/>
        <w:gridCol w:w="109"/>
        <w:gridCol w:w="500"/>
        <w:gridCol w:w="1035"/>
        <w:gridCol w:w="280"/>
        <w:gridCol w:w="109"/>
        <w:gridCol w:w="109"/>
        <w:gridCol w:w="109"/>
        <w:gridCol w:w="508"/>
        <w:gridCol w:w="1052"/>
        <w:gridCol w:w="285"/>
        <w:gridCol w:w="109"/>
        <w:gridCol w:w="109"/>
        <w:gridCol w:w="109"/>
        <w:gridCol w:w="201"/>
        <w:gridCol w:w="572"/>
        <w:gridCol w:w="112"/>
        <w:gridCol w:w="109"/>
        <w:gridCol w:w="109"/>
        <w:gridCol w:w="109"/>
        <w:gridCol w:w="109"/>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699" w:type="dxa"/>
            <w:gridSpan w:val="6"/>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backed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Mutual funds (5)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(2)Consists primarily of corporate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(3)Consists primarily of agency mortgage-backed securities and agency discount bonds.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(4)Consists primarily of agency bonds and sovereign government bonds.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(5)Investments in debt and equity securities that are held in a rabbi trust under non-qualified deferred compensation plans, $14 million was classified as current in “Prepaid expenses and other current assets” and $123 million was classified as non-current in “Long-term other assets” in the accompanying Condensed Consolidated Balance Sheets. The liability balance was $137 million in the accompanying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values of investments classified as marketable debt securities by contractual maturity date as of July 31, 2026: </w:t>
      </w:r>
    </w:p>
    <w:tbl>
      <w:tblPr>
        <w:tblW w:w="3509" w:type="dxa"/>
        <w:jc w:val="left"/>
        <w:tblInd w:w="0" w:type="dxa"/>
        <w:tblLayout w:type="fixed"/>
        <w:tblCellMar>
          <w:top w:w="28" w:type="dxa"/>
          <w:left w:w="28" w:type="dxa"/>
          <w:bottom w:w="28" w:type="dxa"/>
          <w:right w:w="28" w:type="dxa"/>
        </w:tblCellMar>
      </w:tblPr>
      <w:tblGrid>
        <w:gridCol w:w="936"/>
        <w:gridCol w:w="817"/>
        <w:gridCol w:w="827"/>
        <w:gridCol w:w="236"/>
        <w:gridCol w:w="508"/>
        <w:gridCol w:w="185"/>
      </w:tblGrid>
      <w:tr>
        <w:trPr/>
        <w:tc>
          <w:tcPr>
            <w:tcW w:w="93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1 year</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1 year through 5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5 years through 10 years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10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both July 31, 2026, and January 31, 2026,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six months ended July 31, 2026.</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monitors all marketable debt securities for potential credit losses by reviewing indicators such as, but not limited to, current credit rating, change in credit rating, credit outlook, and default risk. There were no allowances for credit losses as of both July 31, 2026, and January 31, 2026. There were no write offs of accrued interest receivables for both the six months ended July 31, 2026 and 2025.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realized gains or losses for the sales or redemptions of marketable debt securities during both the three and six months ended July 31, 2026 and 2025. Realized gains and losses from the sales or redemptions of marketable debt securities are recorded in “Interest and other income (expense), net” on the Company's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Strategic investments in equity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and January 31, 2026, Autodesk had $392 million and $346 million in direct investments in privately held companies, respectively, recorded in “Long-term other assets” in the Condensed Consolidated Balance Sheets.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Adjustments to the carrying value of our strategic investment equity securities with no readily determined fair values measured using the measurement alternative are included in “Interest and other income (expense), net” on the Company's Condensed Consolidated Statements of Operations. These adjustments were as follows:</w:t>
      </w:r>
    </w:p>
    <w:tbl>
      <w:tblPr>
        <w:tblW w:w="8197" w:type="dxa"/>
        <w:jc w:val="left"/>
        <w:tblInd w:w="0" w:type="dxa"/>
        <w:tblLayout w:type="fixed"/>
        <w:tblCellMar>
          <w:top w:w="28" w:type="dxa"/>
          <w:left w:w="28" w:type="dxa"/>
          <w:bottom w:w="28" w:type="dxa"/>
          <w:right w:w="28" w:type="dxa"/>
        </w:tblCellMar>
      </w:tblPr>
      <w:tblGrid>
        <w:gridCol w:w="1212"/>
        <w:gridCol w:w="1064"/>
        <w:gridCol w:w="1069"/>
        <w:gridCol w:w="238"/>
        <w:gridCol w:w="403"/>
        <w:gridCol w:w="132"/>
        <w:gridCol w:w="132"/>
        <w:gridCol w:w="132"/>
        <w:gridCol w:w="132"/>
        <w:gridCol w:w="238"/>
        <w:gridCol w:w="495"/>
        <w:gridCol w:w="132"/>
        <w:gridCol w:w="109"/>
        <w:gridCol w:w="109"/>
        <w:gridCol w:w="109"/>
        <w:gridCol w:w="603"/>
        <w:gridCol w:w="1067"/>
        <w:gridCol w:w="340"/>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Amount as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Upward adjustments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Negative adjustments, including impairments </w:t>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adjustments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financial instruments measured at fair value on a recurring basis by significant investment category as of July 31, 2026, and January 31, 2026: </w:t>
      </w:r>
    </w:p>
    <w:tbl>
      <w:tblPr>
        <w:tblW w:w="7645" w:type="dxa"/>
        <w:jc w:val="left"/>
        <w:tblInd w:w="0" w:type="dxa"/>
        <w:tblLayout w:type="fixed"/>
        <w:tblCellMar>
          <w:top w:w="28" w:type="dxa"/>
          <w:left w:w="28" w:type="dxa"/>
          <w:bottom w:w="28" w:type="dxa"/>
          <w:right w:w="28" w:type="dxa"/>
        </w:tblCellMar>
      </w:tblPr>
      <w:tblGrid>
        <w:gridCol w:w="950"/>
        <w:gridCol w:w="838"/>
        <w:gridCol w:w="852"/>
        <w:gridCol w:w="109"/>
        <w:gridCol w:w="109"/>
        <w:gridCol w:w="109"/>
        <w:gridCol w:w="109"/>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assets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liabilities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(2)Primarily consists of agency mortgage backed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(3)Primarily consists of agency commercial mortgage obligations.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Condensed Consolidated Balance Sheets.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(5)Included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“Other accrued liabilities” in the accompanying Condensed Consolidated Balance Sheets.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7287" w:type="dxa"/>
        <w:jc w:val="left"/>
        <w:tblInd w:w="0" w:type="dxa"/>
        <w:tblLayout w:type="fixed"/>
        <w:tblCellMar>
          <w:top w:w="28" w:type="dxa"/>
          <w:left w:w="28" w:type="dxa"/>
          <w:bottom w:w="28" w:type="dxa"/>
          <w:right w:w="28" w:type="dxa"/>
        </w:tblCellMar>
      </w:tblPr>
      <w:tblGrid>
        <w:gridCol w:w="950"/>
        <w:gridCol w:w="838"/>
        <w:gridCol w:w="852"/>
        <w:gridCol w:w="109"/>
        <w:gridCol w:w="109"/>
        <w:gridCol w:w="109"/>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Mutual funds (5)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assets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liabilities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(2)Consists primarily of corporate debt securities.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(3)Consists primarily of agency mortgage-backed securities and agency discount notes.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(4)Consists primarily of agency bonds and sovereign government bonds.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(5)Investments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Condensed Consolidated Balance Sheets.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(7)Included in “Other accrued liabilities” in the accompanying Condensed Consolidated Balance Sheets.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firstLine="225"/>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6. Equity Compensation </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activity for the six months ended July 31, 2026, is as follows:</w:t>
      </w:r>
    </w:p>
    <w:tbl>
      <w:tblPr>
        <w:tblW w:w="9310" w:type="dxa"/>
        <w:jc w:val="left"/>
        <w:tblInd w:w="0" w:type="dxa"/>
        <w:tblLayout w:type="fixed"/>
        <w:tblCellMar>
          <w:top w:w="28" w:type="dxa"/>
          <w:left w:w="28" w:type="dxa"/>
          <w:bottom w:w="28" w:type="dxa"/>
          <w:right w:w="28" w:type="dxa"/>
        </w:tblCellMar>
      </w:tblPr>
      <w:tblGrid>
        <w:gridCol w:w="1351"/>
        <w:gridCol w:w="1187"/>
        <w:gridCol w:w="1196"/>
        <w:gridCol w:w="499"/>
        <w:gridCol w:w="499"/>
        <w:gridCol w:w="501"/>
        <w:gridCol w:w="109"/>
        <w:gridCol w:w="109"/>
        <w:gridCol w:w="109"/>
        <w:gridCol w:w="737"/>
        <w:gridCol w:w="2430"/>
        <w:gridCol w:w="583"/>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January 31, 2026</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255.39 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224.41 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249.15 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248.48 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Performance Adjustment (1)</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289.05 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July 31, 2026</w:t>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(1)Based on Autodesk's financial results and relative total stockholder return for the fiscal 2026 performance period. The performance stock units were attained at rates ranging from 103% to 126% of the target award.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shares vested during the six months ended July 31, 2026 and 2025, was $453 million and $580 million,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Autodesk granted 3 million restricted stock units. Restricted stock units are not considered outstanding stock at the time of grant, as the holders of these units are not entitled to any of the rights of a stockholder, including voting rights.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recorded stock-based compensation expense related to restricted stock units of $149 million and $158 million during the three months ended July 31, 2026 and 2025, respectively. Autodesk recorded stock-based compensation expense related to restricted stock units of $276 million and $298 million during the six months ended July 31, 2026 and 2025,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Autodesk granted 350 thousand performance stock units for which the ultimate number of shares earned is determined based on the achievement of performance criteria at the end of the stated performance period. The performance criteria for the performance stock units are based on the achievement of specified performance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 </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one, depending upon the achievement of the performance criteria for fiscal 2027 as well as one-year Relative TSR (covering year one) or vest following year three depending upon the achievement of the performance criteria for fiscal 2027 as well as a 3-year Relative TSR (covering years one, two and three).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two, depending upon the achievement of the performance criteria for fiscal 2028 as well as 2-year Relative TSR (covering years one and two) or vest following year three depending upon the achievement of the performance criteria for fiscal 2028 as well as a 3-year Relative TSR (covering years one, two and three).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three, depending upon the achievement of the performance criteria for fiscal 2029 as well as 3-year Relative TSR (covering years one, two and three) or vest following year three depending upon the achievement of the performance criteria for fiscal 2029 as well as a 3-year Relative TSR (covering years one, two and three).</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stock units are not considered outstanding stock at the time of grant, as the holders of these units are not entitled to any of the rights of a stockholder, including voting rights.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recorded stock-based compensation expense related to performance stock units of $16 million and $18 million for the three months ended July 31, 2026 and 2025, respectively. Autodesk recorded stock-based compensation expense related to performance stock units of $31 million and $39 million for the six months ended July 31, 2026 and 2025,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1998 Employee Qualified Stock Purchase Plan (“ESPP”)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the ESPP activity for the six months ended July 31, 2026 and 2025, is as follows:</w:t>
      </w:r>
    </w:p>
    <w:tbl>
      <w:tblPr>
        <w:tblW w:w="8214" w:type="dxa"/>
        <w:jc w:val="left"/>
        <w:tblInd w:w="0" w:type="dxa"/>
        <w:tblLayout w:type="fixed"/>
        <w:tblCellMar>
          <w:top w:w="28" w:type="dxa"/>
          <w:left w:w="28" w:type="dxa"/>
          <w:bottom w:w="28" w:type="dxa"/>
          <w:right w:w="28" w:type="dxa"/>
        </w:tblCellMar>
      </w:tblPr>
      <w:tblGrid>
        <w:gridCol w:w="1989"/>
        <w:gridCol w:w="1754"/>
        <w:gridCol w:w="1761"/>
        <w:gridCol w:w="196"/>
        <w:gridCol w:w="646"/>
        <w:gridCol w:w="109"/>
        <w:gridCol w:w="109"/>
        <w:gridCol w:w="109"/>
        <w:gridCol w:w="109"/>
        <w:gridCol w:w="196"/>
        <w:gridCol w:w="646"/>
        <w:gridCol w:w="109"/>
        <w:gridCol w:w="109"/>
        <w:gridCol w:w="109"/>
        <w:gridCol w:w="109"/>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shares (in thousands)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price of issued shares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grant date fair value of shares granted under the ESPP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(1)Calculated as of the award grant date using the Black-Scholes Merton (“BSM”) option pricing model.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for the three and six months ended July 31, 2026 and 2025, as follows:</w:t>
      </w:r>
    </w:p>
    <w:tbl>
      <w:tblPr>
        <w:tblW w:w="10205" w:type="dxa"/>
        <w:jc w:val="left"/>
        <w:tblInd w:w="0" w:type="dxa"/>
        <w:tblLayout w:type="fixed"/>
        <w:tblCellMar>
          <w:top w:w="28" w:type="dxa"/>
          <w:left w:w="28" w:type="dxa"/>
          <w:bottom w:w="28" w:type="dxa"/>
          <w:right w:w="28" w:type="dxa"/>
        </w:tblCellMar>
      </w:tblPr>
      <w:tblGrid>
        <w:gridCol w:w="2038"/>
        <w:gridCol w:w="1784"/>
        <w:gridCol w:w="1794"/>
        <w:gridCol w:w="296"/>
        <w:gridCol w:w="638"/>
        <w:gridCol w:w="164"/>
        <w:gridCol w:w="296"/>
        <w:gridCol w:w="638"/>
        <w:gridCol w:w="164"/>
        <w:gridCol w:w="109"/>
        <w:gridCol w:w="109"/>
        <w:gridCol w:w="109"/>
        <w:gridCol w:w="269"/>
        <w:gridCol w:w="579"/>
        <w:gridCol w:w="149"/>
        <w:gridCol w:w="269"/>
        <w:gridCol w:w="579"/>
        <w:gridCol w:w="221"/>
      </w:tblGrid>
      <w:tr>
        <w:trPr/>
        <w:tc>
          <w:tcPr>
            <w:tcW w:w="203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subscription revenue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other revenue </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stock awards and ESPP purchases</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31, 2025, Autodesk recorded $54 million in stock-based compensation expense reflecting a cumulative adjustment since fiscal 1999 related to the Company’s ESPP. The differences were not material to any prior interim or annual periods.</w:t>
      </w:r>
    </w:p>
    <w:p>
      <w:pPr>
        <w:pStyle w:val="TextBody"/>
        <w:bidi w:val="0"/>
        <w:spacing w:before="0" w:after="0"/>
        <w:ind w:left="0" w:right="0" w:firstLine="495"/>
        <w:jc w:val="left"/>
        <w:rPr/>
      </w:pPr>
      <w:r>
        <w:rPr/>
      </w:r>
    </w:p>
    <w:p>
      <w:pPr>
        <w:pStyle w:val="TextBody"/>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Assumptions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1"/>
        <w:gridCol w:w="734"/>
        <w:gridCol w:w="739"/>
        <w:gridCol w:w="679"/>
        <w:gridCol w:w="679"/>
        <w:gridCol w:w="681"/>
        <w:gridCol w:w="251"/>
        <w:gridCol w:w="251"/>
        <w:gridCol w:w="251"/>
        <w:gridCol w:w="336"/>
        <w:gridCol w:w="321"/>
        <w:gridCol w:w="316"/>
        <w:gridCol w:w="109"/>
        <w:gridCol w:w="109"/>
        <w:gridCol w:w="109"/>
        <w:gridCol w:w="679"/>
        <w:gridCol w:w="679"/>
        <w:gridCol w:w="681"/>
        <w:gridCol w:w="245"/>
        <w:gridCol w:w="245"/>
        <w:gridCol w:w="245"/>
        <w:gridCol w:w="309"/>
        <w:gridCol w:w="296"/>
        <w:gridCol w:w="420"/>
      </w:tblGrid>
      <w:tr>
        <w:trPr/>
        <w:tc>
          <w:tcPr>
            <w:tcW w:w="8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Stock Units (1)</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Stock Units (1)</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 (1)</w:t>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volatility</w:t>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35.1 - 36.7%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33.9 - 34.8%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29.7 - 33.4%</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29.1 - 29.5%</w:t>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lives (in years)</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risk-free interest rates</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3.7 - 3.9%</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3.8 - 4.1%</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4.0 - 4.3%</w:t>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4126" w:type="dxa"/>
            <w:gridSpan w:val="12"/>
            <w:tcBorders/>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450"/>
        <w:jc w:val="left"/>
        <w:rPr/>
      </w:pPr>
      <w:r>
        <w:rPr>
          <w:rFonts w:ascii="Times New Roman;serif" w:hAnsi="Times New Roman;serif"/>
          <w:b w:val="false"/>
          <w:color w:val="000000"/>
          <w:sz w:val="18"/>
        </w:rPr>
        <w:t xml:space="preserve">(1)There were no ESPP awards or performance stock units granted during the </w:t>
      </w:r>
      <w:r>
        <w:rPr>
          <w:rFonts w:ascii="Times New Roman;serif" w:hAnsi="Times New Roman;serif"/>
          <w:b w:val="false"/>
          <w:color w:val="000000"/>
          <w:sz w:val="20"/>
        </w:rPr>
        <w:t>three months ended</w:t>
      </w:r>
      <w:r>
        <w:rPr>
          <w:color w:val="000000"/>
        </w:rPr>
        <w:t xml:space="preserve"> </w:t>
      </w:r>
      <w:r>
        <w:rPr>
          <w:rFonts w:ascii="Times New Roman;serif" w:hAnsi="Times New Roman;serif"/>
          <w:b w:val="false"/>
          <w:color w:val="000000"/>
          <w:sz w:val="18"/>
        </w:rPr>
        <w:t>July 31, 2026 and 2025</w:t>
      </w:r>
      <w:r>
        <w:rPr>
          <w:rFonts w:ascii="Times New Roman;serif" w:hAnsi="Times New Roman;serif"/>
          <w:b w:val="false"/>
          <w:color w:val="000000"/>
          <w:sz w:val="20"/>
        </w:rPr>
        <w: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range of expected lives of ESPP awards are based upon the four six-month exercise periods within a 24-month offering period.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does not currently pay, and does not anticipate paying in the foreseeable future, any cash dividends. Consequently, an expected dividend yield of zero is used in the BSM option pricing model and the Monte Carlo simulation model.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risk-free interest rate used in the BSM option pricing model and the Monte Carlo simulation model for stock-based awards is the historical yield on U.S. Treasury securities with equivalent remaining lives.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recognizes expense only for the stock-based awards that ultimately vest. Autodesk accounts for forfeitures of our stock-based awards as those forfeitures occur.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7. Income Tax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color w:val="000000"/>
        </w:rPr>
      </w:pPr>
      <w:r>
        <w:rPr>
          <w:color w:val="000000"/>
        </w:rPr>
        <w:t> </w:t>
      </w:r>
      <w:r>
        <w:rPr>
          <w:rFonts w:ascii="Times New Roman;serif" w:hAnsi="Times New Roman;serif"/>
          <w:b w:val="false"/>
          <w:color w:val="000000"/>
          <w:sz w:val="20"/>
        </w:rPr>
        <w:t xml:space="preserve">Autodesk had income tax expense of $101 million, relative to pre-tax income of $593 million for the three months ended July 31, 2026, and income tax expense of $143 million, relative to pre-tax income of $456 million for the three months ended July 31,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had income tax expense of $209 million, relative to pre-tax income of $1.19 billion for the six months ended July 31, 2026, and income tax expense of $225 million, relative to pre-tax income of $690 million for the six months ended July 31,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and six months ended July 31, 2026, differs from the U.S. federal statutory rate of 21% primarily due to tax on net controlled foreign corporation tested income (“NCTI”) and withholding tax, reduced by varying tax rates on foreign earnings, tax-deductible stock-based compensation, benefits arising from the foreign-derived deduction-eligible income (“FDDEI”) regime, and tax credits.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8. Cloud Computing Arrangements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$396 million and $380 million at July 31, 2026, and January 31, 2026, respectively. Accumulated amortization was $200 million and $175 million at July 31, 2026, and January 31, 2026, respectively. Amortization expense for the three months ended July 31, 2026 and 2025, was $13 million and $10 million, respectively. Amortization expense for the six months ended July 31, 2026 and 2025, was $25 million and $20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9. Costs to Obtain a Contract with a Customer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commissions earned by our internal sales personnel and our solution providers are considered incremental and recoverable costs of obtaining a contract with a customer. The ending balance of assets recognized from costs to obtain a contract with a customer was $794 million as of July 31, 2026, and $913 million as of January 31, 2026. These assets are recorded in “Prepaid expenses and other current assets” and “Long-term other assets” in the Condensed Consolidated Balance Sheets. The liabilities associated with the commission costs were $368 million and $550 million as of July 31, 2026 and January 31, 2026, respectively. These liabilities are included in “Accounts payable”, “Accrued compensation”, and “Long-term other liabilities,” in the accompanying Condensed Consolidated Balance Sheets. Amortization expense related to assets recognized from costs to obtain a contract with a customer was $175 million and $347 million during the three and six months ended July 31, 2026, respectively. Amortization expense related to assets recognized from costs to obtain a contract with a customer was $123 million and $219 million during the three and six months ended July 31, 2025, respectively. Autodesk did not recognize any contract cost impairment losses during both the three and six months ended July 31, 2026 and 2025.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10. Balance Sheet Components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intangible assets, net, as of July 31, 2026, and January 31, 2026:</w:t>
      </w:r>
    </w:p>
    <w:tbl>
      <w:tblPr>
        <w:tblW w:w="7492" w:type="dxa"/>
        <w:jc w:val="left"/>
        <w:tblInd w:w="0" w:type="dxa"/>
        <w:tblLayout w:type="fixed"/>
        <w:tblCellMar>
          <w:top w:w="28" w:type="dxa"/>
          <w:left w:w="28" w:type="dxa"/>
          <w:bottom w:w="28" w:type="dxa"/>
          <w:right w:w="28" w:type="dxa"/>
        </w:tblCellMar>
      </w:tblPr>
      <w:tblGrid>
        <w:gridCol w:w="675"/>
        <w:gridCol w:w="591"/>
        <w:gridCol w:w="594"/>
        <w:gridCol w:w="437"/>
        <w:gridCol w:w="1240"/>
        <w:gridCol w:w="243"/>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patents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90"/>
        <w:jc w:val="left"/>
        <w:rPr/>
      </w:pPr>
      <w:r>
        <w:rPr/>
      </w:r>
    </w:p>
    <w:tbl>
      <w:tblPr>
        <w:tblW w:w="7492" w:type="dxa"/>
        <w:jc w:val="left"/>
        <w:tblInd w:w="0" w:type="dxa"/>
        <w:tblLayout w:type="fixed"/>
        <w:tblCellMar>
          <w:top w:w="28" w:type="dxa"/>
          <w:left w:w="28" w:type="dxa"/>
          <w:bottom w:w="28" w:type="dxa"/>
          <w:right w:w="28" w:type="dxa"/>
        </w:tblCellMar>
      </w:tblPr>
      <w:tblGrid>
        <w:gridCol w:w="675"/>
        <w:gridCol w:w="591"/>
        <w:gridCol w:w="594"/>
        <w:gridCol w:w="437"/>
        <w:gridCol w:w="1240"/>
        <w:gridCol w:w="243"/>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patents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Computer Equipment, Software, Furniture, and Leasehold Improvements,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Computer equipment, software, furniture and equipment, and leasehold improvements, and the related accumulated depreciation were as follows:</w:t>
      </w:r>
      <w:r>
        <w:rPr>
          <w:color w:val="000000"/>
        </w:rPr>
        <w:t> </w:t>
      </w:r>
    </w:p>
    <w:tbl>
      <w:tblPr>
        <w:tblW w:w="8274" w:type="dxa"/>
        <w:jc w:val="left"/>
        <w:tblInd w:w="0" w:type="dxa"/>
        <w:tblLayout w:type="fixed"/>
        <w:tblCellMar>
          <w:top w:w="28" w:type="dxa"/>
          <w:left w:w="28" w:type="dxa"/>
          <w:bottom w:w="28" w:type="dxa"/>
          <w:right w:w="28" w:type="dxa"/>
        </w:tblCellMar>
      </w:tblPr>
      <w:tblGrid>
        <w:gridCol w:w="1961"/>
        <w:gridCol w:w="1723"/>
        <w:gridCol w:w="1730"/>
        <w:gridCol w:w="295"/>
        <w:gridCol w:w="635"/>
        <w:gridCol w:w="164"/>
        <w:gridCol w:w="109"/>
        <w:gridCol w:w="109"/>
        <w:gridCol w:w="109"/>
        <w:gridCol w:w="365"/>
        <w:gridCol w:w="785"/>
        <w:gridCol w:w="289"/>
      </w:tblGrid>
      <w:tr>
        <w:trPr/>
        <w:tc>
          <w:tcPr>
            <w:tcW w:w="196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hardware, at cost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at cost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 at cost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 land and buildings, at cost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software, furniture, and leasehold improvements, net</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consists of the excess of the consideration transferred over the fair value of net assets acquired in business combinations. The following table summarizes the changes in the carrying amount of goodwill for the six months ended July 31, 2026, (in millions):</w:t>
      </w:r>
    </w:p>
    <w:p>
      <w:pPr>
        <w:pStyle w:val="TextBody"/>
        <w:bidi w:val="0"/>
        <w:spacing w:lineRule="auto" w:line="288" w:before="0" w:after="0"/>
        <w:jc w:val="left"/>
        <w:rPr>
          <w:color w:val="000000"/>
        </w:rPr>
      </w:pPr>
      <w:r>
        <w:rPr>
          <w:color w:val="000000"/>
        </w:rPr>
        <w:t> </w:t>
      </w:r>
    </w:p>
    <w:tbl>
      <w:tblPr>
        <w:tblW w:w="4790" w:type="dxa"/>
        <w:jc w:val="left"/>
        <w:tblInd w:w="0" w:type="dxa"/>
        <w:tblLayout w:type="fixed"/>
        <w:tblCellMar>
          <w:top w:w="28" w:type="dxa"/>
          <w:left w:w="28" w:type="dxa"/>
          <w:bottom w:w="28" w:type="dxa"/>
          <w:right w:w="28" w:type="dxa"/>
        </w:tblCellMar>
      </w:tblPr>
      <w:tblGrid>
        <w:gridCol w:w="1408"/>
        <w:gridCol w:w="1235"/>
        <w:gridCol w:w="1241"/>
        <w:gridCol w:w="196"/>
        <w:gridCol w:w="55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31, 2026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arising from acquisitions during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foreign currency translation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31, 2026 (1)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(1)Accumulated impairment losses as of both January 31, 2026 and July 31, 2026, were $149 million.</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11. Borrowing Arrangements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and as amended on June 15, 2026, Autodesk entered into a Credit Agreement (“2025 Credit Agreement”) by and among the Company, the lenders party thereto and Citibank, N.A. (“Citibank”), as administrative agent, which provides for an unsecured revolving loan facility in the aggregate principal amount of $2 billion.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subsidiary indebtedness, in each case, subject to various exceptions. The 2025 Credit Agreement requires Autodesk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At July 31, 2026, Autodesk was in compliance with the 2025 Credit Agreement covenants. Revolving loans under the 2025 Credit Agreement will bear interest, at the Company’s option, at either (i) a per annum rate equal to the Base Rate (as defined in the 2025 Credit Agreement) or (ii) a per annum rate equal to the rate at which dollar deposits are offered in the Secured Overnight Financing Rate, plus a margin of between 0.575% and 1.000%, depending on the Company’s Public Debt Rating. Autodesk is also obligated to pay to each lender a facility fee on a 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July 31, 2026, Autodesk had no outstanding borrowings under the 2025 Credit Agreement.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Debt</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Autodesk entered into a Term Loan Credit Agreement (“Term Loan Credit Agreement”) with Citibank, as administrative agent, and the lenders from time to time party thereto, which provides for an unsecured 364-day delayed draw term loan facility in the aggregate principal amount of $1 billion. Borrowings under the Term Loan Credit Agreement are limited to loans funded on the MaintainX, Inc.(“MaintainX”) acquisition closing date (“Term Loan”) for purposes of funding the MaintainX transaction and will mature 364 days after the acquisition closing date. On August 3, 2026, Autodesk borrowed $1 billion under the Term Loan at a weighted-average interest rate of 4.58% to consummate the MaintainX acquisition. See Note 19, "Subsequent Events". The Term Loan will bear interest, at Autodesk’s option, at a rate per annum equal to either (i) the Base Rate (as defined in the Term Loan Credit Agreement) plus a margin ranging from 0.0% to 0.125%, depending on Autodesk’s public debt rating or (ii) a SOFR rate plus a margin ranging from 0.625% to 1.125%, depending on Autodesk’s public debt rating. The Term Loan Credit Agreement requires Autodesk to maintain a maximum leverage ratio of Consolidated Covenant Debt to Consolidated EBITDA (each as defined in the Term Loan Credit Agreement) no greater than 3.50:1.00 during the term, subject to adjustment following the consummation of certain material acquisitions up to 4.00:1.00 for up to four consecutive fiscal quarters. The Term Loan Credit Agreement contains customary covenants that could, among other things, restrict the imposition of liens on Autodesk’s assets and restrict Autodesk’s ability to incur additional subsidiary indebtedness, in each case, subject to various exceptions.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2026, Autodesk established a commercial paper program under which Autodesk may issue short-term, unsecured commercial paper notes in amounts up to a maximum aggregate face amount of $2 billion outstanding at any time, with maturities up to 365 days from the date of issuance. Autodesk intends to use the net proceeds of the commercial paper notes for general corporate purposes and to fund the acquisition of businesses. For example, we partially funded the acquisition of MaintainX with borrowings under the commercial paper program. As of July 31, 2026, Autodesk had $1 billion of short-term outstanding borrowings under the commercial paper program with a weighted-average interest rate of 4.17%. The carrying value of the outstanding commercial paper notes approximated fair value at July 31, 2026 due to the relatively short period of time between the origination of the instruments and their expected repayment term. The commercial paper program is backed by our unsecured revolving loan facility and reduces what we can borrow under the unsecured revolving credit facility by the amount of commercial paper outstanding.</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outstanding borrowings under our Senior Notes as of July 31, 2026, were as follows:</w:t>
      </w:r>
    </w:p>
    <w:tbl>
      <w:tblPr>
        <w:tblW w:w="7859" w:type="dxa"/>
        <w:jc w:val="left"/>
        <w:tblInd w:w="0" w:type="dxa"/>
        <w:tblLayout w:type="fixed"/>
        <w:tblCellMar>
          <w:top w:w="28" w:type="dxa"/>
          <w:left w:w="28" w:type="dxa"/>
          <w:bottom w:w="28" w:type="dxa"/>
          <w:right w:w="28" w:type="dxa"/>
        </w:tblCellMar>
      </w:tblPr>
      <w:tblGrid>
        <w:gridCol w:w="1435"/>
        <w:gridCol w:w="1258"/>
        <w:gridCol w:w="1267"/>
        <w:gridCol w:w="429"/>
        <w:gridCol w:w="429"/>
        <w:gridCol w:w="431"/>
        <w:gridCol w:w="809"/>
        <w:gridCol w:w="449"/>
        <w:gridCol w:w="452"/>
        <w:gridCol w:w="384"/>
        <w:gridCol w:w="213"/>
        <w:gridCol w:w="303"/>
      </w:tblGrid>
      <w:tr>
        <w:trPr/>
        <w:tc>
          <w:tcPr>
            <w:tcW w:w="143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Instrument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Issuance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Principal Outstanding</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5.30% senior notes due June 15, 2035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2025</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2.40% senior notes due December 15, 2031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2021</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January 15, 2030</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2020</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notes due June 15, 2027</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2017</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outstanding</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payable, net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(1)Both the debt discount and issuance costs are being amortized to interest expense over the term of the senior notes using the effective interest method.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June 2025 Notes, October 2021 Notes, January 2020 Notes, and the June 2017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expected future principal payments as of July 31, 2026, were as follows (in millions):</w:t>
      </w:r>
    </w:p>
    <w:tbl>
      <w:tblPr>
        <w:tblW w:w="3569" w:type="dxa"/>
        <w:jc w:val="center"/>
        <w:tblInd w:w="0" w:type="dxa"/>
        <w:tblLayout w:type="fixed"/>
        <w:tblCellMar>
          <w:top w:w="28" w:type="dxa"/>
          <w:left w:w="28" w:type="dxa"/>
          <w:bottom w:w="28" w:type="dxa"/>
          <w:right w:w="28" w:type="dxa"/>
        </w:tblCellMar>
      </w:tblPr>
      <w:tblGrid>
        <w:gridCol w:w="725"/>
        <w:gridCol w:w="638"/>
        <w:gridCol w:w="646"/>
        <w:gridCol w:w="196"/>
        <w:gridCol w:w="556"/>
        <w:gridCol w:w="109"/>
        <w:gridCol w:w="109"/>
        <w:gridCol w:w="109"/>
        <w:gridCol w:w="109"/>
        <w:gridCol w:w="109"/>
        <w:gridCol w:w="109"/>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ending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outstanding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12. Derivative Instruments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effects of derivatives designated as hedging instruments on Autodesk’s Condensed Consolidated Statements of Operations were as follows for the three and six months ended July 31, 2026 and 2025, (amounts presented include any income tax effects):</w:t>
      </w:r>
    </w:p>
    <w:tbl>
      <w:tblPr>
        <w:tblW w:w="10205" w:type="dxa"/>
        <w:jc w:val="left"/>
        <w:tblInd w:w="0" w:type="dxa"/>
        <w:tblLayout w:type="fixed"/>
        <w:tblCellMar>
          <w:top w:w="28" w:type="dxa"/>
          <w:left w:w="28" w:type="dxa"/>
          <w:bottom w:w="28" w:type="dxa"/>
          <w:right w:w="28" w:type="dxa"/>
        </w:tblCellMar>
      </w:tblPr>
      <w:tblGrid>
        <w:gridCol w:w="2156"/>
        <w:gridCol w:w="1890"/>
        <w:gridCol w:w="1901"/>
        <w:gridCol w:w="236"/>
        <w:gridCol w:w="468"/>
        <w:gridCol w:w="131"/>
        <w:gridCol w:w="131"/>
        <w:gridCol w:w="131"/>
        <w:gridCol w:w="131"/>
        <w:gridCol w:w="236"/>
        <w:gridCol w:w="400"/>
        <w:gridCol w:w="131"/>
        <w:gridCol w:w="109"/>
        <w:gridCol w:w="109"/>
        <w:gridCol w:w="109"/>
        <w:gridCol w:w="215"/>
        <w:gridCol w:w="425"/>
        <w:gridCol w:w="119"/>
        <w:gridCol w:w="119"/>
        <w:gridCol w:w="119"/>
        <w:gridCol w:w="119"/>
        <w:gridCol w:w="215"/>
        <w:gridCol w:w="425"/>
        <w:gridCol w:w="180"/>
      </w:tblGrid>
      <w:tr>
        <w:trPr/>
        <w:tc>
          <w:tcPr>
            <w:tcW w:w="215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(loss) recognized in accumulated other comprehensive income, net of tax, (effective portion)</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and location of gain (loss) reclassified from accumulated other comprehensive loss into income (effective portion)</w:t>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 and location of gains or losses recognized in net income of derivatives not designated as hedging instruments on Autodesk’s Condensed Consolidated Statements of Operations were as follows for the three and six months ended July 31, 2026 and 2025, (amounts presented include any income tax effects):</w:t>
      </w:r>
    </w:p>
    <w:tbl>
      <w:tblPr>
        <w:tblW w:w="9032" w:type="dxa"/>
        <w:jc w:val="left"/>
        <w:tblInd w:w="0" w:type="dxa"/>
        <w:tblLayout w:type="fixed"/>
        <w:tblCellMar>
          <w:top w:w="28" w:type="dxa"/>
          <w:left w:w="28" w:type="dxa"/>
          <w:bottom w:w="28" w:type="dxa"/>
          <w:right w:w="28" w:type="dxa"/>
        </w:tblCellMar>
      </w:tblPr>
      <w:tblGrid>
        <w:gridCol w:w="1592"/>
        <w:gridCol w:w="1399"/>
        <w:gridCol w:w="1404"/>
        <w:gridCol w:w="276"/>
        <w:gridCol w:w="340"/>
        <w:gridCol w:w="153"/>
        <w:gridCol w:w="153"/>
        <w:gridCol w:w="153"/>
        <w:gridCol w:w="153"/>
        <w:gridCol w:w="276"/>
        <w:gridCol w:w="573"/>
        <w:gridCol w:w="153"/>
        <w:gridCol w:w="109"/>
        <w:gridCol w:w="109"/>
        <w:gridCol w:w="109"/>
        <w:gridCol w:w="250"/>
        <w:gridCol w:w="308"/>
        <w:gridCol w:w="139"/>
        <w:gridCol w:w="139"/>
        <w:gridCol w:w="139"/>
        <w:gridCol w:w="139"/>
        <w:gridCol w:w="250"/>
        <w:gridCol w:w="519"/>
        <w:gridCol w:w="197"/>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and location of (loss) gain recognized in net income</w:t>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(expense)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(loss),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5, “Financial Instruments” for the fair values of derivative instruments in Autodesk’s Condensed Consolidated Balance Sheets as of July 31, 2026, and January 31, 2026.</w:t>
      </w:r>
    </w:p>
    <w:p>
      <w:pPr>
        <w:pStyle w:val="TextBody"/>
        <w:bidi w:val="0"/>
        <w:spacing w:before="0" w:after="0"/>
        <w:jc w:val="left"/>
        <w:rPr/>
      </w:pPr>
      <w:r>
        <w:rPr/>
      </w:r>
    </w:p>
    <w:p>
      <w:pPr>
        <w:pStyle w:val="TextBody"/>
        <w:bidi w:val="0"/>
        <w:spacing w:lineRule="auto" w:line="288" w:before="0" w:after="0"/>
        <w:ind w:left="0" w:right="0" w:firstLine="225"/>
        <w:jc w:val="left"/>
        <w:rPr/>
      </w:pPr>
      <w:r>
        <w:rPr>
          <w:rFonts w:ascii="Times New Roman;serif" w:hAnsi="Times New Roman;serif"/>
          <w:b w:val="false"/>
          <w:i/>
          <w:color w:val="000000"/>
          <w:sz w:val="20"/>
        </w:rPr>
        <w:t>Foreign currency contracts designated as cash flow hedges</w:t>
      </w:r>
      <w:r>
        <w:rPr>
          <w:color w:val="00000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$2.30 billion at July 31, 2026, and $2.06 billion at January 31, 2026. Outstanding contracts are recognized as either assets or liabilities on the Company's Condensed Consolidated Balance Sheet at fair value. The majority of the net gain of $7 million remaining in “Accumulated other comprehensive loss” as of July 31, 2026, is expected to be recognized into earnings within the next 24 months.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Derivatives not designated as hedging instruments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$126 million at July 31, 2026, and $858 million at January 31, 2026. </w:t>
      </w:r>
    </w:p>
    <w:p>
      <w:pPr>
        <w:pStyle w:val="TextBody"/>
        <w:bidi w:val="0"/>
        <w:spacing w:before="0" w:after="0"/>
        <w:ind w:left="0" w:right="0" w:firstLine="45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13. Restructuring, Other Exit Costs, and Facility Reductions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January 31, 2026, Autodesk initiated a restructuring plan (“January 2026 Plan”) that represents the culmination of Autodesk’s sales and marketing optimization program. The January 2026 Plan also reallocates resources in certain other functions to accelerate Autodesk’s strategic priorities. Autodesk expects to complete the January 2026 Plan by the end of the fiscal year ending January 31, 2027.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restructuring and other exit costs liability for the six months ended July 31, 2026:</w:t>
      </w:r>
    </w:p>
    <w:p>
      <w:pPr>
        <w:pStyle w:val="TextBody"/>
        <w:bidi w:val="0"/>
        <w:spacing w:before="0" w:after="0"/>
        <w:ind w:left="0" w:right="0" w:firstLine="450"/>
        <w:jc w:val="left"/>
        <w:rPr/>
      </w:pPr>
      <w:r>
        <w:rPr/>
      </w:r>
    </w:p>
    <w:tbl>
      <w:tblPr>
        <w:tblW w:w="9451" w:type="dxa"/>
        <w:jc w:val="left"/>
        <w:tblInd w:w="0" w:type="dxa"/>
        <w:tblLayout w:type="fixed"/>
        <w:tblCellMar>
          <w:top w:w="28" w:type="dxa"/>
          <w:left w:w="28" w:type="dxa"/>
          <w:bottom w:w="28" w:type="dxa"/>
          <w:right w:w="28" w:type="dxa"/>
        </w:tblCellMar>
      </w:tblPr>
      <w:tblGrid>
        <w:gridCol w:w="869"/>
        <w:gridCol w:w="763"/>
        <w:gridCol w:w="768"/>
        <w:gridCol w:w="650"/>
        <w:gridCol w:w="1099"/>
        <w:gridCol w:w="365"/>
        <w:gridCol w:w="109"/>
        <w:gridCol w:w="109"/>
        <w:gridCol w:w="109"/>
        <w:gridCol w:w="323"/>
        <w:gridCol w:w="546"/>
        <w:gridCol w:w="180"/>
        <w:gridCol w:w="109"/>
        <w:gridCol w:w="109"/>
        <w:gridCol w:w="109"/>
        <w:gridCol w:w="214"/>
        <w:gridCol w:w="496"/>
        <w:gridCol w:w="120"/>
        <w:gridCol w:w="109"/>
        <w:gridCol w:w="109"/>
        <w:gridCol w:w="109"/>
        <w:gridCol w:w="109"/>
        <w:gridCol w:w="109"/>
        <w:gridCol w:w="533"/>
        <w:gridCol w:w="903"/>
        <w:gridCol w:w="423"/>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Balances, July 31, 2026</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terminations costs (1)</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exit costs (2)</w:t>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Recorded in the Condensed Consolidated Balance Sheets under “Accrued compensation."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Recorded in the Condensed Consolidated Balance Sheets under “Accounts payable."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Recorded in the Condensed Consolidated Statements of Operations under “Restructuring, other exit costs, and facility reductions”.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14. Commitments and Contingencies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Guarantees and Indemnifications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purported to be brought on behalf of those who purchased or otherwise acquired the Company’s securities between February 23, 2023 and April 16, 2024, and sought unspecified damages and other relief. On November 25, 2024, defendants filed a motion to dismiss the complaint. On July 18, 2025, the Court granted defendants’ motion to dismiss with leave to amend.</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8, 2025, plaintiffs filed an amended complaint, which purported to assert claims under Sections 10(b) and 20(a) of the Exchange Act, and Rule 10b-5 promulgated thereunder. Defendants’ motion to dismiss the amended complaint was filed on August 29, 2025. On January 26, 2026, the Court granted defendants’ motion to dismiss the amended complaint with prejudice. On February 12, 2026, the Court entered judgment. Plaintiffs filed a notice of appeal on March 12, 2026 and filed an opening brief on appeal on May 27, 2026. Defendants filed their answering brief on July 27, 2026. Plaintiffs may file a reply brief by September 16, 2026. At this stage, the Company cannot reasonably estimate the amount of any possible financial loss that could result from this matter.</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15. Stockholders' Equity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stockholders' equity by component, net of tax, for the six months ended July 31, 2026, are as follows: </w:t>
      </w:r>
    </w:p>
    <w:tbl>
      <w:tblPr>
        <w:tblW w:w="10205" w:type="dxa"/>
        <w:jc w:val="center"/>
        <w:tblInd w:w="0" w:type="dxa"/>
        <w:tblLayout w:type="fixed"/>
        <w:tblCellMar>
          <w:top w:w="28" w:type="dxa"/>
          <w:left w:w="28" w:type="dxa"/>
          <w:bottom w:w="28" w:type="dxa"/>
          <w:right w:w="28" w:type="dxa"/>
        </w:tblCellMar>
      </w:tblPr>
      <w:tblGrid>
        <w:gridCol w:w="933"/>
        <w:gridCol w:w="618"/>
        <w:gridCol w:w="622"/>
        <w:gridCol w:w="242"/>
        <w:gridCol w:w="237"/>
        <w:gridCol w:w="163"/>
        <w:gridCol w:w="163"/>
        <w:gridCol w:w="163"/>
        <w:gridCol w:w="163"/>
        <w:gridCol w:w="294"/>
        <w:gridCol w:w="835"/>
        <w:gridCol w:w="163"/>
        <w:gridCol w:w="109"/>
        <w:gridCol w:w="109"/>
        <w:gridCol w:w="109"/>
        <w:gridCol w:w="495"/>
        <w:gridCol w:w="1104"/>
        <w:gridCol w:w="276"/>
        <w:gridCol w:w="109"/>
        <w:gridCol w:w="109"/>
        <w:gridCol w:w="109"/>
        <w:gridCol w:w="284"/>
        <w:gridCol w:w="828"/>
        <w:gridCol w:w="158"/>
        <w:gridCol w:w="109"/>
        <w:gridCol w:w="109"/>
        <w:gridCol w:w="109"/>
        <w:gridCol w:w="319"/>
        <w:gridCol w:w="905"/>
        <w:gridCol w:w="259"/>
      </w:tblGrid>
      <w:tr>
        <w:trPr/>
        <w:tc>
          <w:tcPr>
            <w:tcW w:w="9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7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2173" w:type="dxa"/>
            <w:gridSpan w:val="3"/>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2026</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shares issued under stock plans </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April 30, 2026</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2026</w:t>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(1)During the three and six months ended July 31, 2026, Autodesk repurchased 2 million and 4 million shares at an average repurchase price of $211.89 and $224.92 per share, respectively. At July 31, 2026, $1.58 billion and $5 billion remained available for repurchase under the November 2022 and November 2024 repurchase programs approved by the Board of Directors,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stockholders' equity by component, net of tax, for the six months ended July 31, 2025, are as follows:</w:t>
      </w:r>
    </w:p>
    <w:tbl>
      <w:tblPr>
        <w:tblW w:w="10205" w:type="dxa"/>
        <w:jc w:val="center"/>
        <w:tblInd w:w="0" w:type="dxa"/>
        <w:tblLayout w:type="fixed"/>
        <w:tblCellMar>
          <w:top w:w="28" w:type="dxa"/>
          <w:left w:w="28" w:type="dxa"/>
          <w:bottom w:w="28" w:type="dxa"/>
          <w:right w:w="28" w:type="dxa"/>
        </w:tblCellMar>
      </w:tblPr>
      <w:tblGrid>
        <w:gridCol w:w="933"/>
        <w:gridCol w:w="618"/>
        <w:gridCol w:w="622"/>
        <w:gridCol w:w="242"/>
        <w:gridCol w:w="237"/>
        <w:gridCol w:w="163"/>
        <w:gridCol w:w="163"/>
        <w:gridCol w:w="163"/>
        <w:gridCol w:w="163"/>
        <w:gridCol w:w="294"/>
        <w:gridCol w:w="835"/>
        <w:gridCol w:w="163"/>
        <w:gridCol w:w="109"/>
        <w:gridCol w:w="109"/>
        <w:gridCol w:w="109"/>
        <w:gridCol w:w="495"/>
        <w:gridCol w:w="1104"/>
        <w:gridCol w:w="276"/>
        <w:gridCol w:w="109"/>
        <w:gridCol w:w="109"/>
        <w:gridCol w:w="109"/>
        <w:gridCol w:w="280"/>
        <w:gridCol w:w="816"/>
        <w:gridCol w:w="155"/>
        <w:gridCol w:w="109"/>
        <w:gridCol w:w="109"/>
        <w:gridCol w:w="109"/>
        <w:gridCol w:w="322"/>
        <w:gridCol w:w="916"/>
        <w:gridCol w:w="264"/>
      </w:tblGrid>
      <w:tr>
        <w:trPr/>
        <w:tc>
          <w:tcPr>
            <w:tcW w:w="9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173"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r>
      <w:tr>
        <w:trPr/>
        <w:tc>
          <w:tcPr>
            <w:tcW w:w="21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April 30,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2025</w:t>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(1)During the three and six months ended July 31, 2025, Autodesk repurchased 1 million and 2 million shares at an average repurchase price of $297.59 and $282.39 per share, respectively. At July 31, 2025, $3.17 billion and $5 billion remained available for repurchase under the November 2022 and November 2024 repurchase programs approved by the Board of Directors, respectively.</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16. Accumulated Other Comprehensive Loss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taxes, consisted of the following at July 31, 2026:</w:t>
      </w:r>
    </w:p>
    <w:tbl>
      <w:tblPr>
        <w:tblW w:w="10205" w:type="dxa"/>
        <w:jc w:val="center"/>
        <w:tblInd w:w="0" w:type="dxa"/>
        <w:tblLayout w:type="fixed"/>
        <w:tblCellMar>
          <w:top w:w="28" w:type="dxa"/>
          <w:left w:w="28" w:type="dxa"/>
          <w:bottom w:w="28" w:type="dxa"/>
          <w:right w:w="28" w:type="dxa"/>
        </w:tblCellMar>
      </w:tblPr>
      <w:tblGrid>
        <w:gridCol w:w="916"/>
        <w:gridCol w:w="476"/>
        <w:gridCol w:w="479"/>
        <w:gridCol w:w="452"/>
        <w:gridCol w:w="799"/>
        <w:gridCol w:w="253"/>
        <w:gridCol w:w="109"/>
        <w:gridCol w:w="109"/>
        <w:gridCol w:w="109"/>
        <w:gridCol w:w="628"/>
        <w:gridCol w:w="1059"/>
        <w:gridCol w:w="350"/>
        <w:gridCol w:w="109"/>
        <w:gridCol w:w="109"/>
        <w:gridCol w:w="109"/>
        <w:gridCol w:w="390"/>
        <w:gridCol w:w="690"/>
        <w:gridCol w:w="219"/>
        <w:gridCol w:w="109"/>
        <w:gridCol w:w="109"/>
        <w:gridCol w:w="109"/>
        <w:gridCol w:w="365"/>
        <w:gridCol w:w="812"/>
        <w:gridCol w:w="204"/>
        <w:gridCol w:w="109"/>
        <w:gridCol w:w="109"/>
        <w:gridCol w:w="109"/>
        <w:gridCol w:w="196"/>
        <w:gridCol w:w="446"/>
        <w:gridCol w:w="163"/>
      </w:tblGrid>
      <w:tr>
        <w:trPr/>
        <w:tc>
          <w:tcPr>
            <w:tcW w:w="91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2026</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gain reclassified from accumulated other comprehensive loss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 (loss)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2026</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taxes, consisted of the following at July 31, 2025:</w:t>
      </w:r>
    </w:p>
    <w:tbl>
      <w:tblPr>
        <w:tblW w:w="10205" w:type="dxa"/>
        <w:jc w:val="left"/>
        <w:tblInd w:w="0" w:type="dxa"/>
        <w:tblLayout w:type="fixed"/>
        <w:tblCellMar>
          <w:top w:w="28" w:type="dxa"/>
          <w:left w:w="28" w:type="dxa"/>
          <w:bottom w:w="28" w:type="dxa"/>
          <w:right w:w="28" w:type="dxa"/>
        </w:tblCellMar>
      </w:tblPr>
      <w:tblGrid>
        <w:gridCol w:w="915"/>
        <w:gridCol w:w="475"/>
        <w:gridCol w:w="479"/>
        <w:gridCol w:w="464"/>
        <w:gridCol w:w="784"/>
        <w:gridCol w:w="258"/>
        <w:gridCol w:w="109"/>
        <w:gridCol w:w="109"/>
        <w:gridCol w:w="109"/>
        <w:gridCol w:w="628"/>
        <w:gridCol w:w="1060"/>
        <w:gridCol w:w="350"/>
        <w:gridCol w:w="109"/>
        <w:gridCol w:w="109"/>
        <w:gridCol w:w="109"/>
        <w:gridCol w:w="390"/>
        <w:gridCol w:w="690"/>
        <w:gridCol w:w="219"/>
        <w:gridCol w:w="109"/>
        <w:gridCol w:w="109"/>
        <w:gridCol w:w="109"/>
        <w:gridCol w:w="365"/>
        <w:gridCol w:w="812"/>
        <w:gridCol w:w="204"/>
        <w:gridCol w:w="109"/>
        <w:gridCol w:w="109"/>
        <w:gridCol w:w="109"/>
        <w:gridCol w:w="196"/>
        <w:gridCol w:w="446"/>
        <w:gridCol w:w="162"/>
      </w:tblGrid>
      <w:tr>
        <w:trPr/>
        <w:tc>
          <w:tcPr>
            <w:tcW w:w="9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2025</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loss reclassified from accumulated other comprehensive loss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(loss) income</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2025</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Reclassifications related to gains and losses on available-for-sale debt securities are included in “Interest and other income (expense), net.” Refer to Note 12, “Derivative Instruments,” for the amount and location of reclassifications related to derivative instruments. Reclassifications of the defined benefit pension components of net periodic benefit cost are included in “Interest and other income (expense), net.”</w:t>
      </w:r>
    </w:p>
    <w:p>
      <w:pPr>
        <w:pStyle w:val="TextBody"/>
        <w:bidi w:val="0"/>
        <w:spacing w:lineRule="auto" w:line="288" w:before="0" w:after="0"/>
        <w:ind w:left="0" w:right="0" w:firstLine="45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17</w:t>
      </w:r>
      <w:r>
        <w:rPr>
          <w:rFonts w:ascii="Times New Roman;serif" w:hAnsi="Times New Roman;serif"/>
          <w:b w:val="false"/>
          <w:color w:val="000000"/>
          <w:sz w:val="20"/>
        </w:rPr>
        <w:t xml:space="preserve">. </w:t>
      </w:r>
      <w:r>
        <w:rPr>
          <w:rFonts w:ascii="Times New Roman;serif" w:hAnsi="Times New Roman;serif"/>
          <w:b/>
          <w:i/>
          <w:color w:val="000000"/>
          <w:sz w:val="20"/>
        </w:rPr>
        <w:t xml:space="preserve">Net Income Per Share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using the weighted average common shares outstanding for the period. Diluted net income per share is computed using the weighted average common shares outstanding for the period and potentially dilutive common shares, including unvested restricted stock units, performance share awards, and stock options using the treasury stock method. The following table sets forth the computation of the numerators and denominators used in the basic and diluted net income per share amounts:</w:t>
      </w:r>
    </w:p>
    <w:tbl>
      <w:tblPr>
        <w:tblW w:w="9752" w:type="dxa"/>
        <w:jc w:val="left"/>
        <w:tblInd w:w="0" w:type="dxa"/>
        <w:tblLayout w:type="fixed"/>
        <w:tblCellMar>
          <w:top w:w="28" w:type="dxa"/>
          <w:left w:w="28" w:type="dxa"/>
          <w:bottom w:w="28" w:type="dxa"/>
          <w:right w:w="28" w:type="dxa"/>
        </w:tblCellMar>
      </w:tblPr>
      <w:tblGrid>
        <w:gridCol w:w="1850"/>
        <w:gridCol w:w="1625"/>
        <w:gridCol w:w="1639"/>
        <w:gridCol w:w="234"/>
        <w:gridCol w:w="557"/>
        <w:gridCol w:w="130"/>
        <w:gridCol w:w="130"/>
        <w:gridCol w:w="130"/>
        <w:gridCol w:w="130"/>
        <w:gridCol w:w="234"/>
        <w:gridCol w:w="557"/>
        <w:gridCol w:w="130"/>
        <w:gridCol w:w="109"/>
        <w:gridCol w:w="109"/>
        <w:gridCol w:w="109"/>
        <w:gridCol w:w="213"/>
        <w:gridCol w:w="507"/>
        <w:gridCol w:w="118"/>
        <w:gridCol w:w="118"/>
        <w:gridCol w:w="118"/>
        <w:gridCol w:w="118"/>
        <w:gridCol w:w="213"/>
        <w:gridCol w:w="507"/>
        <w:gridCol w:w="167"/>
      </w:tblGrid>
      <w:tr>
        <w:trPr/>
        <w:tc>
          <w:tcPr>
            <w:tcW w:w="185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basic net income per share—weighted average shares</w:t>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dilutive net income per share</w:t>
            </w:r>
          </w:p>
        </w:tc>
        <w:tc>
          <w:tcPr>
            <w:tcW w:w="7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2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6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computation of diluted net income per share does not include shares that are anti-dilutive under the treasury stock method because their exercise prices are higher than the average market value of Autodesk’s stock during the periods. For the three and six months ended July 31, 2026, there were 1.7 million and 1.2 million anti-dilutive shares excluded from the computation of diluted net income per share. For the three and six months ended July 31, 2025, there were none and 90 thousand anti-dilutive shares excluded from the computation of diluted net income per share.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18. Segments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operates in one operating and reportable segment, the Company as a whole. The chief operating decision maker (“CODM”) assesses performance and decides how to allocate resources based on consolidated net income as reported on the Condensed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in Autodesk’s Annual Report on Form 10-K for the fiscal year ended January 31, 2026, filed on March 3, 2026. The measure of Autodesk’s segment assets is reported on the Condensed Consolidated Balance Sheets as total assets. Autodesk determined that the Company’s Chief Executive Officer, serves as the CODM. </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 Autodesk’s significant segment expenses include the costs and expenses presented on the Condensed Consolidated Statements of Operations as well as stock-based compensation expense as presented in Note 6, “Equity Compensation”. </w:t>
      </w:r>
    </w:p>
    <w:p>
      <w:pPr>
        <w:pStyle w:val="TextBody"/>
        <w:bidi w:val="0"/>
        <w:spacing w:before="0" w:after="0"/>
        <w:ind w:left="0" w:right="0" w:firstLine="45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Autodesk’s other segment disclosures: </w:t>
      </w:r>
    </w:p>
    <w:tbl>
      <w:tblPr>
        <w:tblW w:w="5573" w:type="dxa"/>
        <w:jc w:val="left"/>
        <w:tblInd w:w="0" w:type="dxa"/>
        <w:tblLayout w:type="fixed"/>
        <w:tblCellMar>
          <w:top w:w="28" w:type="dxa"/>
          <w:left w:w="28" w:type="dxa"/>
          <w:bottom w:w="28" w:type="dxa"/>
          <w:right w:w="28" w:type="dxa"/>
        </w:tblCellMar>
      </w:tblPr>
      <w:tblGrid>
        <w:gridCol w:w="457"/>
        <w:gridCol w:w="400"/>
        <w:gridCol w:w="403"/>
        <w:gridCol w:w="274"/>
        <w:gridCol w:w="462"/>
        <w:gridCol w:w="152"/>
        <w:gridCol w:w="152"/>
        <w:gridCol w:w="152"/>
        <w:gridCol w:w="152"/>
        <w:gridCol w:w="274"/>
        <w:gridCol w:w="462"/>
        <w:gridCol w:w="152"/>
        <w:gridCol w:w="248"/>
        <w:gridCol w:w="419"/>
        <w:gridCol w:w="138"/>
        <w:gridCol w:w="138"/>
        <w:gridCol w:w="138"/>
        <w:gridCol w:w="138"/>
        <w:gridCol w:w="248"/>
        <w:gridCol w:w="419"/>
        <w:gridCol w:w="195"/>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Refer to Autodesk’s Condensed Consolidated Statements of Cash Flows for Depreciation, amortization, and accretion expense and Amortization of costs to obtain a contract with a customer. Other significant non-cash items include stock-based compensation. See Note 6, “Equity Compensation”</w:t>
      </w:r>
      <w:r>
        <w:rPr>
          <w:rFonts w:ascii="Times New Roman;serif" w:hAnsi="Times New Roman;serif"/>
          <w:b w:val="false"/>
          <w:color w:val="000000"/>
          <w:sz w:val="18"/>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Autodesk's long-lived assets by geographic area were as follows:</w:t>
      </w:r>
    </w:p>
    <w:tbl>
      <w:tblPr>
        <w:tblW w:w="5274" w:type="dxa"/>
        <w:jc w:val="left"/>
        <w:tblInd w:w="0" w:type="dxa"/>
        <w:tblLayout w:type="fixed"/>
        <w:tblCellMar>
          <w:top w:w="28" w:type="dxa"/>
          <w:left w:w="28" w:type="dxa"/>
          <w:bottom w:w="28" w:type="dxa"/>
          <w:right w:w="28" w:type="dxa"/>
        </w:tblCellMar>
      </w:tblPr>
      <w:tblGrid>
        <w:gridCol w:w="873"/>
        <w:gridCol w:w="769"/>
        <w:gridCol w:w="772"/>
        <w:gridCol w:w="295"/>
        <w:gridCol w:w="635"/>
        <w:gridCol w:w="164"/>
        <w:gridCol w:w="109"/>
        <w:gridCol w:w="109"/>
        <w:gridCol w:w="109"/>
        <w:gridCol w:w="365"/>
        <w:gridCol w:w="785"/>
        <w:gridCol w:w="289"/>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Americas </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19. Subsequent Events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2026, Autodesk acquired MaintainX, Inc. (“MaintainX”), a leading modern maintenance and asset operations solution, for preliminary purchase consideration of approximately $3.53 billion, net of cash acquired. MaintainX's modern, mobile-first solution helps organizations manage and optimize day-to-day-operations and is expected to help customers better connect data and workflows across the lifecycle, linking digital intent with real-world performance in a continuous closed-loop system. The Company is currently in the process of determining the initial purchase accounting for this transaction. Based on the timing of the acquisition and lack of available information, the Company has determined it to be impracticable to disclose a preliminary purchase price allocation at this time. Autodesk financed the transaction through a combination of cash on hand, borrowings under a 364-day term loan facility, and borrowings under a short-term unsecured commercial paper program. For additional information on the financing associated with this transaction, refer to Note 11, “Borrowing Arrangements.”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Six Months Ended July 31, 2026,” and in </w:t>
      </w:r>
      <w:r>
        <w:rPr>
          <w:color w:val="212529"/>
        </w:rPr>
        <w:t>“</w:t>
      </w:r>
      <w:r>
        <w:rPr>
          <w:rFonts w:ascii="Times New Roman;serif" w:hAnsi="Times New Roman;serif"/>
          <w:b w:val="false"/>
          <w:i/>
          <w:color w:val="212529"/>
          <w:sz w:val="20"/>
        </w:rPr>
        <w:t>Results of Operations-Overview.” </w:t>
      </w:r>
      <w:r>
        <w:rPr>
          <w:rFonts w:ascii="Times New Roman;serif" w:hAnsi="Times New Roman;serif"/>
          <w:b w:val="false"/>
          <w:i/>
          <w:color w:val="000000"/>
          <w:sz w:val="20"/>
        </w:rPr>
        <w:t>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effects of global economic conditions, including from global trade wars or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and financing arrangements; the effects of fluctuations in exchange rates and our hedging activities on our financial results; our ability to successfully expand adoption of our products; our ability to gain market acceptance of new business and sales initiatives; the impact of restructuring activities; cybersecurity and privacy issues or incidents;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A glossary of terms used in this Quarterly Report on Form 10-Q appears at the end of this Item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is changing how the world is designed and made. Our technology spans architecture, engineering, construction, product design, manufacturing, operations, and media and entertainment, empowering innovators everywhere to solve challenges big and small. From greener buildings to smarter products to more mesmerizing blockbusters, Autodesk technology helps our customers to design and make a better world for all.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enabling convergence through our artificial intelligence (“AI”) -powered industry clouds, Fusion, Forma, and Flow, accelerating the delivery of AI and platform capabilities, creating a smooth path from our core products to industry clouds, and strengthening customer trust in every interaction.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 Autodesk has invested in the development, scaling, and monetization of agentic AI in design, engineering, manufacturing, construction, and operations industries. Our strategy is built on the foundational pillars of proprietary data, deep contextual integration, and specialized AI expertise.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Platform Capabilities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develop and operate a trusted platform designed to support critical customer workflows and digital transformation across the industries we serve. The platform provides granular, interoperable, and accessible data through shared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centralized capabilities that support the functionality, performance, usability, security, and scalability of our offerings. These shared capabilities include Autodesk AI, reflecting more than a decade of investment in AI technologies used to augment, automate, and analyze customer workflows.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built on an application-programming-interfaces (“API”)-based architecture that enables third-party developers and partners to build complementary and industry-specific applications. Autodesk Platform Services (“APS”) provides technology, infrastructure, and services that support connected workflows across design, make, and operate use cases. As part of the ongoing development of APS, we are integrating Model Context Protocol (“MCP”) servers to provide a standardized foundation to support AI-enabled integrations and workflow automation for developers and partners.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offer subscriptions for individual products and Industry Collections, EBAs, and cloud service offerings (collectively referred to as “subscription plans”) and emerging offerings such as Flex and APS. Subscription plans are designed to give our customers more flexibility with how they use our offerings and to attract a broader range of customers, such as project-based users and small businesses.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global ecosystem of distributors, resellers, Solution Providers, third-party developers, customers, educators, and learning partners supports the sale, deployment, adoption, and extension of our solutions worldwide. This ecosystem contributes to the scale, reach, and extensibility of our platform and enables customers to address a broad range of industry-specific and specialized use cases.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Evolution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subscription plans represent a hybrid of desktop software and cloud functionality, which provides a device-independent, collaborative design workflow for designers and their stakeholders. Our cloud offerings, for example,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Industry Collections provide our customers with access to a broader selection of Autodesk solutions and services, simplifying the customers’ ability to benefit from a complete set of tools for their industry.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support our strategic priority of digital transformation in Architecture, Engineering, Construction and Operations (“AECO”), we are strengthening our AECO solutions’ foundation. By bringing Autodesk Construction Cloud’s leading construction management tools into Autodesk Forma, we’re delivering a full lifecycle platform for our customers that creates a deeper connection from design to construction to operations.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acquisition of MaintainX, Inc. (“MaintainX”) expands our relationship with manufacturing, and architecture, engineering, and construction customers into asset operations and maintenance management. We expect MaintainX to further extend our operations capabilities by providing a cloud-based platform for maintenance management, asset tracking, inspections, work orders, and frontline operational workflows. Its solutions help customers improve asset reliability, reduce downtime, and optimize operational performance through the collection and analysis of real-time maintenance and asset data. By connecting operational workflows and asset performance information with our existing design, construction, and operations solutions, we believe MaintainX will help support our strategy of delivering a more comprehensive lifecycle platform for the built environment.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Marketing and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sell our products and services globally through several direct channels that allow us to transact directly with end customers. These channels include, but are not limited to, internal sales resources focused on selling our highly specialized solutions in our largest accounts, Solution Providers focused on providing certain products and services to specific customers, and business transacted through our online Autodesk-branded store. Solution Providers provide quotes to customers; however, the final transaction occurs directly between Autodesk and the customer. This approach allows the company to maintain a direct relationship while still benefiting from the expertise and advisory role of Solution Providers. We also conduct direct sales through our online branded store, enabling customers to purchase products and subscriptions digitally.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direct sales, we distribute our products and services through indirect channels, such as distributors and resellers. These distributors and resellers facilitate sales, provide customer support, and help deliver our solutions to a wide range of customers across different regions and market segments. Although we are increasingly transacting directly with customers due to the growth of our online store and sales with Solution Providers, our distributors and resellers are expected to continue supporting and transacting with a portion of our customers.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channel mix to evolve as our business scales. Growth in direct channels may gradually increase the proportion of direct customer transactions, while distributors and resellers will continue to provide distribution reach, market expertise, for example in emerging markets, and customer support. The company also implements various incentive programs and promotional initiatives to ensure that both direct and indirect channels remain aligned with overall business objectives and sales strategies.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Assumptions Behind Our Strategy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please see Part II, Item 1A, “Risk Factors.”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2026 (our “Annual Report on Form 10-K”).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six months ended July 31, 2026, as compared to those disclosed in our Annual Report on Form 10-K. We believe these policies are the most critical to aid in fully understanding and evaluating our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Overview of the Three and Six Months Ended July 31,</w:t>
      </w:r>
      <w:r>
        <w:rPr>
          <w:color w:val="000000"/>
        </w:rPr>
        <w:t xml:space="preserve"> </w:t>
      </w:r>
      <w:r>
        <w:rPr>
          <w:rFonts w:ascii="Times New Roman;serif" w:hAnsi="Times New Roman;serif"/>
          <w:b/>
          <w:color w:val="000000"/>
          <w:sz w:val="20"/>
        </w:rPr>
        <w:t xml:space="preserve">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Total net revenue increased 16% and 17% to $2.05 billion and $3.98 billion during the three and six months ended July 31, 2026, respectively, compared to the same periods in the prior fiscal year.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Recurring revenue as a percentage of net revenue was 97% and 98% for the three months ended July 31, 2026 and 2025, respectively, and 97% for both the six months ended July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Net revenue retention rate (“NR3”) approximated the top end of the range and was slightly above the range of 100% to 110%, on a constant currency basis, as of July 31, 2026, and July 31, 2025, respectively.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Deferred revenue was $4.26 billion, a decrease of 9%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Remaining performance obligations (short-term and long-term deferred revenue plus unbilled deferred revenue) (“RPO”) was $7.43 billion, a decrease of 10%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Current remaining performance obligations was $5.24 billion, a decrease of 4% compared to the fourth quarter in the prior fiscal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Revenue Analysis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increased 16% and 17% during the three and six months ended July 31, 2026, respectively, as compared to the same periods in the prior fiscal year, primarily due to an increase in subscription revenue. For further discussion of these results, see below under the heading “Results of Operations.”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upon major distributors and resellers in both the U.S. and international regions, including TD Synnex Corporation and its global affiliates (collectively, “TD Synnex”). Total revenue from TD Synnex accounted for 8% of Autodesk’s total net revenue during both the three and six months ended July 31, 2026. Total revenue from TD Synnex accounted for 16% and 18% of Autodesk’s total net revenue during the three and six months ended July 31, 2025, respectively. TD Synnex sells to resellers and end users who purchase our software subscriptions and services. We are increasingly transacting directly with customers due to the growth of our online store and sales with Solution Providers. Consequently, we believe our business is not substantially dependent on TD Synnex.</w:t>
      </w:r>
    </w:p>
    <w:p>
      <w:pPr>
        <w:pStyle w:val="TextBody"/>
        <w:bidi w:val="0"/>
        <w:spacing w:before="0" w:after="0"/>
        <w:ind w:left="0" w:right="0" w:firstLine="450"/>
        <w:jc w:val="left"/>
        <w:rPr/>
      </w:pPr>
      <w:r>
        <w:rPr/>
      </w:r>
    </w:p>
    <w:p>
      <w:pPr>
        <w:pStyle w:val="TextBody"/>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Recurring Revenue and Net Revenue Retention Rate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help better understand our financial performance, we use several key performance metrics including recurring revenue and NR3.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Recurring revenue consists of the revenue for the period from our subscription plan offerings, and certain other revenue. It excludes subscription revenue related to third-party products. Recurring revenue acquired with the acquisition of a business is captured when total subscriptions are captured in our systems and may cause variability in the comparison of this calculation.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retention rate (NR3) measures the year-over-year change in recurring revenue for the population of customers that 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is generally included in the calculation one year after the quarter of the acquisition. This may cause variability in the comparison.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our recurring revenue metric for the three and six months ended July 31, 2026 and 2025:</w:t>
      </w:r>
    </w:p>
    <w:tbl>
      <w:tblPr>
        <w:tblW w:w="10205" w:type="dxa"/>
        <w:jc w:val="left"/>
        <w:tblInd w:w="0" w:type="dxa"/>
        <w:tblLayout w:type="fixed"/>
        <w:tblCellMar>
          <w:top w:w="28" w:type="dxa"/>
          <w:left w:w="28" w:type="dxa"/>
          <w:bottom w:w="28" w:type="dxa"/>
          <w:right w:w="28" w:type="dxa"/>
        </w:tblCellMar>
      </w:tblPr>
      <w:tblGrid>
        <w:gridCol w:w="970"/>
        <w:gridCol w:w="838"/>
        <w:gridCol w:w="841"/>
        <w:gridCol w:w="498"/>
        <w:gridCol w:w="1416"/>
        <w:gridCol w:w="651"/>
        <w:gridCol w:w="109"/>
        <w:gridCol w:w="109"/>
        <w:gridCol w:w="109"/>
        <w:gridCol w:w="208"/>
        <w:gridCol w:w="446"/>
        <w:gridCol w:w="115"/>
        <w:gridCol w:w="115"/>
        <w:gridCol w:w="115"/>
        <w:gridCol w:w="115"/>
        <w:gridCol w:w="165"/>
        <w:gridCol w:w="166"/>
        <w:gridCol w:w="277"/>
        <w:gridCol w:w="109"/>
        <w:gridCol w:w="109"/>
        <w:gridCol w:w="109"/>
        <w:gridCol w:w="485"/>
        <w:gridCol w:w="1379"/>
        <w:gridCol w:w="751"/>
      </w:tblGrid>
      <w:tr>
        <w:trPr/>
        <w:tc>
          <w:tcPr>
            <w:tcW w:w="97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r>
      <w:tr>
        <w:trPr/>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millions, except percentage data) </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Recurring revenue</w:t>
            </w:r>
            <w:r>
              <w:rPr>
                <w:color w:val="000000"/>
              </w:rPr>
              <w:t xml:space="preserve"> </w:t>
            </w:r>
            <w:r>
              <w:rPr>
                <w:rFonts w:ascii="Times New Roman;serif" w:hAnsi="Times New Roman;serif"/>
                <w:b w:val="false"/>
                <w:color w:val="000000"/>
                <w:sz w:val="18"/>
              </w:rPr>
              <w:t xml:space="preserve">(1)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net revenue</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Recurring Revenue</w:t>
            </w:r>
            <w:r>
              <w:rPr>
                <w:color w:val="000000"/>
              </w:rPr>
              <w:t xml:space="preserve"> </w:t>
            </w:r>
            <w:r>
              <w:rPr>
                <w:rFonts w:ascii="Times New Roman;serif" w:hAnsi="Times New Roman;serif"/>
                <w:b w:val="false"/>
                <w:color w:val="000000"/>
                <w:sz w:val="18"/>
              </w:rPr>
              <w:t>(1)</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net revenue</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firstLine="45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(1)The acquisition of a business may cause variability in the comparison of recurring revenue in this table above and recurring revenue derived from the revenue reported in the Condensed Consolidated Statements of Operations.</w:t>
      </w:r>
    </w:p>
    <w:p>
      <w:pPr>
        <w:pStyle w:val="TextBody"/>
        <w:bidi w:val="0"/>
        <w:spacing w:before="0" w:after="0"/>
        <w:ind w:left="0" w:right="0" w:hanging="90"/>
        <w:jc w:val="left"/>
        <w:rPr/>
      </w:pPr>
      <w:r>
        <w:rPr/>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NR3 approximated the top end of the range and was slightly above the range of 100% to 110%, on a constant currency basis, as of July 31, 2026, and 2025, respectively.</w:t>
      </w:r>
    </w:p>
    <w:p>
      <w:pPr>
        <w:pStyle w:val="TextBody"/>
        <w:bidi w:val="0"/>
        <w:spacing w:before="0" w:after="60"/>
        <w:ind w:left="0" w:right="0" w:firstLine="450"/>
        <w:jc w:val="left"/>
        <w:rPr/>
      </w:pPr>
      <w:r>
        <w:rPr/>
      </w:r>
    </w:p>
    <w:p>
      <w:pPr>
        <w:pStyle w:val="TextBody"/>
        <w:bidi w:val="0"/>
        <w:spacing w:lineRule="auto" w:line="288" w:before="0" w:after="6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 significant amount of our revenue in the United States, Germany, the United Kingdom, Japan, and Canada.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impact of foreign exchange rate changes on our net revenue and total cost of revenue and total operating expenses: </w:t>
      </w:r>
    </w:p>
    <w:tbl>
      <w:tblPr>
        <w:tblW w:w="10205" w:type="dxa"/>
        <w:jc w:val="left"/>
        <w:tblInd w:w="0" w:type="dxa"/>
        <w:tblLayout w:type="fixed"/>
        <w:tblCellMar>
          <w:top w:w="28" w:type="dxa"/>
          <w:left w:w="28" w:type="dxa"/>
          <w:bottom w:w="28" w:type="dxa"/>
          <w:right w:w="28" w:type="dxa"/>
        </w:tblCellMar>
      </w:tblPr>
      <w:tblGrid>
        <w:gridCol w:w="400"/>
        <w:gridCol w:w="264"/>
        <w:gridCol w:w="265"/>
        <w:gridCol w:w="248"/>
        <w:gridCol w:w="248"/>
        <w:gridCol w:w="587"/>
        <w:gridCol w:w="111"/>
        <w:gridCol w:w="111"/>
        <w:gridCol w:w="111"/>
        <w:gridCol w:w="386"/>
        <w:gridCol w:w="386"/>
        <w:gridCol w:w="908"/>
        <w:gridCol w:w="111"/>
        <w:gridCol w:w="111"/>
        <w:gridCol w:w="111"/>
        <w:gridCol w:w="340"/>
        <w:gridCol w:w="340"/>
        <w:gridCol w:w="341"/>
        <w:gridCol w:w="109"/>
        <w:gridCol w:w="109"/>
        <w:gridCol w:w="109"/>
        <w:gridCol w:w="248"/>
        <w:gridCol w:w="248"/>
        <w:gridCol w:w="587"/>
        <w:gridCol w:w="110"/>
        <w:gridCol w:w="110"/>
        <w:gridCol w:w="110"/>
        <w:gridCol w:w="386"/>
        <w:gridCol w:w="386"/>
        <w:gridCol w:w="908"/>
        <w:gridCol w:w="110"/>
        <w:gridCol w:w="110"/>
        <w:gridCol w:w="110"/>
        <w:gridCol w:w="312"/>
        <w:gridCol w:w="312"/>
        <w:gridCol w:w="452"/>
      </w:tblGrid>
      <w:tr>
        <w:trPr/>
        <w:tc>
          <w:tcPr>
            <w:tcW w:w="4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 </w:t>
              <w:br/>
              <w:t>compared to prior fiscal year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percent change compared to</w:t>
              <w:br/>
              <w:t>prior fiscal year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Positive/Negative/Neutral impact from foreign exchange rate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 </w:t>
              <w:br/>
              <w:t>compared to prior fiscal year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percent change compared to</w:t>
              <w:br/>
              <w:t>prior fiscal year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Positive/Negative/Neutral impact from foreign exchange rate changes</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Positive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Positive</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 and total operating expenses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Negative</w:t>
            </w:r>
          </w:p>
        </w:tc>
      </w:tr>
    </w:tbl>
    <w:p>
      <w:pPr>
        <w:pStyle w:val="TextBody"/>
        <w:bidi w:val="0"/>
        <w:spacing w:lineRule="auto" w:line="288" w:before="0" w:after="0"/>
        <w:ind w:left="0" w:right="0" w:firstLine="45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(1)Please refer to the Glossary of Terms for the definitions of our constant currency growth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the value of the U.S. dollar may have a significant effect on net revenue, total cost of revenue and total operating expenses,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RPO represents deferred revenue and unbilled deferred revenue, which consists of contractually stated or committed contracts under early renewal and multi-year billing plans for which the associated deferred revenue has not yet been recorded. Unbilled deferred revenue is not included as a receivable or deferred revenue on our Condensed Consolidated Balance Sheets. See Part I, Item 1, “Financial Statements,” Note 3, “Revenue Recognition,” for more details on Autodesk's performance obligations. </w:t>
      </w:r>
    </w:p>
    <w:tbl>
      <w:tblPr>
        <w:tblW w:w="4871" w:type="dxa"/>
        <w:jc w:val="center"/>
        <w:tblInd w:w="0" w:type="dxa"/>
        <w:tblLayout w:type="fixed"/>
        <w:tblCellMar>
          <w:top w:w="28" w:type="dxa"/>
          <w:left w:w="28" w:type="dxa"/>
          <w:bottom w:w="28" w:type="dxa"/>
          <w:right w:w="28" w:type="dxa"/>
        </w:tblCellMar>
      </w:tblPr>
      <w:tblGrid>
        <w:gridCol w:w="726"/>
        <w:gridCol w:w="639"/>
        <w:gridCol w:w="645"/>
        <w:gridCol w:w="249"/>
        <w:gridCol w:w="707"/>
        <w:gridCol w:w="138"/>
        <w:gridCol w:w="109"/>
        <w:gridCol w:w="109"/>
        <w:gridCol w:w="109"/>
        <w:gridCol w:w="311"/>
        <w:gridCol w:w="883"/>
        <w:gridCol w:w="246"/>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Unbilled deferred revenue </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RPO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RPO consisted of the following:</w:t>
      </w:r>
    </w:p>
    <w:tbl>
      <w:tblPr>
        <w:tblW w:w="5708" w:type="dxa"/>
        <w:jc w:val="left"/>
        <w:tblInd w:w="0" w:type="dxa"/>
        <w:tblLayout w:type="fixed"/>
        <w:tblCellMar>
          <w:top w:w="28" w:type="dxa"/>
          <w:left w:w="28" w:type="dxa"/>
          <w:bottom w:w="28" w:type="dxa"/>
          <w:right w:w="28" w:type="dxa"/>
        </w:tblCellMar>
      </w:tblPr>
      <w:tblGrid>
        <w:gridCol w:w="521"/>
        <w:gridCol w:w="457"/>
        <w:gridCol w:w="462"/>
        <w:gridCol w:w="109"/>
        <w:gridCol w:w="109"/>
        <w:gridCol w:w="109"/>
        <w:gridCol w:w="109"/>
        <w:gridCol w:w="1096"/>
        <w:gridCol w:w="109"/>
        <w:gridCol w:w="316"/>
        <w:gridCol w:w="900"/>
        <w:gridCol w:w="178"/>
        <w:gridCol w:w="109"/>
        <w:gridCol w:w="109"/>
        <w:gridCol w:w="109"/>
        <w:gridCol w:w="196"/>
        <w:gridCol w:w="55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1233" w:type="dxa"/>
            <w:gridSpan w:val="6"/>
            <w:tcBorders/>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sales activity in our fourth fiscal quarter and this seasonality may affect the relative value of our billings, RPO, and collections in the fourth and first fiscal quarters.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Balance Sheet and Cash Flow Items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July 31, 2026, we had $4.36 billion in cash, cash equivalents, and marketable securities. Our cash flow from operations increased to $1.47 billion for the six months ended July 31, 2026, compared to $1.02 billion for the six months ended July 31, 2025. We repurchased 4 million shares of our common stock for $901 million during the six months ended July 31, 2026. Comparatively, we repurchased 2 million shares of our common stock for $709 million during the six months ended July 31, 2025. See further discussion regarding the balance sheet and cash flow activities under the heading “Liquidity and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Overview</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The extent of the impact of these risks on our business in fiscal 2027 and beyond will depend on several factors, some of which are out of our control. Further discussion of the potential impacts of these risks on our business can be found in Part II, Item 1A, “Risk Factors.”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Revenue</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Net Revenue by Income Statement Presentation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 consists of revenue from other products and services and is recognized as the products are delivered or services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5"/>
        <w:gridCol w:w="484"/>
        <w:gridCol w:w="487"/>
        <w:gridCol w:w="264"/>
        <w:gridCol w:w="750"/>
        <w:gridCol w:w="147"/>
        <w:gridCol w:w="109"/>
        <w:gridCol w:w="109"/>
        <w:gridCol w:w="109"/>
        <w:gridCol w:w="280"/>
        <w:gridCol w:w="604"/>
        <w:gridCol w:w="155"/>
        <w:gridCol w:w="155"/>
        <w:gridCol w:w="155"/>
        <w:gridCol w:w="155"/>
        <w:gridCol w:w="210"/>
        <w:gridCol w:w="157"/>
        <w:gridCol w:w="376"/>
        <w:gridCol w:w="109"/>
        <w:gridCol w:w="109"/>
        <w:gridCol w:w="109"/>
        <w:gridCol w:w="264"/>
        <w:gridCol w:w="750"/>
        <w:gridCol w:w="147"/>
        <w:gridCol w:w="109"/>
        <w:gridCol w:w="109"/>
        <w:gridCol w:w="109"/>
        <w:gridCol w:w="902"/>
        <w:gridCol w:w="902"/>
        <w:gridCol w:w="1285"/>
      </w:tblGrid>
      <w:tr>
        <w:trPr/>
        <w:tc>
          <w:tcPr>
            <w:tcW w:w="5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(1)</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subscriptions from our existing customer base.</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(1)</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subscriptions from our existing customer base.</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During the six months ended July 31, 2026, the Company changed its presentation of maintenance revenue and reclassified “Maintenance revenue” to “Subscription revenue”. Prior period amounts have been reclassified to conform to the current period presentation. The reclassification did not impact total net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Net Revenue by Product Family</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 offerings are focused in four primary product families: Architecture, Engineering, Construction and Operations (“AECO”), AutoCAD and AutoCAD LT, Manufacturing (“MFG”), and Media and Entertainment (“M&amp;E”).</w:t>
      </w:r>
    </w:p>
    <w:tbl>
      <w:tblPr>
        <w:tblW w:w="10205" w:type="dxa"/>
        <w:jc w:val="center"/>
        <w:tblInd w:w="0" w:type="dxa"/>
        <w:tblLayout w:type="fixed"/>
        <w:tblCellMar>
          <w:top w:w="28" w:type="dxa"/>
          <w:left w:w="28" w:type="dxa"/>
          <w:bottom w:w="28" w:type="dxa"/>
          <w:right w:w="28" w:type="dxa"/>
        </w:tblCellMar>
      </w:tblPr>
      <w:tblGrid>
        <w:gridCol w:w="863"/>
        <w:gridCol w:w="718"/>
        <w:gridCol w:w="411"/>
        <w:gridCol w:w="234"/>
        <w:gridCol w:w="664"/>
        <w:gridCol w:w="130"/>
        <w:gridCol w:w="109"/>
        <w:gridCol w:w="109"/>
        <w:gridCol w:w="109"/>
        <w:gridCol w:w="208"/>
        <w:gridCol w:w="446"/>
        <w:gridCol w:w="115"/>
        <w:gridCol w:w="115"/>
        <w:gridCol w:w="115"/>
        <w:gridCol w:w="115"/>
        <w:gridCol w:w="165"/>
        <w:gridCol w:w="166"/>
        <w:gridCol w:w="277"/>
        <w:gridCol w:w="109"/>
        <w:gridCol w:w="109"/>
        <w:gridCol w:w="109"/>
        <w:gridCol w:w="109"/>
        <w:gridCol w:w="234"/>
        <w:gridCol w:w="664"/>
        <w:gridCol w:w="130"/>
        <w:gridCol w:w="109"/>
        <w:gridCol w:w="109"/>
        <w:gridCol w:w="109"/>
        <w:gridCol w:w="844"/>
        <w:gridCol w:w="844"/>
        <w:gridCol w:w="846"/>
        <w:gridCol w:w="109"/>
        <w:gridCol w:w="109"/>
        <w:gridCol w:w="109"/>
        <w:gridCol w:w="109"/>
        <w:gridCol w:w="109"/>
        <w:gridCol w:w="109"/>
        <w:gridCol w:w="157"/>
      </w:tblGrid>
      <w:tr>
        <w:trPr/>
        <w:tc>
          <w:tcPr>
            <w:tcW w:w="86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360"/>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Family:</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AECO</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AEC Collections, Autodesk Forma, and Revit.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our existing customer base for both AutoCAD and AutoCAD LT.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MFG</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MFG Collections, Fusion, and EBA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EBA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360"/>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Family:</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AECO </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AEC Collections, Autodesk Forma, and Revit.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our existing customer base for both AutoCAD and AutoCAD LT.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MFG</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MFG Collections, Fusion, and EBA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M&amp;E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EBA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Revenue by Geographic Area</w:t>
      </w:r>
    </w:p>
    <w:tbl>
      <w:tblPr>
        <w:tblW w:w="10205" w:type="dxa"/>
        <w:jc w:val="left"/>
        <w:tblInd w:w="0" w:type="dxa"/>
        <w:tblLayout w:type="fixed"/>
        <w:tblCellMar>
          <w:top w:w="28" w:type="dxa"/>
          <w:left w:w="28" w:type="dxa"/>
          <w:bottom w:w="28" w:type="dxa"/>
          <w:right w:w="28" w:type="dxa"/>
        </w:tblCellMar>
      </w:tblPr>
      <w:tblGrid>
        <w:gridCol w:w="576"/>
        <w:gridCol w:w="506"/>
        <w:gridCol w:w="510"/>
        <w:gridCol w:w="380"/>
        <w:gridCol w:w="1078"/>
        <w:gridCol w:w="211"/>
        <w:gridCol w:w="109"/>
        <w:gridCol w:w="109"/>
        <w:gridCol w:w="109"/>
        <w:gridCol w:w="201"/>
        <w:gridCol w:w="432"/>
        <w:gridCol w:w="111"/>
        <w:gridCol w:w="111"/>
        <w:gridCol w:w="111"/>
        <w:gridCol w:w="111"/>
        <w:gridCol w:w="165"/>
        <w:gridCol w:w="166"/>
        <w:gridCol w:w="262"/>
        <w:gridCol w:w="109"/>
        <w:gridCol w:w="109"/>
        <w:gridCol w:w="109"/>
        <w:gridCol w:w="538"/>
        <w:gridCol w:w="538"/>
        <w:gridCol w:w="1276"/>
        <w:gridCol w:w="109"/>
        <w:gridCol w:w="109"/>
        <w:gridCol w:w="109"/>
        <w:gridCol w:w="380"/>
        <w:gridCol w:w="1078"/>
        <w:gridCol w:w="211"/>
        <w:gridCol w:w="109"/>
        <w:gridCol w:w="163"/>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6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APAC</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6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APAC</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 Constant currency data not provided at this level.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Revenue by Product Type </w:t>
      </w:r>
    </w:p>
    <w:tbl>
      <w:tblPr>
        <w:tblW w:w="10205" w:type="dxa"/>
        <w:jc w:val="left"/>
        <w:tblInd w:w="0" w:type="dxa"/>
        <w:tblLayout w:type="fixed"/>
        <w:tblCellMar>
          <w:top w:w="28" w:type="dxa"/>
          <w:left w:w="28" w:type="dxa"/>
          <w:bottom w:w="28" w:type="dxa"/>
          <w:right w:w="28" w:type="dxa"/>
        </w:tblCellMar>
      </w:tblPr>
      <w:tblGrid>
        <w:gridCol w:w="481"/>
        <w:gridCol w:w="423"/>
        <w:gridCol w:w="426"/>
        <w:gridCol w:w="305"/>
        <w:gridCol w:w="866"/>
        <w:gridCol w:w="169"/>
        <w:gridCol w:w="109"/>
        <w:gridCol w:w="109"/>
        <w:gridCol w:w="109"/>
        <w:gridCol w:w="199"/>
        <w:gridCol w:w="427"/>
        <w:gridCol w:w="110"/>
        <w:gridCol w:w="110"/>
        <w:gridCol w:w="110"/>
        <w:gridCol w:w="110"/>
        <w:gridCol w:w="165"/>
        <w:gridCol w:w="166"/>
        <w:gridCol w:w="260"/>
        <w:gridCol w:w="109"/>
        <w:gridCol w:w="109"/>
        <w:gridCol w:w="109"/>
        <w:gridCol w:w="109"/>
        <w:gridCol w:w="109"/>
        <w:gridCol w:w="109"/>
        <w:gridCol w:w="109"/>
        <w:gridCol w:w="305"/>
        <w:gridCol w:w="866"/>
        <w:gridCol w:w="169"/>
        <w:gridCol w:w="109"/>
        <w:gridCol w:w="109"/>
        <w:gridCol w:w="109"/>
        <w:gridCol w:w="911"/>
        <w:gridCol w:w="911"/>
        <w:gridCol w:w="1299"/>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AEC collections, EBA offerings, AutoCAD, AutoCAD LT, and MFG collections.</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Autodesk Forma and Fusion.</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AEC collections, EBA offerings, AutoCAD, AutoCAD LT, and MFG collections.</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Autodesk Forma and Fusion.</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Cost of Revenue and 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 includes the labor costs of providing product support to our subscription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Most of the sales incentives payments to Solution Providers are considered incremental and recoverable costs of obtaining a contract with a customer. The deferred costs are amortized over the period of benefit. The sales incentives not qualifying for capitalization are recorded as marketing and sales expenses as the costs are incurred under the incentive program requirements.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other exit costs, and facility reductions include charges related to the restructuring plan initiated during the fourth fiscal quarter ended January 31, 2026 (“January 2026 Plan”) to support our initiatives to optimize and complete our go-to-market organization and, at the same time, to reallocate resources to our strategic priorities of investments in cloud, platform and AI. In addition to the culmination of our sales and marketing optimization program, the January 2026 Plan reallocates resources in certain other functions to accelerate Autodesk’s strategic priorities.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604"/>
        <w:gridCol w:w="388"/>
        <w:gridCol w:w="390"/>
        <w:gridCol w:w="211"/>
        <w:gridCol w:w="600"/>
        <w:gridCol w:w="117"/>
        <w:gridCol w:w="109"/>
        <w:gridCol w:w="109"/>
        <w:gridCol w:w="109"/>
        <w:gridCol w:w="109"/>
        <w:gridCol w:w="376"/>
        <w:gridCol w:w="197"/>
        <w:gridCol w:w="423"/>
        <w:gridCol w:w="109"/>
        <w:gridCol w:w="150"/>
        <w:gridCol w:w="150"/>
        <w:gridCol w:w="151"/>
        <w:gridCol w:w="202"/>
        <w:gridCol w:w="204"/>
        <w:gridCol w:w="257"/>
        <w:gridCol w:w="160"/>
        <w:gridCol w:w="160"/>
        <w:gridCol w:w="162"/>
        <w:gridCol w:w="211"/>
        <w:gridCol w:w="600"/>
        <w:gridCol w:w="117"/>
        <w:gridCol w:w="109"/>
        <w:gridCol w:w="109"/>
        <w:gridCol w:w="109"/>
        <w:gridCol w:w="109"/>
        <w:gridCol w:w="109"/>
        <w:gridCol w:w="109"/>
        <w:gridCol w:w="109"/>
        <w:gridCol w:w="109"/>
        <w:gridCol w:w="109"/>
        <w:gridCol w:w="1052"/>
        <w:gridCol w:w="739"/>
        <w:gridCol w:w="1058"/>
      </w:tblGrid>
      <w:tr>
        <w:trPr/>
        <w:tc>
          <w:tcPr>
            <w:tcW w:w="60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8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Subscription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cloud hosting costs.</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cost of revenue remained flat period over period.</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 remained flat period over period.</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sales commissions to Solution Providers and an increase in advertisement and promotion costs partially offset by a decrease in employee-related costs and stock-based compensation expense.</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employee-related costs driven by higher headcount and an increase in cloud hosting costs.</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acquisition-related costs partially offset by a decrease in employee-related costs.</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remained flat period over period.</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 (1)</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 remained flat period over period.</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8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Subscription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cloud hosting costs and employee-related costs.</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cost of revenue remained flat period over period.</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 remained flat period over period.</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8"/>
        <w:gridCol w:w="387"/>
        <w:gridCol w:w="389"/>
        <w:gridCol w:w="196"/>
        <w:gridCol w:w="556"/>
        <w:gridCol w:w="109"/>
        <w:gridCol w:w="109"/>
        <w:gridCol w:w="109"/>
        <w:gridCol w:w="109"/>
        <w:gridCol w:w="109"/>
        <w:gridCol w:w="109"/>
        <w:gridCol w:w="196"/>
        <w:gridCol w:w="331"/>
        <w:gridCol w:w="109"/>
        <w:gridCol w:w="109"/>
        <w:gridCol w:w="109"/>
        <w:gridCol w:w="109"/>
        <w:gridCol w:w="166"/>
        <w:gridCol w:w="169"/>
        <w:gridCol w:w="259"/>
        <w:gridCol w:w="109"/>
        <w:gridCol w:w="109"/>
        <w:gridCol w:w="109"/>
        <w:gridCol w:w="196"/>
        <w:gridCol w:w="556"/>
        <w:gridCol w:w="109"/>
        <w:gridCol w:w="109"/>
        <w:gridCol w:w="109"/>
        <w:gridCol w:w="109"/>
        <w:gridCol w:w="109"/>
        <w:gridCol w:w="109"/>
        <w:gridCol w:w="1240"/>
        <w:gridCol w:w="1161"/>
        <w:gridCol w:w="1654"/>
      </w:tblGrid>
      <w:tr>
        <w:trPr/>
        <w:tc>
          <w:tcPr>
            <w:tcW w:w="67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sales commissions to Solution Providers and an increase in advertisement and promotion costs partially offset by a decrease in employee-related costs and the recording of the cumulative adjustment related to the Company’s Employee Stock Purchase Plan in the prior comparative period.</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employee-related costs driven by higher headcount and an increase in cloud hosting costs partially offset by a decrease in stock-based compensation due to the recording of the cumulative adjustment related to the Company’s Employee Stock Purchase Plan in the prior comparative period.</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acquisition-related costs and an increase in cloud hosting costs partially offset by a decrease in employee-related costs and the recording of the cumulative adjustment related to the Company’s Employee Stock Purchase Plan in the prior comparative period.</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remained flat period over period.</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decrease is due to the restructuring plan initiated during the first quarter of fiscal 2026 which was substantially complete as of January 31, 2026.</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(1)Not meaningful</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highlights our expectation for the absolute dollar change between the third quarter of fiscal 2027, as compared to the third quarter of fiscal 2026:</w:t>
      </w:r>
    </w:p>
    <w:tbl>
      <w:tblPr>
        <w:tblW w:w="10205" w:type="dxa"/>
        <w:jc w:val="center"/>
        <w:tblInd w:w="0" w:type="dxa"/>
        <w:tblLayout w:type="fixed"/>
        <w:tblCellMar>
          <w:top w:w="28" w:type="dxa"/>
          <w:left w:w="28" w:type="dxa"/>
          <w:bottom w:w="28" w:type="dxa"/>
          <w:right w:w="28" w:type="dxa"/>
        </w:tblCellMar>
      </w:tblPr>
      <w:tblGrid>
        <w:gridCol w:w="871"/>
        <w:gridCol w:w="520"/>
        <w:gridCol w:w="501"/>
        <w:gridCol w:w="339"/>
        <w:gridCol w:w="339"/>
        <w:gridCol w:w="340"/>
        <w:gridCol w:w="2158"/>
        <w:gridCol w:w="2126"/>
        <w:gridCol w:w="3011"/>
      </w:tblGrid>
      <w:tr>
        <w:trPr/>
        <w:tc>
          <w:tcPr>
            <w:tcW w:w="8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Absolute dollar impact</w:t>
            </w:r>
          </w:p>
        </w:tc>
        <w:tc>
          <w:tcPr>
            <w:tcW w:w="7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7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cost of revenue to increase as our revenue grows as well as due to our recent acquisition.</w:t>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marketing and sales expenses to increase with the recognition of Solution Provider commissions and our recent acquisition.</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research and development expenses to increase as we continue our investments in cloud, platform, and AI.</w:t>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general and administrative expenses to increase but at a slower rate than revenue, due to continued cost discipline.</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amortization of purchased intangibles to increase largely due to our recent acquisition.</w:t>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Flat</w:t>
            </w:r>
          </w:p>
        </w:tc>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restructuring, other exit costs, and facility reductions to remain flat. The plan initiated in the first quarter of fiscal 2026 was substantially complete as of January 31, 2026. The majority of the costs of the plan initiated in the fourth quarter of fiscal 2026 were incurred in fiscal 2026 and in the first quarter of fiscal 2027.</w:t>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72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following table sets forth the components of interest and other income (expense), net:</w:t>
      </w:r>
      <w:r>
        <w:rPr>
          <w:color w:val="000000"/>
        </w:rPr>
        <w:t> </w:t>
      </w:r>
    </w:p>
    <w:tbl>
      <w:tblPr>
        <w:tblW w:w="8137" w:type="dxa"/>
        <w:jc w:val="left"/>
        <w:tblInd w:w="0" w:type="dxa"/>
        <w:tblLayout w:type="fixed"/>
        <w:tblCellMar>
          <w:top w:w="28" w:type="dxa"/>
          <w:left w:w="28" w:type="dxa"/>
          <w:bottom w:w="28" w:type="dxa"/>
          <w:right w:w="28" w:type="dxa"/>
        </w:tblCellMar>
      </w:tblPr>
      <w:tblGrid>
        <w:gridCol w:w="1106"/>
        <w:gridCol w:w="972"/>
        <w:gridCol w:w="982"/>
        <w:gridCol w:w="276"/>
        <w:gridCol w:w="446"/>
        <w:gridCol w:w="153"/>
        <w:gridCol w:w="153"/>
        <w:gridCol w:w="153"/>
        <w:gridCol w:w="153"/>
        <w:gridCol w:w="276"/>
        <w:gridCol w:w="467"/>
        <w:gridCol w:w="153"/>
        <w:gridCol w:w="109"/>
        <w:gridCol w:w="109"/>
        <w:gridCol w:w="109"/>
        <w:gridCol w:w="109"/>
        <w:gridCol w:w="109"/>
        <w:gridCol w:w="250"/>
        <w:gridCol w:w="422"/>
        <w:gridCol w:w="139"/>
        <w:gridCol w:w="139"/>
        <w:gridCol w:w="139"/>
        <w:gridCol w:w="139"/>
        <w:gridCol w:w="250"/>
        <w:gridCol w:w="422"/>
        <w:gridCol w:w="139"/>
        <w:gridCol w:w="109"/>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investment income (loss), net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foreign currency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strategic investments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changed by $18 million and increased by $39 million during the three and six months ended July 31, 2026, respectively, as compared to the same periods in the prior fiscal year. The change in the three months ended July 31, 2026, as compared to the same period in the prior fiscal year was primarily due to an increase in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strategic investments. The increase in the six months ended July 31, 2026 as compared to the same period in the prior fiscal year was primarily due to gains on strategic investments.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and investment income fluctuates based on average cash, marketable securities, debt balances, average maturities, and interest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54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had income tax expense of $101 million, relative to pre-tax income of $593 million for the three months ended July 31, 2026, and income tax expense of $143 million, relative to pre-tax income of $456 million for the three months ended July 31, 2025. Income tax expense for the three months ended July 31, 2026, decreased compared to the corresponding periods in fiscal year 2026. In the preceding period, the company made an election in the U.S. regarding the timing of taxation of revenue, which reduced the taxable benefit arising from FDDEI and increased tax expense associated with NCTI.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had income tax expense of $209 million, relative to pre-tax income of $1.19 billion for the six months ended July 31, 2026, and income tax expense of $225 million, relative to pre-tax income of 690 million for the six months ended July 31, 2025.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six months ended July 31, 2026, decreased compared to the corresponding periods in fiscal year 2026. The decrease reflects prior year impacts from the One Big Beautiful Bill Act (“OBBBA”) and the Company’s U.S. tax election regarding the timing of taxation of revenue, which reduced the tax benefit from FDDEI and increased tax expense associated with NCTI.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A valuation allowance is recorded to reduce deferred tax assets when management cannot conclude that it is more likely than not that the deferred tax asset will be realized. The valuation allowance is determined by assessing both positive and negative evidence to determine whether it is more likely than not that deferred tax assets are realizable; such assessment is required on a jurisdiction-by-jurisdiction basis. Significant judgment is required in determining whether a valuation allowance should be recorded against deferred tax assets. In assessing the need for a valuation allowance, we consider all available evidence including past operating results and estimates of future taxable income.</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continue to retain a valuation allowance against New Zealand, California, Massachusetts, and Michigan deferred tax assets and deferred tax assets on capital losses or items that will convert to a capital loss upon reversal in Australia and the U.S., as we do not have sufficient income of the appropriate character to benefit from these deferred tax assets. We will continue to evaluate all available positive and negative evidence, including future taxable income and tax planning strategies, in assessing the need for valuation allowances.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Our future effective tax rates may be adversely affected to the extent earnings are lower than anticipated in countries where we have lower statutory tax rates.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filed a request to the Internal Revenue Service (“IRS”) in the U.S. in fiscal 2026 for non-automatic change in accounting method to no longer capitalize certain research and development expenditures in its controlled foreign corporations, in line with recent IRS guidance. The tax effects of the proposed accounting method change have not been recognized in the accompanying consolidated financial statements as of July 31, 2026 as IRS approval is required prior to recognition. The Company will record the impact of the method change in the period that IRS approval is obtained. We anticipate this method change will decrease our provision for income taxes due to reduction of tax expense associated with NCTI.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Signed into law on July 4, 2025, the OBBBA includes significant provisions,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fiscal 2027. We have reflected the tax effects of OBBBA in our provision for income taxes as of July 31, 2026. </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July 31, 2026, our principal sources of liquidity were cash, cash equivalents, and marketable securities totaling $4.36 billion, net accounts receivable of $684 million, and our revolving loan facility. As disclosed below, after that date, we used a portion of our cash to fund our acquisition of MaintainX.</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and as amended on June 15, 2026, the Company entered into a Credit Agreement (the “2025 Credit Agreement”) by and among the Company, the lenders party thereto and Citibank, N.A. (“Citibank”), as administrative agent, which provides for an unsecured revolving loan facility in the aggregate principal amount of $2 billion. The proceeds from the 2025 Credit Agreement are available for working capital and general corporate purposes. At July 31, 2026, Autodesk had no outstanding borrowings under the 2025 Credit Agreement. See Part I, Item 1, “Financial Statements,” Note 11, “Borrowing Arrangements,” in the Notes to Condensed Consolidated Financial Statements for further discussion on our covenant requirements and additional information with respect to the 2025 Credit Agreement. If we are unable to remain in compliance with the covenants under the 2025 Credit Agreement, we will not be able to draw on our revolving credit facility. Additionally, as of August 28, 2026, we have no amounts outstanding under the 2025 Credit Agreement.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entered into a Term Loan Credit Agreement (“Term Loan Credit Agreement”) which provides for an unsecured 364-day delayed draw term loan facility in the aggregate principal amount of $1 billion. On August 3, 2026, we borrowed $1 billion under the Term Loan Agreement in connection with the acquisition of MaintainX. See also Part I, Item 1, “Financial Statements,” Note 11, “Borrowing Arrangements," in the Notes to Condensed Consolidated Financial Statements for further discussion.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Autodesk established a commercial paper program under which Autodesk may issue short-term, unsecured commercial paper notes in amounts up to a maximum aggregate face amount of $2 billion outstanding at any time, with maturities up to 364 days from the date of issuance. We intend to use the net proceeds of the commercial paper notes for general corporate purposes and to fund the acquisition of businesses. For example, we partially funded the acquisition of MaintainX with borrowings under the commercial paper program. As of July 31, 2026, we had $1 billion of short-term outstanding borrowings under the commercial paper program. See also Part I, Item 1, “Financial Statements,” Note 11, “Borrowing Arrangements," in the Notes to Condensed Consolidated Financial Statements for further discussion.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have $2.50 billion aggregate principal amount of notes outstanding. See Part I, Item 1, “Financial Statements,” Note 11, “Borrowing Arrangements,” in the Notes to Condensed Consolidated Financial Statements for further discussion.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 2026, we acquired MaintainX for approximately $3.6 billion, net of cash acquired. See Part I, Item 1, “Financial Statements,” Note 19, “Subsequent Events,” in the Notes to Condensed Consolidated Financial Statements for further discussion. We financed the acquisition through borrowings under the Term Loan Credit Agreement, borrowings under our commercial paper program, and cash on hand.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$2 billion revolving credit facility.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securities balances are concentrated in a few locations around the world, with substantial amounts held outside of the United States.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from operations could also be affected by various risks and uncertainties, including, but not limited to, the risks detailed in Part II, Item 1A titled “Risk Factors.” Based on our current business plan and revenue prospects, we believe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existing cash and cash equivalents, our anticipated cash flows from operations, and our available revolving credit facility will be sufficient to meet our working capital and operating resource expenditure requirements for at least the next 12 months.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tbl>
      <w:tblPr>
        <w:tblW w:w="5769" w:type="dxa"/>
        <w:jc w:val="left"/>
        <w:tblInd w:w="0" w:type="dxa"/>
        <w:tblLayout w:type="fixed"/>
        <w:tblCellMar>
          <w:top w:w="28" w:type="dxa"/>
          <w:left w:w="28" w:type="dxa"/>
          <w:bottom w:w="28" w:type="dxa"/>
          <w:right w:w="28" w:type="dxa"/>
        </w:tblCellMar>
      </w:tblPr>
      <w:tblGrid>
        <w:gridCol w:w="1328"/>
        <w:gridCol w:w="1168"/>
        <w:gridCol w:w="1179"/>
        <w:gridCol w:w="196"/>
        <w:gridCol w:w="556"/>
        <w:gridCol w:w="109"/>
        <w:gridCol w:w="109"/>
        <w:gridCol w:w="109"/>
        <w:gridCol w:w="109"/>
        <w:gridCol w:w="196"/>
        <w:gridCol w:w="556"/>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of $1.47 billion for the six months ended July 31, 2026, primarily consisted of $983 million of our net income adjusted for $795 million non-cash items such as stock-based compensation expense, restructuring-related asset impairments, amortization of costs to obtain a contract with a customer, depreciation, amortization, and accretion expense, and deferred income tax and by changes in operating assets and liabilities. The negative change in cash provided by working capital is primarily due to changes in accounts payable and other liabilities of $408 million due to the timing of payments related to employee compensation and related costs and deferred revenue of $434 million due to the timing of our billing installments and seasonality of billings in the fourth fiscal quarter partially offset by the change in accounts receivable of $753 million due to the seasonality of our billings in the fourth fiscal quarter and timing of cash collections.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$1.02 billion for the six months ended July 31, 2025, primarily consisted of $465 million of our net income adjusted for $885 million non-cash items such as stock-based compensation expense, restructuring-related asset impairments, amortization of costs to obtain a contract with a customer, depreciation, amortization, and accretion expense, and deferred income tax. The decrease in working capital is primarily due to a negative change in prepaid expenses and other assets of $539 million, and a decrease in deferred revenue of $287 million due to the timing of our billing installments and seasonality of billings in the fourth fiscal quarter, partially offset by the change in accounts receivable of $476 million due to the seasonality of our billings in the fourth fiscal quarter and timing of cash collections from customers.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$381 million for the six months ended July 31, 2026, primarily due to sales and maturities of marketable securities partially offset by purchases of marketable securities. Net cash provided by investing activities was $8 million for the six months ended July 31, 2025, primarily due to sales and maturities of marketable securities partially offset by purchases of marketable securities.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$4 million for the six months ended July 31, 2026, primarily due to proceeds from the issuance of short-term debt partially offset by the repurchases of common stock. Net cash used in financing activities was $634 million for the six months ended July 31, 2025, primarily due to repurchases of common stock and payment of notes payable due in June 2025 partially offset by the proceeds from the issuance of notes payable due in June 2035.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Billings: </w:t>
      </w:r>
      <w:r>
        <w:rPr>
          <w:rFonts w:ascii="Times New Roman;serif" w:hAnsi="Times New Roman;serif"/>
          <w:b w:val="false"/>
          <w:color w:val="000000"/>
          <w:sz w:val="20"/>
        </w:rPr>
        <w:t xml:space="preserve">Total revenue plus the net change in deferred revenue, as presented in the consolidated statement of cash flows, less the net change in contract assets for the reporting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Cloud Service Offerings: </w:t>
      </w:r>
      <w:r>
        <w:rPr>
          <w:rFonts w:ascii="Times New Roman;serif" w:hAnsi="Times New Roman;serif"/>
          <w:b w:val="false"/>
          <w:color w:val="000000"/>
          <w:sz w:val="20"/>
        </w:rPr>
        <w:t>Represents individual term-based offerings deployed through web browser technologies or in a hybrid software and cloud configuration. Cloud service offerings that are bundled with other product offerings are not captured as a separate cloud service offering.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Constant Currency (CC) Growth Rates: </w:t>
      </w:r>
      <w:r>
        <w:rPr>
          <w:rFonts w:ascii="Times New Roman;serif" w:hAnsi="Times New Roman;serif"/>
          <w:b w:val="false"/>
          <w:color w:val="000000"/>
          <w:sz w:val="20"/>
        </w:rPr>
        <w:t xml:space="preserve">We attempt to represent the changes in the underlying business operations by eliminating fluctuations caused 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Design Business:</w:t>
      </w:r>
      <w:r>
        <w:rPr>
          <w:color w:val="000000"/>
        </w:rPr>
        <w:t xml:space="preserve"> </w:t>
      </w:r>
      <w:r>
        <w:rPr>
          <w:rFonts w:ascii="Times New Roman;serif" w:hAnsi="Times New Roman;serif"/>
          <w:b w:val="false"/>
          <w:color w:val="000000"/>
          <w:sz w:val="20"/>
        </w:rPr>
        <w:t xml:space="preserve">Represents the combination of product subscriptions and all EBAs. Main products include, but are not limited to, AutoCAD, AutoCAD LT, Industry Collections, Revit, Inventor, Maya and 3ds Max. Certain products, such as our computer aided manufacturing solutions, incorporate both Design and Make functionality and are classified as Design.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Enterprise Business Agreements (EBAs):</w:t>
      </w:r>
      <w:r>
        <w:rPr>
          <w:color w:val="000000"/>
        </w:rPr>
        <w:t xml:space="preserve"> </w:t>
      </w:r>
      <w:r>
        <w:rPr>
          <w:rFonts w:ascii="Times New Roman;serif" w:hAnsi="Times New Roman;serif"/>
          <w:b w:val="false"/>
          <w:color w:val="000000"/>
          <w:sz w:val="20"/>
        </w:rPr>
        <w:t xml:space="preserve">Represents programs providing enterprise customers with token-based access to a broad pool of Autodesk products over a defined contract term.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Flex: </w:t>
      </w:r>
      <w:r>
        <w:rPr>
          <w:rFonts w:ascii="Times New Roman;serif" w:hAnsi="Times New Roman;serif"/>
          <w:b w:val="false"/>
          <w:color w:val="000000"/>
          <w:sz w:val="20"/>
        </w:rPr>
        <w:t>A pay-as-you-go consumption option to pre-purchase tokens to access any product available with Flex for a daily 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Industry Collections: </w:t>
      </w:r>
      <w:r>
        <w:rPr>
          <w:rFonts w:ascii="Times New Roman;serif" w:hAnsi="Times New Roman;serif"/>
          <w:b w:val="false"/>
          <w:color w:val="000000"/>
          <w:sz w:val="20"/>
        </w:rPr>
        <w:t>Autodesk Industry Collections are a combination of products and services that target a specific user objective and support a set of workflows for that objective. Our Industry Collections consist of: Autodesk Architecture, Engineering, and Construction Collection, Autodesk Product Design and Manufacturing Collection, and Autodesk Media and Entertainment Collection.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Make Business:</w:t>
      </w:r>
      <w:r>
        <w:rPr>
          <w:color w:val="000000"/>
        </w:rPr>
        <w:t xml:space="preserve"> </w:t>
      </w:r>
      <w:r>
        <w:rPr>
          <w:rFonts w:ascii="Times New Roman;serif" w:hAnsi="Times New Roman;serif"/>
          <w:b w:val="false"/>
          <w:color w:val="000000"/>
          <w:sz w:val="20"/>
        </w:rPr>
        <w:t xml:space="preserve">Represents certain cloud-based product subscriptions. Main products include, but are not limited to, Autodesk Build, Forma Design Collaboration, BuildingConnected, Fusion, and Flow Production Tracking. Certain products, such as Fusion, incorporate both Design and Make functionality and are classified as Make.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Product Family: </w:t>
      </w:r>
      <w:r>
        <w:rPr>
          <w:rFonts w:ascii="Times New Roman;serif" w:hAnsi="Times New Roman;serif"/>
          <w:b w:val="false"/>
          <w:color w:val="000000"/>
          <w:sz w:val="20"/>
        </w:rPr>
        <w:t>A grouping of related products or solutions that address specific industry or market needs, customer types, or use cases, or share core 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Solution Provider:</w:t>
      </w:r>
      <w:r>
        <w:rPr>
          <w:color w:val="000000"/>
        </w:rPr>
        <w:t xml:space="preserve"> </w:t>
      </w:r>
      <w:r>
        <w:rPr>
          <w:rFonts w:ascii="Times New Roman;serif" w:hAnsi="Times New Roman;serif"/>
          <w:b w:val="false"/>
          <w:color w:val="000000"/>
          <w:sz w:val="20"/>
        </w:rPr>
        <w:t>Solution Providers are our channel partners when we transact directly with our customers. Solution Providers may act as resellers in certain markets or Autodesk products or solutions.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2026, and January 31, 2026, we had open cash flow and balance sheet hedge contracts with future settlements generally within one to 12 months. Contracts were primarily denominated in Australian dollars, British pounds, Canadian dollars, Euros, and Japanese yen. We do not enter into foreign exchange derivative instruments for trading or speculative purposes.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option and foreign exchange forward contracts outstanding as of the respective period-ends are summarized in U.S. dollar equivalents as follows (in millions):</w:t>
      </w:r>
    </w:p>
    <w:tbl>
      <w:tblPr>
        <w:tblW w:w="7022" w:type="dxa"/>
        <w:jc w:val="left"/>
        <w:tblInd w:w="0" w:type="dxa"/>
        <w:tblLayout w:type="fixed"/>
        <w:tblCellMar>
          <w:top w:w="28" w:type="dxa"/>
          <w:left w:w="28" w:type="dxa"/>
          <w:bottom w:w="28" w:type="dxa"/>
          <w:right w:w="28" w:type="dxa"/>
        </w:tblCellMar>
      </w:tblPr>
      <w:tblGrid>
        <w:gridCol w:w="543"/>
        <w:gridCol w:w="477"/>
        <w:gridCol w:w="480"/>
        <w:gridCol w:w="310"/>
        <w:gridCol w:w="882"/>
        <w:gridCol w:w="172"/>
        <w:gridCol w:w="109"/>
        <w:gridCol w:w="109"/>
        <w:gridCol w:w="109"/>
        <w:gridCol w:w="244"/>
        <w:gridCol w:w="505"/>
        <w:gridCol w:w="135"/>
        <w:gridCol w:w="109"/>
        <w:gridCol w:w="109"/>
        <w:gridCol w:w="109"/>
        <w:gridCol w:w="310"/>
        <w:gridCol w:w="882"/>
        <w:gridCol w:w="172"/>
        <w:gridCol w:w="109"/>
        <w:gridCol w:w="109"/>
        <w:gridCol w:w="109"/>
        <w:gridCol w:w="267"/>
        <w:gridCol w:w="452"/>
        <w:gridCol w:w="21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Purchased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Sold</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 Contracts: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Purchased </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foreign currency contracts to reduce the exchange rate impact on the net revenue and operating expenses of certain anticipated transactions. A hypothetical 10% appreciation of the U.S. dollar from its value at July 31, 2026, and January 31, 2026, would increase the fair value of our foreign currency contracts by $180 million and $159 million, respectively. A hypothetical 10% depreciation of the dollar from its value at July 31, 2026, and January 31, 2026, would decrease the fair value of our foreign currency contracts by $68 million and $158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movements affect both the interest income we earn on our short-term investments and the market value of certain longer-term securities. At July 31, 2026, we had $782 million of cash equivalents and marketable securities, including $57 million classified as short-term marketable securities and $202 million classified as long-term marketable securities. If interest rates were to move up or down by 50 or 100 basis points over a 12-month period, the market value change of these securities would not have a material impact on our results of operations.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Market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There were no changes in our internal control over financial reporting (as such term is defined in Rules 13a-15(f) and 15d-15(f) under the Exchange Act) during the three months ended</w:t>
      </w:r>
      <w:r>
        <w:rPr>
          <w:color w:val="EE2724"/>
        </w:rPr>
        <w:t xml:space="preserve"> </w:t>
      </w:r>
      <w:r>
        <w:rPr>
          <w:rFonts w:ascii="Times New Roman;serif" w:hAnsi="Times New Roman;serif"/>
          <w:b w:val="false"/>
          <w:color w:val="000000"/>
          <w:sz w:val="20"/>
        </w:rPr>
        <w:t>July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certain current legal proceedings, refer to “Legal Proceedings” in Note 14, “Commitments and Contingencies,” to the Condensed Consolidated Financial Statements included in this Quarterly Report on Form 10-Q, which is incorporated herein by reference. In addition to the legal proceedings referenced in Note 14, we are involved in the following additional legal proceedings.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in Note 14 to the Condensed Consolidated Financial Statements (“Note 14”). A second purported stockholder derivative complaint naming the same defendants was filed in the Northern District of California on June 25, 2024. 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in Note 14.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in Note 14. The plaintiff in the District of Delaware action filed a notice of voluntary dismissal of the action without prejudice on April 4, 2025, which the Court entered on April 7,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consider before investing in our securities. These risks are described more fully below and include, but are not limited to, risks relating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strategy to develop and introduce new products and services, exposing us to risks such as limited customer acceptance (both with new and existing customers), costs related to product defects, and large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Existing and increased competition and rapidly evolving technological changes.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economic and political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and challenges associated with strategic acquisitions and investments.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Dependency on international revenue and operations, exposing us to significant international regulatory, economic, intellectual property, collections, currency exchange rate, taxation, political, and other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predict subscription renewal rates and their impact on our future revenue and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 of our financial results, key metrics and other operating metrics.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Deriving a substantial portion of our net revenue from a small number of solutions, including our AutoCAD-based software products and collections.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failure to successfully execute and manage initiatives to realign or introduce new business and sales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strategy and expectations regarding the expected benefits, timing and costs associated with our restructuring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revenue, billings, earnings, cash flow, or subscriptions shortfalls or volatility of the market causing the market price of our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0075"/>
                <wp:effectExtent l="0" t="0" r="0" b="0"/>
                <wp:wrapNone/>
                <wp:docPr id="45" name="Frame4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Challenges relating to the proper management and governance of our use of AI in our offerings.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incidents compromising the integrity of our or our customers’ offerings, services, data, or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third parties to provide us with a number of operational and technical services as well as software.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highly complex software, which may contain undetected errors, defects, or vulnerabilities, and is subject to service disruptions, degradations, outages or other performance problems.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regulatory focus on privacy, data protection, and cybersecurity issues and expanding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Governmental export and import controls that could impair our ability to compete in international markets or subject us to liability if we violate the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Protection of our intellectual property rights and intellectual property infringement claims from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government procurement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debt service obligations.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investment portfolio consisting of a variety of investment vehicles that are subject to interest rate trends, market volatility, and other economic factors.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Our Business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including AI features.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In addition, our acquisition of MaintainX expands our relationship with manufacturing, and architecture, engineering, and construction customers into asset operations and maintenance management.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management team must continuously act quickly and with vision, given the rapidly changing customer expectations and technology advancements inherent in the software industry, the extensive and complex efforts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0075"/>
                <wp:effectExtent l="0" t="0" r="0" b="0"/>
                <wp:wrapNone/>
                <wp:docPr id="46" name="Frame4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Existing and increased competition and rapidly evolving technological changes may reduce our revenue and profits</w:t>
      </w:r>
      <w:r>
        <w:rPr>
          <w:rFonts w:ascii="Times New Roman;serif" w:hAnsi="Times New Roman;serif"/>
          <w:b w:val="false"/>
          <w:i/>
          <w:color w:val="000000"/>
          <w:sz w:val="24"/>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and new entrants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The market may also react to these disruptive technologies in unpredictable ways inconsistent with our financial condition and results of operation.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economic and political conditions may further impact our industries, business,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conflicts in the Middle East;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0075"/>
                <wp:effectExtent l="0" t="0" r="0" b="0"/>
                <wp:wrapNone/>
                <wp:docPr id="47" name="Frame4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could be adversely impacted by the costs and challenges associated with strategic acquisitions and investments.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regularly acquire or invest in businesses, software solutions, and technologies that are complementary to our business through acquisitions, strategic alliances, or equity or debt investments, including several transactions in fiscal 2025, fiscal 2026 and fiscal 2027. We also recently acquired MaintainX, Inc.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retain customers, key employees, vendors, distributors, business partners, and other entities associated with the acquired business;</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inability to integrate completed acquisitions or combinations in an efficient and timely manner;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that due diligence of the acquired business or solution does not identify significant problems;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exposure to litigation or other claims in connection with, or inheritance of claims or litigation risk as a result of, an acquisition, including claims from terminated employees, customers, or other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incompatible business cultures;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significantly higher than anticipated transaction or integration-related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that a proposed transaction is not completed;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potential that acquired businesses or businesses that we invest in may not have adequate controls, processes, and procedures to ensure compliance with laws and regulations, including with respect to data privacy, data protection, and cybersecurity, as well as anti-bribery and anti-corruption laws, export controls, sanctions and industry-specific-regulation;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additional exposure to economic, tax, currency, political, legal, and regulatory risks and liabilities, including risks associated with specific countries;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impact on relationships with existing customers, vendors, and distributors as business partners as a result of acquiring another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We may also incur significant costs, expenses and fees, including for professional services, other transaction costs, and potential termination fees, for which we will have received little or no benefit, and our stock price could decline.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net revenue represented 65% of our net revenue for both the six months ended July 31, 2026 and 2025. Our international revenue, some of which comes from emerging economies, is subject to economic and political conditions in foreign markets, including those resulting from economic and political conditions in the United States.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075"/>
                <wp:effectExtent l="0" t="0" r="0" b="0"/>
                <wp:wrapNone/>
                <wp:docPr id="48" name="Frame4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volatility;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tariffs, quotas, and other trade barriers and restrictions, geopolitical conflicts, and any political or economic responses and counter-responses thereto by various global 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fluctuating currency exchange rates, including devaluations, currency controls, and inflation, and risks related to any hedging activities we undertake;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regulatory requirements and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resulting from difficulty in obtaining export licenses for certain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purchase patterns as compared to the developed world;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locations with a higher incidence of corruption and fraudulent business practices, particularly in emerging economies;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U.S. Foreign Corrupt Practices Act, the U.K. Bribery Act, and other anti-corruption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sales and development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 collection cycles for accounts receivable;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and foreign tax law changes and the complexities of tax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laws regarding the free flow of data across international borders and management of and access to data and public networks;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future limitations upon foreign-owned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inadequate local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greater difficulty in protecting intellectual property;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piracy;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factors beyond our control, including popular uprisings, terrorism, war (including any related political or economic responses and counter-responses or otherwise by various global actors or the general effect on the global economy), natural disasters, and diseases and pandemics.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business partners also have international operations and are subject to the risks described above.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continued to impose sanctions and export restrictions as a result of the war against Ukraine launched by Russia, the geopolitical landscape with respect to China, ongoing conflicts in the Middle East, and other risks.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including a significant increase in the imposition of tariffs, as a component of U.S. foreign policy. For example, since March 2025 the United States has imposed additional tariffs on various commodities under authorities provided in Section 232 of the Trade Expansion Act of 1962, including but not limited to steel, aluminum, passenger vehicles and trucks (and components for such vehicles), and other industry-specific targets. Between February 2025 and February 2026, the United States placed additional fentanyl-related tariffs on most goods from China, Canada and Mexico (with an exception for goods qualifying for duty-free treatment under the U.S.-Mexico-Canada Agreement); and between April 2025 and February 2026 placed additional reciprocal tariffs on most imports from U.S. trading partners other than Canada, Mexico, Russia, Belarus, Cuba, and North Korea. These additional U.S. tariffs were implemented under authorities asserted in the International Emergency Economic Powers Act (“IEEPA”) and rescinded on February 24, 2026, following a Supreme Court decision invalidating the use of IEEPA to authorize these tariffs. Although the U.S. government began rolling out a system to process refund requests for certain affected entities, the availability, timing, and amount of any related refunds associated with payments of these duties remain uncertain and subject to further legal, regulatory, and administrative action. Between February 24, 2026, and July 24, 2026, the U.S. government also implemented a global “temporary import surcharge” of 10% on many of the same products affected by the prior reciprocal tariffs, under authorities provided for in Section 122 of the Trade Act of 1974. Upon expiration of the Section 122 temporary import surcharge on July 24, 2026, the U.S. government implemented tariffs of up to 10% or 12.5% on imported commodities from 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0075"/>
                <wp:effectExtent l="0" t="0" r="0" b="0"/>
                <wp:wrapNone/>
                <wp:docPr id="49" name="Frame4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trading partners, with certain items excepted, under authorities provided under Section 301 of the Trade Act of 1974, following a determination by the U.S. Trade Representative that these trading partners have insufficiently implemented or enforced forced labor laws. The United States also recently announced an intent to impose 50% tariffs on certain products of Canada effective August 19, 2026 under authorities provided in Section 338 of the Tariff Act of 1930. Additional trade-related investigations by the U.S. government are in progress and could result in the imposition of additional tariffs, including under Sections 232, 301, 122, and 338.</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United States and its trading partners with respect to trade policies, tariffs, taxes, and similar policies affecting cross-border operations. These new or increased tariffs and other changes in U.S. trade policy, including new sanctions and increased export restrictions,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additional sanctions, a change in tariff structures, increased export controls, or other trade policies, may increase the cost of, or otherwise interfere with, the conduct of our business, and could have a material adverse effect on our financial condition, operations, and business outlook.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manage the risks of international operations, our business may be adversely affected if our business partners are not able to successfully manage these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not be able to predict subscription renewal rates and their impact on our future revenue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volatility of flexible usage-based models; and reductions in customer spending levels, customer activity, or number of users due to economic downturns or financial markets uncertainty. If our customers do not renew their subscriptions or if they renew on less favorable terms, our revenues may decline.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generally recognize subscription revenue over the term of the respective contracts, which typically range from 1-year to 3-years. As a result, most of the revenue we report in each quarter is the result of subscriptions entered into during previous quarters. Consequently, a decline in new or renewed subscriptions in any one quarter may not be reflected in our revenue results for that quarter but will negatively impact our revenue in future quarters. Accordingly, the effect of significant downturns in sales and market acceptance of our services, and changes in our attrition rate, may not be fully reflected in our results of operations until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financial results, key metrics, and other operating metrics fluctuate within each quarter and from quarter to quarter, making our future revenue and financial results difficult to predict.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market, economic, business, and political conditions in Europe and APAC including from an economic downturn or recession in the United States or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produce sufficient revenue, billings, subscription, profitability, and cash flow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predict the impact of acquired businesses or to identify and realize the anticipated benefits of acquisitions, and successfully integrate such acquired businesses and technologies;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shift to named-user plans and annual billing of multi-year contracts, which impacted the timing of our billings and cash collections in fiscal year 2024, 2025 and 2026 and which is expected to continue into fiscal year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and expand new transaction models such as Flex;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potential goodwill impairment charges related to prior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manage spend;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00075"/>
                <wp:effectExtent l="0" t="0" r="0" b="0"/>
                <wp:wrapNone/>
                <wp:docPr id="50" name="Frame5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billings linearity;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subscription mix, pricing pressure, or changes in subscription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 or negative growth in one or more of the industries we serve, including AECO, manufacturing, and digital media and entertainment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new business or sales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breaches and incidents, related reputational harm, and potential financial penalties to customers and government entities;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restructuring or other accounting charges and unexpected costs or other operating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additional investments in our technologies or deployment of our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revenue recognition or other accounting guidelines employed by us and/or established by the Financial Accounting Standards Board, Securities and Exchange Commission, or other rulemaking bodies;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 and the effectiveness of our hedging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on and timing of large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adjustments arising from ongoing or future tax examinations;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governments around the world to adopt fiscal policies, meet their financial and debt obligations, and finance infrastructure projects;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expand our AutoCAD and AutoCAD LT customer base to related design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rapidly adapt to technological and customer preference changes, including those related to cloud computing, mobile devices, and new computing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the introduction of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and business condition of our reseller and distribution channels;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or actual technical or other problems with a product or combination of subscriptions;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unexpected or negative outcomes of matters and expenses relating to litigation or regulatory inquiries;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cloud functionality-related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releases and retirements of offerings;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tax laws or tax or accounting rules and regulations, such as increased use of fair value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sales compensation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effectively implement and maintain our copyright legalization programs, especially in developing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renegotiation or termination of royalty or intellectual property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interruptions or terminations in the business of our consultants or third-party developers;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and degree of expected investments in growth and efficiency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achieve continued success in technology advancements;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catastrophic events, natural disasters, or public health events, such as pandemics and epidemics;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compliance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appropriately estimate the scope of services under consulting arrangements.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derive a substantial portion of our net revenue from a small number of solutions, including our AutoCAD-based software products and collections, and if these offerings are not successful, our revenue would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0075"/>
                <wp:effectExtent l="0" t="0" r="0" b="0"/>
                <wp:wrapNone/>
                <wp:docPr id="51" name="Frame5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2026 and 2025, combined revenue from our standalone AutoCAD and AutoCAD LT family products represented 24% and 25% of our total net revenue, respectively.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From time to time we realign or introduce new business and sales initiatives; if we fail to successfully execute and manage these initiatives, our results of operations could be negatively impacted.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During the fourth quarter of fiscal 2026, we initiated another restructuring plan (the "January 2026 Plan") that marks the final phase of our sales and marketing optimization program.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and January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revenue, billings, earnings, cash flow, or subscriptions shortfalls or volatility of the market generally may cause the market price of our stock to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variations in our or our competitors’ results of operations;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socioeconomic, political, or market conditions, including from an economic downturn or recession in the United States or in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forward-looking estimates of future results, how those estimates compare to securities analyst expectations, or changes in recommendations or confusion on the part of analysts and investors about the short- and long-term impact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uncertainty about certain governments’ abilities to repay debt or effect fiscal policy;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announcements of new offerings or enhancements by us or our competitors</w:t>
      </w:r>
      <w:r>
        <w:rPr>
          <w:color w:val="000000"/>
        </w:rPr>
        <w:t xml:space="preserve"> </w:t>
      </w:r>
      <w:r>
        <w:rPr>
          <w:rFonts w:ascii="Times New Roman;serif" w:hAnsi="Times New Roman;serif"/>
          <w:b w:val="false"/>
          <w:color w:val="000000"/>
          <w:sz w:val="20"/>
        </w:rPr>
        <w:t>as well as market perception of disruptive technologies such as machine learning and other AI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00075"/>
                <wp:effectExtent l="0" t="0" r="0" b="0"/>
                <wp:wrapNone/>
                <wp:docPr id="52" name="Frame5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unusual events such as significant acquisitions, divestitures, regulatory actions, and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rules, or regulations applicable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outstanding debt service obligations;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by activist shareholders or others, and our response to such actions;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including factors unrelated to our operating performance, such as instability affecting the economy or the operating performance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 a result of our strategy of partnering with other companies for product development, our product delivery schedules could be adversely affected if we experience difficulties with our product development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incorporate AI into our offerings, and challenges with properly managing its use could result in competitive harm, reputational harm, or liability,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The costs associated with developing and maintaining our AI offerings could exceed any financial benefits, at least for some period. Additionally, our offerings based on or otherwise leveraging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transparency requirements, or other aspects of the development, or use, or deployment of AI may also increase the burden and cost of research, development, and other activities, which may increase our costs, limit our ability to leverage AI, and subject us to brand or reputational harm, competitive harm, or legal liability. For example, the European Union’s Artificial Intelligence Act (the “AI Act”), which achieved approval by the European Council on February 2, 2024, and the European Parliament on March 13, 2024, imposes obligations on providers and users of AI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Autodesk and certain of its current and former executives and directors have been named as defendants in ongoing shareholder lawsuits, which may result in additional expense and/or litigation.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00075"/>
                <wp:effectExtent l="0" t="0" r="0" b="0"/>
                <wp:wrapNone/>
                <wp:docPr id="53" name="Frame5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and certain of our officers and directors have been named in purported federal securities class action litigation arising out of our announcement of an internal investigation regarding Autodesk’s free cash flow and non-GAAP operating margin practices. For additional discussion, see Part II, Item 1. Legal Proceedings and Note 14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conflicts in the Middle East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AI and machine learning technologies have the potential to increase the impact and speed of cyber-attacks, and may be able to be used to detect, and take advantage of vulnerabilities in, systems or networks. These or other uses of AI by third parties or our employees may increase our risks of being subject to a security breach or incident or increase the impact of certain attacks, breaches, or incidents. Despite our significant efforts to create security barriers to such threats, we cannot entirely mitigate these risks, and there is no guarantee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00075"/>
                <wp:effectExtent l="0" t="0" r="0" b="0"/>
                <wp:wrapNone/>
                <wp:docPr id="54" name="Frame5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inadvertent or unauthorized use or disclosure of such information will not occur or that third parties will not gain unauthorized access to such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Our use</w:t>
      </w:r>
      <w:r>
        <w:rPr>
          <w:color w:val="000000"/>
        </w:rPr>
        <w:t xml:space="preserve"> </w:t>
      </w:r>
      <w:r>
        <w:rPr>
          <w:rFonts w:ascii="Times New Roman;serif" w:hAnsi="Times New Roman;serif"/>
          <w:b w:val="false"/>
          <w:i/>
          <w:color w:val="000000"/>
          <w:sz w:val="20"/>
        </w:rPr>
        <w:t>of third-party</w:t>
      </w:r>
      <w:r>
        <w:rPr>
          <w:color w:val="000000"/>
        </w:rPr>
        <w:t xml:space="preserve"> </w:t>
      </w:r>
      <w:r>
        <w:rPr>
          <w:rFonts w:ascii="Times New Roman;serif" w:hAnsi="Times New Roman;serif"/>
          <w:b w:val="false"/>
          <w:i/>
          <w:color w:val="000000"/>
          <w:sz w:val="20"/>
        </w:rPr>
        <w:t>open</w:t>
      </w:r>
      <w:r>
        <w:rPr>
          <w:color w:val="000000"/>
        </w:rPr>
        <w:t xml:space="preserve"> </w:t>
      </w:r>
      <w:r>
        <w:rPr>
          <w:rFonts w:ascii="Times New Roman;serif" w:hAnsi="Times New Roman;serif"/>
          <w:b w:val="false"/>
          <w:i/>
          <w:color w:val="000000"/>
          <w:sz w:val="20"/>
        </w:rPr>
        <w:t>source</w:t>
      </w:r>
      <w:r>
        <w:rPr>
          <w:color w:val="000000"/>
        </w:rPr>
        <w:t xml:space="preserve"> </w:t>
      </w:r>
      <w:r>
        <w:rPr>
          <w:rFonts w:ascii="Times New Roman;serif" w:hAnsi="Times New Roman;serif"/>
          <w:b w:val="false"/>
          <w:i/>
          <w:color w:val="000000"/>
          <w:sz w:val="20"/>
        </w:rPr>
        <w:t>software</w:t>
      </w:r>
      <w:r>
        <w:rPr>
          <w:color w:val="000000"/>
        </w:rPr>
        <w:t xml:space="preserve"> </w:t>
      </w:r>
      <w:r>
        <w:rPr>
          <w:rFonts w:ascii="Times New Roman;serif" w:hAnsi="Times New Roman;serif"/>
          <w:b w:val="false"/>
          <w:i/>
          <w:color w:val="000000"/>
          <w:sz w:val="20"/>
        </w:rPr>
        <w:t>could negatively affect</w:t>
      </w:r>
      <w:r>
        <w:rPr>
          <w:color w:val="000000"/>
        </w:rPr>
        <w:t xml:space="preserve"> </w:t>
      </w:r>
      <w:r>
        <w:rPr>
          <w:rFonts w:ascii="Times New Roman;serif" w:hAnsi="Times New Roman;serif"/>
          <w:b w:val="false"/>
          <w:i/>
          <w:color w:val="000000"/>
          <w:sz w:val="20"/>
        </w:rPr>
        <w:t>our ability</w:t>
      </w:r>
      <w:r>
        <w:rPr>
          <w:color w:val="000000"/>
        </w:rPr>
        <w:t xml:space="preserve"> </w:t>
      </w:r>
      <w:r>
        <w:rPr>
          <w:rFonts w:ascii="Times New Roman;serif" w:hAnsi="Times New Roman;serif"/>
          <w:b w:val="false"/>
          <w:i/>
          <w:color w:val="000000"/>
          <w:sz w:val="20"/>
        </w:rPr>
        <w:t>to sell subscriptions to access</w:t>
      </w:r>
      <w:r>
        <w:rPr>
          <w:color w:val="000000"/>
        </w:rPr>
        <w:t xml:space="preserve"> </w:t>
      </w:r>
      <w:r>
        <w:rPr>
          <w:rFonts w:ascii="Times New Roman;serif" w:hAnsi="Times New Roman;serif"/>
          <w:b w:val="false"/>
          <w:i/>
          <w:color w:val="000000"/>
          <w:sz w:val="20"/>
        </w:rPr>
        <w:t>our products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subject us to possible litigation and greater security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such as Amazon Web Services, to provide us with operational and technical services. These third parties may have access to our systems, provide hosting services, or otherwise process data about us 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00075"/>
                <wp:effectExtent l="0" t="0" r="0" b="0"/>
                <wp:wrapNone/>
                <wp:docPr id="55" name="Frame5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Delays in service from third-party service providers could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cybersecurity in certain jurisdictions, and our financial results could be negatively impacted.</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sell our software products both directly to end users and through a network of distributors and resellers. Our distributor, TD Synnex accounted for 8% and 18% of our total net revenue for the six months ended July 31, 2026 and 2025, respectively. Our revenue by direct sales channel may fluctuate as a percentage of total net revenue. We expect our indirect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00075"/>
                <wp:effectExtent l="0" t="0" r="0" b="0"/>
                <wp:wrapNone/>
                <wp:docPr id="56" name="Frame5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channel will continue to transact and support a portion of our customers, particularly in emerging regions.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Over time, we have modified and continue to modify aspects of our relationship with our distributors and resellers, such as their incentive programs, pricing to them, and our distribution model to motivate and reward them for aligning their businesses with our strategy and business objectives. Further, our distributors and resellers may lose confidence in our business, move to competitive products, or not have the skills or ability to support customers.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We rely on software from third parties, and a failure to properly manage our use of third-party software could result in increased costs or loss of revenue.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could be adversely affected if we are unable to attract and retain key personnel.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rely on third-party technologies and if we are unable to use or integrate these technologies, our solutions and service development may be delayed and our financial results negatively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Disruptions in licensing relationships and with third-party developers could adversely impact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00075"/>
                <wp:effectExtent l="0" t="0" r="0" b="0"/>
                <wp:wrapNone/>
                <wp:docPr id="57" name="Frame5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Increasing regulatory focus on privacy, data protection, and cybersecurity issues, as well as new and expanding laws and regulations, and customer requirements, addressing AI, data localization and sovereignty, and the collection and processing of data and information, may impact our business and expose us to increased liability.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numerous federal, state, and global laws and regulations relating to privacy, data protection, cybersecurity, and the collection, use, security, and other processing of personal data, personal information, and other data and information, apply to our data and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these matters proposed and enacted in various jurisdictions. Globally, laws such as the General Data Protection Regulation (“EU”) 2016/679 (“GDPR”) in the European Union and the Personal Information Protection Law (“PIPL”) in China have been enacted, and numerous other countries have proposed or have enacted laws concerning these matters, and we expect new laws, regulations, and industry standards concerning these matters to be proposed and enacted in various jurisdictions. In addition, new and emerging laws and regulations in the United States governing privacy, data protection, and cybersecurity, such as the California Consumer Privacy Act (“CCPA”), the California Privacy Rights Act (“CPRA”), other laws and regulations in other states, and numerous laws and regulations at the U.S. federal level, have been enacted or otherwise promulgated.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Many laws and regulations relating to privacy and data protection impose restrictions on cross-border transfers of personal data. Available data transfer mechanisms impose obligations on us and other companies that engage in cross-border personal data transfers and are complex, uncertain, and subject to active litigation and enforcement actions in a number of jurisdictions around the world.</w:t>
      </w:r>
      <w:r>
        <w:rPr>
          <w:color w:val="000000"/>
        </w:rPr>
        <w:t xml:space="preserve"> </w:t>
      </w:r>
      <w:r>
        <w:rPr>
          <w:rFonts w:ascii="Times New Roman;serif" w:hAnsi="Times New Roman;serif"/>
          <w:b w:val="false"/>
          <w:color w:val="000000"/>
          <w:sz w:val="20"/>
        </w:rPr>
        <w:t xml:space="preserve">Data transfer mechanisms may be challenged, revoked, or otherwise modified. Numerous jurisdictions also have imposed data localization requirements, and we have faced, and expect to continue to face, customer requirements to maintain data in particular jurisdictions. We may, in addition to other impacts in connection with personal data transfer mechanisms or data localization requirements, be required to expend significant time and resources to update contractual arrangements and to comply with new and evolving obligations, experience additional costs associated with increased compliance burdens, and find it necessary or appropriate to stop using certain service providers, engage in new contract negotiations, localize certain personal data, or make other operational changes, all of which may impact our business, financial condition, and results of operations. Further, we face exposure to regulatory complaints, actions, and other proceedings, and the potential for substantial fines, other liabilities, and injunctions or other imposed requirements, in connection with transfers of personal data and data localization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00075"/>
                <wp:effectExtent l="0" t="0" r="0" b="0"/>
                <wp:wrapNone/>
                <wp:docPr id="58" name="Frame5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In addition, the CPRA and many other recently enacted state laws addressing privacy and cybersecurity provide for additional obligations and grant additional rights to consumers such as correction of personal information and additional opt-out rights.</w:t>
      </w:r>
      <w:r>
        <w:rPr>
          <w:color w:val="000000"/>
        </w:rPr>
        <w:t xml:space="preserve"> </w:t>
      </w:r>
      <w:r>
        <w:rPr>
          <w:rFonts w:ascii="Times New Roman;serif" w:hAnsi="Times New Roman;serif"/>
          <w:b w:val="false"/>
          <w:color w:val="000000"/>
          <w:sz w:val="20"/>
        </w:rPr>
        <w:t>These laws have required us to modify our data processing practices and policies and may cause us to</w:t>
      </w:r>
      <w:r>
        <w:rPr>
          <w:color w:val="000000"/>
        </w:rPr>
        <w:t xml:space="preserve"> </w:t>
      </w:r>
      <w:r>
        <w:rPr>
          <w:rFonts w:ascii="Times New Roman;serif" w:hAnsi="Times New Roman;serif"/>
          <w:b w:val="false"/>
          <w:color w:val="000000"/>
          <w:sz w:val="20"/>
        </w:rPr>
        <w:t xml:space="preserve">make additional modifications, and to incur substantial costs and expenses, in our efforts to comply. Additionally, privacy advocacy groups and technology and other industries are considering various new, additional, or different self-regulatory standards that may place, or be asserted to place, additional burdens on us.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Evolving legislation and the interplay of federal and state laws may be subject to varying interpretations by courts and government agencies, creating complex compliance issues. These, as well as conflicting obligations imposed by laws and regulations in various jurisdictions around the world, have caused and may cause variation in requirements, increase restrictions and potential legal risk and impact strategies and the availability of, and our ability to process, previously useful data, potentially exposing us to additional expense, adverse publicity, and liability.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Governments, regulators, plaintiffs’ attorneys, and privacy advocates have increased their focus on how companies collect, use, store, share, transmit, and otherwise process personal data, personal information, and certain other data and information. Any perception of our practices, products, offerings, or services as violating of individual privacy or data protection rights, or failing to comply with obligations under laws or regulations relating to privacy, data protection, or cybersecurity,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cybersecurity, and the collection, use, security, and other processing of data and information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products, offerings, and services, any of which could require significant additional expense and adversely affect our business and results of operations, including impacting our ability to innovate, delaying our development roadmap, negatively impacting our efforts to understand our customers, limiting the effectiveness of our marketing activities, adversely affecting our relationships with customers and our ability to compete, harming our margins, and subjecting us to additional liabilities.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subject to governmental export and import controls that could impair our ability to compete in international markets or subject us to liability if we violate the controls.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Our offerings are subject to export controls and economic sanctions laws and regulations that prohibit the delivery of certain solutions and services or the export of these solutions and services to locations, governments, and persons targeted by applicable sanctions</w:t>
      </w:r>
      <w:r>
        <w:rPr>
          <w:color w:val="000000"/>
        </w:rPr>
        <w:t xml:space="preserve"> </w:t>
      </w:r>
      <w:r>
        <w:rPr>
          <w:rFonts w:ascii="Times New Roman;serif" w:hAnsi="Times New Roman;serif"/>
          <w:b w:val="false"/>
          <w:color w:val="000000"/>
          <w:sz w:val="20"/>
        </w:rPr>
        <w:t xml:space="preserve">without the required export authorizations. While we have processes to prevent our offerings from being exported in violation of these laws, including obtaining authorizations as appropriate and screening against U.S. government and applicable international lists of restricted and prohibited persons, we cannot guarantee that these processes will prevent all violations of export controls and sanctions laws and regulations.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or loss of sales opportunities. Violations of applicable sanctions or export control laws or regulations can result in fines or penalties.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risks regarding sanctions and trade protectionism, please see the risk factor entitled “We are dependent on international revenue and operations . . .” earlier in this section.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are not able to adequately protect our proprietary rights,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patent, copyright, and trademark laws, trade secret protections, confidentiality procedures, and contractual provisions to protect our proprietary rights. However, the steps we take to protect our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00075"/>
                <wp:effectExtent l="0" t="0" r="0" b="0"/>
                <wp:wrapNone/>
                <wp:docPr id="59" name="Frame5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face intellectual property infringement claims that could be costly to defend and result in the loss of significant rights.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Contracting with government entities exposes us to additional risks inherent in the government procurement process.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00075"/>
                <wp:effectExtent l="0" t="0" r="0" b="0"/>
                <wp:wrapNone/>
                <wp:docPr id="60" name="Frame6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Financial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exposed to fluctuations in currency exchange rates that could negatively impact our financial results and cash flows.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debt service obligations may adversely affect our financial condition and cash flows from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July 31, 2026, we had outstanding indebtedness in an aggregate principal amount of $2.5 billion under notes due at various times from June 2027 to June 2035 and $1 billion of short-term outstanding borrowings under the commercial paper program, and on August 3, 2026, we borrowed $1 billion under the Term Loan Agreement in connection with the acquisition of MaintainX, all as described in Part I, Item 1 “Financial Statements”, Note 11, “Borrowing Arrangements.” In May 2025, and as amended on June 15, 2026, we entered into the 2025 Credit Agreement, which provides for an unsecured revolving loan facility in an aggregate principal amount of up to $2 billion, as described in Part I, Item 1, “Financial Statements,” Note 11, “Borrowing Arrangements”. Maintenance of our indebtedness, contractual restrictions, and additional issuances of indebtedness could:</w:t>
      </w:r>
    </w:p>
    <w:p>
      <w:pPr>
        <w:pStyle w:val="TextBody"/>
        <w:bidi w:val="0"/>
        <w:spacing w:before="0" w:after="0"/>
        <w:ind w:left="0" w:right="0" w:firstLine="45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cause us to dedicate a substantial portion of our cash flows from operations towards debt service obligations and principal repayments;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adverse changes in general economic, industry, and competitive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impair our ability to obtain future financing for working capital, capital expenditures, acquisitions, general corporate, or other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comply with the covenants set forth in the 2025 Credit Agreement and the Term Loan Agreement. If we breach any of the covenants and do not obtain a waiver from the lenders, then, subject to applicable cure periods, we would not be able to incur additional indebtedness under the 2025 Credit Agreement described in Part I, Item 1, “Financial Statements,” Note 11, “Borrowing Arrangements,” and the lenders under the 2025 Credit Agreement or the lenders under the Term Loan Agreement, as applicable, could declare any outstanding indebtedness under the 2025 Credit Agreement or the Term Loan Agreement, respectively, immediately due and payable, which declaration could also lead to a default under agreements governing our outstanding senior notes and any future indebtedness and could significantly impair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00075"/>
                <wp:effectExtent l="0" t="0" r="0" b="0"/>
                <wp:wrapNone/>
                <wp:docPr id="61" name="Frame6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issue commercial paper.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and the Term Loan Agreement could increase. Downgrades in our credit ratings could also restrict our ability to obtain additional financing in the future and could affect the terms of any such financing. In addition, a downgrade of our short-term credit ratings could impact our ability to access the commercial paper markets and increase our borrowing costs on commercial paper or alternative funding sources, including our revolving credit facility or other credit facilities. If our access to commercial paper markets were to become limited, we would need to obtain short-term funding under our revolving credit facility, which would expose us to variable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 loss on any of our investments may cause us to record an other-than-temporary impairment charge. The effect of this charge could impact our overall net income and earnings per share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In any of these scenarios, our liquidity may be negatively impacted, which in turn may prohibit us from making investments in our business, taking advantage of opportunities, and potentially meeting our financial obligations as they come due.</w:t>
      </w:r>
    </w:p>
    <w:p>
      <w:pPr>
        <w:pStyle w:val="TextBody"/>
        <w:bidi w:val="0"/>
        <w:spacing w:before="0" w:after="0"/>
        <w:ind w:left="0" w:right="0" w:firstLine="45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tax rules and regulations, and uncertainties in interpretation and application, could materially affect our tax obligations and effective tax rate.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 ultimate effect on our results of operations, including for our prior tax years. For example, California has recently amended its sales tax law to subject certain retail sales of digital pre-written software, cloud-based applications, and software services to sales tax in California, effective January 1, 2027, which may increase the cost to our California-based customers of purchasing our products. In addition, increases in corporate tax rates, could increase our effective tax rate, cash taxes and have an adverse effect on our results from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00075"/>
                <wp:effectExtent l="0" t="0" r="0" b="0"/>
                <wp:wrapNone/>
                <wp:docPr id="62" name="Frame6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Co-operation and Development (the “OECD”) that seek to allocate greater taxing rights to countries where customers are located and establish a global minimum tax rate of 15% (“Pillar Two”). On January 5, 2026, the OECD announced a “side-by-side” elective safe harbor that exempts U.S.-parented multinational entities from certain provisions of Pillar Two for fiscal years beginning on or after January 1, 2026. If U.S. or foreign tax authorities change applicable tax laws or successfully challenge how or where our profits are currently recognized, our overall taxes could increase, and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were required to record an impairment charge related to the value of our long-lived assets or an additional valuation allowance against our deferred tax assets, our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w:t>
      </w:r>
      <w:r>
        <w:rPr>
          <w:color w:val="000000"/>
        </w:rPr>
        <w:t xml:space="preserve"> </w:t>
      </w:r>
      <w:r>
        <w:rPr>
          <w:rFonts w:ascii="Times New Roman;serif" w:hAnsi="Times New Roman;serif"/>
          <w:b w:val="false"/>
          <w:color w:val="000000"/>
          <w:sz w:val="20"/>
        </w:rPr>
        <w:t>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may be significantly disrupted upon the occurrence of a catastrophic event.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conflicts in the Middle East,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00075"/>
                <wp:effectExtent l="0" t="0" r="0" b="0"/>
                <wp:wrapNone/>
                <wp:docPr id="63" name="Frame6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time, diversion of operational resources, or otherwise harm our business. In any such event, our financial results, results of operations, cash flows, or trading prices for our securities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existing financial accounting standards or practices, or taxation rules or practices may adversely affect our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preparing our financial statements we make certain assumptions, judgments, and estimates that affect amounts reported in our consolidated financial statements which, if not accurate, may significantly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make assumptions, judgments, and estimates for a number of items, including revenue recognition for product subscriptions and enterprise business agreements, the determination of the fair value of acquired assets and liabilities, and the realizability of deferred tax assets. We also make assumptions, judgments, and estimates in determining the accruals for uncertain tax positions, variable compensation, partner incentive programs, loss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during the three months ended July 31, 2026.</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00075"/>
                <wp:effectExtent l="0" t="0" r="0" b="0"/>
                <wp:wrapNone/>
                <wp:docPr id="64" name="Frame6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repurchase of common stock in open-market transactions during the three months ended July 31, 2026:</w:t>
      </w:r>
    </w:p>
    <w:tbl>
      <w:tblPr>
        <w:tblW w:w="10205" w:type="dxa"/>
        <w:jc w:val="left"/>
        <w:tblInd w:w="0" w:type="dxa"/>
        <w:tblLayout w:type="fixed"/>
        <w:tblCellMar>
          <w:top w:w="28" w:type="dxa"/>
          <w:left w:w="28" w:type="dxa"/>
          <w:bottom w:w="28" w:type="dxa"/>
          <w:right w:w="28" w:type="dxa"/>
        </w:tblCellMar>
      </w:tblPr>
      <w:tblGrid>
        <w:gridCol w:w="383"/>
        <w:gridCol w:w="337"/>
        <w:gridCol w:w="338"/>
        <w:gridCol w:w="440"/>
        <w:gridCol w:w="440"/>
        <w:gridCol w:w="441"/>
        <w:gridCol w:w="109"/>
        <w:gridCol w:w="109"/>
        <w:gridCol w:w="109"/>
        <w:gridCol w:w="264"/>
        <w:gridCol w:w="873"/>
        <w:gridCol w:w="147"/>
        <w:gridCol w:w="109"/>
        <w:gridCol w:w="109"/>
        <w:gridCol w:w="109"/>
        <w:gridCol w:w="883"/>
        <w:gridCol w:w="883"/>
        <w:gridCol w:w="885"/>
        <w:gridCol w:w="109"/>
        <w:gridCol w:w="109"/>
        <w:gridCol w:w="109"/>
        <w:gridCol w:w="628"/>
        <w:gridCol w:w="1782"/>
        <w:gridCol w:w="500"/>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i/>
                <w:color w:val="000000"/>
                <w:sz w:val="16"/>
              </w:rPr>
              <w:t xml:space="preserve">(in millions) </w:t>
            </w:r>
            <w:r>
              <w:rPr>
                <w:rFonts w:ascii="Times New Roman;serif" w:hAnsi="Times New Roman;serif"/>
                <w:b/>
                <w:color w:val="000000"/>
                <w:sz w:val="16"/>
              </w:rPr>
              <w:t>(2)</w:t>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 May 31, 2026</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 June 30, 2026</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8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 July 31, 2026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(1)This represents shares purchased in open-market transactions under the stock repurchase plans approved by the Board of Directors.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(2)These amounts correspond to the plans publicly announced and approved by the Board of Directors in November 2022 and November 2024 that each authorized the repurchase of $5 billion. At July 31, 2026, $1.58 billion and $5 billion remained available for repurchase under the November 2022 and November 2024 repurchase programs, respectively. The plans do not have a fixed expiration date. See Part I, Item 1, “Financial Statements,” Note 15, “Stockholders' Equity,” in the Notes to the Condensed Consolidated Financial Statements for further discussion.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our last fiscal quarter ended July 31, 2026, the following officer(s), as defined in Rule 16a-1(f), adopted a “Rule 10b5-1 trading arrangement” as defined in Regulation S-K Item 408, as follows: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May 29, 2026, Andrew Anagnost, our President and Chief Executive Officer </w:t>
      </w:r>
      <w:r>
        <w:rPr>
          <w:rFonts w:ascii="Times New Roman;serif" w:hAnsi="Times New Roman;serif"/>
          <w:b w:val="false"/>
          <w:color w:val="000000"/>
          <w:sz w:val="20"/>
          <w:shd w:fill="FFFFFF" w:val="clear"/>
        </w:rPr>
        <w:t xml:space="preserve">terminated his pre-existing Rule 10b5-1 trading arrangement adopted on August 29, 2025 providing for the sale from time to time of an aggregate of up to </w:t>
      </w:r>
      <w:r>
        <w:rPr>
          <w:rFonts w:ascii="Times New Roman;serif" w:hAnsi="Times New Roman;serif"/>
          <w:b w:val="false"/>
          <w:color w:val="000000"/>
          <w:sz w:val="20"/>
        </w:rPr>
        <w:t>93,097 shares of our common stock.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23, 2026, Mr. Anagnost, adopted a new Rule 10b5-1 trading arrangement providing for the sale from time to time of an aggregate of up to 66,394 shares of our common stock. The trading arrangement is intended to satisfy the affirmative defense in Rule 10b5-1(c). The duration of the trading arrangement is until July 1, 2027, or earlier if all transactions under the trading arrangement are completed.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officers, as defined in Rule 16a-1(f), or directors adopted or terminated a “Rule 10b5-1 trading arrangement” or a “non-Rule 10b5-1 trading arrangement,” each as defined in Regulation S-K Item 408.</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00075"/>
                <wp:effectExtent l="0" t="0" r="0" b="0"/>
                <wp:wrapNone/>
                <wp:docPr id="65" name="Frame6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Exhibits listed below are filed or incorporated by reference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319"/>
        <w:gridCol w:w="245"/>
        <w:gridCol w:w="247"/>
        <w:gridCol w:w="109"/>
        <w:gridCol w:w="109"/>
        <w:gridCol w:w="109"/>
        <w:gridCol w:w="1792"/>
        <w:gridCol w:w="1723"/>
        <w:gridCol w:w="1741"/>
        <w:gridCol w:w="109"/>
        <w:gridCol w:w="109"/>
        <w:gridCol w:w="109"/>
        <w:gridCol w:w="305"/>
        <w:gridCol w:w="305"/>
        <w:gridCol w:w="306"/>
        <w:gridCol w:w="170"/>
        <w:gridCol w:w="170"/>
        <w:gridCol w:w="171"/>
        <w:gridCol w:w="298"/>
        <w:gridCol w:w="209"/>
        <w:gridCol w:w="210"/>
        <w:gridCol w:w="210"/>
        <w:gridCol w:w="210"/>
        <w:gridCol w:w="211"/>
        <w:gridCol w:w="205"/>
        <w:gridCol w:w="205"/>
        <w:gridCol w:w="299"/>
      </w:tblGrid>
      <w:tr>
        <w:trPr/>
        <w:tc>
          <w:tcPr>
            <w:tcW w:w="3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Incorporation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SEC File No.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Agreement and Plan of Merger, dated as of May 28, 2026, by and among Autodesk, Inc., Matterhorn Acquisition Corp., MaintainX Inc. and Shareholder Representative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05/28/2026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Amendment to the Amended and Restated Certificate of Incorporation of Autodesk,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06/18/2026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Amendment No. 1 to credit agreement, dated June 15, 2026, by and among Autodesk, Inc., the lenders party thereto, and Citibank,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06/15/2026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Credit agreement, dated June 15, 2026, by and among Autodesk, Inc., the lenders party thereto, and Citibank,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06/15/2026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311.htm">
              <w:r>
                <w:rPr>
                  <w:rStyle w:val="InternetLink"/>
                  <w:rFonts w:ascii="Times New Roman;serif" w:hAnsi="Times New Roman;serif"/>
                  <w:b w:val="false"/>
                  <w:color w:val="0000FF"/>
                  <w:sz w:val="18"/>
                  <w:u w:val="single"/>
                </w:rPr>
                <w:t>Certification of Chief Executive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312.htm">
              <w:r>
                <w:rPr>
                  <w:rStyle w:val="InternetLink"/>
                  <w:rFonts w:ascii="Times New Roman;serif" w:hAnsi="Times New Roman;serif"/>
                  <w:b w:val="false"/>
                  <w:color w:val="0000FF"/>
                  <w:sz w:val="18"/>
                  <w:u w:val="single"/>
                </w:rPr>
                <w:t>Certification of Chief Financial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321.htm">
              <w:r>
                <w:rPr>
                  <w:rStyle w:val="InternetLink"/>
                  <w:rFonts w:ascii="Times New Roman;serif" w:hAnsi="Times New Roman;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interactive data is embedded within the Inline XBRL document or included within the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2887"/>
        <w:gridCol w:w="2887"/>
        <w:gridCol w:w="408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exhibits and schedules have been omitted pursuant to Item 601(a)(5) of Regulation S-K. The registrant hereby undertakes to furnish supplemental copies of any of the omitted exhibits and schedules upon request by the U.S.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 </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financial information contained in these XBRL documents is 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00075"/>
                <wp:effectExtent l="0" t="0" r="0" b="0"/>
                <wp:wrapNone/>
                <wp:docPr id="66" name="Frame6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28, 2026 </w:t>
      </w:r>
    </w:p>
    <w:p>
      <w:pPr>
        <w:pStyle w:val="TextBody"/>
        <w:bidi w:val="0"/>
        <w:spacing w:lineRule="auto" w:line="288" w:before="0" w:after="0"/>
        <w:jc w:val="left"/>
        <w:rPr>
          <w:color w:val="000000"/>
        </w:rPr>
      </w:pPr>
      <w:r>
        <w:rPr>
          <w:color w:val="000000"/>
        </w:rPr>
        <w:t> </w:t>
      </w:r>
    </w:p>
    <w:tbl>
      <w:tblPr>
        <w:tblW w:w="4875" w:type="dxa"/>
        <w:jc w:val="right"/>
        <w:tblInd w:w="0" w:type="dxa"/>
        <w:tblLayout w:type="fixed"/>
        <w:tblCellMar>
          <w:top w:w="28" w:type="dxa"/>
          <w:left w:w="28" w:type="dxa"/>
          <w:bottom w:w="28" w:type="dxa"/>
          <w:right w:w="28" w:type="dxa"/>
        </w:tblCellMar>
      </w:tblPr>
      <w:tblGrid>
        <w:gridCol w:w="1560"/>
        <w:gridCol w:w="1371"/>
        <w:gridCol w:w="1944"/>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AUTODESK, INC.</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br/>
              <w:t>(Principal Financial Officer and Principal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00075"/>
                <wp:effectExtent l="0" t="0" r="0" b="0"/>
                <wp:wrapNone/>
                <wp:docPr id="67" name="Frame6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Andrew Anagnost, certify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28, 2026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Janesh Moorjani, certify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28, 2026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b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100" w:after="100"/>
        <w:ind w:left="0" w:right="0" w:firstLine="36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I, Andrew Anagnost, certify, pursuant to 18 U.S.C. Section 1350, as adopted pursuant to Section 906 of the Sarbanes-Oxley Act of 2002, that the Quarterly Report of Autodesk, Inc. on Form 10-Q for the quarterly period ended July 31, 2026,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28, 2026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Executive Officer)</w:t>
            </w:r>
          </w:p>
        </w:tc>
      </w:tr>
    </w:tbl>
    <w:p>
      <w:pPr>
        <w:pStyle w:val="TextBody"/>
        <w:bidi w:val="0"/>
        <w:spacing w:before="0" w:after="0"/>
        <w:jc w:val="righ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I, Janesh Moorjani, certify, pursuant to 18 U.S.C. Section 1350, as adopted pursuant to Section 906 of the Sarbanes-Oxley Act of 2002, that the Quarterly Report of Autodesk, Inc. on Form 10-Q for the quarterly period ended July 31, 2026,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28, 2026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9397/000121390026062125/ea029248301ex2-1.htm" TargetMode="External"/><Relationship Id="rId3" Type="http://schemas.openxmlformats.org/officeDocument/2006/relationships/hyperlink" Target="https://www.sec.gov/Archives/edgar/data/769397/000076939726000050/adsk-certificateofamendmen.htm" TargetMode="External"/><Relationship Id="rId4" Type="http://schemas.openxmlformats.org/officeDocument/2006/relationships/hyperlink" Target="https://www.sec.gov/Archives/edgar/data/769397/000121390026068533/ea029470901ex10-1.htm" TargetMode="External"/><Relationship Id="rId5" Type="http://schemas.openxmlformats.org/officeDocument/2006/relationships/hyperlink" Target="https://www.sec.gov/Archives/edgar/data/769397/000121390026068533/ea029470901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38429</Words>
  <Characters>216634</Characters>
  <CharactersWithSpaces>253465</CharactersWithSpaces>
  <Paragraphs>3417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