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October 31,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0-14338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AUTODESK,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727" w:type="dxa"/>
        <w:jc w:val="left"/>
        <w:tblInd w:w="0" w:type="dxa"/>
        <w:tblLayout w:type="fixed"/>
        <w:tblCellMar>
          <w:top w:w="28" w:type="dxa"/>
          <w:left w:w="28" w:type="dxa"/>
          <w:bottom w:w="28" w:type="dxa"/>
          <w:right w:w="28" w:type="dxa"/>
        </w:tblCellMar>
      </w:tblPr>
      <w:tblGrid>
        <w:gridCol w:w="1058"/>
        <w:gridCol w:w="927"/>
        <w:gridCol w:w="940"/>
        <w:gridCol w:w="330"/>
        <w:gridCol w:w="330"/>
        <w:gridCol w:w="331"/>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94-2819853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Market Street, Ste. 400</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San Francisco,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94105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507-5000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is a shell company (as defined by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of November 20, 2025, registrant had outstanding 212 million shares of 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849"/>
        <w:gridCol w:w="2849"/>
        <w:gridCol w:w="2854"/>
        <w:gridCol w:w="237"/>
        <w:gridCol w:w="237"/>
        <w:gridCol w:w="3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65ea3e7324c26b3a7542d61d24163_10">
              <w:r>
                <w:rPr>
                  <w:rStyle w:val="InternetLink"/>
                  <w:rFonts w:ascii="Times New Roman;serif" w:hAnsi="Times New Roman;serif"/>
                  <w:b/>
                  <w:color w:val="0000FF"/>
                  <w:sz w:val="20"/>
                  <w:u w:val="single"/>
                </w:rPr>
                <w:t>PART I. FINANCIAL INFORMATION</w:t>
              </w:r>
            </w:hyperlink>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3">
              <w:r>
                <w:rPr>
                  <w:rStyle w:val="InternetLink"/>
                  <w:rFonts w:ascii="Times New Roman;serif" w:hAnsi="Times New Roman;serif"/>
                  <w:b/>
                  <w:color w:val="0000FF"/>
                  <w:sz w:val="20"/>
                  <w:u w:val="single"/>
                </w:rPr>
                <w:t>Financial Statements:</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6">
              <w:r>
                <w:rPr>
                  <w:rStyle w:val="InternetLink"/>
                  <w:rFonts w:ascii="Times New Roman;serif" w:hAnsi="Times New Roman;serif"/>
                  <w:b w:val="false"/>
                  <w:color w:val="000080"/>
                  <w:sz w:val="20"/>
                  <w:u w:val="single"/>
                </w:rPr>
                <w:t xml:space="preserve">Condensed Consolidated Statements of Operations for the Three and </w:t>
              </w:r>
            </w:hyperlink>
            <w:hyperlink w:anchor="ie0865ea3e7324c26b3a7542d61d24163_16">
              <w:r>
                <w:rPr>
                  <w:rStyle w:val="InternetLink"/>
                  <w:rFonts w:ascii="Times New Roman;serif" w:hAnsi="Times New Roman;serif"/>
                  <w:b w:val="false"/>
                  <w:color w:val="000080"/>
                  <w:sz w:val="20"/>
                  <w:u w:val="single"/>
                </w:rPr>
                <w:t>Nine</w:t>
              </w:r>
            </w:hyperlink>
            <w:hyperlink w:anchor="ie0865ea3e7324c26b3a7542d61d24163_16">
              <w:r>
                <w:rPr>
                  <w:rStyle w:val="InternetLink"/>
                  <w:rFonts w:ascii="Times New Roman;serif" w:hAnsi="Times New Roman;serif"/>
                  <w:b w:val="false"/>
                  <w:color w:val="000080"/>
                  <w:sz w:val="20"/>
                  <w:u w:val="single"/>
                </w:rPr>
                <w:t xml:space="preserve"> Months Ended </w:t>
              </w:r>
            </w:hyperlink>
            <w:hyperlink w:anchor="ie0865ea3e7324c26b3a7542d61d24163_16">
              <w:r>
                <w:rPr>
                  <w:rStyle w:val="InternetLink"/>
                  <w:rFonts w:ascii="Times New Roman;serif" w:hAnsi="Times New Roman;serif"/>
                  <w:b w:val="false"/>
                  <w:color w:val="000080"/>
                  <w:sz w:val="20"/>
                  <w:u w:val="single"/>
                </w:rPr>
                <w:t>October</w:t>
              </w:r>
            </w:hyperlink>
            <w:hyperlink w:anchor="ie0865ea3e7324c26b3a7542d61d24163_16">
              <w:r>
                <w:rPr>
                  <w:rStyle w:val="InternetLink"/>
                  <w:rFonts w:ascii="Times New Roman;serif" w:hAnsi="Times New Roman;serif"/>
                  <w:b w:val="false"/>
                  <w:color w:val="000080"/>
                  <w:sz w:val="20"/>
                  <w:u w:val="single"/>
                </w:rPr>
                <w:t xml:space="preserve"> 31, 2025 and 2024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6">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9">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e0865ea3e7324c26b3a7542d61d24163_19">
              <w:r>
                <w:rPr>
                  <w:rStyle w:val="InternetLink"/>
                  <w:rFonts w:ascii="Times New Roman;serif" w:hAnsi="Times New Roman;serif"/>
                  <w:b w:val="false"/>
                  <w:color w:val="000080"/>
                  <w:sz w:val="20"/>
                  <w:u w:val="single"/>
                </w:rPr>
                <w:t>Nine</w:t>
              </w:r>
            </w:hyperlink>
            <w:hyperlink w:anchor="ie0865ea3e7324c26b3a7542d61d24163_19">
              <w:r>
                <w:rPr>
                  <w:rStyle w:val="InternetLink"/>
                  <w:rFonts w:ascii="Times New Roman;serif" w:hAnsi="Times New Roman;serif"/>
                  <w:b w:val="false"/>
                  <w:color w:val="000080"/>
                  <w:sz w:val="20"/>
                  <w:u w:val="single"/>
                </w:rPr>
                <w:t xml:space="preserve"> Months Ended </w:t>
              </w:r>
            </w:hyperlink>
            <w:hyperlink w:anchor="ie0865ea3e7324c26b3a7542d61d24163_19">
              <w:r>
                <w:rPr>
                  <w:rStyle w:val="InternetLink"/>
                  <w:rFonts w:ascii="Times New Roman;serif" w:hAnsi="Times New Roman;serif"/>
                  <w:b w:val="false"/>
                  <w:color w:val="000080"/>
                  <w:sz w:val="20"/>
                  <w:u w:val="single"/>
                </w:rPr>
                <w:t>October</w:t>
              </w:r>
            </w:hyperlink>
            <w:hyperlink w:anchor="ie0865ea3e7324c26b3a7542d61d24163_19">
              <w:r>
                <w:rPr>
                  <w:rStyle w:val="InternetLink"/>
                  <w:rFonts w:ascii="Times New Roman;serif" w:hAnsi="Times New Roman;serif"/>
                  <w:b w:val="false"/>
                  <w:color w:val="000080"/>
                  <w:sz w:val="20"/>
                  <w:u w:val="single"/>
                </w:rPr>
                <w:t xml:space="preserve"> 31, 2025 and 2024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9">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22">
              <w:r>
                <w:rPr>
                  <w:rStyle w:val="InternetLink"/>
                  <w:rFonts w:ascii="Times New Roman;serif" w:hAnsi="Times New Roman;serif"/>
                  <w:b w:val="false"/>
                  <w:color w:val="000080"/>
                  <w:sz w:val="20"/>
                  <w:u w:val="single"/>
                </w:rPr>
                <w:t xml:space="preserve">Condensed Consolidated Balance Sheets as of </w:t>
              </w:r>
            </w:hyperlink>
            <w:hyperlink w:anchor="ie0865ea3e7324c26b3a7542d61d24163_22">
              <w:r>
                <w:rPr>
                  <w:rStyle w:val="InternetLink"/>
                  <w:rFonts w:ascii="Times New Roman;serif" w:hAnsi="Times New Roman;serif"/>
                  <w:b w:val="false"/>
                  <w:color w:val="000080"/>
                  <w:sz w:val="20"/>
                  <w:u w:val="single"/>
                </w:rPr>
                <w:t>October</w:t>
              </w:r>
            </w:hyperlink>
            <w:hyperlink w:anchor="ie0865ea3e7324c26b3a7542d61d24163_22">
              <w:r>
                <w:rPr>
                  <w:rStyle w:val="InternetLink"/>
                  <w:rFonts w:ascii="Times New Roman;serif" w:hAnsi="Times New Roman;serif"/>
                  <w:b w:val="false"/>
                  <w:color w:val="000080"/>
                  <w:sz w:val="20"/>
                  <w:u w:val="single"/>
                </w:rPr>
                <w:t xml:space="preserve"> 31, 2025 and January 31, 2025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22">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25">
              <w:r>
                <w:rPr>
                  <w:rStyle w:val="InternetLink"/>
                  <w:rFonts w:ascii="Times New Roman;serif" w:hAnsi="Times New Roman;serif"/>
                  <w:b w:val="false"/>
                  <w:color w:val="000080"/>
                  <w:sz w:val="20"/>
                  <w:u w:val="single"/>
                </w:rPr>
                <w:t xml:space="preserve">Condensed Consolidated Statements of Cash Flows for the </w:t>
              </w:r>
            </w:hyperlink>
            <w:hyperlink w:anchor="ie0865ea3e7324c26b3a7542d61d24163_25">
              <w:r>
                <w:rPr>
                  <w:rStyle w:val="InternetLink"/>
                  <w:rFonts w:ascii="Times New Roman;serif" w:hAnsi="Times New Roman;serif"/>
                  <w:b w:val="false"/>
                  <w:color w:val="000080"/>
                  <w:sz w:val="20"/>
                  <w:u w:val="single"/>
                </w:rPr>
                <w:t>Nine</w:t>
              </w:r>
            </w:hyperlink>
            <w:hyperlink w:anchor="ie0865ea3e7324c26b3a7542d61d24163_25">
              <w:r>
                <w:rPr>
                  <w:rStyle w:val="InternetLink"/>
                  <w:rFonts w:ascii="Times New Roman;serif" w:hAnsi="Times New Roman;serif"/>
                  <w:b w:val="false"/>
                  <w:color w:val="000080"/>
                  <w:sz w:val="20"/>
                  <w:u w:val="single"/>
                </w:rPr>
                <w:t xml:space="preserve"> Months Ended </w:t>
              </w:r>
            </w:hyperlink>
            <w:hyperlink w:anchor="ie0865ea3e7324c26b3a7542d61d24163_25">
              <w:r>
                <w:rPr>
                  <w:rStyle w:val="InternetLink"/>
                  <w:rFonts w:ascii="Times New Roman;serif" w:hAnsi="Times New Roman;serif"/>
                  <w:b w:val="false"/>
                  <w:color w:val="000080"/>
                  <w:sz w:val="20"/>
                  <w:u w:val="single"/>
                </w:rPr>
                <w:t>October</w:t>
              </w:r>
            </w:hyperlink>
            <w:hyperlink w:anchor="ie0865ea3e7324c26b3a7542d61d24163_25">
              <w:r>
                <w:rPr>
                  <w:rStyle w:val="InternetLink"/>
                  <w:rFonts w:ascii="Times New Roman;serif" w:hAnsi="Times New Roman;serif"/>
                  <w:b w:val="false"/>
                  <w:color w:val="000080"/>
                  <w:sz w:val="20"/>
                  <w:u w:val="single"/>
                </w:rPr>
                <w:t xml:space="preserve"> 31, 2025 and 2024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25">
              <w:r>
                <w:rPr>
                  <w:rStyle w:val="InternetLink"/>
                  <w:rFonts w:ascii="Times New Roman;serif" w:hAnsi="Times New Roman;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28">
              <w:r>
                <w:rPr>
                  <w:rStyle w:val="InternetLink"/>
                  <w:rFonts w:ascii="Times New Roman;serif" w:hAnsi="Times New Roman;serif"/>
                  <w:b w:val="false"/>
                  <w:color w:val="0000FF"/>
                  <w:sz w:val="20"/>
                  <w:u w:val="single"/>
                </w:rPr>
                <w:t>Notes to Condensed Consolidated Financial Statements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28">
              <w:r>
                <w:rPr>
                  <w:rStyle w:val="InternetLink"/>
                  <w:rFonts w:ascii="Times New Roman;serif" w:hAnsi="Times New Roman;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00">
              <w:r>
                <w:rPr>
                  <w:rStyle w:val="InternetLink"/>
                  <w:rFonts w:ascii="Times New Roman;serif" w:hAnsi="Times New Roman;serif"/>
                  <w:b/>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00">
              <w:r>
                <w:rPr>
                  <w:rStyle w:val="InternetLink"/>
                  <w:rFonts w:ascii="Times New Roman;serif" w:hAnsi="Times New Roman;serif"/>
                  <w:b w:val="false"/>
                  <w:color w:val="0000FF"/>
                  <w:sz w:val="20"/>
                  <w:u w:val="single"/>
                </w:rPr>
                <w:t>31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51">
              <w:r>
                <w:rPr>
                  <w:rStyle w:val="InternetLink"/>
                  <w:rFonts w:ascii="Times New Roman;serif" w:hAnsi="Times New Roman;serif"/>
                  <w:b/>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51">
              <w:r>
                <w:rPr>
                  <w:rStyle w:val="InternetLink"/>
                  <w:rFonts w:ascii="Times New Roman;serif" w:hAnsi="Times New Roman;serif"/>
                  <w:b w:val="false"/>
                  <w:color w:val="0000FF"/>
                  <w:sz w:val="20"/>
                  <w:u w:val="single"/>
                </w:rPr>
                <w:t>52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54">
              <w:r>
                <w:rPr>
                  <w:rStyle w:val="InternetLink"/>
                  <w:rFonts w:ascii="Times New Roman;serif" w:hAnsi="Times New Roman;serif"/>
                  <w:b/>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54">
              <w:r>
                <w:rPr>
                  <w:rStyle w:val="InternetLink"/>
                  <w:rFonts w:ascii="Times New Roman;serif" w:hAnsi="Times New Roman;serif"/>
                  <w:b w:val="false"/>
                  <w:color w:val="0000FF"/>
                  <w:sz w:val="20"/>
                  <w:u w:val="single"/>
                </w:rPr>
                <w:t>53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865ea3e7324c26b3a7542d61d24163_157">
              <w:r>
                <w:rPr>
                  <w:rStyle w:val="InternetLink"/>
                  <w:rFonts w:ascii="Times New Roman;serif" w:hAnsi="Times New Roman;serif"/>
                  <w:b/>
                  <w:color w:val="0000FF"/>
                  <w:sz w:val="20"/>
                  <w:u w:val="single"/>
                </w:rPr>
                <w:t>PART II. OTHER INFORMATION</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60">
              <w:r>
                <w:rPr>
                  <w:rStyle w:val="InternetLink"/>
                  <w:rFonts w:ascii="Times New Roman;serif" w:hAnsi="Times New Roman;serif"/>
                  <w:b/>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60">
              <w:r>
                <w:rPr>
                  <w:rStyle w:val="InternetLink"/>
                  <w:rFonts w:ascii="Times New Roman;serif" w:hAnsi="Times New Roman;serif"/>
                  <w:b w:val="false"/>
                  <w:color w:val="0000FF"/>
                  <w:sz w:val="20"/>
                  <w:u w:val="single"/>
                </w:rPr>
                <w:t>54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63">
              <w:r>
                <w:rPr>
                  <w:rStyle w:val="InternetLink"/>
                  <w:rFonts w:ascii="Times New Roman;serif" w:hAnsi="Times New Roman;serif"/>
                  <w:b/>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63">
              <w:r>
                <w:rPr>
                  <w:rStyle w:val="InternetLink"/>
                  <w:rFonts w:ascii="Times New Roman;serif" w:hAnsi="Times New Roman;serif"/>
                  <w:b w:val="false"/>
                  <w:color w:val="0000FF"/>
                  <w:sz w:val="20"/>
                  <w:u w:val="single"/>
                </w:rPr>
                <w:t>55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66">
              <w:r>
                <w:rPr>
                  <w:rStyle w:val="InternetLink"/>
                  <w:rFonts w:ascii="Times New Roman;serif" w:hAnsi="Times New Roman;serif"/>
                  <w:b/>
                  <w:color w:val="0000FF"/>
                  <w:sz w:val="20"/>
                  <w:u w:val="single"/>
                </w:rPr>
                <w:t>Unregistered Sales of Equity Securities and Use of Proceeds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66">
              <w:r>
                <w:rPr>
                  <w:rStyle w:val="InternetLink"/>
                  <w:rFonts w:ascii="Times New Roman;serif" w:hAnsi="Times New Roman;serif"/>
                  <w:b w:val="false"/>
                  <w:color w:val="0000FF"/>
                  <w:sz w:val="20"/>
                  <w:u w:val="single"/>
                </w:rPr>
                <w:t>74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69">
              <w:r>
                <w:rPr>
                  <w:rStyle w:val="InternetLink"/>
                  <w:rFonts w:ascii="Times New Roman;serif" w:hAnsi="Times New Roman;serif"/>
                  <w:b/>
                  <w:color w:val="0000FF"/>
                  <w:sz w:val="20"/>
                  <w:u w:val="single"/>
                </w:rPr>
                <w:t>Defaults Upon Senior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69">
              <w:r>
                <w:rPr>
                  <w:rStyle w:val="InternetLink"/>
                  <w:rFonts w:ascii="Times New Roman;serif" w:hAnsi="Times New Roman;serif"/>
                  <w:b w:val="false"/>
                  <w:color w:val="0000FF"/>
                  <w:sz w:val="20"/>
                  <w:u w:val="single"/>
                </w:rPr>
                <w:t>74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72">
              <w:r>
                <w:rPr>
                  <w:rStyle w:val="InternetLink"/>
                  <w:rFonts w:ascii="Times New Roman;serif" w:hAnsi="Times New Roman;serif"/>
                  <w:b/>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72">
              <w:r>
                <w:rPr>
                  <w:rStyle w:val="InternetLink"/>
                  <w:rFonts w:ascii="Times New Roman;serif" w:hAnsi="Times New Roman;serif"/>
                  <w:b w:val="false"/>
                  <w:color w:val="0000FF"/>
                  <w:sz w:val="20"/>
                  <w:u w:val="single"/>
                </w:rPr>
                <w:t>74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75">
              <w:r>
                <w:rPr>
                  <w:rStyle w:val="InternetLink"/>
                  <w:rFonts w:ascii="Times New Roman;serif" w:hAnsi="Times New Roman;serif"/>
                  <w:b/>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75">
              <w:r>
                <w:rPr>
                  <w:rStyle w:val="InternetLink"/>
                  <w:rFonts w:ascii="Times New Roman;serif" w:hAnsi="Times New Roman;serif"/>
                  <w:b w:val="false"/>
                  <w:color w:val="0000FF"/>
                  <w:sz w:val="20"/>
                  <w:u w:val="single"/>
                </w:rPr>
                <w:t>74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81">
              <w:r>
                <w:rPr>
                  <w:rStyle w:val="InternetLink"/>
                  <w:rFonts w:ascii="Times New Roman;serif" w:hAnsi="Times New Roman;serif"/>
                  <w:b/>
                  <w:color w:val="0000FF"/>
                  <w:sz w:val="20"/>
                  <w:u w:val="single"/>
                </w:rPr>
                <w:t>Exhibits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81">
              <w:r>
                <w:rPr>
                  <w:rStyle w:val="InternetLink"/>
                  <w:rFonts w:ascii="Times New Roman;serif" w:hAnsi="Times New Roman;serif"/>
                  <w:b w:val="false"/>
                  <w:color w:val="0000FF"/>
                  <w:sz w:val="20"/>
                  <w:u w:val="single"/>
                </w:rPr>
                <w:t>75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65ea3e7324c26b3a7542d61d24163_184">
              <w:r>
                <w:rPr>
                  <w:rStyle w:val="InternetLink"/>
                  <w:rFonts w:ascii="Times New Roman;serif" w:hAnsi="Times New Roman;serif"/>
                  <w:b/>
                  <w:color w:val="0000FF"/>
                  <w:sz w:val="20"/>
                  <w:u w:val="single"/>
                </w:rPr>
                <w:t>Signatures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865ea3e7324c26b3a7542d61d24163_184">
              <w:r>
                <w:rPr>
                  <w:rStyle w:val="InternetLink"/>
                  <w:rFonts w:ascii="Times New Roman;serif" w:hAnsi="Times New Roman;serif"/>
                  <w:b w:val="false"/>
                  <w:color w:val="0000FF"/>
                  <w:sz w:val="20"/>
                  <w:u w:val="single"/>
                </w:rPr>
                <w:t>76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98"/>
        <w:gridCol w:w="1567"/>
        <w:gridCol w:w="1583"/>
        <w:gridCol w:w="237"/>
        <w:gridCol w:w="674"/>
        <w:gridCol w:w="132"/>
        <w:gridCol w:w="132"/>
        <w:gridCol w:w="132"/>
        <w:gridCol w:w="132"/>
        <w:gridCol w:w="237"/>
        <w:gridCol w:w="674"/>
        <w:gridCol w:w="132"/>
        <w:gridCol w:w="109"/>
        <w:gridCol w:w="109"/>
        <w:gridCol w:w="109"/>
        <w:gridCol w:w="228"/>
        <w:gridCol w:w="649"/>
        <w:gridCol w:w="126"/>
        <w:gridCol w:w="126"/>
        <w:gridCol w:w="126"/>
        <w:gridCol w:w="126"/>
        <w:gridCol w:w="228"/>
        <w:gridCol w:w="649"/>
        <w:gridCol w:w="190"/>
      </w:tblGrid>
      <w:tr>
        <w:trPr/>
        <w:tc>
          <w:tcPr>
            <w:tcW w:w="179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8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subscription and maintenance revenue</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subscription and maintenance revenue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other revenue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(loss) income, net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computing basic net income per share</w:t>
            </w:r>
          </w:p>
        </w:tc>
        <w:tc>
          <w:tcPr>
            <w:tcW w:w="9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computing diluted net income per share</w:t>
            </w:r>
          </w:p>
        </w:tc>
        <w:tc>
          <w:tcPr>
            <w:tcW w:w="9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8"/>
        <w:gridCol w:w="1749"/>
        <w:gridCol w:w="1766"/>
        <w:gridCol w:w="241"/>
        <w:gridCol w:w="518"/>
        <w:gridCol w:w="134"/>
        <w:gridCol w:w="134"/>
        <w:gridCol w:w="134"/>
        <w:gridCol w:w="134"/>
        <w:gridCol w:w="241"/>
        <w:gridCol w:w="518"/>
        <w:gridCol w:w="134"/>
        <w:gridCol w:w="109"/>
        <w:gridCol w:w="109"/>
        <w:gridCol w:w="109"/>
        <w:gridCol w:w="234"/>
        <w:gridCol w:w="504"/>
        <w:gridCol w:w="130"/>
        <w:gridCol w:w="130"/>
        <w:gridCol w:w="130"/>
        <w:gridCol w:w="130"/>
        <w:gridCol w:w="234"/>
        <w:gridCol w:w="504"/>
        <w:gridCol w:w="191"/>
      </w:tblGrid>
      <w:tr>
        <w:trPr/>
        <w:tc>
          <w:tcPr>
            <w:tcW w:w="198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reclassifications:</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loss on derivative instruments (net of tax effect of $2, $2, $5, and $3, respectively)</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 on available-for-sale debt securities (net of tax effect of zero for all periods presented)</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Change in defined benefit pension items (net of tax effect of zero for all periods presented)</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change in cumulative foreign currency translation gain (loss) (net of tax effect of $(4), $(1), $(9), and $(1), respectively)</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comprehensive income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517" w:type="dxa"/>
        <w:jc w:val="left"/>
        <w:tblInd w:w="0" w:type="dxa"/>
        <w:tblLayout w:type="fixed"/>
        <w:tblCellMar>
          <w:top w:w="28" w:type="dxa"/>
          <w:left w:w="28" w:type="dxa"/>
          <w:bottom w:w="28" w:type="dxa"/>
          <w:right w:w="28" w:type="dxa"/>
        </w:tblCellMar>
      </w:tblPr>
      <w:tblGrid>
        <w:gridCol w:w="1947"/>
        <w:gridCol w:w="1708"/>
        <w:gridCol w:w="1715"/>
        <w:gridCol w:w="284"/>
        <w:gridCol w:w="938"/>
        <w:gridCol w:w="158"/>
        <w:gridCol w:w="109"/>
        <w:gridCol w:w="109"/>
        <w:gridCol w:w="109"/>
        <w:gridCol w:w="282"/>
        <w:gridCol w:w="933"/>
        <w:gridCol w:w="225"/>
      </w:tblGrid>
      <w:tr>
        <w:trPr/>
        <w:tc>
          <w:tcPr>
            <w:tcW w:w="194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software, furniture and leasehold improvements,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notes payable, net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income taxes payable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deferred income taxes </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notes payable, net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and additional paid-in capital</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120" w:type="dxa"/>
        <w:jc w:val="left"/>
        <w:tblInd w:w="0" w:type="dxa"/>
        <w:tblLayout w:type="fixed"/>
        <w:tblCellMar>
          <w:top w:w="28" w:type="dxa"/>
          <w:left w:w="28" w:type="dxa"/>
          <w:bottom w:w="28" w:type="dxa"/>
          <w:right w:w="28" w:type="dxa"/>
        </w:tblCellMar>
      </w:tblPr>
      <w:tblGrid>
        <w:gridCol w:w="2259"/>
        <w:gridCol w:w="1986"/>
        <w:gridCol w:w="1994"/>
        <w:gridCol w:w="196"/>
        <w:gridCol w:w="556"/>
        <w:gridCol w:w="109"/>
        <w:gridCol w:w="109"/>
        <w:gridCol w:w="109"/>
        <w:gridCol w:w="109"/>
        <w:gridCol w:w="196"/>
        <w:gridCol w:w="556"/>
        <w:gridCol w:w="941"/>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costs to obtain a contract with a customer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business combinations: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Prepaid expenses and other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and other liabilities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Taxes paid related to net share settlement of equity awards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debt, net of discount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disclosure: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common stock issued to settle liability-classified restricted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AUTODESK,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 or as otherwise noted)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1</w:t>
      </w:r>
      <w:r>
        <w:rPr>
          <w:rFonts w:ascii="Times New Roman;serif" w:hAnsi="Times New Roman;serif"/>
          <w:b w:val="false"/>
          <w:color w:val="000000"/>
          <w:sz w:val="20"/>
        </w:rPr>
        <w:t xml:space="preserve">. </w:t>
      </w:r>
      <w:r>
        <w:rPr>
          <w:rFonts w:ascii="Times New Roman;serif" w:hAnsi="Times New Roman;serif"/>
          <w:b/>
          <w:i/>
          <w:color w:val="000000"/>
          <w:sz w:val="20"/>
        </w:rPr>
        <w:t>Basis of Presentation</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Autodesk, Inc. (“Autodesk,” “we,” “us,” “our,” or the “Company”) as of October 31, 2025, and for the three and nine months ended October 31, 2025 and 2024,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2025, are not necessarily indicative of the results for the entire fiscal year ending January 31, 2026, or for any other period. Further, the balance sheet as of January 31, 2025,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2025, filed on March 6,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2</w:t>
      </w:r>
      <w:r>
        <w:rPr>
          <w:rFonts w:ascii="Times New Roman;serif" w:hAnsi="Times New Roman;serif"/>
          <w:b w:val="false"/>
          <w:color w:val="000000"/>
          <w:sz w:val="20"/>
        </w:rPr>
        <w:t xml:space="preserve">. </w:t>
      </w:r>
      <w:r>
        <w:rPr>
          <w:rFonts w:ascii="Times New Roman;serif" w:hAnsi="Times New Roman;serif"/>
          <w:b/>
          <w:i/>
          <w:color w:val="000000"/>
          <w:sz w:val="20"/>
        </w:rPr>
        <w:t>Recently Issued Accounting Standards</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Financial Accounting Standards Board (“FASB”) issued ASU No. 2025-06, “Intangibles-Goodwill and Other-Internal-Use Software (Subtopic 350-40)” (“ASU 2025-06”), which amends certain aspects of the accounting for and disclosure of software costs under Subtopic 350-40. ASU 2025-06 eliminates accounting consideration of software development “stages”. Cost capitalization will now begin solely when (1) management has authorized and committed to funding the software project, and (2) it is probable the project will be completed and the software used to perform its intended function (the probable-to-complete threshold). In evaluating the probable-to-complete recognition threshold, an entity is required to consider whether there is significant uncertainty associated with the development activities of the software. ASU 2025-06 specifies that the disclosures in Subtopic 360-10, Property, Plant, and Equipment—Overall, are required for all capitalized internal-use software costs, regardless of how those costs are presented in the financial statements. The amendments in ASU 2025-06 supersede the website development costs guidance and incorporate the recognition requirements for website-specific development costs from Subtopic 350-50 into Subtopic 350-40. ASU 2025-06 is effective for Autodesk’s fiscal year beginning February 1, 2028, and interim periods within that fiscal year. Early adoption is permitted. Autodesk is currently evaluating the effect of adopting ASU 2025-06 on its consolidated financial statements.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 </w:t>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Adopted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Autodesk will provide the new disclosures required by ASU 2023-09 beginning with its annual financial statements for the fiscal year ending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Autodesk adopted the annual disclosures of ASU 2023-07 for our fiscal year ended January 31, 2025 and adopted for interim periods beginning February 1, 2025.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during the nine months ended October 31, 2025, that may have a material impact on our financial position or results of operations.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3</w:t>
      </w:r>
      <w:r>
        <w:rPr>
          <w:rFonts w:ascii="Times New Roman;serif" w:hAnsi="Times New Roman;serif"/>
          <w:b w:val="false"/>
          <w:color w:val="000000"/>
          <w:sz w:val="20"/>
        </w:rPr>
        <w:t xml:space="preserve">. </w:t>
      </w:r>
      <w:r>
        <w:rPr>
          <w:rFonts w:ascii="Times New Roman;serif" w:hAnsi="Times New Roman;serif"/>
          <w:b/>
          <w:i/>
          <w:color w:val="000000"/>
          <w:sz w:val="20"/>
        </w:rPr>
        <w:t>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Disaggregation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recognizes revenue from the sale of (1) product subscriptions, cloud service offerings, and enterprise business agreements (“EBAs”), (2) fees for maintenance purchased with software licenses, and (3) consulting and other products and services. The three categories are presented as line items on Autodesk’s Condensed Consolidated Statements of Operations.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firstLine="495"/>
        <w:jc w:val="left"/>
        <w:rPr/>
      </w:pPr>
      <w:r>
        <w:rPr>
          <w:rFonts w:ascii="Times New Roman;serif" w:hAnsi="Times New Roman;serif"/>
          <w:b w:val="false"/>
          <w:color w:val="000000"/>
          <w:sz w:val="20"/>
        </w:rPr>
        <w:t>Information regarding the components of Autodesk's net revenue from contracts with customers by product family, geographic location, sales channel, and product type is as follows:</w:t>
      </w:r>
      <w:r>
        <w:rPr>
          <w:color w:val="000000"/>
        </w:rPr>
        <w:t> </w:t>
      </w:r>
    </w:p>
    <w:tbl>
      <w:tblPr>
        <w:tblW w:w="9381" w:type="dxa"/>
        <w:jc w:val="left"/>
        <w:tblInd w:w="0" w:type="dxa"/>
        <w:tblLayout w:type="fixed"/>
        <w:tblCellMar>
          <w:top w:w="28" w:type="dxa"/>
          <w:left w:w="28" w:type="dxa"/>
          <w:bottom w:w="28" w:type="dxa"/>
          <w:right w:w="28" w:type="dxa"/>
        </w:tblCellMar>
      </w:tblPr>
      <w:tblGrid>
        <w:gridCol w:w="1473"/>
        <w:gridCol w:w="1293"/>
        <w:gridCol w:w="1298"/>
        <w:gridCol w:w="241"/>
        <w:gridCol w:w="684"/>
        <w:gridCol w:w="134"/>
        <w:gridCol w:w="134"/>
        <w:gridCol w:w="134"/>
        <w:gridCol w:w="134"/>
        <w:gridCol w:w="241"/>
        <w:gridCol w:w="684"/>
        <w:gridCol w:w="134"/>
        <w:gridCol w:w="109"/>
        <w:gridCol w:w="109"/>
        <w:gridCol w:w="109"/>
        <w:gridCol w:w="215"/>
        <w:gridCol w:w="611"/>
        <w:gridCol w:w="119"/>
        <w:gridCol w:w="119"/>
        <w:gridCol w:w="119"/>
        <w:gridCol w:w="119"/>
        <w:gridCol w:w="215"/>
        <w:gridCol w:w="611"/>
        <w:gridCol w:w="342"/>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 by product family: </w:t>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Architecture, Engineering, Construction and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Media and Entertainment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geographic area:</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sales channel:</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Remaining performance obligations consist of tota</w:t>
      </w:r>
      <w:r>
        <w:rPr>
          <w:rFonts w:ascii="Times New Roman;serif" w:hAnsi="Times New Roman;serif"/>
          <w:b w:val="false"/>
          <w:color w:val="000000"/>
          <w:sz w:val="20"/>
          <w:shd w:fill="FFFFFF" w:val="clear"/>
        </w:rPr>
        <w:t>l short-term, long-term, a</w:t>
      </w:r>
      <w:r>
        <w:rPr>
          <w:rFonts w:ascii="Times New Roman;serif" w:hAnsi="Times New Roman;serif"/>
          <w:b w:val="false"/>
          <w:color w:val="000000"/>
          <w:sz w:val="20"/>
        </w:rPr>
        <w:t>nd unbilled deferred revenue. As of October 31, 2025, Autodesk had remaining performance obligations of $7.36 billion, which represents the total transaction price allocated to remaining performance obligations, which are generally recognized over the next three years. We expect to recognize $4.83 billion or 66% of our remaining performance obligations as revenue during the next 12 months. We expect to recognize the remaining $2.53 billion or 34% of our remaining performance obligations as revenue thereafter.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remaining performance obligations may be impacted by the specific timing, duration, and size of customer subscription and support agreements, the specific timing of customer renewals, and foreign currency fluctuations.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payments from customers based on a billing schedule as established in our contracts. Contract assets relate to performance completed in advance of scheduled billings. Contract assets were not material as of October 31, 2025 and January 31, 2025. Deferred revenue relates to billings in advance of performance under the contract. The primary changes in our contract assets and deferred revenues are due to our performance under the contracts and billings.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three months ended October 31, 2025 and 2024, that was included in the deferred revenue balances at January 31, 2025 and 2024, was $843 million and $790 million, respectively. Revenue recognized during the nine months ended October 31, 2025 and 2024, that was included in the deferred revenue balances at January 31, 2025 and 2024, was $3.33 billion and $3.00 billion, respectively. The satisfaction of performance obligations typically lags behind payments received under revenue contracts from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4</w:t>
      </w:r>
      <w:r>
        <w:rPr>
          <w:rFonts w:ascii="Times New Roman;serif" w:hAnsi="Times New Roman;serif"/>
          <w:b w:val="false"/>
          <w:color w:val="000000"/>
          <w:sz w:val="20"/>
        </w:rPr>
        <w:t xml:space="preserve">. </w:t>
      </w:r>
      <w:r>
        <w:rPr>
          <w:rFonts w:ascii="Times New Roman;serif" w:hAnsi="Times New Roman;serif"/>
          <w:b/>
          <w:i/>
          <w:color w:val="000000"/>
          <w:sz w:val="20"/>
        </w:rPr>
        <w:t>Concentration of Credit Risk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acts as administrative agent and a lender under Autodesk’s $1.5 billion revolving credit facility. See Note 13, “Borrowing Arrangements,” in the Notes to Condensed Consolidated Financial Statements for further discussion.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from the Company's largest distributor TD Synnex Corporation and its global affiliates (“TD Synnex”) accounted for 12% and 16% of Autodesk’s total net revenue during the three and nine months ended October 31, 2025, respectively. Total revenue from TD Synnex accounted for 33% and 35% of Autodesk’s total net revenue during the three and nine months ended October 31, 2024, respectively. The majority of the net revenue from sales to TD Synnex is from sales outside of the United States. In addition, TD Synnex accounted for 7% and 5% of trade accounts receivable at October 31, 2025, and January 31, 2025, respectively. No other customer accounted for more than 10% of Autodesk's total net revenue or trade accounts receivable for each of the respective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0"/>
        </w:rPr>
        <w:t>5</w:t>
      </w:r>
      <w:r>
        <w:rPr>
          <w:rFonts w:ascii="Times New Roman;serif" w:hAnsi="Times New Roman;serif"/>
          <w:b w:val="false"/>
          <w:color w:val="000000"/>
          <w:sz w:val="20"/>
        </w:rPr>
        <w:t xml:space="preserve">. </w:t>
      </w:r>
      <w:r>
        <w:rPr>
          <w:rFonts w:ascii="Times New Roman;serif" w:hAnsi="Times New Roman;serif"/>
          <w:b/>
          <w:i/>
          <w:color w:val="000000"/>
          <w:sz w:val="20"/>
        </w:rPr>
        <w:t>Financial Instruments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financial instruments by significant investment category as of October 31, 2025, and January 31, 2025: </w:t>
      </w:r>
    </w:p>
    <w:tbl>
      <w:tblPr>
        <w:tblW w:w="10000" w:type="dxa"/>
        <w:jc w:val="left"/>
        <w:tblInd w:w="0" w:type="dxa"/>
        <w:tblLayout w:type="fixed"/>
        <w:tblCellMar>
          <w:top w:w="28" w:type="dxa"/>
          <w:left w:w="28" w:type="dxa"/>
          <w:bottom w:w="28" w:type="dxa"/>
          <w:right w:w="28" w:type="dxa"/>
        </w:tblCellMar>
      </w:tblPr>
      <w:tblGrid>
        <w:gridCol w:w="958"/>
        <w:gridCol w:w="837"/>
        <w:gridCol w:w="845"/>
        <w:gridCol w:w="283"/>
        <w:gridCol w:w="803"/>
        <w:gridCol w:w="158"/>
        <w:gridCol w:w="109"/>
        <w:gridCol w:w="109"/>
        <w:gridCol w:w="109"/>
        <w:gridCol w:w="500"/>
        <w:gridCol w:w="1035"/>
        <w:gridCol w:w="280"/>
        <w:gridCol w:w="109"/>
        <w:gridCol w:w="109"/>
        <w:gridCol w:w="109"/>
        <w:gridCol w:w="508"/>
        <w:gridCol w:w="1052"/>
        <w:gridCol w:w="285"/>
        <w:gridCol w:w="109"/>
        <w:gridCol w:w="109"/>
        <w:gridCol w:w="109"/>
        <w:gridCol w:w="201"/>
        <w:gridCol w:w="572"/>
        <w:gridCol w:w="112"/>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Commercial paper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(5) (6)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(2)Primarily consists of agency discount notes.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(3)Primarily consists of agency discount notes.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(4)Primarily consists of agency collateralized mortgage obligations and agency bonds.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“Prepaid expenses and other current assets” or “Long-term other assets” in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495"/>
        <w:jc w:val="left"/>
        <w:rPr/>
      </w:pPr>
      <w:r>
        <w:rPr/>
      </w:r>
    </w:p>
    <w:tbl>
      <w:tblPr>
        <w:tblW w:w="10108" w:type="dxa"/>
        <w:jc w:val="left"/>
        <w:tblInd w:w="0" w:type="dxa"/>
        <w:tblLayout w:type="fixed"/>
        <w:tblCellMar>
          <w:top w:w="28" w:type="dxa"/>
          <w:left w:w="28" w:type="dxa"/>
          <w:bottom w:w="28" w:type="dxa"/>
          <w:right w:w="28" w:type="dxa"/>
        </w:tblCellMar>
      </w:tblPr>
      <w:tblGrid>
        <w:gridCol w:w="958"/>
        <w:gridCol w:w="837"/>
        <w:gridCol w:w="844"/>
        <w:gridCol w:w="283"/>
        <w:gridCol w:w="803"/>
        <w:gridCol w:w="158"/>
        <w:gridCol w:w="109"/>
        <w:gridCol w:w="109"/>
        <w:gridCol w:w="109"/>
        <w:gridCol w:w="500"/>
        <w:gridCol w:w="1035"/>
        <w:gridCol w:w="280"/>
        <w:gridCol w:w="109"/>
        <w:gridCol w:w="109"/>
        <w:gridCol w:w="109"/>
        <w:gridCol w:w="508"/>
        <w:gridCol w:w="1052"/>
        <w:gridCol w:w="285"/>
        <w:gridCol w:w="109"/>
        <w:gridCol w:w="109"/>
        <w:gridCol w:w="109"/>
        <w:gridCol w:w="201"/>
        <w:gridCol w:w="572"/>
        <w:gridCol w:w="112"/>
        <w:gridCol w:w="109"/>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c>
          <w:tcPr>
            <w:tcW w:w="699" w:type="dxa"/>
            <w:gridSpan w:val="6"/>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government securities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Asset-backed securities </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(5) (6)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(2)Consists primarily of corporate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(4)Consists primarily of agency collateralized mortgage obligations and supranational bonds.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“Prepaid expenses and other current assets,” or “Long-term other assets,” in the accompanying Condensed Consolidated Balance Sheets.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values of investments classified as marketable debt securities by contractual maturity date as of October 31, 2025: </w:t>
      </w:r>
    </w:p>
    <w:tbl>
      <w:tblPr>
        <w:tblW w:w="3509" w:type="dxa"/>
        <w:jc w:val="left"/>
        <w:tblInd w:w="0" w:type="dxa"/>
        <w:tblLayout w:type="fixed"/>
        <w:tblCellMar>
          <w:top w:w="28" w:type="dxa"/>
          <w:left w:w="28" w:type="dxa"/>
          <w:bottom w:w="28" w:type="dxa"/>
          <w:right w:w="28" w:type="dxa"/>
        </w:tblCellMar>
      </w:tblPr>
      <w:tblGrid>
        <w:gridCol w:w="936"/>
        <w:gridCol w:w="817"/>
        <w:gridCol w:w="827"/>
        <w:gridCol w:w="236"/>
        <w:gridCol w:w="508"/>
        <w:gridCol w:w="185"/>
      </w:tblGrid>
      <w:tr>
        <w:trPr/>
        <w:tc>
          <w:tcPr>
            <w:tcW w:w="93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1 year</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1 year through 5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5 years through 10 years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10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both October 31, 2025, and January 31, 2025,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nine months ended October 31,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monitors all marketable debt securities for potential credit losses by reviewing indicators such as, but not limited to, current credit rating, change in credit rating, credit outlook, and default risk. There were no allowances for credit losses as of both October 31, 2025, and January 31, 2025. There were no write offs of accrued interest receivables for both the nine months ended October 31, 2025 and 2024.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realized gains or losses for the sales or redemptions of marketable debt securities during both the three and nine months ended October 31, 2025 and 2024. Realized gains and losses from the sales or redemptions of marketable debt securities are recorded in “Interest and other (loss) income, net” on the Company's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Strategic investments in equity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October 31, 2025, and January 31, 2025, Autodesk had $156 million and $168 million in direct investments in privately held companies, respectively.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Adjustments to the carrying value of our strategic investment equity securities with no readily determined fair values measured using the measurement alternative are included in “Interest and other (loss) income, net” on the Company's Condensed Consolidated Statements of Operations. These adjustments were as follows:</w:t>
      </w:r>
    </w:p>
    <w:tbl>
      <w:tblPr>
        <w:tblW w:w="8589" w:type="dxa"/>
        <w:jc w:val="left"/>
        <w:tblInd w:w="0" w:type="dxa"/>
        <w:tblLayout w:type="fixed"/>
        <w:tblCellMar>
          <w:top w:w="28" w:type="dxa"/>
          <w:left w:w="28" w:type="dxa"/>
          <w:bottom w:w="28" w:type="dxa"/>
          <w:right w:w="28" w:type="dxa"/>
        </w:tblCellMar>
      </w:tblPr>
      <w:tblGrid>
        <w:gridCol w:w="1212"/>
        <w:gridCol w:w="1064"/>
        <w:gridCol w:w="1069"/>
        <w:gridCol w:w="272"/>
        <w:gridCol w:w="564"/>
        <w:gridCol w:w="151"/>
        <w:gridCol w:w="151"/>
        <w:gridCol w:w="151"/>
        <w:gridCol w:w="151"/>
        <w:gridCol w:w="272"/>
        <w:gridCol w:w="564"/>
        <w:gridCol w:w="151"/>
        <w:gridCol w:w="109"/>
        <w:gridCol w:w="109"/>
        <w:gridCol w:w="109"/>
        <w:gridCol w:w="531"/>
        <w:gridCol w:w="1181"/>
        <w:gridCol w:w="297"/>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Cumulative Amount as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Upward adjustments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Negative adjustments, including impairments </w:t>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adjustments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for the disposition of strategic investment equity securities for both the three and nine months ended October 31, 2025 and 2024 were immaterial. </w:t>
      </w:r>
    </w:p>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Company's financial instruments measured at fair value on a recurring basis by significant investment category as of October 31, 2025, and January 31, 2025: </w:t>
      </w:r>
    </w:p>
    <w:tbl>
      <w:tblPr>
        <w:tblW w:w="7915" w:type="dxa"/>
        <w:jc w:val="left"/>
        <w:tblInd w:w="0" w:type="dxa"/>
        <w:tblLayout w:type="fixed"/>
        <w:tblCellMar>
          <w:top w:w="28" w:type="dxa"/>
          <w:left w:w="28" w:type="dxa"/>
          <w:bottom w:w="28" w:type="dxa"/>
          <w:right w:w="28" w:type="dxa"/>
        </w:tblCellMar>
      </w:tblPr>
      <w:tblGrid>
        <w:gridCol w:w="950"/>
        <w:gridCol w:w="838"/>
        <w:gridCol w:w="852"/>
        <w:gridCol w:w="109"/>
        <w:gridCol w:w="109"/>
        <w:gridCol w:w="109"/>
        <w:gridCol w:w="109"/>
        <w:gridCol w:w="109"/>
        <w:gridCol w:w="109"/>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Commercial paper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Short-term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assets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liabilities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(2)Primarily consists of agency discount notes.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(3)Primarily consists of agency discount notes.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(4)Primarily consists of agency collateralized mortgage obligations and agency bonds.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(7)Included in “Other accrued liabilities” in the accompanying Condensed Consolidated Balance Sheets.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6761" w:type="dxa"/>
        <w:jc w:val="left"/>
        <w:tblInd w:w="0" w:type="dxa"/>
        <w:tblLayout w:type="fixed"/>
        <w:tblCellMar>
          <w:top w:w="28" w:type="dxa"/>
          <w:left w:w="28" w:type="dxa"/>
          <w:bottom w:w="28" w:type="dxa"/>
          <w:right w:w="28" w:type="dxa"/>
        </w:tblCellMar>
      </w:tblPr>
      <w:tblGrid>
        <w:gridCol w:w="858"/>
        <w:gridCol w:w="756"/>
        <w:gridCol w:w="770"/>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government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 backed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assets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contract liabilities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(2)Consists primarily of corporate debt securities.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(4)Consists primarily of agency collateralized mortgage obligations and supranational bonds.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(6)Included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(7)Included in “Other accrued liabilities” in the accompanying Condensed Consolidated Balance Sheets.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firstLine="225"/>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6. Equity Compensation </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activity for the nine months ended October 31, 2025, is as follows:</w:t>
      </w:r>
    </w:p>
    <w:tbl>
      <w:tblPr>
        <w:tblW w:w="9326" w:type="dxa"/>
        <w:jc w:val="left"/>
        <w:tblInd w:w="0" w:type="dxa"/>
        <w:tblLayout w:type="fixed"/>
        <w:tblCellMar>
          <w:top w:w="28" w:type="dxa"/>
          <w:left w:w="28" w:type="dxa"/>
          <w:bottom w:w="28" w:type="dxa"/>
          <w:right w:w="28" w:type="dxa"/>
        </w:tblCellMar>
      </w:tblPr>
      <w:tblGrid>
        <w:gridCol w:w="1357"/>
        <w:gridCol w:w="1192"/>
        <w:gridCol w:w="1201"/>
        <w:gridCol w:w="499"/>
        <w:gridCol w:w="499"/>
        <w:gridCol w:w="501"/>
        <w:gridCol w:w="109"/>
        <w:gridCol w:w="109"/>
        <w:gridCol w:w="109"/>
        <w:gridCol w:w="737"/>
        <w:gridCol w:w="2430"/>
        <w:gridCol w:w="583"/>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January 31, 2025</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229.09 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264.79 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233.23 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Performance Adjustment (1)</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275.23 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at October 31, 2025</w:t>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252.28 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(1)Based on Autodesk's financial results and relative total stockholder return for the fiscal 2025 performance period. The performance stock units were attained at rates ranging from 95% to 108% of the target award.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shares vested during the nine months ended October 31, 2025 and 2024, was $730 million and $634 million,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October 31, 2025, Autodesk granted 2 million restricted stock units. Restricted stock units are not considered outstanding stock at the time of grant, as the holders of these units are not entitled to any of the rights of a stockholder, including voting rights.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recorded stock-based compensation expense related to restricted stock units of $151 million and $152 million during the three months ended October 31, 2025 and 2024, respectively. Autodesk recorded stock-based compensation expense related to restricted stock units of $449 million and $432 million during the nine months ended October 31, 2025 and 2024,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October 31, 2025, Autodesk granted 332 thousand performance stock units for which the ultimate number of shares earned is determined based on the achievement of performance criteria at the end of the stated performance and service period. The performance criteria for the majority of the performance stock units are based on revenue and non-GAAP operating income less stock-based compensation expense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one, depending upon the achievement of the performance criteria for fiscal 2026 as well as 1-year Relative TSR (covering year one) or vest following year three depending the achievement of the performance criteria for fiscal 2026 as well as a 3-year Relative TSR (covering years one, two and three).</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two, depending upon the achievement of the performance criteria for fiscal 2027 as well as 2-year Relative TSR (covering years one and two) or vest following year three depending the achievement of the performance criteria for fiscal 2027 as well as a 3-year Relative TSR (covering years one, two and three).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 to one third of the performance stock units may vest following year three, depending upon the achievement of the performance criteria for fiscal 2028 as well as 3-year Relative TSR (covering years one, two and three) or vest following year three depending the achievement of the performance criteria for fiscal 2028 as well as a 3-year Relative TSR (covering years one, two and three).</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performance criteria for the performance stock units vested during the nine months ended October 31, 2025, was based on revenue and free cash flow goals adopted by the Compensation and Human Resource Committee.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stock units are not considered outstanding stock at the time of grant, as the holders of these units are not entitled to any of the rights of a stockholder, including voting rights.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recorded stock-based compensation expense related to performance stock units of $19 million and $22 million for the three months ended October 31, 2025 and 2024, respectively. Autodesk recorded stock-based compensation expense related to performance stock units of $58 million and $36 million for the nine months ended October 31, 2025 and 2024,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1998 Employee Qualified Stock Purchase Plan (“ESPP”)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summary of the ESPP activity for the nine months ended October 31, 2025 and 2024, is as follows:</w:t>
      </w:r>
    </w:p>
    <w:tbl>
      <w:tblPr>
        <w:tblW w:w="10205" w:type="dxa"/>
        <w:jc w:val="left"/>
        <w:tblInd w:w="0" w:type="dxa"/>
        <w:tblLayout w:type="fixed"/>
        <w:tblCellMar>
          <w:top w:w="28" w:type="dxa"/>
          <w:left w:w="28" w:type="dxa"/>
          <w:bottom w:w="28" w:type="dxa"/>
          <w:right w:w="28" w:type="dxa"/>
        </w:tblCellMar>
      </w:tblPr>
      <w:tblGrid>
        <w:gridCol w:w="1788"/>
        <w:gridCol w:w="1576"/>
        <w:gridCol w:w="1583"/>
        <w:gridCol w:w="218"/>
        <w:gridCol w:w="719"/>
        <w:gridCol w:w="121"/>
        <w:gridCol w:w="121"/>
        <w:gridCol w:w="121"/>
        <w:gridCol w:w="121"/>
        <w:gridCol w:w="218"/>
        <w:gridCol w:w="719"/>
        <w:gridCol w:w="121"/>
        <w:gridCol w:w="109"/>
        <w:gridCol w:w="109"/>
        <w:gridCol w:w="109"/>
        <w:gridCol w:w="210"/>
        <w:gridCol w:w="696"/>
        <w:gridCol w:w="116"/>
        <w:gridCol w:w="116"/>
        <w:gridCol w:w="116"/>
        <w:gridCol w:w="116"/>
        <w:gridCol w:w="210"/>
        <w:gridCol w:w="696"/>
        <w:gridCol w:w="176"/>
      </w:tblGrid>
      <w:tr>
        <w:trPr/>
        <w:tc>
          <w:tcPr>
            <w:tcW w:w="178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shares (in thousands)</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price of issued shares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165.89 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grant date fair value of shares granted under the ESPP (1)</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(1)Calculated as of the award grant date using the Black-Scholes Merton (“BSM”) option pricing model.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for the three and nine months ended October 31, 2025 and 2024, as follows:</w:t>
      </w:r>
    </w:p>
    <w:tbl>
      <w:tblPr>
        <w:tblW w:w="10205" w:type="dxa"/>
        <w:jc w:val="left"/>
        <w:tblInd w:w="0" w:type="dxa"/>
        <w:tblLayout w:type="fixed"/>
        <w:tblCellMar>
          <w:top w:w="28" w:type="dxa"/>
          <w:left w:w="28" w:type="dxa"/>
          <w:bottom w:w="28" w:type="dxa"/>
          <w:right w:w="28" w:type="dxa"/>
        </w:tblCellMar>
      </w:tblPr>
      <w:tblGrid>
        <w:gridCol w:w="1881"/>
        <w:gridCol w:w="1636"/>
        <w:gridCol w:w="1646"/>
        <w:gridCol w:w="320"/>
        <w:gridCol w:w="687"/>
        <w:gridCol w:w="178"/>
        <w:gridCol w:w="320"/>
        <w:gridCol w:w="687"/>
        <w:gridCol w:w="178"/>
        <w:gridCol w:w="109"/>
        <w:gridCol w:w="109"/>
        <w:gridCol w:w="109"/>
        <w:gridCol w:w="306"/>
        <w:gridCol w:w="658"/>
        <w:gridCol w:w="170"/>
        <w:gridCol w:w="306"/>
        <w:gridCol w:w="658"/>
        <w:gridCol w:w="247"/>
      </w:tblGrid>
      <w:tr>
        <w:trPr/>
        <w:tc>
          <w:tcPr>
            <w:tcW w:w="18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subscription and maintenance revenue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other revenue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related to stock awards and ESPP purchases</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516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68" w:before="0" w:after="0"/>
        <w:ind w:left="0" w:right="0" w:firstLine="495"/>
        <w:jc w:val="left"/>
        <w:rPr>
          <w:color w:val="000000"/>
        </w:rPr>
      </w:pPr>
      <w:r>
        <w:rPr>
          <w:color w:val="000000"/>
        </w:rPr>
        <w:t> </w:t>
      </w:r>
      <w:r>
        <w:rPr>
          <w:rFonts w:ascii="Times New Roman;serif" w:hAnsi="Times New Roman;serif"/>
          <w:b w:val="false"/>
          <w:color w:val="000000"/>
          <w:sz w:val="20"/>
        </w:rPr>
        <w:t>During the nine months ended October 31, 2025, Autodesk recorded $54 million in stock-based compensation expense reflecting a cumulative adjustment since fiscal 1999 related to the Company’s ESPP. The differences were not material to any prior interim or annual periods, nor to the current fiscal year.</w:t>
      </w:r>
    </w:p>
    <w:p>
      <w:pPr>
        <w:pStyle w:val="TextBody"/>
        <w:bidi w:val="0"/>
        <w:spacing w:before="0" w:after="0"/>
        <w:ind w:left="0" w:right="0" w:firstLine="495"/>
        <w:jc w:val="left"/>
        <w:rPr/>
      </w:pPr>
      <w:r>
        <w:rPr/>
      </w:r>
    </w:p>
    <w:p>
      <w:pPr>
        <w:pStyle w:val="TextBody"/>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Assumptions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53"/>
        <w:gridCol w:w="742"/>
        <w:gridCol w:w="748"/>
        <w:gridCol w:w="622"/>
        <w:gridCol w:w="622"/>
        <w:gridCol w:w="624"/>
        <w:gridCol w:w="302"/>
        <w:gridCol w:w="302"/>
        <w:gridCol w:w="302"/>
        <w:gridCol w:w="341"/>
        <w:gridCol w:w="320"/>
        <w:gridCol w:w="320"/>
        <w:gridCol w:w="109"/>
        <w:gridCol w:w="109"/>
        <w:gridCol w:w="109"/>
        <w:gridCol w:w="622"/>
        <w:gridCol w:w="622"/>
        <w:gridCol w:w="624"/>
        <w:gridCol w:w="293"/>
        <w:gridCol w:w="293"/>
        <w:gridCol w:w="293"/>
        <w:gridCol w:w="315"/>
        <w:gridCol w:w="294"/>
        <w:gridCol w:w="424"/>
      </w:tblGrid>
      <w:tr>
        <w:trPr/>
        <w:tc>
          <w:tcPr>
            <w:tcW w:w="8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2024</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Performance Stock Units </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ESPP </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volatility</w:t>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28.3 - 29.6%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29.1 - 32.0%</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lives (in years)</w:t>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dividends</w:t>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risk-free interest rates</w:t>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3.6 - 3.8%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3.6 - 4.6%</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2024</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Performance Stock Units </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ESPP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ESPP </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volatilities</w:t>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29.7 - 33.4%</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28.3 - 29.6%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29.4 - 31.4%</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28.7 - 34.5%</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expected lives (in years)</w:t>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dividends</w:t>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Range of risk-free interest rates</w:t>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3.8 - 4.1%</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3.6 - 5.4%</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range of expected lives of ESPP awards are based upon the four six-month exercise periods within a 24-month offering period.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does not currently pay, and does not anticipate paying in the foreseeable future, any cash dividends. Consequently, an expected dividend yield of zero is used in the BSM option pricing model and the Monte Carlo simulation model.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risk-free interest rate used in the BSM option pricing model and the Monte Carlo simulation model for stock-based awards is the historical yield on U.S. Treasury securities with equivalent remaining lives.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recognizes expense only for the stock-based awards that ultimately vest. Autodesk accounts for forfeitures of our stock-based awards as those forfeitures occur.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7. Income Tax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color w:val="000000"/>
        </w:rPr>
      </w:pPr>
      <w:r>
        <w:rPr>
          <w:color w:val="000000"/>
        </w:rPr>
        <w:t> </w:t>
      </w:r>
      <w:r>
        <w:rPr>
          <w:rFonts w:ascii="Times New Roman;serif" w:hAnsi="Times New Roman;serif"/>
          <w:b w:val="false"/>
          <w:color w:val="000000"/>
          <w:sz w:val="20"/>
        </w:rPr>
        <w:t>Autodesk had income tax expense of $125 million, relative to pre-tax income of $468 million for the three months ended October 31, 2025, and income tax expense of $76 million, relative to pre-tax income of $351 million for the three months ended October 31, 2024. Our effective tax rate for the three months ended October 31, 2025, differs from the U.S. federal statutory rate of 21% primarily due to tax on net controlled foreign corporation tested income (“NCTI”) and withholding tax, offset by varying tax rates on foreign earnings, tax deductible stock-based compensation, and tax credits.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Autodesk had income tax expense of $350 million, relative to pre-tax income of $1.16 billion for the nine months ended October 31, 2025, and income tax expense of $203 million, relative to pre-tax income of $1.01 billion for the nine months ended October 31, 2024. Our effective tax rate for the nine months ended October 31, 2025, differs from the U.S. federal statutory rate of 21% primarily due to tax on NCTI, a nondeductible cumulative adjustment of stock-based compensation related to the Company’s ESPP, and withholding tax, offset by varying tax rates on foreign earnings, tax deductible stock-based compensation, and tax credits.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color w:val="000000"/>
        </w:rPr>
      </w:pPr>
      <w:r>
        <w:rPr>
          <w:color w:val="000000"/>
        </w:rPr>
        <w:t> </w:t>
      </w:r>
      <w:r>
        <w:rPr>
          <w:rFonts w:ascii="Times New Roman;serif" w:hAnsi="Times New Roman;serif"/>
          <w:b w:val="false"/>
          <w:color w:val="000000"/>
          <w:sz w:val="20"/>
        </w:rPr>
        <w:t xml:space="preserve">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New Zealand, California, Massachusetts, and Michigan deferred tax assets and deferred tax assets that will convert to a capital loss upon reversal in Australia and the U.S., as we do not have sufficient income of the appropriate character to benefit from these deferred tax assets.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0"/>
        </w:rPr>
        <w:t>8</w:t>
      </w:r>
      <w:r>
        <w:rPr>
          <w:rFonts w:ascii="Times New Roman;serif" w:hAnsi="Times New Roman;serif"/>
          <w:b w:val="false"/>
          <w:color w:val="000000"/>
          <w:sz w:val="20"/>
        </w:rPr>
        <w:t xml:space="preserve">. </w:t>
      </w:r>
      <w:r>
        <w:rPr>
          <w:rFonts w:ascii="Times New Roman;serif" w:hAnsi="Times New Roman;serif"/>
          <w:b/>
          <w:i/>
          <w:color w:val="000000"/>
          <w:sz w:val="20"/>
        </w:rPr>
        <w:t xml:space="preserve">Intangible Assets, Net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intangible assets, net, as of October 31, 2025, and January 31, 2025:</w:t>
      </w:r>
    </w:p>
    <w:tbl>
      <w:tblPr>
        <w:tblW w:w="7492" w:type="dxa"/>
        <w:jc w:val="left"/>
        <w:tblInd w:w="0" w:type="dxa"/>
        <w:tblLayout w:type="fixed"/>
        <w:tblCellMar>
          <w:top w:w="28" w:type="dxa"/>
          <w:left w:w="28" w:type="dxa"/>
          <w:bottom w:w="28" w:type="dxa"/>
          <w:right w:w="28" w:type="dxa"/>
        </w:tblCellMar>
      </w:tblPr>
      <w:tblGrid>
        <w:gridCol w:w="675"/>
        <w:gridCol w:w="591"/>
        <w:gridCol w:w="594"/>
        <w:gridCol w:w="437"/>
        <w:gridCol w:w="1240"/>
        <w:gridCol w:w="243"/>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patents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90"/>
        <w:jc w:val="left"/>
        <w:rPr/>
      </w:pPr>
      <w:r>
        <w:rPr/>
      </w:r>
    </w:p>
    <w:tbl>
      <w:tblPr>
        <w:tblW w:w="7492" w:type="dxa"/>
        <w:jc w:val="left"/>
        <w:tblInd w:w="0" w:type="dxa"/>
        <w:tblLayout w:type="fixed"/>
        <w:tblCellMar>
          <w:top w:w="28" w:type="dxa"/>
          <w:left w:w="28" w:type="dxa"/>
          <w:bottom w:w="28" w:type="dxa"/>
          <w:right w:w="28" w:type="dxa"/>
        </w:tblCellMar>
      </w:tblPr>
      <w:tblGrid>
        <w:gridCol w:w="675"/>
        <w:gridCol w:w="591"/>
        <w:gridCol w:w="594"/>
        <w:gridCol w:w="437"/>
        <w:gridCol w:w="1240"/>
        <w:gridCol w:w="243"/>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patents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9. Cloud Computing Arrangements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$371 million and $327 million at October 31, 2025, and January 31, 2025, respectively. Accumulated amortization was $163 million and $136 million at October 31, 2025, and January 31, 2025, respectively. Amortization expense for the three months ended October 31, 2025 and 2024, was $11 million and $15 million, respectively. Amortization expense for the nine months ended October 31, 2025 and 2024, was $31 million and $45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10</w:t>
      </w:r>
      <w:r>
        <w:rPr>
          <w:rFonts w:ascii="Times New Roman;serif" w:hAnsi="Times New Roman;serif"/>
          <w:b w:val="false"/>
          <w:color w:val="000000"/>
          <w:sz w:val="20"/>
        </w:rPr>
        <w:t xml:space="preserve">. </w:t>
      </w:r>
      <w:r>
        <w:rPr>
          <w:rFonts w:ascii="Times New Roman;serif" w:hAnsi="Times New Roman;serif"/>
          <w:b/>
          <w:i/>
          <w:color w:val="000000"/>
          <w:sz w:val="20"/>
        </w:rPr>
        <w:t xml:space="preserve">Goodwill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consists of the excess of the consideration transferred over the fair value of net assets acquired in business combinations. The following table summarizes the changes in the carrying amount of goodwill for the nine months ended October 31, 2025, (in millions):</w:t>
      </w:r>
    </w:p>
    <w:p>
      <w:pPr>
        <w:pStyle w:val="TextBody"/>
        <w:bidi w:val="0"/>
        <w:spacing w:lineRule="auto" w:line="288" w:before="0" w:after="0"/>
        <w:jc w:val="left"/>
        <w:rPr>
          <w:color w:val="000000"/>
        </w:rPr>
      </w:pPr>
      <w:r>
        <w:rPr>
          <w:color w:val="000000"/>
        </w:rPr>
        <w:t> </w:t>
      </w:r>
    </w:p>
    <w:tbl>
      <w:tblPr>
        <w:tblW w:w="3680" w:type="dxa"/>
        <w:jc w:val="left"/>
        <w:tblInd w:w="0" w:type="dxa"/>
        <w:tblLayout w:type="fixed"/>
        <w:tblCellMar>
          <w:top w:w="28" w:type="dxa"/>
          <w:left w:w="28" w:type="dxa"/>
          <w:bottom w:w="28" w:type="dxa"/>
          <w:right w:w="28" w:type="dxa"/>
        </w:tblCellMar>
      </w:tblPr>
      <w:tblGrid>
        <w:gridCol w:w="1005"/>
        <w:gridCol w:w="882"/>
        <w:gridCol w:w="887"/>
        <w:gridCol w:w="196"/>
        <w:gridCol w:w="55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31, 2025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foreign currency translation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October 31, 2025 (1)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(1)Accumulated impairment losses as of both January 31, 2025 and October 31, 2025, were $149 million.</w:t>
      </w:r>
    </w:p>
    <w:p>
      <w:pPr>
        <w:pStyle w:val="TextBody"/>
        <w:bidi w:val="0"/>
        <w:spacing w:lineRule="auto" w:line="288" w:before="0" w:after="0"/>
        <w:ind w:left="0" w:right="0" w:hanging="9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11. Deferred Compensation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October 31, 2025, Autodesk had investments in debt and equity securities that are held in a rabbi trust under non-qualified deferred compensation plans and a corresponding deferred compensation liability totaling $139 million. Of this amount, $14 million was classified as current and $125 million was classified as non-current in the Condensed Consolidated Balance Sheets. Of the $118 million related to the investments in a rabbi trust as of January 31, 2025, $12 million was classified as current and $106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Costs to obtain a contract with a customer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Sales commissions earned by our internal sales personnel and our solution providers are considered incremental and recoverable costs of obtaining a contract with a customer. The ending balance of assets recognized from costs to obtain a contract with a customer was $755 million as of October 31, 2025, and $467 million as of January 31, 2025. These assets are recorded in “Prepaid expenses and other current assets” and “Long-term other assets” in the Condensed Consolidated Balance Sheet. Of the total amount as of October 31, 2025, $417 million was recorded in “Prepaid expenses and other current assets” and $338 million was recorded in “Long-term other assets” in the Condensed Consolidated Balance Sheets. Amortization expense related to assets recognized from costs to obtain a contract with a customer was $145 million and $364 million during the three and nine months ended October 31, 2025, respectively. Amortization expense related to assets recognized from costs to obtain a contract with a customer was $51 million and $136 million during the three and nine months ended October 31, 2024, respectively. Autodesk did not recognize any contract cost impairment losses during the three and nine months ended October 31,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12. Computer Equipment, Software, Furniture, and Leasehold Improvements, Net </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Computer equipment, software, furniture and equipment, and leasehold improvements, and the related accumulated depreciation were as follows:</w:t>
      </w:r>
      <w:r>
        <w:rPr>
          <w:color w:val="000000"/>
        </w:rPr>
        <w:t> </w:t>
      </w:r>
    </w:p>
    <w:tbl>
      <w:tblPr>
        <w:tblW w:w="8559" w:type="dxa"/>
        <w:jc w:val="left"/>
        <w:tblInd w:w="0" w:type="dxa"/>
        <w:tblLayout w:type="fixed"/>
        <w:tblCellMar>
          <w:top w:w="28" w:type="dxa"/>
          <w:left w:w="28" w:type="dxa"/>
          <w:bottom w:w="28" w:type="dxa"/>
          <w:right w:w="28" w:type="dxa"/>
        </w:tblCellMar>
      </w:tblPr>
      <w:tblGrid>
        <w:gridCol w:w="1961"/>
        <w:gridCol w:w="1723"/>
        <w:gridCol w:w="1730"/>
        <w:gridCol w:w="372"/>
        <w:gridCol w:w="800"/>
        <w:gridCol w:w="207"/>
        <w:gridCol w:w="109"/>
        <w:gridCol w:w="109"/>
        <w:gridCol w:w="109"/>
        <w:gridCol w:w="365"/>
        <w:gridCol w:w="785"/>
        <w:gridCol w:w="289"/>
      </w:tblGrid>
      <w:tr>
        <w:trPr/>
        <w:tc>
          <w:tcPr>
            <w:tcW w:w="196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hardware, at cost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at cost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 at cost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 land and buildings, at cost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software, furniture, and leasehold improvements, net</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13. Borrowing Arrangements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terminated its previous credit agreement and entered into a new Credit Agreement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2025 Credit Agreement requires the Company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At October 31, 2025, Autodesk was in compliance with the 2025 Credit Agreement covenants. Revolving loans under the 2025 Credit Agreement will bear interest, at the Company’s option, at either (i) a per annum rate equal to the Base Rate (as defined in the 2025 Credit Agreement) or (ii) a per annum rate equal to the rate at which dollar deposits are offered in the Secured Overnight Financing Rate, plus a margin of between 0.575% and 1.000%, depending on the Company’s Public Debt Rating. The Company is also obligated to pay to each lender a facility fee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October 31, 2025, Autodesk had no outstanding borrowings under the 2025 Credit Agreement.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outstanding borrowings as of October 31, 2025, were as follows:</w:t>
      </w:r>
    </w:p>
    <w:tbl>
      <w:tblPr>
        <w:tblW w:w="7858" w:type="dxa"/>
        <w:jc w:val="left"/>
        <w:tblInd w:w="0" w:type="dxa"/>
        <w:tblLayout w:type="fixed"/>
        <w:tblCellMar>
          <w:top w:w="28" w:type="dxa"/>
          <w:left w:w="28" w:type="dxa"/>
          <w:bottom w:w="28" w:type="dxa"/>
          <w:right w:w="28" w:type="dxa"/>
        </w:tblCellMar>
      </w:tblPr>
      <w:tblGrid>
        <w:gridCol w:w="1435"/>
        <w:gridCol w:w="1257"/>
        <w:gridCol w:w="1267"/>
        <w:gridCol w:w="429"/>
        <w:gridCol w:w="429"/>
        <w:gridCol w:w="431"/>
        <w:gridCol w:w="809"/>
        <w:gridCol w:w="449"/>
        <w:gridCol w:w="452"/>
        <w:gridCol w:w="384"/>
        <w:gridCol w:w="213"/>
        <w:gridCol w:w="303"/>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Instrument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Issuance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Principal Outstanding</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5.30% senior notes due June 15, 2035 (1)</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2025</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2.40% senior notes due December 15, 2031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2021</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January 15, 2030</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2020</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notes due June 15, 2027</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2017</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outstanding</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 (2)</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(1)A portion of the proceeds of the senior notes was used for the repayment of $300 million of 4.375% notes due June 15, 2025, and the remainder is available for general corporate purposes.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(2)Both the debt discount and issuance costs are being amortized to interest expense over the term of the senior notes using the effective interest method.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June 2025 Notes, October 2021 Notes, January 2020 Notes, and the June 2017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expected future principal payments for all borrowings as of October 31, 2025, were as follows (in millions):</w:t>
      </w:r>
    </w:p>
    <w:tbl>
      <w:tblPr>
        <w:tblW w:w="3569" w:type="dxa"/>
        <w:jc w:val="center"/>
        <w:tblInd w:w="0" w:type="dxa"/>
        <w:tblLayout w:type="fixed"/>
        <w:tblCellMar>
          <w:top w:w="28" w:type="dxa"/>
          <w:left w:w="28" w:type="dxa"/>
          <w:bottom w:w="28" w:type="dxa"/>
          <w:right w:w="28" w:type="dxa"/>
        </w:tblCellMar>
      </w:tblPr>
      <w:tblGrid>
        <w:gridCol w:w="725"/>
        <w:gridCol w:w="638"/>
        <w:gridCol w:w="646"/>
        <w:gridCol w:w="196"/>
        <w:gridCol w:w="556"/>
        <w:gridCol w:w="109"/>
        <w:gridCol w:w="109"/>
        <w:gridCol w:w="109"/>
        <w:gridCol w:w="109"/>
        <w:gridCol w:w="109"/>
        <w:gridCol w:w="109"/>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ending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outstanding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14</w:t>
      </w:r>
      <w:r>
        <w:rPr>
          <w:rFonts w:ascii="Times New Roman;serif" w:hAnsi="Times New Roman;serif"/>
          <w:b w:val="false"/>
          <w:color w:val="000000"/>
          <w:sz w:val="20"/>
        </w:rPr>
        <w:t xml:space="preserve">. </w:t>
      </w:r>
      <w:r>
        <w:rPr>
          <w:rFonts w:ascii="Times New Roman;serif" w:hAnsi="Times New Roman;serif"/>
          <w:b/>
          <w:i/>
          <w:color w:val="000000"/>
          <w:sz w:val="20"/>
        </w:rPr>
        <w:t xml:space="preserve">Leases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Autodesk has operating leases for real estate and certain equipment. Leases have remaining lease terms of less than 1 year to 64 years, some of which include options to extend the lease with renewal terms ranging from 1 year to 5 years</w:t>
      </w:r>
      <w:r>
        <w:rPr>
          <w:color w:val="0070C0"/>
        </w:rPr>
        <w:t xml:space="preserve"> </w:t>
      </w:r>
      <w:r>
        <w:rPr>
          <w:rFonts w:ascii="Times New Roman;serif" w:hAnsi="Times New Roman;serif"/>
          <w:b w:val="false"/>
          <w:color w:val="000000"/>
          <w:sz w:val="20"/>
        </w:rPr>
        <w:t xml:space="preserve">and some of which include options to terminate the leases within less than 1 year to 4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During the three and nine months ended</w:t>
      </w:r>
      <w:r>
        <w:rPr>
          <w:color w:val="000000"/>
        </w:rPr>
        <w:t xml:space="preserve"> </w:t>
      </w:r>
      <w:r>
        <w:rPr>
          <w:rFonts w:ascii="Times New Roman;serif" w:hAnsi="Times New Roman;serif"/>
          <w:b w:val="false"/>
          <w:color w:val="000000"/>
          <w:sz w:val="18"/>
        </w:rPr>
        <w:t>October 31, 2025, A</w:t>
      </w:r>
      <w:r>
        <w:rPr>
          <w:rFonts w:ascii="Times New Roman;serif" w:hAnsi="Times New Roman;serif"/>
          <w:b w:val="false"/>
          <w:color w:val="000000"/>
          <w:sz w:val="20"/>
        </w:rPr>
        <w:t xml:space="preserve">utodesk recorded total operating lease right-of-use assets impairment charges of $1 million and $12 million, respectively. Autodesk did not recognize any charges during the three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nine months ended October 31, 2024.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in our Annual Report on Form 10-K for the fiscal year ended January 31, 2025. The operating lease right-of-use assets impairment charges are included in “Restructuring, other exit costs, and facility reductions” in the Company’s Condensed Consolidated Statements of Operations. See Note 16, “Restructuring, Other Exit Costs, and Facility Reductions” for more details.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operating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851"/>
        <w:gridCol w:w="2466"/>
        <w:gridCol w:w="2483"/>
        <w:gridCol w:w="286"/>
        <w:gridCol w:w="484"/>
        <w:gridCol w:w="159"/>
        <w:gridCol w:w="159"/>
        <w:gridCol w:w="159"/>
        <w:gridCol w:w="159"/>
        <w:gridCol w:w="286"/>
        <w:gridCol w:w="484"/>
        <w:gridCol w:w="229"/>
      </w:tblGrid>
      <w:tr>
        <w:trPr/>
        <w:tc>
          <w:tcPr>
            <w:tcW w:w="2851"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 included in operating cash flows (1)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operating lease liabilities arising from obtaining operating lease right-of-use assets and lease modifications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color w:val="000000"/>
        </w:rPr>
      </w:pPr>
      <w:r>
        <w:rPr>
          <w:color w:val="000000"/>
        </w:rPr>
        <w:t>  </w:t>
      </w:r>
      <w:r>
        <w:rPr>
          <w:rFonts w:ascii="Times New Roman;serif" w:hAnsi="Times New Roman;serif"/>
          <w:b w:val="false"/>
          <w:color w:val="000000"/>
          <w:sz w:val="20"/>
        </w:rPr>
        <w:t>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$8 million and $10 million in variable lease payments for the nine months ended October 31, 2025 and 2024, respectively, not included in “Operating lease liabilities” and “Long-term operating lease liabilities” on the Condensed Consolidated Balance Sheets.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were as follows:</w:t>
      </w:r>
    </w:p>
    <w:tbl>
      <w:tblPr>
        <w:tblW w:w="3800" w:type="dxa"/>
        <w:jc w:val="left"/>
        <w:tblInd w:w="0" w:type="dxa"/>
        <w:tblLayout w:type="fixed"/>
        <w:tblCellMar>
          <w:top w:w="28" w:type="dxa"/>
          <w:left w:w="28" w:type="dxa"/>
          <w:bottom w:w="28" w:type="dxa"/>
          <w:right w:w="28" w:type="dxa"/>
        </w:tblCellMar>
      </w:tblPr>
      <w:tblGrid>
        <w:gridCol w:w="1094"/>
        <w:gridCol w:w="963"/>
        <w:gridCol w:w="972"/>
        <w:gridCol w:w="196"/>
        <w:gridCol w:w="421"/>
        <w:gridCol w:w="154"/>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ending</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lease amounts in the table above do not include sublease income payments of $57 million. Autodesk expects to receive sublease income payments of approximately $37 million for remaining fiscal 2026 through fiscal 2030 and $20 million thereafter.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October 31, 2025, Autodesk had no material additional operating lease minimum lease payments for executed leases that have not yet commenced.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15. Derivative Instruments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effects of derivatives designated as hedging instruments on Autodesk’s Condensed Consolidated Statements of Operations were as follows for the three and nine months ended October 31, 2025 and 2024 (amounts presented include any income tax effects):</w:t>
      </w:r>
    </w:p>
    <w:tbl>
      <w:tblPr>
        <w:tblW w:w="10205" w:type="dxa"/>
        <w:jc w:val="left"/>
        <w:tblInd w:w="0" w:type="dxa"/>
        <w:tblLayout w:type="fixed"/>
        <w:tblCellMar>
          <w:top w:w="28" w:type="dxa"/>
          <w:left w:w="28" w:type="dxa"/>
          <w:bottom w:w="28" w:type="dxa"/>
          <w:right w:w="28" w:type="dxa"/>
        </w:tblCellMar>
      </w:tblPr>
      <w:tblGrid>
        <w:gridCol w:w="2035"/>
        <w:gridCol w:w="1777"/>
        <w:gridCol w:w="1781"/>
        <w:gridCol w:w="245"/>
        <w:gridCol w:w="484"/>
        <w:gridCol w:w="136"/>
        <w:gridCol w:w="136"/>
        <w:gridCol w:w="136"/>
        <w:gridCol w:w="136"/>
        <w:gridCol w:w="245"/>
        <w:gridCol w:w="484"/>
        <w:gridCol w:w="136"/>
        <w:gridCol w:w="109"/>
        <w:gridCol w:w="109"/>
        <w:gridCol w:w="109"/>
        <w:gridCol w:w="238"/>
        <w:gridCol w:w="470"/>
        <w:gridCol w:w="132"/>
        <w:gridCol w:w="132"/>
        <w:gridCol w:w="132"/>
        <w:gridCol w:w="132"/>
        <w:gridCol w:w="238"/>
        <w:gridCol w:w="470"/>
        <w:gridCol w:w="203"/>
      </w:tblGrid>
      <w:tr>
        <w:trPr/>
        <w:tc>
          <w:tcPr>
            <w:tcW w:w="203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5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Amount of loss recognized in accumulated other comprehensive income, net of tax,</w:t>
            </w:r>
            <w:r>
              <w:rPr>
                <w:color w:val="000000"/>
                <w:shd w:fill="CCEEFF" w:val="clear"/>
              </w:rPr>
              <w:t xml:space="preserve"> </w:t>
            </w:r>
            <w:r>
              <w:rPr>
                <w:rFonts w:ascii="Times New Roman;serif" w:hAnsi="Times New Roman;serif"/>
                <w:b w:val="false"/>
                <w:color w:val="000000"/>
                <w:sz w:val="18"/>
                <w:shd w:fill="CCEEFF" w:val="clear"/>
              </w:rPr>
              <w:t>(effective portion)</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and location of gain (loss) reclassified from accumulated other comprehensive loss into income (effective portion)</w:t>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 and location of gains or losses recognized in net income of derivatives not designated as hedging instruments on Autodesk’s Condensed Consolidated Statements of Operations were as follows for the three and nine months ended October 31, 2025 and 2024, (amounts presented include any income tax effects):</w:t>
      </w:r>
    </w:p>
    <w:tbl>
      <w:tblPr>
        <w:tblW w:w="7970" w:type="dxa"/>
        <w:jc w:val="left"/>
        <w:tblInd w:w="0" w:type="dxa"/>
        <w:tblLayout w:type="fixed"/>
        <w:tblCellMar>
          <w:top w:w="28" w:type="dxa"/>
          <w:left w:w="28" w:type="dxa"/>
          <w:bottom w:w="28" w:type="dxa"/>
          <w:right w:w="28" w:type="dxa"/>
        </w:tblCellMar>
      </w:tblPr>
      <w:tblGrid>
        <w:gridCol w:w="962"/>
        <w:gridCol w:w="842"/>
        <w:gridCol w:w="851"/>
        <w:gridCol w:w="348"/>
        <w:gridCol w:w="428"/>
        <w:gridCol w:w="193"/>
        <w:gridCol w:w="193"/>
        <w:gridCol w:w="193"/>
        <w:gridCol w:w="193"/>
        <w:gridCol w:w="348"/>
        <w:gridCol w:w="428"/>
        <w:gridCol w:w="193"/>
        <w:gridCol w:w="109"/>
        <w:gridCol w:w="109"/>
        <w:gridCol w:w="109"/>
        <w:gridCol w:w="297"/>
        <w:gridCol w:w="617"/>
        <w:gridCol w:w="165"/>
        <w:gridCol w:w="165"/>
        <w:gridCol w:w="165"/>
        <w:gridCol w:w="165"/>
        <w:gridCol w:w="297"/>
        <w:gridCol w:w="366"/>
        <w:gridCol w:w="234"/>
      </w:tblGrid>
      <w:tr>
        <w:trPr/>
        <w:tc>
          <w:tcPr>
            <w:tcW w:w="9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(loss) income, net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5, “Financial Instruments” for the fair values of derivative instruments in Autodesk’s Condensed Consolidated Balance Sheets as of October 31, 2025, and January 31, 2025.</w:t>
      </w:r>
    </w:p>
    <w:p>
      <w:pPr>
        <w:pStyle w:val="TextBody"/>
        <w:bidi w:val="0"/>
        <w:spacing w:before="0" w:after="0"/>
        <w:jc w:val="left"/>
        <w:rPr/>
      </w:pPr>
      <w:r>
        <w:rPr/>
      </w:r>
    </w:p>
    <w:p>
      <w:pPr>
        <w:pStyle w:val="TextBody"/>
        <w:bidi w:val="0"/>
        <w:spacing w:lineRule="auto" w:line="288" w:before="0" w:after="0"/>
        <w:ind w:left="0" w:right="0" w:firstLine="225"/>
        <w:jc w:val="left"/>
        <w:rPr/>
      </w:pPr>
      <w:r>
        <w:rPr>
          <w:rFonts w:ascii="Times New Roman;serif" w:hAnsi="Times New Roman;serif"/>
          <w:b w:val="false"/>
          <w:i/>
          <w:color w:val="000000"/>
          <w:sz w:val="20"/>
        </w:rPr>
        <w:t>Foreign currency contracts designated as cash flow hedges</w:t>
      </w:r>
      <w:r>
        <w:rPr>
          <w:color w:val="00000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$1.75 billion at October 31, 2025, and $1.52 billion at January 31, 2025. Outstanding contracts are recognized as either assets or liabilities on the Company's Condensed Consolidated Balance Sheet at fair value. The majority of the net loss of $15 million remaining in “Accumulated other comprehensive loss” as of October 31, 2025, is expected to be recognized into earnings within the next 24 months.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Derivatives not designated as hedging instruments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$487 million at October 31, 2025, and $1.14 billion at January 31, 2025.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16. Restructuring, Other Exit Costs, and Facility Reductions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Autodesk initiated a restructuring plan (“2026 Plan”) to support Autodesk's initiatives to optimize its go-to-market organization and, at the same time, to reallocate resources to Autodesk’s strategic priorities of investments in cloud, platform and artificial intelligence. With this restructuring plan, Autodesk is realigning roles to maximize talent investments and to distribute critical expertise globally. The 2026 Plan is substantially complete as of October 31, 2025.</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restructuring and other exit costs liability as of October 31, 2025:</w:t>
      </w:r>
    </w:p>
    <w:tbl>
      <w:tblPr>
        <w:tblW w:w="9736" w:type="dxa"/>
        <w:jc w:val="left"/>
        <w:tblInd w:w="0" w:type="dxa"/>
        <w:tblLayout w:type="fixed"/>
        <w:tblCellMar>
          <w:top w:w="28" w:type="dxa"/>
          <w:left w:w="28" w:type="dxa"/>
          <w:bottom w:w="28" w:type="dxa"/>
          <w:right w:w="28" w:type="dxa"/>
        </w:tblCellMar>
      </w:tblPr>
      <w:tblGrid>
        <w:gridCol w:w="869"/>
        <w:gridCol w:w="763"/>
        <w:gridCol w:w="768"/>
        <w:gridCol w:w="650"/>
        <w:gridCol w:w="1099"/>
        <w:gridCol w:w="365"/>
        <w:gridCol w:w="109"/>
        <w:gridCol w:w="109"/>
        <w:gridCol w:w="109"/>
        <w:gridCol w:w="323"/>
        <w:gridCol w:w="546"/>
        <w:gridCol w:w="180"/>
        <w:gridCol w:w="109"/>
        <w:gridCol w:w="109"/>
        <w:gridCol w:w="109"/>
        <w:gridCol w:w="214"/>
        <w:gridCol w:w="496"/>
        <w:gridCol w:w="120"/>
        <w:gridCol w:w="109"/>
        <w:gridCol w:w="109"/>
        <w:gridCol w:w="109"/>
        <w:gridCol w:w="109"/>
        <w:gridCol w:w="109"/>
        <w:gridCol w:w="709"/>
        <w:gridCol w:w="872"/>
        <w:gridCol w:w="563"/>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October 31,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terminations costs (1)</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exit costs (2)</w:t>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Recorded in the Condensed Consolidated Balance Sheets under “Accrued compensation."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Recorded in the Condensed Consolidated Balance Sheets under “Accounts payable."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Recorded in the Condensed Consolidated Statements of Operations under “Restructuring, other exit costs, and facility reductions”.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October 31, 2025, Autodesk recorded $1 million and $12 million in lease right-of-use assets impairments and $1 million and $7 million in impairment charges to computer equipment, software, furniture, and leasehold improvements for facility reductions, respectively, related to the 2026 Plan. These costs are included in “Restructuring, other exit costs, and facility reductions” on the Company's Condensed Consolidated Statements of Operations.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17. Commitments and Contingencies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Guarantees and Indemnifications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On July 18, 2025, the Court granted defendants’ motion to dismiss with leave to amend. On August 8, 2025, plaintiffs filed an amended complaint, which purports to assert claims under Sections 10(b) and 20(a) of the Exchange 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Rule 10b-5 promulgated thereunder. Defendants’ motion to dismiss the complaint was filed on August 29, 2025. At this stage, the Company cannot reasonably estimate the amount of any possible financial loss that could result from this matter.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18. Stockholders' Equity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stockholders' equity by component, net of tax, for the nine months ended October 31, 2025, are as follows: </w:t>
      </w:r>
    </w:p>
    <w:tbl>
      <w:tblPr>
        <w:tblW w:w="10205" w:type="dxa"/>
        <w:jc w:val="center"/>
        <w:tblInd w:w="0" w:type="dxa"/>
        <w:tblLayout w:type="fixed"/>
        <w:tblCellMar>
          <w:top w:w="28" w:type="dxa"/>
          <w:left w:w="28" w:type="dxa"/>
          <w:bottom w:w="28" w:type="dxa"/>
          <w:right w:w="28" w:type="dxa"/>
        </w:tblCellMar>
      </w:tblPr>
      <w:tblGrid>
        <w:gridCol w:w="938"/>
        <w:gridCol w:w="621"/>
        <w:gridCol w:w="625"/>
        <w:gridCol w:w="242"/>
        <w:gridCol w:w="237"/>
        <w:gridCol w:w="163"/>
        <w:gridCol w:w="163"/>
        <w:gridCol w:w="163"/>
        <w:gridCol w:w="163"/>
        <w:gridCol w:w="293"/>
        <w:gridCol w:w="833"/>
        <w:gridCol w:w="163"/>
        <w:gridCol w:w="109"/>
        <w:gridCol w:w="109"/>
        <w:gridCol w:w="109"/>
        <w:gridCol w:w="494"/>
        <w:gridCol w:w="1101"/>
        <w:gridCol w:w="276"/>
        <w:gridCol w:w="109"/>
        <w:gridCol w:w="109"/>
        <w:gridCol w:w="109"/>
        <w:gridCol w:w="283"/>
        <w:gridCol w:w="827"/>
        <w:gridCol w:w="158"/>
        <w:gridCol w:w="109"/>
        <w:gridCol w:w="109"/>
        <w:gridCol w:w="109"/>
        <w:gridCol w:w="318"/>
        <w:gridCol w:w="903"/>
        <w:gridCol w:w="260"/>
      </w:tblGrid>
      <w:tr>
        <w:trPr/>
        <w:tc>
          <w:tcPr>
            <w:tcW w:w="93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2184" w:type="dxa"/>
            <w:gridSpan w:val="3"/>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shares issued under stock plans </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April 30,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Repurchase and retirement of common shares (1) </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October 31, 2025</w:t>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(1)During the three and nine months ended October 31, 2025, Autodesk repurchased 1 million and 3 million shares at an average repurchase price of $306.35 and $290.04 per share, respectively. At October 31, 2025, $2.81 billion and $5 billion remained available for repurchase under the November 2022 and November 2024 repurchase programs approved by the Board of Directors, respectively.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stockholders' equity by component, net of tax, for the nine months ended October 31, 2024, are as follows:</w:t>
      </w:r>
    </w:p>
    <w:tbl>
      <w:tblPr>
        <w:tblW w:w="10205" w:type="dxa"/>
        <w:jc w:val="center"/>
        <w:tblInd w:w="0" w:type="dxa"/>
        <w:tblLayout w:type="fixed"/>
        <w:tblCellMar>
          <w:top w:w="28" w:type="dxa"/>
          <w:left w:w="28" w:type="dxa"/>
          <w:bottom w:w="28" w:type="dxa"/>
          <w:right w:w="28" w:type="dxa"/>
        </w:tblCellMar>
      </w:tblPr>
      <w:tblGrid>
        <w:gridCol w:w="1096"/>
        <w:gridCol w:w="645"/>
        <w:gridCol w:w="649"/>
        <w:gridCol w:w="242"/>
        <w:gridCol w:w="237"/>
        <w:gridCol w:w="157"/>
        <w:gridCol w:w="157"/>
        <w:gridCol w:w="157"/>
        <w:gridCol w:w="157"/>
        <w:gridCol w:w="283"/>
        <w:gridCol w:w="804"/>
        <w:gridCol w:w="157"/>
        <w:gridCol w:w="109"/>
        <w:gridCol w:w="109"/>
        <w:gridCol w:w="109"/>
        <w:gridCol w:w="474"/>
        <w:gridCol w:w="1057"/>
        <w:gridCol w:w="265"/>
        <w:gridCol w:w="109"/>
        <w:gridCol w:w="109"/>
        <w:gridCol w:w="109"/>
        <w:gridCol w:w="275"/>
        <w:gridCol w:w="802"/>
        <w:gridCol w:w="153"/>
        <w:gridCol w:w="109"/>
        <w:gridCol w:w="109"/>
        <w:gridCol w:w="109"/>
        <w:gridCol w:w="313"/>
        <w:gridCol w:w="889"/>
        <w:gridCol w:w="255"/>
      </w:tblGrid>
      <w:tr>
        <w:trPr/>
        <w:tc>
          <w:tcPr>
            <w:tcW w:w="109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39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r>
      <w:tr>
        <w:trPr/>
        <w:tc>
          <w:tcPr>
            <w:tcW w:w="239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5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2024</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liability-classified restricted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April 30, 2024</w:t>
            </w:r>
          </w:p>
        </w:tc>
        <w:tc>
          <w:tcPr>
            <w:tcW w:w="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July 31, 2024</w:t>
            </w:r>
          </w:p>
        </w:tc>
        <w:tc>
          <w:tcPr>
            <w:tcW w:w="4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issued under stock plans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shares (1)</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October 31, 2024</w:t>
            </w:r>
          </w:p>
        </w:tc>
        <w:tc>
          <w:tcPr>
            <w:tcW w:w="4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(1)During the three and nine months ended October 31, 2024, Autodesk repurchased 1.2 million and 1.7 million shares at an average repurchase price of $269.30 and $262.15 per share, respectively. At October 31, 2024, $4.3 billion remained available for repurchase under the November 2022 repurchase program approved by the Board of Directors.</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19. Accumulated Other Comprehensive Loss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taxes, consisted of the following at October 31, 2025:</w:t>
      </w:r>
    </w:p>
    <w:tbl>
      <w:tblPr>
        <w:tblW w:w="10205" w:type="dxa"/>
        <w:jc w:val="center"/>
        <w:tblInd w:w="0" w:type="dxa"/>
        <w:tblLayout w:type="fixed"/>
        <w:tblCellMar>
          <w:top w:w="28" w:type="dxa"/>
          <w:left w:w="28" w:type="dxa"/>
          <w:bottom w:w="28" w:type="dxa"/>
          <w:right w:w="28" w:type="dxa"/>
        </w:tblCellMar>
      </w:tblPr>
      <w:tblGrid>
        <w:gridCol w:w="915"/>
        <w:gridCol w:w="475"/>
        <w:gridCol w:w="479"/>
        <w:gridCol w:w="453"/>
        <w:gridCol w:w="799"/>
        <w:gridCol w:w="254"/>
        <w:gridCol w:w="109"/>
        <w:gridCol w:w="109"/>
        <w:gridCol w:w="109"/>
        <w:gridCol w:w="628"/>
        <w:gridCol w:w="1060"/>
        <w:gridCol w:w="350"/>
        <w:gridCol w:w="109"/>
        <w:gridCol w:w="109"/>
        <w:gridCol w:w="109"/>
        <w:gridCol w:w="390"/>
        <w:gridCol w:w="690"/>
        <w:gridCol w:w="219"/>
        <w:gridCol w:w="109"/>
        <w:gridCol w:w="109"/>
        <w:gridCol w:w="109"/>
        <w:gridCol w:w="365"/>
        <w:gridCol w:w="812"/>
        <w:gridCol w:w="204"/>
        <w:gridCol w:w="109"/>
        <w:gridCol w:w="109"/>
        <w:gridCol w:w="109"/>
        <w:gridCol w:w="196"/>
        <w:gridCol w:w="446"/>
        <w:gridCol w:w="162"/>
      </w:tblGrid>
      <w:tr>
        <w:trPr/>
        <w:tc>
          <w:tcPr>
            <w:tcW w:w="9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2025</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loss reclassified from accumulated other comprehensive loss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(loss) income</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October 31, 2025</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taxes, consisted of the following at October 31, 2024:</w:t>
      </w:r>
    </w:p>
    <w:tbl>
      <w:tblPr>
        <w:tblW w:w="10205" w:type="dxa"/>
        <w:jc w:val="left"/>
        <w:tblInd w:w="0" w:type="dxa"/>
        <w:tblLayout w:type="fixed"/>
        <w:tblCellMar>
          <w:top w:w="28" w:type="dxa"/>
          <w:left w:w="28" w:type="dxa"/>
          <w:bottom w:w="28" w:type="dxa"/>
          <w:right w:w="28" w:type="dxa"/>
        </w:tblCellMar>
      </w:tblPr>
      <w:tblGrid>
        <w:gridCol w:w="915"/>
        <w:gridCol w:w="475"/>
        <w:gridCol w:w="479"/>
        <w:gridCol w:w="464"/>
        <w:gridCol w:w="784"/>
        <w:gridCol w:w="258"/>
        <w:gridCol w:w="109"/>
        <w:gridCol w:w="109"/>
        <w:gridCol w:w="109"/>
        <w:gridCol w:w="628"/>
        <w:gridCol w:w="1060"/>
        <w:gridCol w:w="350"/>
        <w:gridCol w:w="109"/>
        <w:gridCol w:w="109"/>
        <w:gridCol w:w="109"/>
        <w:gridCol w:w="390"/>
        <w:gridCol w:w="690"/>
        <w:gridCol w:w="219"/>
        <w:gridCol w:w="109"/>
        <w:gridCol w:w="109"/>
        <w:gridCol w:w="109"/>
        <w:gridCol w:w="365"/>
        <w:gridCol w:w="812"/>
        <w:gridCol w:w="204"/>
        <w:gridCol w:w="109"/>
        <w:gridCol w:w="109"/>
        <w:gridCol w:w="109"/>
        <w:gridCol w:w="196"/>
        <w:gridCol w:w="446"/>
        <w:gridCol w:w="162"/>
      </w:tblGrid>
      <w:tr>
        <w:trPr/>
        <w:tc>
          <w:tcPr>
            <w:tcW w:w="9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January 31, 2024</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loss reclassified from accumulated other comprehensive loss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(loss) income</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October 31, 2024</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Reclassifications related to gains and losses on available-for-sale debt securities are included in “Interest and other (loss) income, net.” Refer to Note 15, “Derivative Instruments,” for the amount and location of reclassifications related to derivative instruments. Reclassifications of the defined benefit pension components of net periodic benefit cost are included in “Interest and other (loss) income, net.”</w:t>
      </w:r>
    </w:p>
    <w:p>
      <w:pPr>
        <w:pStyle w:val="TextBody"/>
        <w:bidi w:val="0"/>
        <w:spacing w:lineRule="auto" w:line="288" w:before="0" w:after="0"/>
        <w:ind w:left="0" w:right="0" w:firstLine="45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0"/>
        </w:rPr>
        <w:t>20</w:t>
      </w:r>
      <w:r>
        <w:rPr>
          <w:rFonts w:ascii="Times New Roman;serif" w:hAnsi="Times New Roman;serif"/>
          <w:b w:val="false"/>
          <w:color w:val="000000"/>
          <w:sz w:val="20"/>
        </w:rPr>
        <w:t xml:space="preserve">. </w:t>
      </w:r>
      <w:r>
        <w:rPr>
          <w:rFonts w:ascii="Times New Roman;serif" w:hAnsi="Times New Roman;serif"/>
          <w:b/>
          <w:i/>
          <w:color w:val="000000"/>
          <w:sz w:val="20"/>
        </w:rPr>
        <w:t xml:space="preserve">Net Income Per Share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tbl>
      <w:tblPr>
        <w:tblW w:w="10205" w:type="dxa"/>
        <w:jc w:val="left"/>
        <w:tblInd w:w="0" w:type="dxa"/>
        <w:tblLayout w:type="fixed"/>
        <w:tblCellMar>
          <w:top w:w="28" w:type="dxa"/>
          <w:left w:w="28" w:type="dxa"/>
          <w:bottom w:w="28" w:type="dxa"/>
          <w:right w:w="28" w:type="dxa"/>
        </w:tblCellMar>
      </w:tblPr>
      <w:tblGrid>
        <w:gridCol w:w="1786"/>
        <w:gridCol w:w="1569"/>
        <w:gridCol w:w="1582"/>
        <w:gridCol w:w="261"/>
        <w:gridCol w:w="620"/>
        <w:gridCol w:w="145"/>
        <w:gridCol w:w="145"/>
        <w:gridCol w:w="145"/>
        <w:gridCol w:w="145"/>
        <w:gridCol w:w="261"/>
        <w:gridCol w:w="620"/>
        <w:gridCol w:w="145"/>
        <w:gridCol w:w="109"/>
        <w:gridCol w:w="109"/>
        <w:gridCol w:w="109"/>
        <w:gridCol w:w="250"/>
        <w:gridCol w:w="596"/>
        <w:gridCol w:w="139"/>
        <w:gridCol w:w="139"/>
        <w:gridCol w:w="139"/>
        <w:gridCol w:w="139"/>
        <w:gridCol w:w="250"/>
        <w:gridCol w:w="596"/>
        <w:gridCol w:w="206"/>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basic net income per share—weighted average shares</w:t>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for dilutive net income per share</w:t>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26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0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computation of diluted net income per share does not include shares that are anti-dilutive under the treasury stock method because their exercise prices are higher than the average market value of Autodesk’s stock during the periods. For the three and nine months ended October 31, 2025, there were 19 thousand and 66 thousand anti-dilutive shares excluded from the computation of diluted net income per share, respectively. For the three and nine months ended October 31, 2024, there were 12 thousand and 84 thousand anti-dilutive shares excluded from the computation of diluted net income per share,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21. Segments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Autodesk operates in one operating and reportable segment, the Company as a whole. The chief operating decision maker (“CODM”) assesses performance and decides how to allocate resources based on consolidated net income as reported on the Condensed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in Autodesk’s Annual Report on Form 10-K for the fiscal year ended January 31, 2025, filed on March 6, 2025. The measure of Autodesk’s segment assets is reported on the Condensed Consolidated Balance Sheets as total assets. Autodesk determined that the Company’s Chief Executive Officer, serves as the CODM.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Autodesk’s reported segment total net revenue, segment profit, and significant segment expenses:</w:t>
      </w:r>
    </w:p>
    <w:tbl>
      <w:tblPr>
        <w:tblW w:w="8874" w:type="dxa"/>
        <w:jc w:val="left"/>
        <w:tblInd w:w="0" w:type="dxa"/>
        <w:tblLayout w:type="fixed"/>
        <w:tblCellMar>
          <w:top w:w="28" w:type="dxa"/>
          <w:left w:w="28" w:type="dxa"/>
          <w:bottom w:w="28" w:type="dxa"/>
          <w:right w:w="28" w:type="dxa"/>
        </w:tblCellMar>
      </w:tblPr>
      <w:tblGrid>
        <w:gridCol w:w="1409"/>
        <w:gridCol w:w="1235"/>
        <w:gridCol w:w="1240"/>
        <w:gridCol w:w="241"/>
        <w:gridCol w:w="684"/>
        <w:gridCol w:w="134"/>
        <w:gridCol w:w="134"/>
        <w:gridCol w:w="134"/>
        <w:gridCol w:w="134"/>
        <w:gridCol w:w="241"/>
        <w:gridCol w:w="684"/>
        <w:gridCol w:w="134"/>
        <w:gridCol w:w="231"/>
        <w:gridCol w:w="657"/>
        <w:gridCol w:w="128"/>
        <w:gridCol w:w="128"/>
        <w:gridCol w:w="128"/>
        <w:gridCol w:w="128"/>
        <w:gridCol w:w="231"/>
        <w:gridCol w:w="657"/>
        <w:gridCol w:w="182"/>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(1):</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subscription and maintenance revenue (2)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other revenue (2)</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 (2)</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(2)</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transaction model (3)</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(1)Significant expense categories and amounts align with the segment-level information that is regularly provided to the CODM.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(2)The amounts of new transaction model and stock-based compensation are excluded from this line and presented separately within this table.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(3)New transaction model costs include sales incentives to solution providers, transaction fees, and internal operating costs.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Autodesk’s other segment disclosures: </w:t>
      </w:r>
    </w:p>
    <w:tbl>
      <w:tblPr>
        <w:tblW w:w="9188" w:type="dxa"/>
        <w:jc w:val="left"/>
        <w:tblInd w:w="0" w:type="dxa"/>
        <w:tblLayout w:type="fixed"/>
        <w:tblCellMar>
          <w:top w:w="28" w:type="dxa"/>
          <w:left w:w="28" w:type="dxa"/>
          <w:bottom w:w="28" w:type="dxa"/>
          <w:right w:w="28" w:type="dxa"/>
        </w:tblCellMar>
      </w:tblPr>
      <w:tblGrid>
        <w:gridCol w:w="1523"/>
        <w:gridCol w:w="1334"/>
        <w:gridCol w:w="1343"/>
        <w:gridCol w:w="309"/>
        <w:gridCol w:w="521"/>
        <w:gridCol w:w="171"/>
        <w:gridCol w:w="171"/>
        <w:gridCol w:w="171"/>
        <w:gridCol w:w="171"/>
        <w:gridCol w:w="309"/>
        <w:gridCol w:w="521"/>
        <w:gridCol w:w="171"/>
        <w:gridCol w:w="295"/>
        <w:gridCol w:w="498"/>
        <w:gridCol w:w="164"/>
        <w:gridCol w:w="164"/>
        <w:gridCol w:w="164"/>
        <w:gridCol w:w="164"/>
        <w:gridCol w:w="295"/>
        <w:gridCol w:w="498"/>
        <w:gridCol w:w="231"/>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amortization, and accretion expense </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costs to obtain a contract with a customer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significant non-cash items include stock-based compensation. See disclosure in table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Autodesk's long-lived assets by geographic area were as follows:</w:t>
      </w:r>
    </w:p>
    <w:tbl>
      <w:tblPr>
        <w:tblW w:w="5559" w:type="dxa"/>
        <w:jc w:val="left"/>
        <w:tblInd w:w="0" w:type="dxa"/>
        <w:tblLayout w:type="fixed"/>
        <w:tblCellMar>
          <w:top w:w="28" w:type="dxa"/>
          <w:left w:w="28" w:type="dxa"/>
          <w:bottom w:w="28" w:type="dxa"/>
          <w:right w:w="28" w:type="dxa"/>
        </w:tblCellMar>
      </w:tblPr>
      <w:tblGrid>
        <w:gridCol w:w="873"/>
        <w:gridCol w:w="769"/>
        <w:gridCol w:w="772"/>
        <w:gridCol w:w="372"/>
        <w:gridCol w:w="800"/>
        <w:gridCol w:w="207"/>
        <w:gridCol w:w="109"/>
        <w:gridCol w:w="109"/>
        <w:gridCol w:w="109"/>
        <w:gridCol w:w="365"/>
        <w:gridCol w:w="785"/>
        <w:gridCol w:w="289"/>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Americas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Nine Months Ended October 31, 2025,” and in </w:t>
      </w:r>
      <w:r>
        <w:rPr>
          <w:color w:val="212529"/>
        </w:rPr>
        <w:t>“</w:t>
      </w:r>
      <w:r>
        <w:rPr>
          <w:rFonts w:ascii="Times New Roman;serif" w:hAnsi="Times New Roman;serif"/>
          <w:b w:val="false"/>
          <w:i/>
          <w:color w:val="212529"/>
          <w:sz w:val="20"/>
        </w:rPr>
        <w:t>Results of Operations-Overview.” </w:t>
      </w:r>
      <w:r>
        <w:rPr>
          <w:rFonts w:ascii="Times New Roman;serif" w:hAnsi="Times New Roman;serif"/>
          <w:b w:val="false"/>
          <w:i/>
          <w:color w:val="000000"/>
          <w:sz w:val="20"/>
        </w:rPr>
        <w:t>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effects of global economic conditions, including from global trade wars or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restructuring activities; cybersecurity and privacy issues or incidents;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A glossary of terms used in this Quarterly Report on Form 10-Q appears at the end of this Item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Evolution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offer subscriptions for individual products and Industry Collections,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subscription plans represent a hybrid of desktop software and cloud functionality, which provides a device-independent, collaborative design workflow for designers and their stakeholders. Our cloud offerings, for example, Autodesk Construction Cloud, Autodesk Build,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Industry Collections provide our customers with access to a broader selection of Autodesk solutions and services, simplifying the customers’ ability to benefit from a complete set of tools for their industry.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support our strategic priority of digital transformation in Architecture, Engineering, Construction and Operations (“AECO”), we are strengthening our AECO solutions’ foundation with both organic and inorganic investments. In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Artificial Intelligence (“AI”)-powered insights that simplify the exploration of design concepts, offload repetitive tasks, and help evaluate environmental qualities surrounding a building site.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Reach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In this new transaction model, Solution Providers provide a quote to customers but the actual transaction occurs directly between Autodesk and the customer. During fiscal 2026, we expect the change in recognition of sales incentives to Solution Providers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and nine months ended October 31, 2025 and 2024.</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indirect channels primarily include distributors, resellers, direct market resellers, volume channel partners, and product-specific resellers.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Platform Capabilities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One example of these shared capabilities is Autodesk AI. We have been investing in AI for over a decade. Our focus is on building AI capabilities that add value to our customers’ workloads through augmentation, automation and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Impact at Autodesk</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is committed to advancing a more sustainable, resilient, and inclusive world. We take action as a business to support our employees, customers, and communities in our collective opportunity to design and make a better world for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programs align with our operational priorities and long-term growth strategy. We aim to maintain our commitments, fostering trust with stakeholders and enabling compliance with global regulations.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 information about our impact and governance program is available in our annual impact report on our website at www.autodesk.com. Information contained on or accessible through our website is not part of or incorporated by reference into this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Assumptions Behind Our Strategy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strategy depends upon many assumptions, including: making our technology available to mainstream markets; leveraging our large global network of distributors, resellers, Solution Providers, third-party developers, customers, educators,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nine months ended October 31, 2025, as compared to those disclosed in our Annual Report on Form 10-K for the fiscal year ended January 31, 2025. We believe these policies are the most critical to aid in fully understanding and evaluating our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Overview of the Three and Nine Months Ended October 31,</w:t>
      </w:r>
      <w:r>
        <w:rPr>
          <w:color w:val="000000"/>
        </w:rPr>
        <w:t xml:space="preserve"> </w:t>
      </w:r>
      <w:r>
        <w:rPr>
          <w:rFonts w:ascii="Times New Roman;serif" w:hAnsi="Times New Roman;serif"/>
          <w:b/>
          <w:color w:val="000000"/>
          <w:sz w:val="20"/>
        </w:rPr>
        <w:t xml:space="preserve">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Total net revenue increased 18% and 17% to $1.85 billion and $5.25 billion during the three and nine months ended October 31, 2025, respectively, compared to the same periods in the prior fiscal year.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Recurring revenue as a percentage of net revenue was 97% for both the three and nine months ended October 31, 2025, respectively, and 97% for both the three and nine months ended October 31, 2024.</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Net revenue retention rate (“NR3”) was above 110%, on a constant currency basis, as of October 31, 2025, and was within the range of 100% and 110%, on a constant currency basis, as of October 31, 2024.</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Deferred revenue was $3.85 billion, a decrease of 7%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Remaining performance obligations (short-term and long-term deferred revenue plus unbilled deferred revenue) (“RPO”) was $7.36 billion, an increase of 6%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Current remaining performance obligations was $4.83 billion, an increase of 8% compared to the fourth quarter in the prior fiscal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Revenue Analysis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increased 18% and 17% during the three and nine months ended October 31, 2025, respectively, as compared to the same periods in the prior fiscal year, primarily due to an increase in subscription revenue. For further discussion of these results, see below under the heading “Results of Operations.”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significantly upon major distributors and resellers in both the U.S. and international regions, including TD Synnex Corporation and its global affiliates (collectively, “TD Synnex”). Total revenue from TD Synnex accounted for 12% and 16% of our total net revenue during the three and nine months ended October 31, 2025, respectively. Total revenue from TD Synnex accounted for 33% and 35% of Autodesk’s total net revenue during the three and nine months ended October 31, 2024, respectively. Our customers through TD Synnex are the resellers and end users who purchase our software subscriptions and services. In connection with our new transaction model, we entered into agreements to provide transition distribution activities with certain distributors and entered into a new distribution agreement with TD Synnex for government business in certain jurisdictions. We maintained distribution relationships in emerging markets. We have increased our selling efforts with Solution Providers in connection with our new transaction model. Consequently, we believe our business is not substantially dependent on TD Synnex.</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Recurring Revenue and Net Revenue Retention Rate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our recurring revenue metric for the three and nine months ended October 31, 2025 and 2024:</w:t>
      </w:r>
    </w:p>
    <w:tbl>
      <w:tblPr>
        <w:tblW w:w="10205" w:type="dxa"/>
        <w:jc w:val="left"/>
        <w:tblInd w:w="0" w:type="dxa"/>
        <w:tblLayout w:type="fixed"/>
        <w:tblCellMar>
          <w:top w:w="28" w:type="dxa"/>
          <w:left w:w="28" w:type="dxa"/>
          <w:bottom w:w="28" w:type="dxa"/>
          <w:right w:w="28" w:type="dxa"/>
        </w:tblCellMar>
      </w:tblPr>
      <w:tblGrid>
        <w:gridCol w:w="939"/>
        <w:gridCol w:w="778"/>
        <w:gridCol w:w="781"/>
        <w:gridCol w:w="513"/>
        <w:gridCol w:w="1457"/>
        <w:gridCol w:w="671"/>
        <w:gridCol w:w="109"/>
        <w:gridCol w:w="109"/>
        <w:gridCol w:w="109"/>
        <w:gridCol w:w="208"/>
        <w:gridCol w:w="446"/>
        <w:gridCol w:w="115"/>
        <w:gridCol w:w="115"/>
        <w:gridCol w:w="115"/>
        <w:gridCol w:w="115"/>
        <w:gridCol w:w="165"/>
        <w:gridCol w:w="166"/>
        <w:gridCol w:w="277"/>
        <w:gridCol w:w="109"/>
        <w:gridCol w:w="109"/>
        <w:gridCol w:w="109"/>
        <w:gridCol w:w="500"/>
        <w:gridCol w:w="1419"/>
        <w:gridCol w:w="771"/>
      </w:tblGrid>
      <w:tr>
        <w:trPr/>
        <w:tc>
          <w:tcPr>
            <w:tcW w:w="93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2024</w:t>
            </w:r>
          </w:p>
        </w:tc>
      </w:tr>
      <w:tr>
        <w:trPr/>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millions, except percentage data) </w:t>
            </w:r>
          </w:p>
        </w:tc>
        <w:tc>
          <w:tcPr>
            <w:tcW w:w="2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Recurring revenue</w:t>
            </w:r>
            <w:r>
              <w:rPr>
                <w:color w:val="000000"/>
              </w:rPr>
              <w:t xml:space="preserve"> </w:t>
            </w:r>
            <w:r>
              <w:rPr>
                <w:rFonts w:ascii="Times New Roman;serif" w:hAnsi="Times New Roman;serif"/>
                <w:b w:val="false"/>
                <w:color w:val="000000"/>
                <w:sz w:val="18"/>
              </w:rPr>
              <w:t xml:space="preserve">(1)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net revenue</w:t>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2024</w:t>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Recurring Revenue</w:t>
            </w:r>
            <w:r>
              <w:rPr>
                <w:color w:val="000000"/>
              </w:rPr>
              <w:t xml:space="preserve"> </w:t>
            </w:r>
            <w:r>
              <w:rPr>
                <w:rFonts w:ascii="Times New Roman;serif" w:hAnsi="Times New Roman;serif"/>
                <w:b w:val="false"/>
                <w:color w:val="000000"/>
                <w:sz w:val="18"/>
              </w:rPr>
              <w:t>(1)</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percentage of net revenue</w:t>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firstLine="45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(1)The acquisition of a business may cause variability in the comparison of recurring revenue in this table above and recurring revenue derived from the revenue reported in the Condensed Consolidated Statements of Operations.</w:t>
      </w:r>
    </w:p>
    <w:p>
      <w:pPr>
        <w:pStyle w:val="TextBody"/>
        <w:bidi w:val="0"/>
        <w:spacing w:before="0" w:after="0"/>
        <w:ind w:left="0" w:right="0" w:hanging="90"/>
        <w:jc w:val="left"/>
        <w:rPr/>
      </w:pPr>
      <w:r>
        <w:rPr/>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NR3 was above 110%, on a constant currency basis, as of October 31, 2025, in part due to our new transaction model, and was within the range of 100% and 110%, on a constant currency basis, as of October 31, 2024.</w:t>
      </w:r>
    </w:p>
    <w:p>
      <w:pPr>
        <w:pStyle w:val="TextBody"/>
        <w:bidi w:val="0"/>
        <w:spacing w:before="0" w:after="60"/>
        <w:ind w:left="0" w:right="0" w:firstLine="450"/>
        <w:jc w:val="left"/>
        <w:rPr/>
      </w:pPr>
      <w:r>
        <w:rPr/>
      </w:r>
    </w:p>
    <w:p>
      <w:pPr>
        <w:pStyle w:val="TextBody"/>
        <w:bidi w:val="0"/>
        <w:spacing w:lineRule="auto" w:line="288" w:before="0" w:after="6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a significant amount of our revenue in the United States, Germany, Japan, the United Kingdom, and Canada.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impact of foreign exchange rate changes on our net revenue and total spend: </w:t>
      </w:r>
    </w:p>
    <w:tbl>
      <w:tblPr>
        <w:tblW w:w="10252" w:type="dxa"/>
        <w:jc w:val="left"/>
        <w:tblInd w:w="0" w:type="dxa"/>
        <w:tblLayout w:type="fixed"/>
        <w:tblCellMar>
          <w:top w:w="28" w:type="dxa"/>
          <w:left w:w="28" w:type="dxa"/>
          <w:bottom w:w="28" w:type="dxa"/>
          <w:right w:w="28" w:type="dxa"/>
        </w:tblCellMar>
      </w:tblPr>
      <w:tblGrid>
        <w:gridCol w:w="245"/>
        <w:gridCol w:w="215"/>
        <w:gridCol w:w="216"/>
        <w:gridCol w:w="362"/>
        <w:gridCol w:w="362"/>
        <w:gridCol w:w="852"/>
        <w:gridCol w:w="109"/>
        <w:gridCol w:w="109"/>
        <w:gridCol w:w="109"/>
        <w:gridCol w:w="362"/>
        <w:gridCol w:w="362"/>
        <w:gridCol w:w="852"/>
        <w:gridCol w:w="109"/>
        <w:gridCol w:w="109"/>
        <w:gridCol w:w="109"/>
        <w:gridCol w:w="265"/>
        <w:gridCol w:w="265"/>
        <w:gridCol w:w="266"/>
        <w:gridCol w:w="109"/>
        <w:gridCol w:w="109"/>
        <w:gridCol w:w="109"/>
        <w:gridCol w:w="362"/>
        <w:gridCol w:w="362"/>
        <w:gridCol w:w="852"/>
        <w:gridCol w:w="109"/>
        <w:gridCol w:w="109"/>
        <w:gridCol w:w="109"/>
        <w:gridCol w:w="362"/>
        <w:gridCol w:w="362"/>
        <w:gridCol w:w="852"/>
        <w:gridCol w:w="109"/>
        <w:gridCol w:w="109"/>
        <w:gridCol w:w="109"/>
        <w:gridCol w:w="246"/>
        <w:gridCol w:w="246"/>
        <w:gridCol w:w="349"/>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 compared to</w:t>
              <w:br/>
              <w:t>prior fiscal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percent change compared to</w:t>
              <w:br/>
              <w:t>prior fiscal year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Positive/Negative/Neutral impact from foreign exchange rate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 compared to</w:t>
              <w:br/>
              <w:t>prior fiscal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percent change compared to</w:t>
              <w:br/>
              <w:t>prior fiscal year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Positive/Negative/Neutral impact from foreign exchange rate changes</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Negative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spend </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Flat</w:t>
            </w:r>
          </w:p>
        </w:tc>
      </w:tr>
    </w:tbl>
    <w:p>
      <w:pPr>
        <w:pStyle w:val="TextBody"/>
        <w:bidi w:val="0"/>
        <w:spacing w:lineRule="auto" w:line="288" w:before="0" w:after="0"/>
        <w:ind w:left="0" w:right="0" w:firstLine="45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(1)Please refer to the Glossary of Terms for the definitions of our constant currency growth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RPO represents deferred revenue and contractually stated or committed contracts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 </w:t>
      </w:r>
    </w:p>
    <w:tbl>
      <w:tblPr>
        <w:tblW w:w="5156" w:type="dxa"/>
        <w:jc w:val="center"/>
        <w:tblInd w:w="0" w:type="dxa"/>
        <w:tblLayout w:type="fixed"/>
        <w:tblCellMar>
          <w:top w:w="28" w:type="dxa"/>
          <w:left w:w="28" w:type="dxa"/>
          <w:bottom w:w="28" w:type="dxa"/>
          <w:right w:w="28" w:type="dxa"/>
        </w:tblCellMar>
      </w:tblPr>
      <w:tblGrid>
        <w:gridCol w:w="726"/>
        <w:gridCol w:w="639"/>
        <w:gridCol w:w="645"/>
        <w:gridCol w:w="314"/>
        <w:gridCol w:w="891"/>
        <w:gridCol w:w="174"/>
        <w:gridCol w:w="109"/>
        <w:gridCol w:w="109"/>
        <w:gridCol w:w="109"/>
        <w:gridCol w:w="311"/>
        <w:gridCol w:w="883"/>
        <w:gridCol w:w="246"/>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Unbilled deferred revenue </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RPO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RPO consisted of the following:</w:t>
      </w:r>
    </w:p>
    <w:tbl>
      <w:tblPr>
        <w:tblW w:w="5993" w:type="dxa"/>
        <w:jc w:val="left"/>
        <w:tblInd w:w="0" w:type="dxa"/>
        <w:tblLayout w:type="fixed"/>
        <w:tblCellMar>
          <w:top w:w="28" w:type="dxa"/>
          <w:left w:w="28" w:type="dxa"/>
          <w:bottom w:w="28" w:type="dxa"/>
          <w:right w:w="28" w:type="dxa"/>
        </w:tblCellMar>
      </w:tblPr>
      <w:tblGrid>
        <w:gridCol w:w="521"/>
        <w:gridCol w:w="457"/>
        <w:gridCol w:w="462"/>
        <w:gridCol w:w="109"/>
        <w:gridCol w:w="109"/>
        <w:gridCol w:w="109"/>
        <w:gridCol w:w="109"/>
        <w:gridCol w:w="1381"/>
        <w:gridCol w:w="109"/>
        <w:gridCol w:w="316"/>
        <w:gridCol w:w="900"/>
        <w:gridCol w:w="178"/>
        <w:gridCol w:w="109"/>
        <w:gridCol w:w="109"/>
        <w:gridCol w:w="109"/>
        <w:gridCol w:w="196"/>
        <w:gridCol w:w="55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c>
          <w:tcPr>
            <w:tcW w:w="1233" w:type="dxa"/>
            <w:gridSpan w:val="6"/>
            <w:tcBorders/>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continue to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Balance Sheet and Cash Flow Items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October 31, 2025, we had $2.59 billion in cash, cash equivalents, and marketable securities. Our cash flow from operations increased to $1.46 billion for the nine months ended October 31, 2025, compared to $915 million for the nine months ended October 31, 2024. We repurchased 3 million shares of our common stock for $1.07 billion during the nine months ended October 31, 2025. Comparatively, we repurchased 1.7 million shares of our common stock for $443 million during the nine months ended October 31, 2024. See further discussion regarding the balance sheet and cash flow activities under the heading “Liquidity and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Overview</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We also expect our continued transition to annual billings for multi-year contracts to impact the timing of our billings and cash collections. The extent of the impact of these risks on our business in remaining fiscal 2026 and beyond will depend on several factors, some of which are out of our control. Further discussion of the potential impacts of these risks on our business can be found in Part II, Item 1A, “Risk Factors.”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incentives to Solution Providers are recorded as operating expenses under the new transaction model in which Solution Providers provide a quote to customers but the actual transaction occurs directly between Autodesk and the customer. Accordingly, we expect sales incentives paid to resellers recorded as a reduction of transaction price and subsequently recognized as a reduction to subscription revenue over the contract period to continue to decrease as we have transitioned to the new transaction model. Most of the sales incentives payments to Solution Providers in our new transaction model are considered incremental and recoverable costs of obtaining a contract with a customer and are capitalized and included in “Prepaid expenses and other current assets” and “Long-term other assets” on the Consolidated Balance Sheets. The deferred costs are amortized over the period of benefit and recorded to “Sales and Marketing” on the Consolidated Statement of Operations. The sales incentives not qualifying for capitalization are recorded to “Sales and Marketing” on the Consolidated Statement of Operations as the costs are incurred under the incentive program requirements. During fiscal 2026,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Revenue</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Net Revenue by Income Statement Presentation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revenue consists of fees for maintenance purchased with software licenses. Under our maintenance plan, customers are eligible to receive unspecified upgrades, when and if available, and technical support. We recognize maintenance revenue ratably over the term of the agreements, which is generally one year.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 consists of revenue from other products and services and is recognized as the products are delivered and services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49"/>
        <w:gridCol w:w="429"/>
        <w:gridCol w:w="432"/>
        <w:gridCol w:w="226"/>
        <w:gridCol w:w="641"/>
        <w:gridCol w:w="125"/>
        <w:gridCol w:w="109"/>
        <w:gridCol w:w="109"/>
        <w:gridCol w:w="109"/>
        <w:gridCol w:w="242"/>
        <w:gridCol w:w="523"/>
        <w:gridCol w:w="134"/>
        <w:gridCol w:w="134"/>
        <w:gridCol w:w="134"/>
        <w:gridCol w:w="134"/>
        <w:gridCol w:w="210"/>
        <w:gridCol w:w="149"/>
        <w:gridCol w:w="325"/>
        <w:gridCol w:w="109"/>
        <w:gridCol w:w="109"/>
        <w:gridCol w:w="109"/>
        <w:gridCol w:w="226"/>
        <w:gridCol w:w="641"/>
        <w:gridCol w:w="125"/>
        <w:gridCol w:w="109"/>
        <w:gridCol w:w="109"/>
        <w:gridCol w:w="109"/>
        <w:gridCol w:w="1123"/>
        <w:gridCol w:w="1123"/>
        <w:gridCol w:w="1599"/>
      </w:tblGrid>
      <w:tr>
        <w:trPr/>
        <w:tc>
          <w:tcPr>
            <w:tcW w:w="54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subscription renewal revenue from the current subscriber base as compared to the prior period. Also contributing to the growth was an increase in revenue from Cloud Service offerings and EBA offerings.</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subscription and maintenance revenue</w:t>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subscription renewal revenue from the current subscriber base as compared to the prior period. Also contributing to the growth was an increase in revenue from Cloud Service offerings and EBA offerings.</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subscription and maintenance revenue</w:t>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Net Revenue by Product Family</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 offerings are focused in four primary product families: Architecture, Engineering, Construction and Operations (“AECO”), AutoCAD and AutoCAD LT, Manufacturing (“MFG”), and Media and Entertainment (“M&amp;E”).</w:t>
      </w:r>
    </w:p>
    <w:tbl>
      <w:tblPr>
        <w:tblW w:w="10205" w:type="dxa"/>
        <w:jc w:val="center"/>
        <w:tblInd w:w="0" w:type="dxa"/>
        <w:tblLayout w:type="fixed"/>
        <w:tblCellMar>
          <w:top w:w="28" w:type="dxa"/>
          <w:left w:w="28" w:type="dxa"/>
          <w:bottom w:w="28" w:type="dxa"/>
          <w:right w:w="28" w:type="dxa"/>
        </w:tblCellMar>
      </w:tblPr>
      <w:tblGrid>
        <w:gridCol w:w="862"/>
        <w:gridCol w:w="717"/>
        <w:gridCol w:w="408"/>
        <w:gridCol w:w="233"/>
        <w:gridCol w:w="661"/>
        <w:gridCol w:w="129"/>
        <w:gridCol w:w="109"/>
        <w:gridCol w:w="109"/>
        <w:gridCol w:w="109"/>
        <w:gridCol w:w="208"/>
        <w:gridCol w:w="446"/>
        <w:gridCol w:w="115"/>
        <w:gridCol w:w="115"/>
        <w:gridCol w:w="115"/>
        <w:gridCol w:w="115"/>
        <w:gridCol w:w="165"/>
        <w:gridCol w:w="166"/>
        <w:gridCol w:w="277"/>
        <w:gridCol w:w="109"/>
        <w:gridCol w:w="109"/>
        <w:gridCol w:w="109"/>
        <w:gridCol w:w="109"/>
        <w:gridCol w:w="233"/>
        <w:gridCol w:w="661"/>
        <w:gridCol w:w="129"/>
        <w:gridCol w:w="109"/>
        <w:gridCol w:w="109"/>
        <w:gridCol w:w="109"/>
        <w:gridCol w:w="847"/>
        <w:gridCol w:w="847"/>
        <w:gridCol w:w="850"/>
        <w:gridCol w:w="109"/>
        <w:gridCol w:w="109"/>
        <w:gridCol w:w="109"/>
        <w:gridCol w:w="109"/>
        <w:gridCol w:w="109"/>
        <w:gridCol w:w="109"/>
        <w:gridCol w:w="162"/>
      </w:tblGrid>
      <w:tr>
        <w:trPr/>
        <w:tc>
          <w:tcPr>
            <w:tcW w:w="86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360"/>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Family:</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AECO</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AEC Collections, EBA offerings, and Autodesk Construction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both AutoCAD and AutoCAD LT.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MFG</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MFG Collections, Inventor, and Fusion.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lower contra revenue driven by the adoption of the new transaction model.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360"/>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Family:</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AECO </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AEC Collections, EBA offerings, and Autodesk Construction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AutoCAD and AutoCAD LT </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both AutoCAD and AutoCAD LT.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MFG</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growth in revenue from MFG Collections, Fusion, and Inventor.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M&amp;E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lower contra revenue due to the adoption of the new transaction model.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Revenue by Geographic Area</w:t>
      </w:r>
    </w:p>
    <w:tbl>
      <w:tblPr>
        <w:tblW w:w="10205" w:type="dxa"/>
        <w:jc w:val="center"/>
        <w:tblInd w:w="0" w:type="dxa"/>
        <w:tblLayout w:type="fixed"/>
        <w:tblCellMar>
          <w:top w:w="28" w:type="dxa"/>
          <w:left w:w="28" w:type="dxa"/>
          <w:bottom w:w="28" w:type="dxa"/>
          <w:right w:w="28" w:type="dxa"/>
        </w:tblCellMar>
      </w:tblPr>
      <w:tblGrid>
        <w:gridCol w:w="561"/>
        <w:gridCol w:w="493"/>
        <w:gridCol w:w="497"/>
        <w:gridCol w:w="396"/>
        <w:gridCol w:w="1123"/>
        <w:gridCol w:w="220"/>
        <w:gridCol w:w="109"/>
        <w:gridCol w:w="109"/>
        <w:gridCol w:w="109"/>
        <w:gridCol w:w="201"/>
        <w:gridCol w:w="431"/>
        <w:gridCol w:w="111"/>
        <w:gridCol w:w="111"/>
        <w:gridCol w:w="111"/>
        <w:gridCol w:w="111"/>
        <w:gridCol w:w="165"/>
        <w:gridCol w:w="166"/>
        <w:gridCol w:w="262"/>
        <w:gridCol w:w="109"/>
        <w:gridCol w:w="109"/>
        <w:gridCol w:w="109"/>
        <w:gridCol w:w="516"/>
        <w:gridCol w:w="516"/>
        <w:gridCol w:w="1224"/>
        <w:gridCol w:w="109"/>
        <w:gridCol w:w="109"/>
        <w:gridCol w:w="109"/>
        <w:gridCol w:w="396"/>
        <w:gridCol w:w="1123"/>
        <w:gridCol w:w="220"/>
        <w:gridCol w:w="109"/>
        <w:gridCol w:w="161"/>
      </w:tblGrid>
      <w:tr>
        <w:trPr/>
        <w:tc>
          <w:tcPr>
            <w:tcW w:w="5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APAC</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Americas</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Americas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EMEA</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APAC</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 Constant currency data not provided at this level.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Revenue by Sales Channel</w:t>
      </w:r>
    </w:p>
    <w:tbl>
      <w:tblPr>
        <w:tblW w:w="8988" w:type="dxa"/>
        <w:jc w:val="left"/>
        <w:tblInd w:w="0" w:type="dxa"/>
        <w:tblLayout w:type="fixed"/>
        <w:tblCellMar>
          <w:top w:w="28" w:type="dxa"/>
          <w:left w:w="28" w:type="dxa"/>
          <w:bottom w:w="28" w:type="dxa"/>
          <w:right w:w="28" w:type="dxa"/>
        </w:tblCellMar>
      </w:tblPr>
      <w:tblGrid>
        <w:gridCol w:w="857"/>
        <w:gridCol w:w="754"/>
        <w:gridCol w:w="759"/>
        <w:gridCol w:w="365"/>
        <w:gridCol w:w="1037"/>
        <w:gridCol w:w="203"/>
        <w:gridCol w:w="109"/>
        <w:gridCol w:w="109"/>
        <w:gridCol w:w="109"/>
        <w:gridCol w:w="206"/>
        <w:gridCol w:w="496"/>
        <w:gridCol w:w="114"/>
        <w:gridCol w:w="114"/>
        <w:gridCol w:w="114"/>
        <w:gridCol w:w="114"/>
        <w:gridCol w:w="203"/>
        <w:gridCol w:w="203"/>
        <w:gridCol w:w="273"/>
        <w:gridCol w:w="109"/>
        <w:gridCol w:w="109"/>
        <w:gridCol w:w="109"/>
        <w:gridCol w:w="109"/>
        <w:gridCol w:w="365"/>
        <w:gridCol w:w="1037"/>
        <w:gridCol w:w="203"/>
        <w:gridCol w:w="109"/>
        <w:gridCol w:w="109"/>
        <w:gridCol w:w="109"/>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Sales Channel:</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Net Revenue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Revenue by Sales Channel:</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Indirect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Net Revenue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October 31, 2025 and 2024, approximately 66% and 42%, respectively, of our revenue was derived from direct sales to customers. For the nine months ended October 31, 2025 and 2024, approximately 61% and 40%, respectively, of our revenue was derived from direct sales to customers. With the continued growth of our online Autodesk branded store and the introduction of our new transaction model, we have been decreasing our sales through resellers and distributors and transacting directly with more end customers. We anticipate that our revenue by direct sales channel will continue to increase as a percentage of total net revenue. We expect our indirect channel will continue to transact and support a considerable portion of our customers, particularly in emerging regions.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Net Revenue by Product Type </w:t>
      </w:r>
    </w:p>
    <w:tbl>
      <w:tblPr>
        <w:tblW w:w="10205" w:type="dxa"/>
        <w:jc w:val="left"/>
        <w:tblInd w:w="0" w:type="dxa"/>
        <w:tblLayout w:type="fixed"/>
        <w:tblCellMar>
          <w:top w:w="28" w:type="dxa"/>
          <w:left w:w="28" w:type="dxa"/>
          <w:bottom w:w="28" w:type="dxa"/>
          <w:right w:w="28" w:type="dxa"/>
        </w:tblCellMar>
      </w:tblPr>
      <w:tblGrid>
        <w:gridCol w:w="475"/>
        <w:gridCol w:w="418"/>
        <w:gridCol w:w="420"/>
        <w:gridCol w:w="317"/>
        <w:gridCol w:w="900"/>
        <w:gridCol w:w="176"/>
        <w:gridCol w:w="109"/>
        <w:gridCol w:w="109"/>
        <w:gridCol w:w="109"/>
        <w:gridCol w:w="199"/>
        <w:gridCol w:w="427"/>
        <w:gridCol w:w="110"/>
        <w:gridCol w:w="110"/>
        <w:gridCol w:w="110"/>
        <w:gridCol w:w="110"/>
        <w:gridCol w:w="165"/>
        <w:gridCol w:w="166"/>
        <w:gridCol w:w="259"/>
        <w:gridCol w:w="109"/>
        <w:gridCol w:w="109"/>
        <w:gridCol w:w="109"/>
        <w:gridCol w:w="109"/>
        <w:gridCol w:w="109"/>
        <w:gridCol w:w="109"/>
        <w:gridCol w:w="109"/>
        <w:gridCol w:w="317"/>
        <w:gridCol w:w="900"/>
        <w:gridCol w:w="176"/>
        <w:gridCol w:w="109"/>
        <w:gridCol w:w="109"/>
        <w:gridCol w:w="109"/>
        <w:gridCol w:w="885"/>
        <w:gridCol w:w="885"/>
        <w:gridCol w:w="1263"/>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AEC collections, EBA offerings, AutoCAD, AutoCAD LT, and MFG collections.</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Autodesk Construction Cloud and Fusion.</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Product Type:</w:t>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Design</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AEC collections, EBA offerings, AutoCAD, AutoCAD LT, and MFG collections.</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Make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growth in revenue from Autodesk Construction Cloud and Fusion.</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Cost of Revenue and 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other exit costs, and facility reductions include charges related to the restructuring plan (“2026 Plan”) to support our initiatives to optimize our go-to-market organization and, at the same time, to reallocate resources to our strategic priorities of investments in cloud, platform and artificial intelligence. With this restructuring plan, we are realigning roles to maximize talent investments and to distribute critical expertise globally. </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514"/>
        <w:gridCol w:w="370"/>
        <w:gridCol w:w="372"/>
        <w:gridCol w:w="221"/>
        <w:gridCol w:w="476"/>
        <w:gridCol w:w="123"/>
        <w:gridCol w:w="109"/>
        <w:gridCol w:w="109"/>
        <w:gridCol w:w="109"/>
        <w:gridCol w:w="109"/>
        <w:gridCol w:w="376"/>
        <w:gridCol w:w="198"/>
        <w:gridCol w:w="335"/>
        <w:gridCol w:w="110"/>
        <w:gridCol w:w="150"/>
        <w:gridCol w:w="150"/>
        <w:gridCol w:w="151"/>
        <w:gridCol w:w="165"/>
        <w:gridCol w:w="166"/>
        <w:gridCol w:w="259"/>
        <w:gridCol w:w="259"/>
        <w:gridCol w:w="259"/>
        <w:gridCol w:w="260"/>
        <w:gridCol w:w="221"/>
        <w:gridCol w:w="476"/>
        <w:gridCol w:w="123"/>
        <w:gridCol w:w="109"/>
        <w:gridCol w:w="109"/>
        <w:gridCol w:w="109"/>
        <w:gridCol w:w="109"/>
        <w:gridCol w:w="109"/>
        <w:gridCol w:w="109"/>
        <w:gridCol w:w="109"/>
        <w:gridCol w:w="109"/>
        <w:gridCol w:w="109"/>
        <w:gridCol w:w="1025"/>
        <w:gridCol w:w="853"/>
        <w:gridCol w:w="1176"/>
      </w:tblGrid>
      <w:tr>
        <w:trPr/>
        <w:tc>
          <w:tcPr>
            <w:tcW w:w="51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0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maintenance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cloud hosting costs and employee-related costs.</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primarily due to employee-related costs driven by higher headcount.</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due to amortization of capitalized software costs.</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sales commissions to Solution Providers due to the recognition of these costs in marketing and sales expense under the new transaction model partially offset by a decrease in employee-related costs.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6"/>
        <w:gridCol w:w="404"/>
        <w:gridCol w:w="405"/>
        <w:gridCol w:w="208"/>
        <w:gridCol w:w="592"/>
        <w:gridCol w:w="116"/>
        <w:gridCol w:w="109"/>
        <w:gridCol w:w="109"/>
        <w:gridCol w:w="109"/>
        <w:gridCol w:w="109"/>
        <w:gridCol w:w="196"/>
        <w:gridCol w:w="196"/>
        <w:gridCol w:w="421"/>
        <w:gridCol w:w="109"/>
        <w:gridCol w:w="150"/>
        <w:gridCol w:w="150"/>
        <w:gridCol w:w="151"/>
        <w:gridCol w:w="202"/>
        <w:gridCol w:w="204"/>
        <w:gridCol w:w="256"/>
        <w:gridCol w:w="254"/>
        <w:gridCol w:w="254"/>
        <w:gridCol w:w="255"/>
        <w:gridCol w:w="208"/>
        <w:gridCol w:w="592"/>
        <w:gridCol w:w="116"/>
        <w:gridCol w:w="109"/>
        <w:gridCol w:w="109"/>
        <w:gridCol w:w="109"/>
        <w:gridCol w:w="109"/>
        <w:gridCol w:w="109"/>
        <w:gridCol w:w="109"/>
        <w:gridCol w:w="109"/>
        <w:gridCol w:w="109"/>
        <w:gridCol w:w="109"/>
        <w:gridCol w:w="873"/>
        <w:gridCol w:w="790"/>
        <w:gridCol w:w="1130"/>
      </w:tblGrid>
      <w:tr>
        <w:trPr/>
        <w:tc>
          <w:tcPr>
            <w:tcW w:w="5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employee-related costs driven by higher headcount and an increase in cloud hosting costs.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charitable contributions to the Autodesk Foundation and an increase in employee-related costs.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remained flat period over period.</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 (1)</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increase is due to the restructuring plan initiated during the first quarter of fiscal 2026. See Part I, Item 1, “Financial Statements, Note 16, “Restructuring, other exit costs, and facility reductions” for more details.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compared to</w:t>
              <w:br/>
              <w:t>prior fiscal year</w:t>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and maintenance</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cloud hosting costs and employee-related costs.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primarily due to employee-related costs driven by higher headcount.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is primarily due to amortization of acquired developed technologies as a result of acquisitions in fiscal 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sales commissions to Solution Providers due to the recognition of these costs in marketing and sales expense under the new transaction model partially offset by a decrease in employee-related costs.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employee-related costs driven by higher headcount and an increase in cloud hosting costs.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primarily due to an increase in stock-based compensation expense, professional fees and charitable contributions to the Autodesk Foundation partially offset by a decrease in acquisition-related costs.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increase is primarily due to amortization of acquired intangibles as a result of acquisitions in fiscal 2025.</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 (1)</w:t>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increase is due to the restructuring plan initiated during the first quarter of fiscal 2026. See Part I, Item 1, “Financial Statements, Note 16, “Restructuring, other exit costs, and facility reductions” for more details.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(1)Not meaningful.</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highlights our expectation for the absolute dollar change between the fourth quarter of fiscal 2026, as compared to the fourth quarter of fiscal 2025:</w:t>
      </w:r>
    </w:p>
    <w:tbl>
      <w:tblPr>
        <w:tblW w:w="10205" w:type="dxa"/>
        <w:jc w:val="center"/>
        <w:tblInd w:w="0" w:type="dxa"/>
        <w:tblLayout w:type="fixed"/>
        <w:tblCellMar>
          <w:top w:w="28" w:type="dxa"/>
          <w:left w:w="28" w:type="dxa"/>
          <w:bottom w:w="28" w:type="dxa"/>
          <w:right w:w="28" w:type="dxa"/>
        </w:tblCellMar>
      </w:tblPr>
      <w:tblGrid>
        <w:gridCol w:w="928"/>
        <w:gridCol w:w="596"/>
        <w:gridCol w:w="579"/>
        <w:gridCol w:w="374"/>
        <w:gridCol w:w="365"/>
        <w:gridCol w:w="366"/>
        <w:gridCol w:w="2069"/>
        <w:gridCol w:w="2040"/>
        <w:gridCol w:w="2888"/>
      </w:tblGrid>
      <w:tr>
        <w:trPr/>
        <w:tc>
          <w:tcPr>
            <w:tcW w:w="92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Absolute dollar impact</w:t>
            </w:r>
          </w:p>
        </w:tc>
        <w:tc>
          <w:tcPr>
            <w:tcW w:w="6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Management Comments</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6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cost of revenue to increase as our revenue grows.</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sales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6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marketing and sales expenses to increase with the recognition of Solution Provider commissions under our new transaction model, partially offset by savings from the restructuring initiated in fiscal 2026.</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w:t>
            </w:r>
          </w:p>
        </w:tc>
        <w:tc>
          <w:tcPr>
            <w:tcW w:w="6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research and development expenses to increase as we continue our investments in cloud, platform, and artificial intelligence partially offset by savings from the restructuring initiated in fiscal 2026.</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Decrease</w:t>
            </w:r>
          </w:p>
        </w:tc>
        <w:tc>
          <w:tcPr>
            <w:tcW w:w="6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general and administrative expenses to slightly decrease as we gain operational leverage.</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purchased intangibles </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Flat</w:t>
            </w:r>
          </w:p>
        </w:tc>
        <w:tc>
          <w:tcPr>
            <w:tcW w:w="6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our amortization of purchased intangibles to remain unchanged.</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Decrease</w:t>
            </w:r>
          </w:p>
        </w:tc>
        <w:tc>
          <w:tcPr>
            <w:tcW w:w="6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expect immaterial restructuring, other exit costs, and facility reductions in the fourth quarter of fiscal 2026 related to the restructuring plan initiated during the first quarter of fiscal 2026 as the plan is substantially complete as of October 31, 2025.</w:t>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6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following table sets forth the components of interest and other income (expense), net:</w:t>
      </w:r>
      <w:r>
        <w:rPr>
          <w:color w:val="000000"/>
        </w:rPr>
        <w:t> </w:t>
      </w:r>
    </w:p>
    <w:tbl>
      <w:tblPr>
        <w:tblW w:w="8401" w:type="dxa"/>
        <w:jc w:val="left"/>
        <w:tblInd w:w="0" w:type="dxa"/>
        <w:tblLayout w:type="fixed"/>
        <w:tblCellMar>
          <w:top w:w="28" w:type="dxa"/>
          <w:left w:w="28" w:type="dxa"/>
          <w:bottom w:w="28" w:type="dxa"/>
          <w:right w:w="28" w:type="dxa"/>
        </w:tblCellMar>
      </w:tblPr>
      <w:tblGrid>
        <w:gridCol w:w="959"/>
        <w:gridCol w:w="843"/>
        <w:gridCol w:w="852"/>
        <w:gridCol w:w="330"/>
        <w:gridCol w:w="533"/>
        <w:gridCol w:w="183"/>
        <w:gridCol w:w="183"/>
        <w:gridCol w:w="183"/>
        <w:gridCol w:w="183"/>
        <w:gridCol w:w="330"/>
        <w:gridCol w:w="406"/>
        <w:gridCol w:w="183"/>
        <w:gridCol w:w="109"/>
        <w:gridCol w:w="109"/>
        <w:gridCol w:w="109"/>
        <w:gridCol w:w="109"/>
        <w:gridCol w:w="109"/>
        <w:gridCol w:w="297"/>
        <w:gridCol w:w="503"/>
        <w:gridCol w:w="165"/>
        <w:gridCol w:w="165"/>
        <w:gridCol w:w="165"/>
        <w:gridCol w:w="165"/>
        <w:gridCol w:w="297"/>
        <w:gridCol w:w="503"/>
        <w:gridCol w:w="165"/>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investment income, net</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foreign currency</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strategic investments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(loss) income, net</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and other (loss) income, net, negatively changed by $7 million during the three months ended October 31, 2025 and decreased $13 million during the nine months ended October 31, 2025, respectively, as compared to the same periods in the prior fiscal year. The negative change in the three months ended October 31, 2025, as compared to the same period in the prior fiscal year was primarily due to an increase in losses on strategic investments. The decrease in the nine months ended October 31, 2025, as compared to the same period in the prior fiscal year was primarily due an increase in losses on strategic investments, decrease in interest income, and an increase interest expenses.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and investment income fluctuates based on average cash, marketable securities, debt balances, average maturities, and interest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ind w:left="0" w:right="0" w:firstLine="54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had income tax expense of $125 million, relative to pre-tax income of $468 million for the three months ended October 31, 2025, and income tax expense of $76 million, relative to pre-tax income of $351 million for the three months ended October 31, 2024. Income tax expense for the three months ended October 31, 2025, reflects U.S. and foreign tax expense, including withholding tax, reduced by tax-deductible stock-based compensation, and tax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had income tax expense of $350 million, relative to pre-tax income of $1.16 billion for the nine months ended October 31, 2025, and income tax expense of $203 million, relative to pre-tax income of $1.01 billion for the nine months ended October 31, 2024. Income tax expense for the nine months ended October 31, 2025, reflects U.S. and foreign tax expense, including withholding tax, reduced by tax-deductible stock-based compensation, and tax credits.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income tax expense for both the three and the nine months ended October 31, 2025, increased compared to the corresponding periods in fiscal year 2025, primarily due to the election made in the U.S. regarding the timing of taxation of revenue, which reduced the taxable benefit arising from foreign-derived deduction-eligible income (“FDDEI”) and increased tax expense associated with NCTI in combination with the tax law change to full expensing of U.S. research and development expenses under the One Big Beautiful Bill Act (“OBBBA”), offset by benefits arising from return-to-provision adjustments relating to filing the fiscal year 2025 U.S. income tax return.</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filed an election in the U.S. for fiscal year 2026 that will more closely align the timing of taxation of our revenue with our U.S. GAAP revenue recognition principles. The one-time impact of this election reduces our estimated tax payments and increases our provision for income taxes due to the loss of taxation benefits through FDDEI and NCTI tax regimes.</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U.S. Tax Cut and Jobs Act (“Tax Act”) enacted on December 22, 2017, requires taxpayers to capitalize and amortize research and development expenses over five or fifteen years beginning in fiscal 2023. On July 4, 2025, the enactment of the OBBBA permanently eliminated the requirement to capitalize and amortize U.S. research and development expenses, thus, reducing the capitalization requirement to foreign research and development expenses only. In addition to this change, the OBBBA includes a broad range of tax reform provisions initially established by the Tax Act. The OBBBA has multiple effective dates, with certain provisions effective in fiscal year 2026 and others effective in fiscal year 2027.</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reasonably estimated the tax effects of OBBBA and included the impact in our provision for income taxes as of October 31, 2025. For fiscal year 2026, the incremental effect of the OBBBA on the provision for income taxes was reduced due to the preceding elections to align the timing of our revenue with our U.S. GAAP revenue recognition principles. </w:t>
      </w:r>
    </w:p>
    <w:p>
      <w:pPr>
        <w:pStyle w:val="TextBody"/>
        <w:bidi w:val="0"/>
        <w:spacing w:before="0" w:after="0"/>
        <w:ind w:left="0" w:right="0" w:firstLine="45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pStyle w:val="TextBody"/>
        <w:bidi w:val="0"/>
        <w:spacing w:before="0" w:after="0"/>
        <w:ind w:left="0" w:right="0" w:firstLine="54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Signed into law on August 16, 2022 in the U.S., the Inflation Reduction Act contains many revisions to the Internal Revenue Code effective in taxable years beginning after December 31, 2022, including a 15% corporate alternative minimum tax. We expect that this will not have a material impact on our provision for income taxes in the current fiscal year.</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Financial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under GAAP discussed above, we believe the following non-GAAP measures are useful to investors in evaluating our operating performance. For the three and nine months ended October 31, 2025 and 2024, our gross profit, income from operations, operating margin, net income, and diluted net income per share on a GAAP and non-GAAP basis were as follows (in millions except for operating margin and per share data):</w:t>
      </w:r>
    </w:p>
    <w:tbl>
      <w:tblPr>
        <w:tblW w:w="8347" w:type="dxa"/>
        <w:jc w:val="left"/>
        <w:tblInd w:w="0" w:type="dxa"/>
        <w:tblLayout w:type="fixed"/>
        <w:tblCellMar>
          <w:top w:w="28" w:type="dxa"/>
          <w:left w:w="28" w:type="dxa"/>
          <w:bottom w:w="28" w:type="dxa"/>
          <w:right w:w="28" w:type="dxa"/>
        </w:tblCellMar>
      </w:tblPr>
      <w:tblGrid>
        <w:gridCol w:w="1093"/>
        <w:gridCol w:w="963"/>
        <w:gridCol w:w="973"/>
        <w:gridCol w:w="210"/>
        <w:gridCol w:w="598"/>
        <w:gridCol w:w="275"/>
        <w:gridCol w:w="117"/>
        <w:gridCol w:w="117"/>
        <w:gridCol w:w="117"/>
        <w:gridCol w:w="210"/>
        <w:gridCol w:w="598"/>
        <w:gridCol w:w="275"/>
        <w:gridCol w:w="109"/>
        <w:gridCol w:w="109"/>
        <w:gridCol w:w="109"/>
        <w:gridCol w:w="203"/>
        <w:gridCol w:w="576"/>
        <w:gridCol w:w="265"/>
        <w:gridCol w:w="113"/>
        <w:gridCol w:w="113"/>
        <w:gridCol w:w="113"/>
        <w:gridCol w:w="203"/>
        <w:gridCol w:w="576"/>
        <w:gridCol w:w="312"/>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net income </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net income per share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net income per share</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Financial Measures to Non-GAAP Financial Measures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millions except for operating margin and per share data):</w:t>
      </w:r>
      <w:r>
        <w:rPr>
          <w:color w:val="000000"/>
        </w:rPr>
        <w:t> </w:t>
      </w:r>
    </w:p>
    <w:tbl>
      <w:tblPr>
        <w:tblW w:w="10132" w:type="dxa"/>
        <w:jc w:val="center"/>
        <w:tblInd w:w="0" w:type="dxa"/>
        <w:tblLayout w:type="fixed"/>
        <w:tblCellMar>
          <w:top w:w="28" w:type="dxa"/>
          <w:left w:w="28" w:type="dxa"/>
          <w:bottom w:w="28" w:type="dxa"/>
          <w:right w:w="28" w:type="dxa"/>
        </w:tblCellMar>
      </w:tblPr>
      <w:tblGrid>
        <w:gridCol w:w="1740"/>
        <w:gridCol w:w="1528"/>
        <w:gridCol w:w="1546"/>
        <w:gridCol w:w="210"/>
        <w:gridCol w:w="598"/>
        <w:gridCol w:w="275"/>
        <w:gridCol w:w="117"/>
        <w:gridCol w:w="117"/>
        <w:gridCol w:w="117"/>
        <w:gridCol w:w="210"/>
        <w:gridCol w:w="598"/>
        <w:gridCol w:w="275"/>
        <w:gridCol w:w="109"/>
        <w:gridCol w:w="109"/>
        <w:gridCol w:w="109"/>
        <w:gridCol w:w="203"/>
        <w:gridCol w:w="576"/>
        <w:gridCol w:w="265"/>
        <w:gridCol w:w="113"/>
        <w:gridCol w:w="113"/>
        <w:gridCol w:w="113"/>
        <w:gridCol w:w="203"/>
        <w:gridCol w:w="576"/>
        <w:gridCol w:w="312"/>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developed technologies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developed technologies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developed technologies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 (1)</w:t>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developed technologies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strategic investments and dispositions, net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adjustments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net income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developed technologies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other exit costs, and facility reductions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strategic investments and dispositions, net</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adjustments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net income per share</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pPr>
      <w:r>
        <w:rPr>
          <w:rFonts w:ascii="Times New Roman;serif" w:hAnsi="Times New Roman;serif"/>
          <w:b w:val="false"/>
          <w:color w:val="000000"/>
          <w:sz w:val="20"/>
        </w:rPr>
        <w:t>(1)</w:t>
      </w:r>
      <w:r>
        <w:rPr>
          <w:rFonts w:ascii="Times New Roman;serif" w:hAnsi="Times New Roman;serif"/>
          <w:b w:val="false"/>
          <w:color w:val="000000"/>
          <w:sz w:val="18"/>
        </w:rPr>
        <w:t>Totals may not sum due to rounding.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exclude the following, as applicable:</w:t>
      </w:r>
    </w:p>
    <w:p>
      <w:pPr>
        <w:pStyle w:val="TextBody"/>
        <w:bidi w:val="0"/>
        <w:spacing w:before="0" w:after="0"/>
        <w:jc w:val="both"/>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Stock-based compensation expenses.</w:t>
      </w:r>
      <w:r>
        <w:rPr>
          <w:color w:val="000000"/>
        </w:rPr>
        <w:t> </w:t>
      </w:r>
      <w:r>
        <w:rPr>
          <w:rFonts w:ascii="Times New Roman;serif" w:hAnsi="Times New Roman;serif"/>
          <w:b w:val="false"/>
          <w:color w:val="000000"/>
          <w:sz w:val="20"/>
        </w:rPr>
        <w:t xml:space="preserve">We exclude stock-based compensation expenses from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Accounting Standards Codification ("ASC") Topic 718, we believe excluding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expenses allows investors to make meaningful comparisons between our recurring core business operating results and those of other companies.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Amortization of developed technologies and purchased intangibles.</w:t>
      </w:r>
      <w:r>
        <w:rPr>
          <w:color w:val="000000"/>
        </w:rPr>
        <w:t> </w:t>
      </w:r>
      <w:r>
        <w:rPr>
          <w:rFonts w:ascii="Times New Roman;serif" w:hAnsi="Times New Roman;serif"/>
          <w:b w:val="false"/>
          <w:color w:val="000000"/>
          <w:sz w:val="20"/>
        </w:rPr>
        <w:t>We incur amortization of acquisition-related developed technologies and 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Acquisition-related costs.</w:t>
      </w:r>
      <w:r>
        <w:rPr>
          <w:color w:val="000000"/>
        </w:rPr>
        <w:t xml:space="preserve"> </w:t>
      </w:r>
      <w:r>
        <w:rPr>
          <w:rFonts w:ascii="Times New Roman;serif" w:hAnsi="Times New Roman;serif"/>
          <w:b w:val="false"/>
          <w:color w:val="000000"/>
          <w:sz w:val="20"/>
        </w:rPr>
        <w:t>We exclude certain acquisition-related costs, including due diligence costs, professional fees in connection with an acquisition, 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Restructuring, other exit costs, and facility reductions.</w:t>
      </w:r>
      <w:r>
        <w:rPr>
          <w:color w:val="000000"/>
        </w:rPr>
        <w:t> </w:t>
      </w:r>
      <w:r>
        <w:rPr>
          <w:rFonts w:ascii="Times New Roman;serif" w:hAnsi="Times New Roman;serif"/>
          <w:b w:val="false"/>
          <w:color w:val="000000"/>
          <w:sz w:val="20"/>
        </w:rPr>
        <w:t xml:space="preserve">These expenses are associated with realigning our business strategies based on current economic conditions. In connection with these restructuring actions or other exit actions, we recognize costs related to termination benefits for former employees whose positions were eliminated, the reduction of facilities, and cancellation of certain contracts. We exclude these charges because these expenses are not reflective of ongoing business and operating results. We believe it is useful for investors to understand the effects of these items on our total operating expenses.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i/>
          <w:color w:val="000000"/>
          <w:sz w:val="20"/>
        </w:rPr>
        <w:t>Loss (gain) on strategic investments and dispositions.</w:t>
      </w:r>
      <w:r>
        <w:rPr>
          <w:color w:val="000000"/>
        </w:rPr>
        <w:t xml:space="preserve"> </w:t>
      </w:r>
      <w:r>
        <w:rPr>
          <w:rFonts w:ascii="Times New Roman;serif" w:hAnsi="Times New Roman;serif"/>
          <w:b w:val="false"/>
          <w:color w:val="000000"/>
          <w:sz w:val="20"/>
        </w:rPr>
        <w:t xml:space="preserve">We exclude gains and losses related to our strategic investments and dispositions of strategic 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i/>
          <w:color w:val="000000"/>
          <w:sz w:val="20"/>
        </w:rPr>
        <w:t xml:space="preserve">Income tax adjustments. </w:t>
      </w:r>
      <w:r>
        <w:rPr>
          <w:rFonts w:ascii="Times New Roman;serif" w:hAnsi="Times New Roman;serif"/>
          <w:b w:val="false"/>
          <w:color w:val="000000"/>
          <w:sz w:val="20"/>
        </w:rPr>
        <w:t xml:space="preserve">The income tax effects that are excluded from the non-GAAP measures relate to the tax impact on the difference between GAAP and non-GAAP expenses, primarily due to stock-based compensation, amortization of purchased intangibles, and restructuring, other exit costs, and facility reductions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October 31, 2025, our principal sources of liquidity were cash, cash equivalents, and marketable securities totaling $2.59 billion, net accounts receivable of $806 million, and our revolving loan facility.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terminated its previous credit agreement and entered into a new Credit Agreement (the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proceeds from the 2025 Credit Agreement are available for working capital and general corporate purposes. At October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Autodesk had no outstanding borrowings under the 2025 Credit Agreement. See Part I, Item 1, “Financial Statements,” Note 13, “Borrowing Arrangements,” in the Notes to Condensed Consolidated Financial Statements for further discussion on our covenant requirements and additional information with respect to the 2025 Credit Agreement. If we are unable to remain in compliance with the covenants under the 2025 Credit Agreement, we will not be able to draw on our revolving credit facility. Additionally, as of November 26, 2025, we have no amounts outstanding under the 2025 Credit Agreement.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October 31, 2025, we have $2.50 billion aggregate principal amount of notes outstanding. See Part I, Item 1, “Financial Statements,” Note 13, “Borrowing Arrangements,” in the Notes to Condensed Consolidated Financial Statements for further discussion.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securities balances are concentrated in a few locations around the world, with substantial amounts held outside of the United States. As of October 31, 2025, approximately 56% of our total cash and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tbl>
      <w:tblPr>
        <w:tblW w:w="5469" w:type="dxa"/>
        <w:jc w:val="left"/>
        <w:tblInd w:w="0" w:type="dxa"/>
        <w:tblLayout w:type="fixed"/>
        <w:tblCellMar>
          <w:top w:w="28" w:type="dxa"/>
          <w:left w:w="28" w:type="dxa"/>
          <w:bottom w:w="28" w:type="dxa"/>
          <w:right w:w="28" w:type="dxa"/>
        </w:tblCellMar>
      </w:tblPr>
      <w:tblGrid>
        <w:gridCol w:w="1084"/>
        <w:gridCol w:w="953"/>
        <w:gridCol w:w="962"/>
        <w:gridCol w:w="247"/>
        <w:gridCol w:w="702"/>
        <w:gridCol w:w="137"/>
        <w:gridCol w:w="137"/>
        <w:gridCol w:w="137"/>
        <w:gridCol w:w="137"/>
        <w:gridCol w:w="247"/>
        <w:gridCol w:w="532"/>
        <w:gridCol w:w="194"/>
      </w:tblGrid>
      <w:tr>
        <w:trPr/>
        <w:tc>
          <w:tcPr>
            <w:tcW w:w="10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October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of $1,463 million for the nine months ended October 31, 2025, primarily consisted of $808 million of our net income adjusted for $1,413 million non-cash items such as stock-based compensation expense, restructuring, other exit costs, and facility reductions, amortization of costs to obtain a contract with a customer, depreciation, amortization, and accretion expense, and deferred income tax offset by changes in operating assets and liabilities. The decrease in working capital is primarily due to a negative change in prepaid expenses and other assets of $819 million, and a decrease in deferred revenue of $286 million due to the timing of our billing installments and seasonality of billings in the fourth fiscal quarter, partially offset by the change in accounts receivable of $202 million due to the seasonality of our billings in the fourth fiscal quarter and timing of cash collections from customers.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of $915 million for the nine months ended October 31, 2024, primarily consisted of $809 million of our net income adjusted for $700 million non-cash items such as stock-based compensation expense, amortization of costs to obtain a contract with a customer, depreciation, amortization, and accretion expense, and deferred income tax. The decrease in working capital is primarily due to a decrease in deferred revenue of $612 million due to the timing of our billing installments and seasonality of billings in the fourth fiscal quarter and a negative change in prepaid expenses and other assets of $221 million partially offset by the change in accounts receivable of $177 million due to the seasonality of our billings in the fourth fiscal quarter and timing of cash collections from customers.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$101 million for the nine months ended October 31, 2025, primarily due to purchases of marketable securities partially offset by sales and maturities of marketable securities. Net cash used in investing activities was $836 million for the nine months ended October 31, 2024, primarily due to business combinations, net of cash acquired, and purchases of marketable securities partially offset by the sales and maturities of marketable securities.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$979 million for the nine months ended October 31, 2025, primarily due to the repurchases of common stock and payment of notes payable due in June 2025 partially offset by the proceeds from the issuance of notes payable due in June 2035. Net cash used in financing activities was $530 million for the nine months ended October 31, 2024, primarily due to repurchases of common stock.</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repurchase of common stock in open-market transactions during the three months ended October 31, 2025:</w:t>
      </w:r>
    </w:p>
    <w:tbl>
      <w:tblPr>
        <w:tblW w:w="10205" w:type="dxa"/>
        <w:jc w:val="left"/>
        <w:tblInd w:w="0" w:type="dxa"/>
        <w:tblLayout w:type="fixed"/>
        <w:tblCellMar>
          <w:top w:w="28" w:type="dxa"/>
          <w:left w:w="28" w:type="dxa"/>
          <w:bottom w:w="28" w:type="dxa"/>
          <w:right w:w="28" w:type="dxa"/>
        </w:tblCellMar>
      </w:tblPr>
      <w:tblGrid>
        <w:gridCol w:w="526"/>
        <w:gridCol w:w="362"/>
        <w:gridCol w:w="364"/>
        <w:gridCol w:w="440"/>
        <w:gridCol w:w="440"/>
        <w:gridCol w:w="441"/>
        <w:gridCol w:w="109"/>
        <w:gridCol w:w="109"/>
        <w:gridCol w:w="109"/>
        <w:gridCol w:w="261"/>
        <w:gridCol w:w="860"/>
        <w:gridCol w:w="145"/>
        <w:gridCol w:w="109"/>
        <w:gridCol w:w="109"/>
        <w:gridCol w:w="109"/>
        <w:gridCol w:w="858"/>
        <w:gridCol w:w="858"/>
        <w:gridCol w:w="860"/>
        <w:gridCol w:w="109"/>
        <w:gridCol w:w="109"/>
        <w:gridCol w:w="109"/>
        <w:gridCol w:w="606"/>
        <w:gridCol w:w="1720"/>
        <w:gridCol w:w="483"/>
      </w:tblGrid>
      <w:tr>
        <w:trPr/>
        <w:tc>
          <w:tcPr>
            <w:tcW w:w="5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i/>
                <w:color w:val="000000"/>
                <w:sz w:val="16"/>
              </w:rPr>
              <w:t xml:space="preserve">(in millions) </w:t>
            </w:r>
            <w:r>
              <w:rPr>
                <w:rFonts w:ascii="Times New Roman;serif" w:hAnsi="Times New Roman;serif"/>
                <w:b/>
                <w:color w:val="000000"/>
                <w:sz w:val="16"/>
              </w:rPr>
              <w:t>(2)</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 August 31</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 September 30</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8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7,947 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 October 31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(1)This represents shares purchased in open-market transactions under the stock repurchase plans approved by the Board of Directors.</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 xml:space="preserve">(2)These amounts correspond to the plans publicly announced and approved by the Board of Directors in November 2022 and November 2024 that each authorized the repurchase of $5 billion. At October 31, 2025, $2.81 billion and $5 billion remained available for repurchase under the November 2022 and November 2024 repurchase programs, respectively. The plans do not have a fixed expiration date. See Part I, Item 1, “Financial Statements,” Note 18, “Stockholders' Equity,” in the Notes to the Condensed Consolidated Financial Statements for further discussion. </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Billings: </w:t>
      </w:r>
      <w:r>
        <w:rPr>
          <w:rFonts w:ascii="Times New Roman;serif" w:hAnsi="Times New Roman;serif"/>
          <w:b w:val="false"/>
          <w:color w:val="000000"/>
          <w:sz w:val="20"/>
        </w:rPr>
        <w:t xml:space="preserve">Total revenue plus the net change in deferred revenue from the beginning to the end of the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Cloud Service Offerings: </w:t>
      </w:r>
      <w:r>
        <w:rPr>
          <w:rFonts w:ascii="Times New Roman;serif" w:hAnsi="Times New Roman;serif"/>
          <w:b w:val="false"/>
          <w:color w:val="000000"/>
          <w:sz w:val="20"/>
        </w:rPr>
        <w:t>Represents individual term-based offerings deployed through web browser technologies or in a hybrid software and cloud configuration. Cloud service offerings that are bundled with other product offerings are not captured as a separate cloud service offering.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Constant Currency (CC) Growth Rates: </w:t>
      </w:r>
      <w:r>
        <w:rPr>
          <w:rFonts w:ascii="Times New Roman;serif" w:hAnsi="Times New Roman;serif"/>
          <w:b w:val="false"/>
          <w:color w:val="000000"/>
          <w:sz w:val="20"/>
        </w:rPr>
        <w:t xml:space="preserve">We attempt to represent the changes in the underlying business operations by eliminating fluctuations caused 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Design Business:</w:t>
      </w:r>
      <w:r>
        <w:rPr>
          <w:color w:val="000000"/>
        </w:rPr>
        <w:t xml:space="preserve"> </w:t>
      </w:r>
      <w:r>
        <w:rPr>
          <w:rFonts w:ascii="Times New Roman;serif" w:hAnsi="Times New Roman;serif"/>
          <w:b w:val="false"/>
          <w:color w:val="000000"/>
          <w:sz w:val="20"/>
        </w:rPr>
        <w:t xml:space="preserve">Represents the combination of maintenance, product subscriptions and all EBAs. Main products include, but are not limited to, AutoCAD, AutoCAD LT, Industry Collections, Revit, Inventor, Maya and 3ds Max. Certain products, such as our computer aided manufacturing solutions, incorporate both Design and Make functionality and are classified as Design.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Enterprise Business Agreements (EBAs):</w:t>
      </w:r>
      <w:r>
        <w:rPr>
          <w:color w:val="000000"/>
        </w:rPr>
        <w:t xml:space="preserve"> </w:t>
      </w:r>
      <w:r>
        <w:rPr>
          <w:rFonts w:ascii="Times New Roman;serif" w:hAnsi="Times New Roman;serif"/>
          <w:b w:val="false"/>
          <w:color w:val="000000"/>
          <w:sz w:val="20"/>
        </w:rPr>
        <w:t xml:space="preserve">Represents programs providing enterprise customers with token-based access to a broad pool of Autodesk products over a defined contract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Flex: </w:t>
      </w:r>
      <w:r>
        <w:rPr>
          <w:rFonts w:ascii="Times New Roman;serif" w:hAnsi="Times New Roman;serif"/>
          <w:b w:val="false"/>
          <w:color w:val="000000"/>
          <w:sz w:val="20"/>
        </w:rPr>
        <w:t>A pay-as-you-go consumption option to pre-purchase tokens to access any product available with Flex for a daily rate.</w:t>
      </w:r>
    </w:p>
    <w:p>
      <w:pPr>
        <w:pStyle w:val="TextBody"/>
        <w:bidi w:val="0"/>
        <w:spacing w:lineRule="auto" w:line="288" w:before="0" w:after="0"/>
        <w:jc w:val="left"/>
        <w:rPr/>
      </w:pPr>
      <w:r>
        <w:rPr>
          <w:rFonts w:ascii="Times New Roman;serif" w:hAnsi="Times New Roman;serif"/>
          <w:b w:val="false"/>
          <w:i/>
          <w:color w:val="000000"/>
          <w:sz w:val="20"/>
        </w:rPr>
        <w:t>Free Cash Flow:</w:t>
      </w:r>
      <w:r>
        <w:rPr>
          <w:color w:val="000000"/>
        </w:rPr>
        <w:t xml:space="preserve"> </w:t>
      </w:r>
      <w:r>
        <w:rPr>
          <w:rFonts w:ascii="Times New Roman;serif" w:hAnsi="Times New Roman;serif"/>
          <w:b w:val="false"/>
          <w:color w:val="000000"/>
          <w:sz w:val="20"/>
        </w:rPr>
        <w:t xml:space="preserve">Cash flow from operating activities minus capital expenditures.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Industry Collections:</w:t>
      </w:r>
      <w:r>
        <w:rPr>
          <w:color w:val="000000"/>
        </w:rPr>
        <w:t xml:space="preserve"> </w:t>
      </w:r>
      <w:r>
        <w:rPr>
          <w:rFonts w:ascii="Times New Roman;serif" w:hAnsi="Times New Roman;serif"/>
          <w:b w:val="false"/>
          <w:color w:val="000000"/>
          <w:sz w:val="20"/>
        </w:rPr>
        <w:t>Autodesk Industry Collections are a combination of products and services that target a specific user objective and support a set of workflows for that objective. Our Industry Collections consist of: Autodesk Architecture, Engineering and Construction Collection, Autodesk Product Design and Manufacturing Collection, and Autodesk Media and Entertainment Collection.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Maintenance Plan: </w:t>
      </w:r>
      <w:r>
        <w:rPr>
          <w:rFonts w:ascii="Times New Roman;serif" w:hAnsi="Times New Roman;serif"/>
          <w:b w:val="false"/>
          <w:color w:val="000000"/>
          <w:sz w:val="20"/>
        </w:rPr>
        <w:t xml:space="preserve">Our maintenance plans provide our customers with a cost effective and predictable budgetary option to obtain the 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Make Business:</w:t>
      </w:r>
      <w:r>
        <w:rPr>
          <w:color w:val="000000"/>
        </w:rPr>
        <w:t xml:space="preserve"> </w:t>
      </w:r>
      <w:r>
        <w:rPr>
          <w:rFonts w:ascii="Times New Roman;serif" w:hAnsi="Times New Roman;serif"/>
          <w:b w:val="false"/>
          <w:color w:val="000000"/>
          <w:sz w:val="20"/>
        </w:rPr>
        <w:t xml:space="preserve">Represents certain cloud-based product subscriptions. Main products include, but are not limited to, Autodesk Build, BIM Collaborate Pro, BuildingConnected, Fusion, and Flow Production Tracking. Certain products, such as Fusion, incorporate both Design and Make functionality and are classified as Make.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Net Revenue Retention Rate (NR3): </w:t>
      </w:r>
      <w:r>
        <w:rPr>
          <w:rFonts w:ascii="Times New Roman;serif" w:hAnsi="Times New Roman;serif"/>
          <w:b w:val="false"/>
          <w:color w:val="000000"/>
          <w:sz w:val="20"/>
        </w:rPr>
        <w:t xml:space="preserve">Measures the year-over-year change in Recurring Revenue for the population of customers that 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 xml:space="preserve">Consists of revenue from consulting, and other products and services, and is recognized as the products are delivered and services are performed.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Product Family: </w:t>
      </w:r>
      <w:r>
        <w:rPr>
          <w:rFonts w:ascii="Times New Roman;serif" w:hAnsi="Times New Roman;serif"/>
          <w:b w:val="false"/>
          <w:color w:val="000000"/>
          <w:sz w:val="20"/>
        </w:rPr>
        <w:t>A grouping of related products or solutions that address specific industry or market needs, customer types, or use cases, or share core 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Product Subscription:</w:t>
      </w:r>
      <w:r>
        <w:rPr>
          <w:color w:val="000000"/>
        </w:rPr>
        <w:t xml:space="preserve"> </w:t>
      </w:r>
      <w:r>
        <w:rPr>
          <w:rFonts w:ascii="Times New Roman;serif" w:hAnsi="Times New Roman;serif"/>
          <w:b w:val="false"/>
          <w:color w:val="000000"/>
          <w:sz w:val="20"/>
        </w:rPr>
        <w:t xml:space="preserve">Provides customers a flexible, cost-effective way to access and manage 3D design, engineering, and entertainment software tools. Our product subscriptions currently represent a hybrid of desktop and cloud functionality, which provides a device-independent, collaborative design workflow for designers and their stakeholders.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Recurring Revenue:</w:t>
      </w:r>
      <w:r>
        <w:rPr>
          <w:color w:val="000000"/>
        </w:rPr>
        <w:t xml:space="preserve"> </w:t>
      </w:r>
      <w:r>
        <w:rPr>
          <w:rFonts w:ascii="Times New Roman;serif" w:hAnsi="Times New Roman;serif"/>
          <w:b w:val="false"/>
          <w:color w:val="000000"/>
          <w:sz w:val="20"/>
        </w:rPr>
        <w:t xml:space="preserve">Consists of the revenue for the period from our traditional maintenance plans, our subscription plan offerings and certain Other revenue. It excludes subscription revenue related to third-party products. Recurring revenue acquired with the acquisition of a business is captured when total subscriptions are captured in our systems and may cause variability in the comparison of this calculation.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Remaining Performance Obligations (RPO): </w:t>
      </w:r>
      <w:r>
        <w:rPr>
          <w:rFonts w:ascii="Times New Roman;serif" w:hAnsi="Times New Roman;serif"/>
          <w:b w:val="false"/>
          <w:color w:val="000000"/>
          <w:sz w:val="20"/>
        </w:rPr>
        <w:t xml:space="preserve">The sum of total short-term, long-term, and unbilled deferred revenue. Current remaining performance obligations is the amount of revenue we expect to recognize 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Solution Provider:</w:t>
      </w:r>
      <w:r>
        <w:rPr>
          <w:color w:val="000000"/>
        </w:rPr>
        <w:t xml:space="preserve"> </w:t>
      </w:r>
      <w:r>
        <w:rPr>
          <w:rFonts w:ascii="Times New Roman;serif" w:hAnsi="Times New Roman;serif"/>
          <w:b w:val="false"/>
          <w:color w:val="000000"/>
          <w:sz w:val="20"/>
        </w:rPr>
        <w:t>Solution Provider is the name of our channel partners who primarily serve our new transaction model customers worldwide. Solution Providers may also be resellers in relation to Autodesk solutions.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Spend:</w:t>
      </w:r>
      <w:r>
        <w:rPr>
          <w:color w:val="000000"/>
        </w:rPr>
        <w:t xml:space="preserve"> </w:t>
      </w:r>
      <w:r>
        <w:rPr>
          <w:rFonts w:ascii="Times New Roman;serif" w:hAnsi="Times New Roman;serif"/>
          <w:b w:val="false"/>
          <w:color w:val="000000"/>
          <w:sz w:val="20"/>
        </w:rPr>
        <w:t xml:space="preserve">The sum of cost of revenue and operating expenses.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Subscription Plan: </w:t>
      </w:r>
      <w:r>
        <w:rPr>
          <w:rFonts w:ascii="Times New Roman;serif" w:hAnsi="Times New Roman;serif"/>
          <w:b w:val="false"/>
          <w:color w:val="000000"/>
          <w:sz w:val="20"/>
        </w:rPr>
        <w:t xml:space="preserve">Comprises our term-based product subscriptions, cloud service offerings, and EBAs. Subscriptions 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Subscription Revenue: </w:t>
      </w:r>
      <w:r>
        <w:rPr>
          <w:rFonts w:ascii="Times New Roman;serif" w:hAnsi="Times New Roman;serif"/>
          <w:b w:val="false"/>
          <w:color w:val="000000"/>
          <w:sz w:val="20"/>
        </w:rPr>
        <w:t>Includes our cloud-enabled term-based product subscriptions, cloud service offerings, and flexible EBAs.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i/>
          <w:color w:val="000000"/>
          <w:sz w:val="20"/>
        </w:rPr>
        <w:t xml:space="preserve">Unbilled Deferred Revenue: </w:t>
      </w:r>
      <w:r>
        <w:rPr>
          <w:rFonts w:ascii="Times New Roman;serif" w:hAnsi="Times New Roman;serif"/>
          <w:b w:val="false"/>
          <w:color w:val="000000"/>
          <w:sz w:val="20"/>
        </w:rPr>
        <w:t xml:space="preserve">Unbilled deferred revenue represents contractually stated or committed contracts under early renewal and multi-year billing plans for subscription, services, and maintenance for which the associated deferred revenue has not been recognized. Under FASB Accounting Standards Codification ("ASC") Topic 606, unbilled deferred revenue is not included as a receivable or deferred revenue on our Consolidated Balance Sheet.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2025, and January 31, 2025, we had open cash flow and balance sheet hedge contracts with future settlements generally within one to 12 months. Contracts were primarily denominated in British pounds, Euros, Japanese yen, Singapore dollars, and Swiss francs. We do not enter into foreign exchange derivative instruments for trading or speculative purposes.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option and foreign exchange forward contracts outstanding as of the respective period-ends are summarized in U.S. dollar equivalents as follows (in millions):</w:t>
      </w:r>
    </w:p>
    <w:tbl>
      <w:tblPr>
        <w:tblW w:w="7022" w:type="dxa"/>
        <w:jc w:val="left"/>
        <w:tblInd w:w="0" w:type="dxa"/>
        <w:tblLayout w:type="fixed"/>
        <w:tblCellMar>
          <w:top w:w="28" w:type="dxa"/>
          <w:left w:w="28" w:type="dxa"/>
          <w:bottom w:w="28" w:type="dxa"/>
          <w:right w:w="28" w:type="dxa"/>
        </w:tblCellMar>
      </w:tblPr>
      <w:tblGrid>
        <w:gridCol w:w="543"/>
        <w:gridCol w:w="477"/>
        <w:gridCol w:w="480"/>
        <w:gridCol w:w="310"/>
        <w:gridCol w:w="882"/>
        <w:gridCol w:w="172"/>
        <w:gridCol w:w="109"/>
        <w:gridCol w:w="109"/>
        <w:gridCol w:w="109"/>
        <w:gridCol w:w="279"/>
        <w:gridCol w:w="450"/>
        <w:gridCol w:w="155"/>
        <w:gridCol w:w="109"/>
        <w:gridCol w:w="109"/>
        <w:gridCol w:w="109"/>
        <w:gridCol w:w="310"/>
        <w:gridCol w:w="882"/>
        <w:gridCol w:w="172"/>
        <w:gridCol w:w="109"/>
        <w:gridCol w:w="109"/>
        <w:gridCol w:w="109"/>
        <w:gridCol w:w="241"/>
        <w:gridCol w:w="499"/>
        <w:gridCol w:w="189"/>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Purchased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Sold</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 Contracts: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Purchased </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foreign currency contracts to reduce the exchange rate impact on the net revenue and operating expenses of certain anticipated transactions. A hypothetical 10% appreciation of the U.S. dollar from its value at October 31, 2025, and January 31, 2025, would increase the fair value of our foreign currency contracts by $159 million and $209 million, respectively. A hypothetical 10% depreciation of the dollar from its value at October 31, 2025, and January 31, 2025, would decrease the fair value of our foreign currency contracts by $150 million and $116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movements affect both the interest income we earn on our short-term investments and the market value of certain longer-term securities. At October 31, 2025, we had $1.83 billion of cash equivalents and marketable securities, including $300 million classified as short-term marketable securities and $302 million classified as long-term marketable securities. If interest rates were to move up or down by 50 or 100 basis points over a 12-month period, the market value change of these securities would not have a material impact on our results of operations.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Market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There were no changes in our internal control over financial reporting (as such term is defined in Rules 13a-15(f) and 15d-15(f) under the Exchange Act) during the three months ended</w:t>
      </w:r>
      <w:r>
        <w:rPr>
          <w:color w:val="EE2724"/>
        </w:rPr>
        <w:t xml:space="preserve"> </w:t>
      </w:r>
      <w:r>
        <w:rPr>
          <w:rFonts w:ascii="Times New Roman;serif" w:hAnsi="Times New Roman;serif"/>
          <w:b w:val="false"/>
          <w:color w:val="000000"/>
          <w:sz w:val="20"/>
        </w:rPr>
        <w:t>October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cooperated with the SEC and USAO, including by providing certain documents and information. On August 19, 2025, the SEC notified the Company that it was closing its matter. On August 21, 2025, the USAO notified the Company that it was closing its matter as well.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On July 18, 2025, the Court granted defendants’ motion to dismiss with leave to amend. On August 8, 2025, plaintiffs filed an amended complaint, which purports to assert claims under Sections 10(b) and 20(a) of the Exchange Act, and Rule 10b-5 promulgated thereunder. Defendants’ motion to dismiss the complaint was filed on August 29, 2025. At this stage, the Company cannot reasonably estimate the amount of any possible financial loss that could result from this matter.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 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above. The plaintiff in the District of Delaware action filed a notice of voluntary dismissal of the action without prejudice on April 4, 2025, which the Court entered on April 7, 2025.</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Summary of Risk Factors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consider before investing in our securities. These risks are described more fully below and include, but are not limited to, risks relating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strategy to develop and introduce new products and services, exposing us to risks such as limited customer acceptance (both with new and existing customers), costs related to product defects, and large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economic and political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and challenges associated with strategic acquisitions and investments.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Dependency on international revenue and operations, exposing us to significant international regulatory, economic, intellectual property, collections, currency exchange rate, taxation, political, and other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to predict subscription renewal rates and their impact on our future revenue and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Existing and increased competition and rapidly evolving technological changes.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 of our financial results, key metrics and other operating metrics.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Deriving a substantial portion of our net revenue from a small number of solutions, including our AutoCAD-based software products and collections.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failure to successfully execute and manage initiatives to realign or introduce new business and sales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strategy and expectations regarding the expected benefits, timing and costs associated with our restructuring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revenue, billings, earnings, cash flow, or subscriptions shortfalls or volatility of the market causing the market price of our stock to decline.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Challenges relating to the proper management and governance of our use of AI in our offerings.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incidents compromising the integrity of our or our customers’ offerings, services, data, or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third parties to provide us with a number of operational and technical services as well as software.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highly complex software, which may contain undetected errors, defects, or vulnerabilities, and is subject to service disruptions, degradations, outages or other performance problems.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regulatory focus on privacy, data protection, and information security issues and expanding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Governmental export and import controls that could impair our ability to compete in international markets or subject us to liability if we violate the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Protection of our intellectual property rights and intellectual property infringement claims from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government procurement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debt service obligations.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investment portfolio consisting of a variety of investment vehicles that are subject to interest rate trends, market volatility, and other economic factors.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Our Business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economic and political conditions may further impact our industries, business,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spending cuts impede the ability of governments to purchase our products and services, our revenue could decline. In addition, a number of our customers rely, directly and indirectly, on government spending.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could be adversely impacted by the costs and challenges associated with strategic acquisitions and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regularly acquire or invest in businesses, software solutions, and technologies that are complementary to our business through acquisitions, strategic alliances, or equity or debt investments, including several transactions in fiscal 2025.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retain customers, key employees, vendors, distributors, business partners, and other entities associated with the acquired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that due diligence of the acquired business or solution does not identify significant problems;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exposure to litigation or other claims in connection with, or inheritance of claims or litigation risk as a result of, an acquisition, including claims from terminated employees, customers, or other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incompatible business cultures;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significantly higher than anticipated transaction or integration-related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additional exposure to economic, tax, currency, political, legal, and regulatory risks and liabilities, including risks associated with specific countries;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impact on relationships with existing customers, vendors, and distributors as business partners as a result of acquiring another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net revenue represented 64% of our net revenue during both the nine months ended October 31, 2025 and 2024. Our international revenue, some of which comes from emerging economies, is subject to economic and political conditions in foreign markets, including those resulting from economic and political conditions in the United States. Our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volatility;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tariffs, quotas, and other trade barriers and restrictions, geopolitical conflicts, and any political or economic responses and counter-responses thereto by various global 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fluctuating currency exchange rates, including devaluations, currency controls, and inflation, and risks related to any hedging activities we undertake;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regulatory requirements and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resulting from difficulty in obtaining export licenses for certain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purchase patterns as compared to the developed world;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in locations with a higher incidence of corruption and fraudulent business practices, particularly in emerging economies;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the U.S. Foreign Corrupt Practices Act, the U.K. Bribery Act, and other anti-corruption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sales and development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 collection cycles for accounts receivable;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and foreign tax law changes and the complexities of tax reporting;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laws regarding the free flow of data across international borders and management of and access to data and public networks;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future limitations upon foreign-owned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inadequate local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greater difficulty in protecting intellectual property;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piracy;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factors beyond our control, including popular uprisings, terrorism, war (including any related political or economic responses and counter-responses or otherwise by various global actors or the general effect on the global economy), natural disasters, and diseases and pandemics.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business partners also have international operations and are subject to the risks described above.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imposed sanctions as a result of the war against Ukraine launched by Russia and the ongoing war between Israel and Hamas.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as a component of U.S. foreign policy. Since March 2025, the United States has placed an additional 20% tariff on most goods from China, imposed an additional 25% tariff on most products of Canada and Mexico (with an exception for goods that qualify for duty-free treatment under the U.S.-Mexico-Canada Agreement), and implemented 25% Section 232 tariffs on various articles of steel and aluminum. In April 2025, the U.S. government implemented 25% Section 232 tariffs on passenger vehicles and light trucks (with similar Section 232 tariffs on components for such vehicles expected to be imposed beginning in May 2025); imposed an additional reciprocal tariff of 125% on most imports from China; and imposed an additional reciprocal tariff of 10% on most imports from U.S. trading partners other than China, Canada, Mexico, and countries with which the U.S. does not have normal trade relations. Additional investigations by the U.S. government are in progress and could result in the imposition of additional tariffs on additional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currently significant uncertainty about the future relationship between the United States and its trading partners with respect to trade policies, tariffs, taxes, and similar policies affecting cross-border operations. These new or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tariffs and other changes in U.S. trade policy, including new sanctions,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announcing sanctions, a change in tariff structures, export controls, or other trade policies, may increase the cost of, or otherwise interfere with, the conduct of our business, and could have a material adverse effect on our operations and business outlook.</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manage the risks of international operations, our business may be adversely affected if our business partners are not able to successfully manage these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not be able to predict subscription renewal rates and their impact on our future revenue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Existing and increased competition and rapidly evolving technological changes may reduce our revenue and profits.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financial results, key metrics, and other operating metrics fluctuate within each quarter and from quarter to quarter, making our future revenue and financial results difficult to predict.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market, economic, business, and political conditions in Europe, APAC, and emerging economies, including from an economic downturn or recession in the United States or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produce sufficient revenue, billings, subscription, profitability, and cash flow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accurately predict the impact of acquired businesses or to identify and realize the anticipated benefits of acquisitions, and successfully integrate such acquired businesses and technologies;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shift to named-user plans and annual billing of multi-year contracts, which impacted the timing of our billings and cash collections in fiscal year 2024 and 2025 and which is expected to continue into fiscal year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successfully introduce and expand new transaction models such as Flex;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potential goodwill impairment charges related to prior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manage spend;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billings linearity;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subscription mix, pricing pressure, or changes in subscription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 or negative growth in one or more of the industries we serve, including AECO, manufacturing, and digital media and entertainment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new business or sales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breaches, related reputational harm, and potential financial penalties to customers and government entities;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restructuring or other accounting charges and unexpected costs or other operating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additional investments in our technologies or deployment of our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revenue recognition or other accounting guidelines employed by us and/or established by the Financial Accounting Standards Board, Securities and Exchange Commission, or other rulemaking bodies;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foreign currency exchange rates and the effectiveness of our hedging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on and timing of large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adjustments arising from ongoing or future tax examinations;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governments around the world to adopt fiscal policies, meet their financial and debt obligations, and finance infrastructure projects;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expand our AutoCAD and AutoCAD LT customer base to related design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rapidly adapt to technological and customer preference changes, including those related to cloud computing, mobile devices, and new computing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the introduction of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financial and business condition of our reseller and distribution channels;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or actual technical or other problems with a product or combination of subscriptions;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unexpected or negative outcomes of matters and expenses relating to litigation or regulatory inquiries;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cloud functionality-related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of releases and retirements of offerings;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tax laws or tax or accounting rules and regulations, such as increased use of fair value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sales compensation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effectively implement and maintain our copyright legalization programs, especially in developing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renegotiation or termination of royalty or intellectual property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interruptions or terminations in the business of our consultants or third-party developers;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timing and degree of expected investments in growth and efficiency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achieve continued success in technology advancements;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catastrophic events, natural disasters, or public health events, such as pandemics and epidemics;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compliance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appropriately estimate the scope of services under consulting arrangements.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derive a substantial portion of our net revenue from a small number of solutions, including our AutoCAD-based software products and collections, and if these offerings are not successful, our revenue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2025 and 2024, combined revenue from our AutoCAD and AutoCAD LT family products, not including collections having AutoCAD or AutoCAD LT as a component, represented 25% and 26% of our total net revenue,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From time to time we realign or introduce new business and sales initiatives; if we fail to successfully execute and manage these initiatives, our results of operations could be negatively impacted.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revenue, billings, earnings, cash flow, or subscriptions shortfalls or volatility of the market generally may cause the market price of our stock to decline.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variations in our or our competitors’ results of operations;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general socioeconomic, political, or market conditions, including from an economic downturn or recession in the United States or in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forward-looking estimates of future results, how those estimates compare to securities analyst expectations, or changes in recommendations or confusion on the part of analysts and investors about the short- and long-term impact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uncertainty about certain governments’ abilities to repay debt or effect fiscal policy;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new offerings or enhancements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unusual events such as significant acquisitions, divestitures, regulatory actions, and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rules, or regulations applicable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outstanding debt service obligations;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by activist shareholders or others, and our response to such actions;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including factors unrelated to our operating performance, such as instability affecting the economy or the operating performance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 a result of our strategy of partnering with other companies for product development, our product delivery schedules could be adversely affected if we experience difficulties with our product development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incorporate AI into our offerings, and challenges with properly managing its use could result in competitive harm, reputational harm, or liability,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or other aspects of the development or use of AI may also increase the burden and cost of research and development in this area, subjecting us to brand or reputational harm, competitive harm, or legal liability. For example, the European Union’s Artificial Intelligence Act (the “AI Act”), which achieved approval by the European Council on February 2, 2024, and the European Parliament on March 13, 2024, will impose obligations on providers and users of artificial intelligence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Audit Committee internal investigation has been time-consuming and expensive, has resulted in the filing of lawsuits, and may result in additional expense and/or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Autodesk voluntarily contacted the Securities and Exchange Commission (“SEC”) to advise it that an internal investigation was ongoing. In addition, the United States Attorney’s Office for the Northern District of California (“USAO”) contacted us regarding the Audit Committee investigation. We cooperated with the SEC and USAO, including by providing certain documents and information. On August 19, 2025, the SEC notified us that it was closing its matter. On August 21, 2025, the USAO notified us that it was closing its matter as well.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 We can provide no assurances as to the outcome of any governmental investigation.</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and certain of our officers and directors have been named in purported shareholder litigation arising out of our announcement of the investigation. For additional discussion, see Part I, Item 3. Legal Proceedings and Note 11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between Israel and Hamas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Our use of AI may also increase our risks of being subject to a security breach or incident.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Our use</w:t>
      </w:r>
      <w:r>
        <w:rPr>
          <w:color w:val="000000"/>
        </w:rPr>
        <w:t xml:space="preserve"> </w:t>
      </w:r>
      <w:r>
        <w:rPr>
          <w:rFonts w:ascii="Times New Roman;serif" w:hAnsi="Times New Roman;serif"/>
          <w:b w:val="false"/>
          <w:i/>
          <w:color w:val="000000"/>
          <w:sz w:val="20"/>
        </w:rPr>
        <w:t>of third-party</w:t>
      </w:r>
      <w:r>
        <w:rPr>
          <w:color w:val="000000"/>
        </w:rPr>
        <w:t xml:space="preserve"> </w:t>
      </w:r>
      <w:r>
        <w:rPr>
          <w:rFonts w:ascii="Times New Roman;serif" w:hAnsi="Times New Roman;serif"/>
          <w:b w:val="false"/>
          <w:i/>
          <w:color w:val="000000"/>
          <w:sz w:val="20"/>
        </w:rPr>
        <w:t>open</w:t>
      </w:r>
      <w:r>
        <w:rPr>
          <w:color w:val="000000"/>
        </w:rPr>
        <w:t xml:space="preserve"> </w:t>
      </w:r>
      <w:r>
        <w:rPr>
          <w:rFonts w:ascii="Times New Roman;serif" w:hAnsi="Times New Roman;serif"/>
          <w:b w:val="false"/>
          <w:i/>
          <w:color w:val="000000"/>
          <w:sz w:val="20"/>
        </w:rPr>
        <w:t>source</w:t>
      </w:r>
      <w:r>
        <w:rPr>
          <w:color w:val="000000"/>
        </w:rPr>
        <w:t xml:space="preserve"> </w:t>
      </w:r>
      <w:r>
        <w:rPr>
          <w:rFonts w:ascii="Times New Roman;serif" w:hAnsi="Times New Roman;serif"/>
          <w:b w:val="false"/>
          <w:i/>
          <w:color w:val="000000"/>
          <w:sz w:val="20"/>
        </w:rPr>
        <w:t>software</w:t>
      </w:r>
      <w:r>
        <w:rPr>
          <w:color w:val="000000"/>
        </w:rPr>
        <w:t xml:space="preserve"> </w:t>
      </w:r>
      <w:r>
        <w:rPr>
          <w:rFonts w:ascii="Times New Roman;serif" w:hAnsi="Times New Roman;serif"/>
          <w:b w:val="false"/>
          <w:i/>
          <w:color w:val="000000"/>
          <w:sz w:val="20"/>
        </w:rPr>
        <w:t>could negatively affect</w:t>
      </w:r>
      <w:r>
        <w:rPr>
          <w:color w:val="000000"/>
        </w:rPr>
        <w:t xml:space="preserve"> </w:t>
      </w:r>
      <w:r>
        <w:rPr>
          <w:rFonts w:ascii="Times New Roman;serif" w:hAnsi="Times New Roman;serif"/>
          <w:b w:val="false"/>
          <w:i/>
          <w:color w:val="000000"/>
          <w:sz w:val="20"/>
        </w:rPr>
        <w:t>our ability</w:t>
      </w:r>
      <w:r>
        <w:rPr>
          <w:color w:val="000000"/>
        </w:rPr>
        <w:t xml:space="preserve"> </w:t>
      </w:r>
      <w:r>
        <w:rPr>
          <w:rFonts w:ascii="Times New Roman;serif" w:hAnsi="Times New Roman;serif"/>
          <w:b w:val="false"/>
          <w:i/>
          <w:color w:val="000000"/>
          <w:sz w:val="20"/>
        </w:rPr>
        <w:t>to sell subscriptions to access</w:t>
      </w:r>
      <w:r>
        <w:rPr>
          <w:color w:val="000000"/>
        </w:rPr>
        <w:t xml:space="preserve"> </w:t>
      </w:r>
      <w:r>
        <w:rPr>
          <w:rFonts w:ascii="Times New Roman;serif" w:hAnsi="Times New Roman;serif"/>
          <w:b w:val="false"/>
          <w:i/>
          <w:color w:val="000000"/>
          <w:sz w:val="20"/>
        </w:rPr>
        <w:t>our products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subject us to possible litigation and greater security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Delays in service from third-party service providers could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sell our software products both directly to end users and through a network of distributors and resellers. For the nine months ended October 31, 2025 and 2024, approximately 39% and 60%, respectively, of our revenue was derived from indirect channel sales primarily through distributors and resellers.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significantly upon major distributors and resellers in both the U.S. and international regions. Of our distributors, TD Synnex accounted for 16% and 35% of our total net revenue for the nine months ended October 31, 2025 and 2024, respectively. In connection with our new transaction model, we entered into agreements to provide transition distribution activities with certain distributors and entered into a new distribution agreement with TD Synnex for government business in certain jurisdictions. In connection with such transition agreements, we intend to increase our selling efforts with resellers and agents. During the transition period, we believe the resellers and end users who currently purchase our products through TD Synnex will be able to continue to do so, and following the transition period, we believe such end users will be able to continue to purchase our products from certain resellers or directly from Autodesk, in each case under substantially the same terms and without substantial disruption to our revenue. However, if during the transition period, TD Synnex was to experience a significant business disruption or if our relationship with either were to significantly deteriorate, it is possible that our ability to sell to end users would, at least temporarily, be negatively impacted. Also, if any of our assumptions about our end users, resellers, distributors, or agents or our direct selling capabilities proves incorrect, these changes could harm our business. This could, in turn, negatively impact our financial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We rely on software from third parties, and a failure to properly manage our use of third-party software could result in increased costs or loss of revenue.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could be adversely affected if we are unable to attract and retain key personnel.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rely on third-party technologies and if we are unable to use or integrate these technologies, our solutions and service development may be delayed and our financial results negatively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Disruptions in licensing relationships and with third-party developers could adversely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Increasing regulatory focus on privacy, data protection, and information security issues and new and expanding laws may impact our business and expose us to increased liability.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In addition, there is continued instability of international personal data transfer legal mechanisms that are complex, uncertain, and subject to active litigation and enforcement actions in a number of jurisdictions around the world.</w:t>
      </w:r>
      <w:r>
        <w:rPr>
          <w:color w:val="000000"/>
        </w:rPr>
        <w:t xml:space="preserve"> </w:t>
      </w:r>
      <w:r>
        <w:rPr>
          <w:rFonts w:ascii="Times New Roman;serif" w:hAnsi="Times New Roman;serif"/>
          <w:b w:val="false"/>
          <w:color w:val="000000"/>
          <w:sz w:val="20"/>
        </w:rPr>
        <w:t xml:space="preserve">For example, on June 4, 2021, the European Commission published a new set of modular standard contractual clause (“SCCs”), which became effective on June 29, 2021. The SCCs impose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 or other regions.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United Kingdom’s (“UK”) exit from the EU, and ongoing developments in the UK, have created uncertainty with regard to data protection regulation in the UK. Personal data processing in the UK is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requires renewal, and may be revoked or not renewed if the UK diverges from its current adequate data protection laws following its exit from the EU. The UK has proposed legislation that would modify its data protection regime in manners that deviate from the GDPR, and the European Commission has proposed extending its adequacy renewal decision for the UK’s data protection regime until December 27, 2025, in order to assess any modified data protection regime that the UK may enact. On February 2, 2022, the UK’s Information Commissioner’s Office issued new standard contractual clauses to support personal data transfers out of the UK (“UK SCCs”), which became effective March 21, 2022.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make use of to legitimize personal data transfers to the U.S. from the European Economic Area,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from privacy advocacy groups or others. Further, the European Commission’s adequacy decision regarding the EU-U.S. DPF provides that the EU-U.S. DPF will be subject to future reviews and may be subject to suspension, amendment, repeal, or limitations to its scope by the European Commission. We may, in addition to other impacts, experience additional costs associated with increased compliance burdens and be required to engage in new contract negotiations with third parties that aid in processing personal data on our behalf or localize certain personal data.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Further, several European data protection authorities have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Several other countries, including China, Australia, New Zealand, Brazil, and Japan, have also established specific legal requirements for cross-border data transfers. There is also an increasing trend towards data localization policies. For example, China and India have introduced localization requirements for certain data. Other countries also are considering data localization requirements. If this trend continues, and countries implement more restrictive regulations for cross-border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CPRA and many other new state laws addressing privacy and information security, including those that have become or will become effective in 2025, provide for additional obligations such as data minimization and storage limitations, granting additional rights to consumers such as correction of personal information and additional opt-out rights. The CPRA also created a new agency to implement and enforce the law. These new state laws 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EU and the UK, regulators are increasingly focusing on compliance with requirements in the online behavioral advertising ecosystem.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 The EU also has proposed, and in certain cases enacted, numerous regulations and directives addressing cybersecurity.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Governments, regulators, plaintiffs’ attorneys, and privacy advocates have increased their focus on how companies collect, use, store, share, transmit, and otherwise process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and cybersecurity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subject to governmental export and import controls that could impair our ability to compete in international markets or subject us to liability if we violate the controls.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erif" w:hAnsi="Times New Roman;serif"/>
          <w:b w:val="false"/>
          <w:color w:val="000000"/>
          <w:sz w:val="20"/>
        </w:rPr>
        <w:t>Our offerings are subject to export controls and economic sanctions laws and regulations that prohibit the delivery of certain solutions and services or the export to locations, governments, and persons targeted by applicable sanctions</w:t>
      </w:r>
      <w:r>
        <w:rPr>
          <w:color w:val="000000"/>
        </w:rPr>
        <w:t xml:space="preserve"> </w:t>
      </w:r>
      <w:r>
        <w:rPr>
          <w:rFonts w:ascii="Times New Roman;serif" w:hAnsi="Times New Roman;serif"/>
          <w:b w:val="false"/>
          <w:color w:val="000000"/>
          <w:sz w:val="20"/>
        </w:rPr>
        <w:t xml:space="preserve">without the required export authorizations.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controls and sanctions laws and regulations.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loss of sales opportunities. Violations of applicable sanctions or export control laws or regulations can result in fines or penalties.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risks regarding sanctions and trade protectionism, please see the risk factor entitled “We are dependent on international revenue and operations . . .” earlier in this section.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are not able to adequately protect our proprietary rights,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may face intellectual property infringement claims that could be costly to defend and result in the loss of significant rights.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Contracting with government entities exposes us to additional risks inherent in the government procurement process.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governmental sector until we have attained the full or revised certification. Governmental entities may also have statutory, contractual or other legal rights to terminate contracts with us or our partners for convenience or for other reasons.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Financial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exposed to fluctuations in currency exchange rates that could negatively impact our financial results and cash flows.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debt service obligations may adversely affect our financial condition and cash flows from operations.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$2.50 billion of principal debt, consisting of notes due at various times from June 2027 to June 2035, as of October 31, 2025, as described in Part I, Item 1. In May 2025, we also entered into the 2025 Credit Agreement, which provides for an unsecured revolving loan facility in the aggregate principal amount of $1.5 billion, with an option to increase the principal amount to $2 billion subject to receipt of additional commitments and other customary conditions, as described in Part I, Item 1, “Financial Statements,” Note 13, “Borrowing Arrangements”. Maintenance of our indebtedness, contractual restrictions, and additional issuances of indebtedness could:</w:t>
      </w:r>
    </w:p>
    <w:p>
      <w:pPr>
        <w:pStyle w:val="TextBody"/>
        <w:bidi w:val="0"/>
        <w:spacing w:before="0" w:after="0"/>
        <w:ind w:left="0" w:right="0" w:firstLine="45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cause us to dedicate a substantial portion of our cash flows from operations towards debt service obligations and principal repayments;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adverse changes in general economic, industry, and competitive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impair our ability to obtain future financing for working capital, capital expenditures, acquisitions, general corporate, or other purposes;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required to comply with the covenants set forth in the 2025 Credit Agreement. If we breach any of the covenants and do not obtain a waiver from the lenders, then, subject to applicable cure periods, we would not be able to incur additional indebtedness under the 2025 Credit Agreement described in Part I, Item 1, “Financial Statements,” Note 13, “Borrowing Arrangements,” and the lenders under the 2025 Credit Agreement could declare any outstanding indebtedness under the 2025 Credit Agreement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could increase. Downgrades in our credit ratings could also restrict our ability to obtain additional financing in the future and could affect the terms of any such financing.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A loss on any of our investments may cause us to record an other-than-temporary impairment charge. The effect of this charge could impact our overall net income and earnings per share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In any of these scenarios, our liquidity may be negatively impacted, which in turn may prohibit us from making investments in our business, taking advantage of opportunities, and potentially meeting our financial obligations as they come due.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tax rules and regulations, and uncertainties in interpretation and application, could materially affect our tax obligations and effective tax rate.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 ultimate effect on our results of operations, including for our prior tax years.</w:t>
      </w:r>
      <w:r>
        <w:rPr>
          <w:color w:val="000000"/>
        </w:rPr>
        <w:t xml:space="preserve"> </w:t>
      </w:r>
      <w:r>
        <w:rPr>
          <w:rFonts w:ascii="Times New Roman;serif" w:hAnsi="Times New Roman;serif"/>
          <w:b w:val="false"/>
          <w:color w:val="000000"/>
          <w:sz w:val="20"/>
        </w:rPr>
        <w:t>In addition, increases in corporate tax rates, could increase our effective tax rate, cash taxes and have an adverse effect on our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If we were required to record an impairment charge related to the value of our long-lived assets or an additional valuation allowance against our deferred tax assets, our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w:t>
      </w:r>
      <w:r>
        <w:rPr>
          <w:color w:val="000000"/>
        </w:rPr>
        <w:t xml:space="preserve"> </w:t>
      </w:r>
      <w:r>
        <w:rPr>
          <w:rFonts w:ascii="Times New Roman;serif" w:hAnsi="Times New Roman;serif"/>
          <w:b w:val="false"/>
          <w:color w:val="000000"/>
          <w:sz w:val="20"/>
        </w:rPr>
        <w:t>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Our business may be significantly disrupted upon the occurrence of a catastrophic event.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existing financial accounting standards or practices, or taxation rules or practices may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preparing our financial statements we make certain assumptions, judgments, and estimates that affect amounts reported in our consolidated financial statements which, if not accurate, may significantly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make assumptions, judgments, and estimates for a number of items, including revenue recognition for product subscriptions and enterprise business agreements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during the three months ended October 31, 2025.</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ind w:left="0" w:right="0" w:firstLine="45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our last fiscal quarter ended October 31, 2025, the following officer(s), as defined in Rule 16a-1(f), adopted a “Rule 10b5-1 trading arrangement” as defined in Regulation S-K Item 408, as follows: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Andrew Anagnost, our President and Chief Executive Officer, adopted a new Rule 10b5-1 trading arrangement providing for the sale from time to time of an aggregate of up to 93,097 shares of our common stock. The trading arrangement is intended to satisfy the affirmative defense in Rule 10b5-1(c). The duration of the trading arrangement is until September 1, 2026, or earlier if all transactions under the trading arrangement are completed.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officers, as defined in Rule 16a-1(f), or directors adopted or terminated a “Rule 10b5-1 trading arrangement” or a “non-Rule 10b5-1 trading arrangement,” each as defined in Regulation S-K Item 408.</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The Exhibits listed below are filed or incorporated by reference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47"/>
        <w:gridCol w:w="250"/>
        <w:gridCol w:w="109"/>
        <w:gridCol w:w="109"/>
        <w:gridCol w:w="109"/>
        <w:gridCol w:w="1878"/>
        <w:gridCol w:w="1705"/>
        <w:gridCol w:w="1727"/>
        <w:gridCol w:w="109"/>
        <w:gridCol w:w="109"/>
        <w:gridCol w:w="109"/>
        <w:gridCol w:w="308"/>
        <w:gridCol w:w="308"/>
        <w:gridCol w:w="309"/>
        <w:gridCol w:w="170"/>
        <w:gridCol w:w="170"/>
        <w:gridCol w:w="171"/>
        <w:gridCol w:w="213"/>
        <w:gridCol w:w="213"/>
        <w:gridCol w:w="214"/>
        <w:gridCol w:w="210"/>
        <w:gridCol w:w="210"/>
        <w:gridCol w:w="211"/>
        <w:gridCol w:w="207"/>
        <w:gridCol w:w="207"/>
        <w:gridCol w:w="303"/>
      </w:tblGrid>
      <w:tr>
        <w:trPr/>
        <w:tc>
          <w:tcPr>
            <w:tcW w:w="3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Incorporation by Reference</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SEC File No.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12025ex311.htm">
              <w:r>
                <w:rPr>
                  <w:rStyle w:val="InternetLink"/>
                  <w:rFonts w:ascii="Times New Roman;serif" w:hAnsi="Times New Roman;serif"/>
                  <w:b w:val="false"/>
                  <w:color w:val="0000FF"/>
                  <w:sz w:val="18"/>
                  <w:u w:val="single"/>
                </w:rPr>
                <w:t>Certification of Chief Executive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12025ex312.htm">
              <w:r>
                <w:rPr>
                  <w:rStyle w:val="InternetLink"/>
                  <w:rFonts w:ascii="Times New Roman;serif" w:hAnsi="Times New Roman;serif"/>
                  <w:b w:val="false"/>
                  <w:color w:val="0000FF"/>
                  <w:sz w:val="18"/>
                  <w:u w:val="single"/>
                </w:rPr>
                <w:t>Certification of Chief Financial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12025ex321.htm">
              <w:r>
                <w:rPr>
                  <w:rStyle w:val="InternetLink"/>
                  <w:rFonts w:ascii="Times New Roman;serif" w:hAnsi="Times New Roman;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the cover page interactive date is embedded within the Inline XBRL document or included within the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2885"/>
        <w:gridCol w:w="2885"/>
        <w:gridCol w:w="409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Denotes a management contract or compensatory plan or arrangement.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 </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financial information contained in these XBRL documents is 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26, 2025 </w:t>
      </w:r>
    </w:p>
    <w:p>
      <w:pPr>
        <w:pStyle w:val="TextBody"/>
        <w:bidi w:val="0"/>
        <w:spacing w:lineRule="auto" w:line="288" w:before="0" w:after="0"/>
        <w:jc w:val="left"/>
        <w:rPr>
          <w:color w:val="000000"/>
        </w:rPr>
      </w:pPr>
      <w:r>
        <w:rPr>
          <w:color w:val="000000"/>
        </w:rPr>
        <w:t> </w:t>
      </w:r>
    </w:p>
    <w:tbl>
      <w:tblPr>
        <w:tblW w:w="4875" w:type="dxa"/>
        <w:jc w:val="right"/>
        <w:tblInd w:w="0" w:type="dxa"/>
        <w:tblLayout w:type="fixed"/>
        <w:tblCellMar>
          <w:top w:w="28" w:type="dxa"/>
          <w:left w:w="28" w:type="dxa"/>
          <w:bottom w:w="28" w:type="dxa"/>
          <w:right w:w="28" w:type="dxa"/>
        </w:tblCellMar>
      </w:tblPr>
      <w:tblGrid>
        <w:gridCol w:w="1560"/>
        <w:gridCol w:w="1371"/>
        <w:gridCol w:w="1944"/>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AUTODESK, INC.</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br/>
              <w:t>(Principal Financial Officer and Principal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Andrew Anagnost, certify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26, 2025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Janesh Moorjani, certify that: </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26, 2025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b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100" w:after="100"/>
        <w:ind w:left="0" w:right="0" w:firstLine="36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I, Andrew Anagnost, certify, pursuant to 18 U.S.C. Section 1350, as adopted pursuant to Section 906 of the Sarbanes-Oxley Act of 2002, that the Quarterly Report of Autodesk, Inc. on Form 10-Q for the quarterly period ended October 31, 2025,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26, 2025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Executive Officer)</w:t>
            </w:r>
          </w:p>
        </w:tc>
      </w:tr>
    </w:tbl>
    <w:p>
      <w:pPr>
        <w:pStyle w:val="TextBody"/>
        <w:bidi w:val="0"/>
        <w:spacing w:before="0" w:after="0"/>
        <w:jc w:val="righ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my knowledge, I, Janesh Moorjani, certify, pursuant to 18 U.S.C. Section 1350, as adopted pursuant to Section 906 of the Sarbanes-Oxley Act of 2002, that the Quarterly Report of Autodesk, Inc. on Form 10-Q for the quarterly period ended October 31, 2025,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Dated: November 26, 2025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43106</Words>
  <Characters>242744</Characters>
  <CharactersWithSpaces>283988</CharactersWithSpaces>
  <Paragraphs>4192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