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jpeg" ContentType="image/jpeg"/>
  <Override PartName="/word/media/image4.png" ContentType="image/png"/>
  <Override PartName="/word/media/image6.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fiscal year ended January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0-14338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AUTODESK,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5726" w:type="dxa"/>
        <w:jc w:val="center"/>
        <w:tblInd w:w="0" w:type="dxa"/>
        <w:tblLayout w:type="fixed"/>
        <w:tblCellMar>
          <w:top w:w="28" w:type="dxa"/>
          <w:left w:w="28" w:type="dxa"/>
          <w:bottom w:w="28" w:type="dxa"/>
          <w:right w:w="28" w:type="dxa"/>
        </w:tblCellMar>
      </w:tblPr>
      <w:tblGrid>
        <w:gridCol w:w="1057"/>
        <w:gridCol w:w="927"/>
        <w:gridCol w:w="940"/>
        <w:gridCol w:w="330"/>
        <w:gridCol w:w="330"/>
        <w:gridCol w:w="331"/>
        <w:gridCol w:w="109"/>
        <w:gridCol w:w="109"/>
        <w:gridCol w:w="109"/>
        <w:gridCol w:w="433"/>
        <w:gridCol w:w="433"/>
        <w:gridCol w:w="618"/>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94-2819853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Market Street, Ste. 400</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Francisco,</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94105</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(415) 507-5000 </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2"/>
        </w:rPr>
        <w:t>_____________________________________________________________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11" w:type="dxa"/>
        <w:jc w:val="center"/>
        <w:tblInd w:w="0" w:type="dxa"/>
        <w:tblLayout w:type="fixed"/>
        <w:tblCellMar>
          <w:top w:w="28" w:type="dxa"/>
          <w:left w:w="28" w:type="dxa"/>
          <w:bottom w:w="28" w:type="dxa"/>
          <w:right w:w="28" w:type="dxa"/>
        </w:tblCellMar>
      </w:tblPr>
      <w:tblGrid>
        <w:gridCol w:w="1035"/>
        <w:gridCol w:w="909"/>
        <w:gridCol w:w="920"/>
        <w:gridCol w:w="109"/>
        <w:gridCol w:w="109"/>
        <w:gridCol w:w="109"/>
        <w:gridCol w:w="564"/>
        <w:gridCol w:w="564"/>
        <w:gridCol w:w="566"/>
        <w:gridCol w:w="109"/>
        <w:gridCol w:w="109"/>
        <w:gridCol w:w="109"/>
        <w:gridCol w:w="876"/>
        <w:gridCol w:w="876"/>
        <w:gridCol w:w="1247"/>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w:t>
              <w:br/>
              <w:t>on which registered</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Securities Exchange Act of 1934 (“Exchange Act”).    Yes    </w:t>
      </w:r>
      <w:r>
        <w:rPr>
          <w:color w:val="000000"/>
        </w:rPr>
        <w:t>☐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7"/>
        <w:gridCol w:w="516"/>
        <w:gridCol w:w="518"/>
        <w:gridCol w:w="109"/>
        <w:gridCol w:w="109"/>
        <w:gridCol w:w="109"/>
        <w:gridCol w:w="445"/>
        <w:gridCol w:w="445"/>
        <w:gridCol w:w="446"/>
        <w:gridCol w:w="109"/>
        <w:gridCol w:w="109"/>
        <w:gridCol w:w="109"/>
        <w:gridCol w:w="527"/>
        <w:gridCol w:w="527"/>
        <w:gridCol w:w="529"/>
        <w:gridCol w:w="109"/>
        <w:gridCol w:w="109"/>
        <w:gridCol w:w="109"/>
        <w:gridCol w:w="660"/>
        <w:gridCol w:w="660"/>
        <w:gridCol w:w="663"/>
        <w:gridCol w:w="109"/>
        <w:gridCol w:w="109"/>
        <w:gridCol w:w="109"/>
        <w:gridCol w:w="665"/>
        <w:gridCol w:w="665"/>
        <w:gridCol w:w="668"/>
        <w:gridCol w:w="109"/>
        <w:gridCol w:w="109"/>
        <w:gridCol w:w="15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6"/>
              </w:rPr>
            </w:pPr>
            <w:r>
              <w:rPr>
                <w:rFonts w:ascii="Wingdings;sans-serif" w:hAnsi="Wingdings;sans-serif"/>
                <w:b w:val="false"/>
                <w:color w:val="000000"/>
                <w:sz w:val="16"/>
              </w:rPr>
              <w:t>x</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is a shell company (as defined by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July 31, 2024, the last business day of the registrant’s most recently completed second fiscal quarter, there were approximately 215 million shares of the registrant’s common stock outstanding that were held by non-affiliates, and the aggregate market value of such shares held by non-affiliates of the registrant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the closing sale price of such shares on the Nasdaq Global Select Market on July 31, 2024) was approximately $53.2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28, 2025, the registrant had outstanding 213 million shares of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Proxy Statement for registrant’s Annual Meeting of Stockholders (the “Proxy Statement”), are incorporated by reference in Part III of this Form 10-K to the extent stated herein. The Proxy Statement will be filed within 120 days of the registrant’s fiscal year ended January 31, 2025</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 FORM 10-K</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0"/>
        <w:gridCol w:w="290"/>
        <w:gridCol w:w="296"/>
        <w:gridCol w:w="2929"/>
        <w:gridCol w:w="2916"/>
        <w:gridCol w:w="2931"/>
        <w:gridCol w:w="149"/>
        <w:gridCol w:w="149"/>
        <w:gridCol w:w="215"/>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13">
              <w:r>
                <w:rPr>
                  <w:rStyle w:val="InternetLink"/>
                  <w:rFonts w:ascii="Times New Roman;sans-serif" w:hAnsi="Times New Roman;sans-serif"/>
                  <w:b/>
                  <w:color w:val="0000FF"/>
                  <w:sz w:val="20"/>
                  <w:u w:val="single"/>
                </w:rPr>
                <w:t>PART I</w:t>
              </w:r>
            </w:hyperlink>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16">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16">
              <w:r>
                <w:rPr>
                  <w:rStyle w:val="InternetLink"/>
                  <w:rFonts w:ascii="Times New Roman;sans-serif" w:hAnsi="Times New Roman;sans-serif"/>
                  <w:b w:val="false"/>
                  <w:color w:val="0000FF"/>
                  <w:sz w:val="20"/>
                  <w:u w:val="single"/>
                </w:rPr>
                <w:t>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19">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19">
              <w:r>
                <w:rPr>
                  <w:rStyle w:val="InternetLink"/>
                  <w:rFonts w:ascii="Times New Roman;sans-serif" w:hAnsi="Times New Roman;sans-serif"/>
                  <w:b w:val="false"/>
                  <w:color w:val="0000FF"/>
                  <w:sz w:val="20"/>
                  <w:u w:val="single"/>
                </w:rPr>
                <w:t>16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2">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2">
              <w:r>
                <w:rPr>
                  <w:rStyle w:val="InternetLink"/>
                  <w:rFonts w:ascii="Times New Roman;sans-serif" w:hAnsi="Times New Roman;sans-serif"/>
                  <w:b w:val="false"/>
                  <w:color w:val="0000FF"/>
                  <w:sz w:val="20"/>
                  <w:u w:val="single"/>
                </w:rPr>
                <w:t>35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5">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5">
              <w:r>
                <w:rPr>
                  <w:rStyle w:val="InternetLink"/>
                  <w:rFonts w:ascii="Times New Roman;sans-serif" w:hAnsi="Times New Roman;sans-serif"/>
                  <w:b w:val="false"/>
                  <w:color w:val="0000FF"/>
                  <w:sz w:val="20"/>
                  <w:u w:val="single"/>
                </w:rPr>
                <w:t>35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8">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8">
              <w:r>
                <w:rPr>
                  <w:rStyle w:val="InternetLink"/>
                  <w:rFonts w:ascii="Times New Roman;sans-serif" w:hAnsi="Times New Roman;sans-serif"/>
                  <w:b w:val="false"/>
                  <w:color w:val="0000FF"/>
                  <w:sz w:val="20"/>
                  <w:u w:val="single"/>
                </w:rPr>
                <w:t>37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31">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31">
              <w:r>
                <w:rPr>
                  <w:rStyle w:val="InternetLink"/>
                  <w:rFonts w:ascii="Times New Roman;sans-serif" w:hAnsi="Times New Roman;sans-serif"/>
                  <w:b w:val="false"/>
                  <w:color w:val="0000FF"/>
                  <w:sz w:val="20"/>
                  <w:u w:val="single"/>
                </w:rPr>
                <w:t>37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34">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34">
              <w:r>
                <w:rPr>
                  <w:rStyle w:val="InternetLink"/>
                  <w:rFonts w:ascii="Times New Roman;sans-serif" w:hAnsi="Times New Roman;sans-serif"/>
                  <w:b w:val="false"/>
                  <w:color w:val="0000FF"/>
                  <w:sz w:val="20"/>
                  <w:u w:val="single"/>
                </w:rPr>
                <w:t>38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37">
              <w:r>
                <w:rPr>
                  <w:rStyle w:val="InternetLink"/>
                  <w:rFonts w:ascii="Times New Roman;sans-serif" w:hAnsi="Times New Roman;sans-serif"/>
                  <w:b/>
                  <w:color w:val="0000FF"/>
                  <w:sz w:val="20"/>
                  <w:u w:val="single"/>
                </w:rPr>
                <w:t>PART II</w:t>
              </w:r>
            </w:hyperlink>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40">
              <w:r>
                <w:rPr>
                  <w:rStyle w:val="InternetLink"/>
                  <w:rFonts w:ascii="Times New Roman;sans-serif" w:hAnsi="Times New Roman;sans-serif"/>
                  <w:b w:val="false"/>
                  <w:color w:val="0000FF"/>
                  <w:sz w:val="20"/>
                  <w:u w:val="single"/>
                </w:rPr>
                <w:t>39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43">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43">
              <w:r>
                <w:rPr>
                  <w:rStyle w:val="InternetLink"/>
                  <w:rFonts w:ascii="Times New Roman;sans-serif" w:hAnsi="Times New Roman;sans-serif"/>
                  <w:b w:val="false"/>
                  <w:color w:val="0000FF"/>
                  <w:sz w:val="20"/>
                  <w:u w:val="single"/>
                </w:rPr>
                <w:t>41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46">
              <w:r>
                <w:rPr>
                  <w:rStyle w:val="InternetLink"/>
                  <w:rFonts w:ascii="Times New Roman;sans-serif" w:hAnsi="Times New Roman;sans-serif"/>
                  <w:b w:val="false"/>
                  <w:color w:val="0000FF"/>
                  <w:sz w:val="20"/>
                  <w:u w:val="single"/>
                </w:rPr>
                <w:t>42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94">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94">
              <w:r>
                <w:rPr>
                  <w:rStyle w:val="InternetLink"/>
                  <w:rFonts w:ascii="Times New Roman;sans-serif" w:hAnsi="Times New Roman;sans-serif"/>
                  <w:b w:val="false"/>
                  <w:color w:val="0000FF"/>
                  <w:sz w:val="20"/>
                  <w:u w:val="single"/>
                </w:rPr>
                <w:t>66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97">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97">
              <w:r>
                <w:rPr>
                  <w:rStyle w:val="InternetLink"/>
                  <w:rFonts w:ascii="Times New Roman;sans-serif" w:hAnsi="Times New Roman;sans-serif"/>
                  <w:b w:val="false"/>
                  <w:color w:val="0000FF"/>
                  <w:sz w:val="20"/>
                  <w:u w:val="single"/>
                </w:rPr>
                <w:t>67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38">
              <w:r>
                <w:rPr>
                  <w:rStyle w:val="InternetLink"/>
                  <w:rFonts w:ascii="Times New Roman;sans-serif" w:hAnsi="Times New Roman;sans-serif"/>
                  <w:b w:val="false"/>
                  <w:color w:val="000080"/>
                  <w:sz w:val="20"/>
                  <w:u w:val="single"/>
                </w:rPr>
                <w:t xml:space="preserve">Changes in and Disagreements </w:t>
              </w:r>
            </w:hyperlink>
            <w:hyperlink w:anchor="i269c019f9c744bb896c06eb284701691_238">
              <w:r>
                <w:rPr>
                  <w:rStyle w:val="InternetLink"/>
                  <w:rFonts w:ascii="Times New Roman;sans-serif" w:hAnsi="Times New Roman;sans-serif"/>
                  <w:b w:val="false"/>
                  <w:color w:val="000080"/>
                  <w:sz w:val="20"/>
                  <w:u w:val="single"/>
                </w:rPr>
                <w:t>w</w:t>
              </w:r>
            </w:hyperlink>
            <w:hyperlink w:anchor="i269c019f9c744bb896c06eb284701691_238">
              <w:r>
                <w:rPr>
                  <w:rStyle w:val="InternetLink"/>
                  <w:rFonts w:ascii="Times New Roman;sans-serif" w:hAnsi="Times New Roman;sans-serif"/>
                  <w:b w:val="false"/>
                  <w:color w:val="000080"/>
                  <w:sz w:val="20"/>
                  <w:u w:val="single"/>
                </w:rPr>
                <w:t>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38">
              <w:r>
                <w:rPr>
                  <w:rStyle w:val="InternetLink"/>
                  <w:rFonts w:ascii="Times New Roman;sans-serif" w:hAnsi="Times New Roman;sans-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41">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41">
              <w:r>
                <w:rPr>
                  <w:rStyle w:val="InternetLink"/>
                  <w:rFonts w:ascii="Times New Roman;sans-serif" w:hAnsi="Times New Roman;sans-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44">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44">
              <w:r>
                <w:rPr>
                  <w:rStyle w:val="InternetLink"/>
                  <w:rFonts w:ascii="Times New Roman;sans-serif" w:hAnsi="Times New Roman;sans-serif"/>
                  <w:b w:val="false"/>
                  <w:color w:val="0000FF"/>
                  <w:sz w:val="20"/>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50">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50">
              <w:r>
                <w:rPr>
                  <w:rStyle w:val="InternetLink"/>
                  <w:rFonts w:ascii="Times New Roman;sans-serif" w:hAnsi="Times New Roman;sans-serif"/>
                  <w:b w:val="false"/>
                  <w:color w:val="0000FF"/>
                  <w:sz w:val="20"/>
                  <w:u w:val="singl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53">
              <w:r>
                <w:rPr>
                  <w:rStyle w:val="InternetLink"/>
                  <w:rFonts w:ascii="Times New Roman;sans-serif" w:hAnsi="Times New Roman;sans-serif"/>
                  <w:b/>
                  <w:color w:val="0000FF"/>
                  <w:sz w:val="20"/>
                  <w:u w:val="single"/>
                </w:rPr>
                <w:t>PART III</w:t>
              </w:r>
            </w:hyperlink>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56">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56">
              <w:r>
                <w:rPr>
                  <w:rStyle w:val="InternetLink"/>
                  <w:rFonts w:ascii="Times New Roman;sans-serif" w:hAnsi="Times New Roman;sans-serif"/>
                  <w:b w:val="false"/>
                  <w:color w:val="0000FF"/>
                  <w:sz w:val="20"/>
                  <w:u w:val="single"/>
                </w:rPr>
                <w:t>114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59">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59">
              <w:r>
                <w:rPr>
                  <w:rStyle w:val="InternetLink"/>
                  <w:rFonts w:ascii="Times New Roman;sans-serif" w:hAnsi="Times New Roman;sans-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62">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62">
              <w:r>
                <w:rPr>
                  <w:rStyle w:val="InternetLink"/>
                  <w:rFonts w:ascii="Times New Roman;sans-serif" w:hAnsi="Times New Roman;sans-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6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65">
              <w:r>
                <w:rPr>
                  <w:rStyle w:val="InternetLink"/>
                  <w:rFonts w:ascii="Times New Roman;sans-serif" w:hAnsi="Times New Roman;sans-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68">
              <w:r>
                <w:rPr>
                  <w:rStyle w:val="InternetLink"/>
                  <w:rFonts w:ascii="Times New Roman;sans-serif" w:hAnsi="Times New Roman;sans-serif"/>
                  <w:b w:val="false"/>
                  <w:color w:val="0000FF"/>
                  <w:sz w:val="20"/>
                  <w:u w:val="single"/>
                </w:rPr>
                <w:t>Principal Accounting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68">
              <w:r>
                <w:rPr>
                  <w:rStyle w:val="InternetLink"/>
                  <w:rFonts w:ascii="Times New Roman;sans-serif" w:hAnsi="Times New Roman;sans-serif"/>
                  <w:b w:val="false"/>
                  <w:color w:val="0000FF"/>
                  <w:sz w:val="20"/>
                  <w:u w:val="single"/>
                </w:rPr>
                <w:t>115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71">
              <w:r>
                <w:rPr>
                  <w:rStyle w:val="InternetLink"/>
                  <w:rFonts w:ascii="Times New Roman;sans-serif" w:hAnsi="Times New Roman;sans-serif"/>
                  <w:b/>
                  <w:color w:val="0000FF"/>
                  <w:sz w:val="20"/>
                  <w:u w:val="single"/>
                </w:rPr>
                <w:t>PART IV</w:t>
              </w:r>
            </w:hyperlink>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74">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74">
              <w:r>
                <w:rPr>
                  <w:rStyle w:val="InternetLink"/>
                  <w:rFonts w:ascii="Times New Roman;sans-serif" w:hAnsi="Times New Roman;sans-serif"/>
                  <w:b w:val="false"/>
                  <w:color w:val="0000FF"/>
                  <w:sz w:val="20"/>
                  <w:u w:val="single"/>
                </w:rPr>
                <w:t>116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80">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80">
              <w:r>
                <w:rPr>
                  <w:rStyle w:val="InternetLink"/>
                  <w:rFonts w:ascii="Times New Roman;sans-serif" w:hAnsi="Times New Roman;sans-serif"/>
                  <w:b w:val="false"/>
                  <w:color w:val="0000FF"/>
                  <w:sz w:val="20"/>
                  <w:u w:val="single"/>
                </w:rPr>
                <w:t>116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86">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9c019f9c744bb896c06eb284701691_286">
              <w:r>
                <w:rPr>
                  <w:rStyle w:val="InternetLink"/>
                  <w:rFonts w:ascii="Times New Roman;sans-serif" w:hAnsi="Times New Roman;sans-serif"/>
                  <w:b w:val="false"/>
                  <w:color w:val="0000FF"/>
                  <w:sz w:val="20"/>
                  <w:u w:val="single"/>
                </w:rPr>
                <w:t>119</w:t>
              </w:r>
            </w:hyperlink>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76" w:before="0" w:after="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The discussion in this Annual Report on Form 10-K contains trend analyses and other forward-looking statements within the meaning of Section 27A of the Securities Act of 1933 and Section 21E of the Securities Exchange Act of 1934. Forward-looking statements may appear throughout this Annual Report on Form 10-K, including the following sections: “Business” (Part I, Item 1), “Risk Factors” (Part I, Item 1A), and “Management’s Discussion and Analysis of Financial Condition and Results of Operations” (Part II, Item 7). Forward-looking statements are any statements that look to future events and consist of, among other things, our business strategies; the implementation of new transaction models; future financial results (by product type and geography), operational and key metrics and subscriptions; the effects of global economic and political conditions, including the impact of economic volatility and geopolitical activities in certain countries such as the Russian invasion of Ukraine; the impact of past and planned acquisitions and investment activities; expected market trends and market opportunities; our ability to successfully expand adoption of our products; our ability to gain market acceptance of new businesses and sales initiatives; the impact of restructuring activities; cybersecurity and privacy issues or incidents; the effect of competition; the availability of credit; the effects of revenue recognition; the effects of newly recently issued accounting standards; expected trends in certain financial metrics, including expenses; expectations regarding our cash needs and expenditures;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A glossary of terms used in this Form 10-K appears at the end of this Item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architecture, engineering, construction and operations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3D animation, games production, and enable connection of workflows and data from pre-production to post-production.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Part II, Item 8, Note 2, “Revenue Recognition,” in the Notes to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Autodesk’s product offerings include: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Architecture, Engineering, Construction and Operations (“AECO”)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Architecture, Engineering, and Construction Collection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AEC Collection, including AutoCAD, AutoCAD Civil 3D, and Revit, aims to help our customers design, engineer, and construct higher quality, more predictable building and civil infrastructure projects, commonly used by AECO industry experts.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AutoCAD Civil 3D</w:t>
      </w:r>
    </w:p>
    <w:p>
      <w:pPr>
        <w:pStyle w:val="TextBody"/>
        <w:bidi w:val="0"/>
        <w:spacing w:before="0" w:after="0"/>
        <w:ind w:left="0" w:right="0" w:hanging="36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Autodesk Build</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Build delivers a connected set of project management and collaboration tools for the construction industry. Autodesk Build provides a toolset for managing, sharing, and accessing project documents that results in streamlined workflows between the office, trailer, and jobsite. In addition, Autodesk Build can be used to track the quality and safety of the project with issues and forms. Team members can use Autodesk Build for requests for information (RFIs), submittals, and meetings to manage the flow of information and track project progress across the construction timeline. The PlanGrid Build mobile app delivers field critical project information and collaboration from Autodesk Build to the jobsite. As part of Autodesk Construction Cloud, Build connects data originating in design and preconstruction to the construction and operations phase, allowing users to identify, manage and de-risk project decisions.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BIM Collaborate Pro </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BIM Collaborate Pro is cloud-based design collaboration and design management software that enables teams to: organize project data, democratize access, and connect; improve project visibility to deliver on time; and work together on increasingly complex projects.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Building Connected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BuildingConnected is a SaaS preconstruction solution that combines the largest real-time, construction network with an easy-to-use tool that helps general contractors and owners streamline subcontractor qualification, and the bid and risk management process.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Revit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Tandem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Tandem is a cloud-based platform that transforms the built asset lifecycle. Tandem helps AECO firms harness BIM data throughout the project lifecycle to create and hand over a digital twin. Tandem helps owners connect operational systems to the digital twin, turning fragmented data into business intelligence.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AutoCAD and AutoCAD LT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AutoCAD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AutoCAD LT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Manufacturing (“MFG”)</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Fusion (Formerly Fusion 360)</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Fusion is the first 3D CAD, CAM, and computer-aided engineering (“CAE”) tool of its kind. It connects the entire product development process on a single cloud-based platform. </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Inventor</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Product Design &amp; Manufacturing Collection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Vault, and Inventor.</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Vault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Media and Entertainment (“M&amp;E”)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Flow Production Tracking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Flow Production Tracking is cloud-based production management software for the M&amp;E industry. Creative companies use the Flow Production Tracking platform to provide essential tool collaboration, review, scheduling and tracking to producers, production managers, artists and supervisors, who often work globally with distributed teams.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Maya</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full-length animated feature films.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Media &amp; Entertainment Collection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M&amp;E Collection provides end-to-end creative tools for entertainment creation. This collection enables animators, modelers, and visual effects artists to access the tools they need, including Maya and 3ds Max, to create compelling effects, 3D characters, and digital worlds.</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3ds Max</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 DEVELOPMENT AND INTRODUCTION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The technology industry is characterized by rapid technological change in computer hardware, operating systems, and software. In addition, o</w:t>
      </w:r>
      <w:r>
        <w:rPr>
          <w:rFonts w:ascii="Times New Roman;sans-serif" w:hAnsi="Times New Roman;sans-serif"/>
          <w:b w:val="false"/>
          <w:color w:val="000000"/>
          <w:sz w:val="20"/>
        </w:rPr>
        <w:t>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convergence, more flexibility and sustainable outcomes.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undertaking a multi-year process to develop lifecycle solutions within and between our industry clouds, powered by shared platform services, and with our data model at its core. Together, these will help enable Autodesk, its customers, and partners, to create more valuable, data-driven, and connected products and services.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plan offerings are designed to give our customers increased flexibility with how they use our products and service offerings and to attract a broader range of customers such as project-based users and small businesses. Subscription plans represent a combined hybrid offering of desktop software and cloud functionality which provides a device-independent, collaborative design workflow for designers and their stakeholders. </w:t>
      </w:r>
    </w:p>
    <w:p>
      <w:pPr>
        <w:pStyle w:val="TextBody"/>
        <w:bidi w:val="0"/>
        <w:spacing w:before="0" w:after="0"/>
        <w:ind w:left="0" w:right="0" w:firstLine="450"/>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dedicate considerable technical and financial resources to research and development to deliver additional automation and insights to our customers through artificial intelligence (“AI”), machine learning, and generative design, which increase efficiency and sustainability and reduce waste. These investments further enhance our existing products and create new solutions and technologies which connect the workflows and data of our customers across the ecosystem of their projects and expand our market opportunity. Our tools connect and automate the phases of design and creation, enabling greater collaboration and the seamless flow of data for individuals and teams across all phases.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is primarily developed internally; however, we also use independent firms and contractors to perform some of our product development activities. Additionally, we acquire or license products and technologies developed by third parties. We continually review these investments to ensure that we are generating sufficient revenue or gaining a competitive advantage to justify their costs.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product development is performed in the United States, Canada, and India.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Japanese, Korean, and simplified and traditional Chinese.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managing significant product development operations internationally over the next several years. We believe that our ability to conduct research and development at various locations throughout the world allows us to tap into a diverse global talent pool, optimize costs, and integrate local market knowledge into our development activities. We continually assess costs, hiring challenges, and intellectual property protection, against the benefits of our international development activities.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regarding risks from our product development and introduction efforts, see Item 1A, “Risk Factors.”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MARKETING AND SALES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products and services globally, through a combination of direct and indirect channels. We transact directly with our enterprise and named account customers, with customers through our online Autodesk branded store, and with certain customers through our new transaction model whereby Solution Providers provide a quote to customers but the actual transaction occurs directly between Autodesk and the customer. We introduced the new transaction model for our token-based Flex offering in North America, and certain countries in EMEA, and APAC during fiscal 2023 and 2024. Most of our subscription offerings transitioned to the new transaction model in Australia during fiscal 2024. In fiscal 2025, we transitioned most of our indirect business to the new transaction model in our major markets. The new transaction model helps customers with enhanced control and time savings through self-service, consistent pricing, and a more personalized buying experience. Also, it gives Solution Providers and Autodesk access to essential data to improve our offerings and the customers’ buying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indirect channel will continue to transact and support a considerable portion of our customers, particularly in emerging regions and with governments. Our indirect channel model includes both a two-tiered distribution structure, where distributors sell to resellers, and a one-tiered structure, where Autodesk sells directly to resellers. We have a network of approximately 1,260 resellers and distributors worldwide. For fiscal 2025, approximately 58% of our revenue was derived from indirect channel sales through distributors and resellers. We employ a variety of incentive programs and promotions to align our direct and indirect channels with our business strategies.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Our ability to effectively distribute our products depends in part upon the financial and business condition of our distributor, reseller and Solution Provider networks. The loss of, or a significant reduction in, business with any one of our major distributors, large resellers or Solution Providers could harm our business. See Item 1A, “Risk Factors,” for further discussion. The transition to annual billings for multi-year contracts impacted the timing of our billings and cash collections in fiscal year 2025 and we expect this impact to continue into fiscal year 2026. See Part II, Item 7, “Management's Discussion and Analysis of Financial Condition and Results of Operations,” for further discussion.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 through our largest distributor, TD Synnex Corporation and its global affiliates (collectively, “TD Synnex”), accounted for 33%, 39%, and 37% of our net revenue for the fiscal years ended January 31, 2025, 2024 and 2023, respectively. During fiscal 2023, we entered into transition agreements with TD Synnex to provide transition distribution activities for a one-to-two-year period. In the third fiscal quarter of 2025, we entered into a new distribution agreement with TD Synnex for government business in certain jurisdictions. Existing distribution agreements will continue in emerging markets. We have increased our selling efforts with Solution Providers in connection with our new transaction model. Consequently, we believe our business is not substantially dependent on TD Synnex. No other distributor, reseller, or direct customer accounted for 10% or more of our revenue in fiscal 2025.</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customer-related operations are divided into three geographic regions: the Americas; EMEA; and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work directly with reseller, distributor, and Solution Provider partner organizations, computer manufacturers, other software developers, and peripherals manufacturers in cooperative advertising, promotions, and trade-show presentations. We connect with our audiences through scalable marketing strategies such as webinars, live and virtual events, personalized outreach, digital campaigns, sponsorships, and targeted advertising across industry publications, technology platforms, media outlets, and social networks. We also foster global user networks and online communities, enabling customers to connect, collaborate, and share insights about our products, services, and solutions.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(“EBA”). Historically, we have had increased EBA sales activity in our fourth fiscal quarter. This seasonality may not have an immediate impact on our revenue as we recognize subscription revenue over the term of the contract. This seasonality may also affect the relative value of our billings, Remaining Performance Obligations (“RPO”), and collections in the fourth and first fiscal quarters.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 AND PARTNER SUPPORT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new transaction model, we are approaching the final phase of modernizing our go-to-market motion, which includes building more durable and direct relationships with our customers, updating our data infrastructure, and retiring old information systems and business models. We provide technical support and training to customers through a multi-tiered support model, augmented by direct programs designed to address certain specific customer needs. Some of our customers receive support and training from resellers and distributors from which they purchased subscriptions or licenses for our products or services, with Autodesk in turn providing second-tier support to the resellers and distributors. Some of our customers may also purchase support and training from Solution Providers. Other customers are supported directly via self-service using the Autodesk Knowledge Network, which guides customers to answers in our online support assets, support forums, or webinars, or to support representatives using different modalities such as social media, phone, email, and webchat. We also support our resellers and distributors through technical product training, sales training classes, webinars, and other knowledge-sharing programs.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 AND IMPACT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Impact at Autodesk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committed to advancing a more sustainable, resilient, and inclusive world. We take action as a business to support our employees, customers, and communities in our collective opportunity to design and make a better world for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programs align with our operational priorities and long-term growth strategy. We aim to maintain our commitments, fostering trust with stakeholders and enabling compliance with global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Education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committed to helping students gain the in-demand skills and certifications needed to demonstrate they are prepared for current and emerging roles in the industries we serve. We offer free educational licenses of Autodesk’s complete portfolio of professional software to verified students, educators, and accredited educational institutions worldwide. Additionally, we offer self-paced, modular learning and curriculum for K-12, post-secondary students, and educators. Our intention is to make Autodesk software the preferred choice for those poised to become the next generation of design, engineering, and construction professionals.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Sustainability</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Climate Change</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 in hand with our values and reputation in the marketplace.</w:t>
      </w:r>
    </w:p>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Climate Change Management Actions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invest in our tools to meet customer’s demand as well as provide software and support to early-stage entrepreneurs, nonprofit organizations, and start-up companies who are designing clean technologies. We are expanding these offerings based upon demand and opportunity in response to challenges posed by climate change.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Internally, we are investing in best practices to mitigate our greenhouse gas emissions (“GHGs”) and climate change risk through investments in renewable energy, energy efficiency, and disaster management and recovery strategies. Our Enterprise Risk Management process considered how climate impacts could affect and potentially amplify the overall significance of each identified risk and opportunity. We regularly assess risks and opportunities in this area and respond accordingly.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Emissions Performance &amp; Other Key Performance Indicators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year 2024, we made progress on our science-based GHG reduction target, to reduce Scope 1 and Scope 2 GHGs 50%, and reduce Scope 3 GHGs per dollar of gross profit 55%, by fiscal year 2031, compared to fiscal year 2020. Additionally, in fiscal 2024, we were responsible for 155,000 metric tons of carbon dioxide equivalent emissions across our market-based operational boundary. This represents a 32% reduction compared to our fiscal year 2020 base line. In addition, our residual 155,000 metric tons of CO2e emissions were neutralized through the procurement of high quality carbon offsets credits. </w:t>
      </w:r>
    </w:p>
    <w:p>
      <w:pPr>
        <w:pStyle w:val="TextBody"/>
        <w:bidi w:val="0"/>
        <w:spacing w:before="0" w:after="0"/>
        <w:ind w:left="0" w:right="0" w:firstLine="450"/>
        <w:jc w:val="left"/>
        <w:rPr/>
      </w:pPr>
      <w:r>
        <w:rPr/>
      </w:r>
    </w:p>
    <w:p>
      <w:pPr>
        <w:pStyle w:val="TextBody"/>
        <w:bidi w:val="0"/>
        <w:spacing w:lineRule="auto" w:line="26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Impact Reports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 information about our sustainability financing and commitment can be found in our annual Impact Reports, which we have published on our website since 2008. Our fiscal 2025 Impact Report will be published in fiscal 2026. Information contained on or accessible through our website is not part of or incorporated by reference into this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Philanthropy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impact. In the latter case, we use philanthropic capital, software donations, and training to accomplish this goal, selecting the most impactful and innovative organizations around the world who are innovating to create a better future for our planet. On our behalf, the Foundation also administers a discounted software donation program to nonprofit organizations, entrepreneurs, and others who are developing design solutions that will shape a more sustainable future.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DEVELOPER PROGRAMS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 Autodesk Platform Services facilitates the development of a single connected ecosystem for integrating Autodesk applications with other enterprise, web, and mobile solutions.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include large, global, publicly traded companies; small, geographically focused firms; startup firms; and solutions produced in-house by their users. Our primary global competitors include Adobe Systems Incorporated,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 AND LICENSES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for further discussion of risks related to protecting our intellectual property.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PRODUCTION AND SUPPLIERS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TALENT AND HUMAN CAPITAL MANAGEMENT</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play a central role in the success of our long-term strategy. Autodesk’s Culture Code defines values and behaviors that support our commitment to being a customer company, where each employee takes responsibility for understanding our customers’ needs, expectations, and experiences. As of January 31, 2025, we employed approximately 15,300 people, an increase from approximately 14,100 employees as of the end of fiscal year 2024. None of our employees in the United States are represented by a labor union. In certain foreign countries, our employees are represented by trade unions or works councils. We have never experienced any work stoppages and believe our employee relations are strong. Reliance upon employees in other countries entails various risks and changes in these foreign countries, such as government instability or regulation unfavorable to foreign-owned businesses, which could negatively impact our business in the future.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Diversity and Belonging</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views our culture, diversity, and belonging efforts as directly linked to high performance and unlocking human ingenuity. Our commitment to maintaining a global workforce is grounded in our values and how we work, being inclusive, respectful, and collaborative. Our culture seeks to enable Autodesk employees to do their best work, innovate, contribute to the success of our company, and prosper.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are markets for talent that remain untapped or underutilized, which drives our sourcing and networking efforts. We do this by widening our talent pipelines to attract and retain the most capable, skilled, and top-tier professionals from all backgrounds. This strategy strengthens our ability to meet and speak to an ever-expanding and diverse customer base, fueling our competitive edge, increasing customer trust, and driving sustainable growth and success in a dynamic global marketplace.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consistently expand our networks and investments in targeted partnerships-both professional and academic- including: Hispanic-serving educational institutions, Historically Black Colleges and Universities and professional organizations around the globe that provide greater access to pools of under recognized talent in key sectors like technology. By leveraging our extensive portfolio of programs—scholarships, internships, sponsorship agreements, mentorship, and development—we demonstrate our capability to nurture and retain top-tier talent.</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continuous development opportunities to all employees that facilitate mentorship relationships, as well as focused sponsorship and leadership development programs in partnership with our Employee Resource Groups (ERGs). </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proudly support nine ERGs, which are open to all employees and play a pivotal role in scaling a sense of belonging across the company. These groups are formed based on various factors, including shared interests, backgrounds, unique identities, and professional experiences. Our culture promotes choice, allowing employees to engage and participate in ways that resonate with them—whether as allies or direct members of one or more groups. ERGs are one of the ways we retain and engage our talent community of Autodesk employees, while also creating a work environment that learns from and leverages diverse perspectives and experiences that enrich how we all work together as one Autodesk.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are an equal opportunity employer that does not discriminate in recruiting, hiring, training, or promoting on any basis protected by law. Additional information on our Diversity and Belonging program, initiatives, and metrics can be found on our website at autodesk.com/company/diversity-and-belonging. Information contained on or accessible through our website is not part of or incorporated by reference into this report.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Professional Development and Employee Impact</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career development plays an important role in keeping our employees engaged and in providing additional opportunities for them to grow and build their careers. Autodesk offers extensive professional and technical development opportunities for our employees. These include self-service online modules and personalized learning paths, professional and management development programs, and a tuition reimbursement program.</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encourage our employees to advance our vision for a better world and support their professional development by participating in our pro bono consulting program, using paid time to volunteer, and have their charitable giving matched by the Autodesk Foundation.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Rewards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attract, retain, and support our employees, we offer competitive compensation and benefits programs, several of which include an element of choice to meet the needs of our diverse and global population. In addition to competitive base pay and opportunities to receive short-term incentives, all our employees are eligible to participate in our long-term plans. We also have comprehensive health and wellness benefits, a generous time off program, an employee stock purchase plan, sabbaticals, retirement plans, financial support programs, financial tools and education, and an employee assistance program.</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acquired new technology or supplemented our existing technology by purchasing businesses or technology related assets focused in specific markets or industries. For the fiscal years ended January 31, 2025, 2024 and 2023, we acquired companies accounted for as business combinations. The acquisitions during both fiscal 2024 and 2023 were not individually significant. The following were significant acquisitions for fiscal year 2025.</w:t>
      </w:r>
    </w:p>
    <w:p>
      <w:pPr>
        <w:pStyle w:val="TextBody"/>
        <w:bidi w:val="0"/>
        <w:spacing w:before="0" w:after="0"/>
        <w:ind w:left="0" w:right="0" w:firstLine="450"/>
        <w:jc w:val="left"/>
        <w:rPr/>
      </w:pPr>
      <w:r>
        <w:rPr/>
      </w:r>
    </w:p>
    <w:tbl>
      <w:tblPr>
        <w:tblW w:w="10205" w:type="dxa"/>
        <w:jc w:val="center"/>
        <w:tblInd w:w="0" w:type="dxa"/>
        <w:tblLayout w:type="fixed"/>
        <w:tblCellMar>
          <w:top w:w="28" w:type="dxa"/>
          <w:left w:w="28" w:type="dxa"/>
          <w:bottom w:w="28" w:type="dxa"/>
          <w:right w:w="28" w:type="dxa"/>
        </w:tblCellMar>
      </w:tblPr>
      <w:tblGrid>
        <w:gridCol w:w="388"/>
        <w:gridCol w:w="244"/>
        <w:gridCol w:w="245"/>
        <w:gridCol w:w="109"/>
        <w:gridCol w:w="109"/>
        <w:gridCol w:w="109"/>
        <w:gridCol w:w="454"/>
        <w:gridCol w:w="432"/>
        <w:gridCol w:w="433"/>
        <w:gridCol w:w="109"/>
        <w:gridCol w:w="109"/>
        <w:gridCol w:w="109"/>
        <w:gridCol w:w="2333"/>
        <w:gridCol w:w="2066"/>
        <w:gridCol w:w="2956"/>
      </w:tblGrid>
      <w:tr>
        <w:trPr/>
        <w:tc>
          <w:tcPr>
            <w:tcW w:w="3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 of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Details</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Aether Media, Inc. (“Aether”)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With the acquisition, Autodesk expects to enhance artificial intelligence capabilities for Autodesk’s visual effects (“VFX”) creation tools and democratize high end VFX work on Autodesk’s Flow platform.</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PIX business of X2X, LLC ("PIX")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acquisition will help foster broader collaboration and communication, as well as help drive greater efficiencies in the production process.</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Payapps Limited ("Payapps")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 technology-related assets that are complementary to or otherwise enhance our existing technologies. We also make investments in privately held companies that develop technology that is complementary to or provide strategic value and expand opportunities for our technologies.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ind w:left="0" w:right="0" w:firstLine="72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regulations, particularly those involving privacy and import/export controls. See Item 1A, “Risk Factors—Risks Relating to Laws and Regulations,” for further discussion.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before="0" w:after="0"/>
        <w:ind w:left="0" w:right="0" w:firstLine="45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Billings: </w:t>
      </w:r>
      <w:r>
        <w:rPr>
          <w:rFonts w:ascii="Times New Roman;sans-serif" w:hAnsi="Times New Roman;sans-serif"/>
          <w:b w:val="false"/>
          <w:color w:val="000000"/>
          <w:sz w:val="20"/>
        </w:rPr>
        <w:t>Total revenue plus the net change in deferred revenue from the beginning to the end of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Cloud Service Offerings: </w:t>
      </w:r>
      <w:r>
        <w:rPr>
          <w:rFonts w:ascii="Times New Roman;sans-serif" w:hAnsi="Times New Roman;sans-serif"/>
          <w:b w:val="false"/>
          <w:color w:val="000000"/>
          <w:sz w:val="20"/>
        </w:rPr>
        <w:t xml:space="preserve">Represents individual term-based offerings deployed through web browser technologies or in a hybrid software and cloud configuration. Cloud service offerings that are bundled with other product offerings are not captured as a separate cloud service offering.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Constant Currency (CC) Growth Rates: </w:t>
      </w:r>
      <w:r>
        <w:rPr>
          <w:rFonts w:ascii="Times New Roman;sans-serif" w:hAnsi="Times New Roman;sans-serif"/>
          <w:b w:val="false"/>
          <w:color w:val="000000"/>
          <w:sz w:val="20"/>
        </w:rPr>
        <w:t xml:space="preserve">We attempt to represent the changes in the underlying business operations by eliminating fluctuations caused 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Design Business:</w:t>
      </w:r>
      <w:r>
        <w:rPr>
          <w:color w:val="000000"/>
        </w:rPr>
        <w:t xml:space="preserve"> </w:t>
      </w:r>
      <w:r>
        <w:rPr>
          <w:rFonts w:ascii="Times New Roman;sans-serif" w:hAnsi="Times New Roman;sans-serif"/>
          <w:b w:val="false"/>
          <w:color w:val="000000"/>
          <w:sz w:val="20"/>
        </w:rPr>
        <w:t xml:space="preserve">Represents the combination of maintenance, product subscriptions, and all EBAs. Main products include, but are not limited to, AutoCAD, AutoCAD LT, Industry Collections, Revit, Inventor, Maya, and 3ds Max. Certain products, such as our computer aided manufacturing solutions, incorporate both Design and Make functionality and are classified as Design.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Enterprise Business Agreements (EBAs):</w:t>
      </w:r>
      <w:r>
        <w:rPr>
          <w:color w:val="000000"/>
        </w:rPr>
        <w:t xml:space="preserve"> </w:t>
      </w:r>
      <w:r>
        <w:rPr>
          <w:rFonts w:ascii="Times New Roman;sans-serif" w:hAnsi="Times New Roman;sans-serif"/>
          <w:b w:val="false"/>
          <w:color w:val="000000"/>
          <w:sz w:val="20"/>
        </w:rPr>
        <w:t xml:space="preserve">Represents programs providing enterprise customers with token-based access to a broad pool of Autodesk products over a defined contract term.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Flex: </w:t>
      </w:r>
      <w:r>
        <w:rPr>
          <w:rFonts w:ascii="Times New Roman;sans-serif" w:hAnsi="Times New Roman;sans-serif"/>
          <w:b w:val="false"/>
          <w:color w:val="000000"/>
          <w:sz w:val="20"/>
        </w:rPr>
        <w:t>A pay-as-you-go consumption option to pre-purchase tokens to access any product available with Flex for a daily rate.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Free Cash Flow:</w:t>
      </w:r>
      <w:r>
        <w:rPr>
          <w:color w:val="000000"/>
        </w:rPr>
        <w:t xml:space="preserve"> </w:t>
      </w:r>
      <w:r>
        <w:rPr>
          <w:rFonts w:ascii="Times New Roman;sans-serif" w:hAnsi="Times New Roman;sans-serif"/>
          <w:b w:val="false"/>
          <w:color w:val="000000"/>
          <w:sz w:val="20"/>
        </w:rPr>
        <w:t xml:space="preserve">Cash flow from operating activities minus capital expenditures.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Industry Collections: </w:t>
      </w:r>
      <w:r>
        <w:rPr>
          <w:rFonts w:ascii="Times New Roman;sans-serif" w:hAnsi="Times New Roman;sans-serif"/>
          <w:b w:val="false"/>
          <w:color w:val="000000"/>
          <w:sz w:val="20"/>
        </w:rPr>
        <w:t>Autodesk Industry Collections are a combination of products and services that target a specific user objective and support a set of workflows for that objective. Our Industry Collections consist of: Autodesk Architecture, Engineering, and Construction Collection, Autodesk Product Design and Manufacturing Collection, and Autodesk Media and Entertainment Collection.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Maintenance Plan: </w:t>
      </w:r>
      <w:r>
        <w:rPr>
          <w:rFonts w:ascii="Times New Roman;sans-serif" w:hAnsi="Times New Roman;sans-serif"/>
          <w:b w:val="false"/>
          <w:color w:val="000000"/>
          <w:sz w:val="20"/>
        </w:rPr>
        <w:t xml:space="preserve">Our maintenance plans provide our customers with a cost effective and predictable budgetary option to obtain the 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Make Business:</w:t>
      </w:r>
      <w:r>
        <w:rPr>
          <w:color w:val="000000"/>
        </w:rPr>
        <w:t xml:space="preserve"> </w:t>
      </w:r>
      <w:r>
        <w:rPr>
          <w:rFonts w:ascii="Times New Roman;sans-serif" w:hAnsi="Times New Roman;sans-serif"/>
          <w:b w:val="false"/>
          <w:color w:val="000000"/>
          <w:sz w:val="20"/>
        </w:rPr>
        <w:t xml:space="preserve">Represents certain cloud-based product subscriptions. Main products include, but are not limited to, Autodesk Build, BIM Collaborate Pro, BuildingConnected, Fusion, and Flow Production Tracking. Certain products, such as Fusion, incorporate both Design and Make functionality and are classified as Make.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Net Revenue Retention Rate (NR3): </w:t>
      </w:r>
      <w:r>
        <w:rPr>
          <w:rFonts w:ascii="Times New Roman;sans-serif" w:hAnsi="Times New Roman;sans-serif"/>
          <w:b w:val="false"/>
          <w:color w:val="000000"/>
          <w:sz w:val="20"/>
        </w:rPr>
        <w:t xml:space="preserve">Measures the year-over-year change in Recurring Revenue for the population of customers that 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Other Revenue: </w:t>
      </w:r>
      <w:r>
        <w:rPr>
          <w:rFonts w:ascii="Times New Roman;sans-serif" w:hAnsi="Times New Roman;sans-serif"/>
          <w:b w:val="false"/>
          <w:color w:val="000000"/>
          <w:sz w:val="20"/>
        </w:rPr>
        <w:t>Consists of revenue from consulting, and other products and services, and is recognized as the products are delivered and services are performed.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Product Subscription:</w:t>
      </w:r>
      <w:r>
        <w:rPr>
          <w:color w:val="000000"/>
        </w:rPr>
        <w:t xml:space="preserve"> </w:t>
      </w:r>
      <w:r>
        <w:rPr>
          <w:rFonts w:ascii="Times New Roman;sans-serif" w:hAnsi="Times New Roman;sans-serif"/>
          <w:b w:val="false"/>
          <w:color w:val="000000"/>
          <w:sz w:val="20"/>
        </w:rPr>
        <w:t xml:space="preserve">Provides customers a flexible, cost-effective way to access and manage 3D design, engineering, and entertainment software tools. Our product subscriptions currently represent a hybrid of desktop and cloud functionality, which provides a device-independent, collaborative design workflow for designers and their stakeholders.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Recurring Revenue:</w:t>
      </w:r>
      <w:r>
        <w:rPr>
          <w:color w:val="000000"/>
        </w:rPr>
        <w:t xml:space="preserve"> </w:t>
      </w:r>
      <w:r>
        <w:rPr>
          <w:rFonts w:ascii="Times New Roman;sans-serif" w:hAnsi="Times New Roman;sans-serif"/>
          <w:b w:val="false"/>
          <w:color w:val="000000"/>
          <w:sz w:val="20"/>
        </w:rPr>
        <w:t xml:space="preserve">Consists of the revenue for the period from our traditional maintenance plans, our subscription plan offerings, and certain Other revenue. It excludes subscription revenue related to third-party products. Recurring revenue acquired with the acquisition of a business is captured when total subscriptions are captured in our systems and may cause variability in the comparison of this calculation.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Remaining Performance Obligations (RPO): </w:t>
      </w:r>
      <w:r>
        <w:rPr>
          <w:rFonts w:ascii="Times New Roman;sans-serif" w:hAnsi="Times New Roman;sans-serif"/>
          <w:b w:val="false"/>
          <w:color w:val="000000"/>
          <w:sz w:val="20"/>
        </w:rPr>
        <w:t xml:space="preserve">The sum of total short-term, long-term, and unbilled deferred revenue. Current remaining performance obligations is the amount of revenue we expect to recognize in the next twelve months.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Solution Provider</w:t>
      </w:r>
      <w:r>
        <w:rPr>
          <w:rFonts w:ascii="Times New Roman;sans-serif" w:hAnsi="Times New Roman;sans-serif"/>
          <w:b w:val="false"/>
          <w:color w:val="000000"/>
          <w:sz w:val="20"/>
        </w:rPr>
        <w:t>: Solution Provider is the name of our channel partners who primarily serve our new transaction model customers worldwide. Solution Providers may also be resellers in relation to Autodesk solutions</w:t>
      </w:r>
      <w:r>
        <w:rPr>
          <w:rFonts w:ascii="Times New Roman;sans-serif" w:hAnsi="Times New Roman;sans-serif"/>
          <w:b w:val="false"/>
          <w:i/>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Spend</w:t>
      </w:r>
      <w:r>
        <w:rPr>
          <w:rFonts w:ascii="Times New Roman;sans-serif" w:hAnsi="Times New Roman;sans-serif"/>
          <w:b w:val="false"/>
          <w:color w:val="000000"/>
          <w:sz w:val="20"/>
        </w:rPr>
        <w:t xml:space="preserve">: The sum of cost of revenue and operating expenses.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Subscription Plan: </w:t>
      </w:r>
      <w:r>
        <w:rPr>
          <w:rFonts w:ascii="Times New Roman;sans-serif" w:hAnsi="Times New Roman;sans-serif"/>
          <w:b w:val="false"/>
          <w:color w:val="000000"/>
          <w:sz w:val="20"/>
        </w:rPr>
        <w:t xml:space="preserve">Comprises our term-based product subscriptions, cloud service offerings, and EBAs. Subscriptions 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 xml:space="preserve">Includes our cloud-enabled term-based product subscriptions, cloud service offerings, and flexible EBAs.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Unbilled Deferred Revenue: </w:t>
      </w:r>
      <w:r>
        <w:rPr>
          <w:rFonts w:ascii="Times New Roman;sans-serif" w:hAnsi="Times New Roman;sans-serif"/>
          <w:b w:val="false"/>
          <w:color w:val="000000"/>
          <w:sz w:val="20"/>
        </w:rPr>
        <w:t xml:space="preserve">Unbilled deferred revenue represents contractually stated or committed orders under early renewal and multi-year billing plans for subscription, services, and maintenance for which the associated deferred revenue has not been recognized. Under FASB Accounting Standards Codification ("ASC") Topic 606, unbilled deferred revenue is not included as a receivable or deferred revenue on our Consolidated Balance Sheet.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rapidly changing environment that involves significant risks, a number of which are beyond our control. In addition to the other information contained in this Annual Report on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Annual Report on Form 10-K and in the documents incorporated herein by reference. They could affect our actual results of operations, causing them to differ materially from those expressed in forward-looking statements.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 of Risk Factors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securities. These risks are described more fully below and include, but are not limited to, risks relating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strategy to develop and introduce new products and services, exposing us to risks such as limited customer acceptance (both with new and existing customers), costs related to product defects, and large expenditures.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Global economic and political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and challenges associated with strategic acquisitions and investments.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Dependency on international revenue and operations, exposing us to significant international regulatory, economic, intellectual property, collections, currency exchange rate, taxation, political, and other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predict subscription renewal rates and their impact on our future revenue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Existing and increased competition and rapidly evolving technological changes.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 of our financial results, key metrics and other operating metrics.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Deriving a substantial portion of our net revenue from a small number of solutions, including our AutoCAD-based software products and collections.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failure to successfully execute and manage initiatives to realign or introduce new business and sales initiatives.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strategy and expectations regarding the expected benefits, timing and costs associated with our restructuring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revenue, billings, earnings, cash flow, or subscriptions shortfalls or volatility of the market causing the market price of our stock to decline.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Challenges relating to the proper management and governance of our use of AI in our offerings.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incidents compromising the integrity of our or our customers’ offerings, services, data, or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Reliance on third parties to provide us with a number of operational and technical services as well as software.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highly complex software, which may contain undetected errors, defects, or vulnerabilities, and is subject to service disruptions, degradations, outages or other performance problems.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regulatory focus on privacy, data protection, and information security issues and expanding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Governmental export and import controls that could impair our ability to compete in international markets or subject us to liability if we violate the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Protection of our intellectual property rights and intellectual property infringement claims from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government procurement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debt service obligations.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investment portfolio consisting of a variety of investment vehicles that are subject to interest rate trends, market volatility, and other economic factors.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Our Business and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economic and political conditions may further impact our industries, business, and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adversely impacted by the costs and challenges associated with strategic acquisitions and investments.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acquire or invest in businesses, software solutions, and technologies that are complementary to our business through acquisitions, strategic alliances, or equity or debt investments, including several transactions in fiscal 2024 and 2025.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to retain customers, key employees, vendors, distributors, business partners, and other entities associated with the acquired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that due diligence of the acquired business or solution does not identify significant problems;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exposure to litigation or other claims in connection with, or inheritance of claims or litigation risk as a result of, an acquisition, including claims from terminated employees, customers, or other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for incompatible business cultures;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significantly higher than anticipated transaction or integration-related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additional exposure to economic, tax, currency, political, legal, and regulatory risks and liabilities, including risks associated with specific countries;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impact on relationships with existing customers, vendors, and distributors as business partners as a result of acquiring another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net revenue represented 64% of our net revenue for both fiscal 2025 and 2024. Our international revenue, some of which comes from emerging economies, is subject to economic and political conditions in foreign markets, including those resulting from economic and political conditions in the United States.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volatility;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tariffs, quotas, and other trade barriers and restrictions, geopolitical conflicts, and any political or economic responses and counter-responses thereto by various global actors;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fluctuating currency exchange rates, including devaluations, currency controls, and inflation, and risks related to any hedging activities we undertake;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regulatory requirements and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delays resulting from difficulty in obtaining export licenses for certain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different purchase patterns as compared to the developed world;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 locations with a higher incidence of corruption and fraudulent business practices, particularly in emerging economies;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U.S. Foreign Corrupt Practices Act, the U.K. Bribery Act, and other anti-corruption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staffing and managing foreign sales and development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local competition;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longer collection cycles for accounts receivable;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and foreign tax law changes and the complexities of tax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laws regarding the free flow of data across international borders and management of and access to data and public networks;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future limitations upon foreign-owned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inadequate local infrastructure;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greater difficulty in protecting intellectual property;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software piracy;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other factors beyond our control, including popular uprisings, terrorism, war (including any related political or economic responses and counter-responses or otherwise by various global actors or the general effect on the global economy), natural disasters, and diseases and pandemics.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business partners also have international operations and are subject to the risks described above. </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other countries in which we do business. For example, the United States and other global actors have imposed sanctions as a result of the war against Ukraine launched by Russia and the ongoing war between Israel and Hamas.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as a component of U.S. foreign policy. New or increased tariffs and other changes in U.S. trade policy, including new sanctions, could trigger retaliatory actions by affected countries, including Russia. In addition, certain foreign governments, including the Chinese government, have instituted, considered, or are considering imposing tariffs and other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manage the risks of international operations, our business may be adversely affected if our business partners are not able to successfully manage these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be able to predict subscription renewal rates and their impact on our future revenue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Existing and increased competition and rapidly evolving technological changes may reduce our revenue and profits.</w:t>
      </w:r>
    </w:p>
    <w:p>
      <w:pPr>
        <w:pStyle w:val="TextBody"/>
        <w:bidi w:val="0"/>
        <w:spacing w:before="0" w:after="0"/>
        <w:jc w:val="left"/>
        <w:rPr/>
      </w:pPr>
      <w:r>
        <w:rPr/>
      </w:r>
    </w:p>
    <w:p>
      <w:pPr>
        <w:pStyle w:val="TextBody"/>
        <w:bidi w:val="0"/>
        <w:spacing w:lineRule="auto" w:line="276" w:before="0" w:after="0"/>
        <w:ind w:left="0" w:right="0" w:firstLine="450"/>
        <w:jc w:val="left"/>
        <w:rPr/>
      </w:pPr>
      <w:r>
        <w:rPr>
          <w:rFonts w:ascii="Times New Roman;sans-serif" w:hAnsi="Times New Roman;sans-serif"/>
          <w:b w:val="false"/>
          <w:color w:val="000000"/>
          <w:sz w:val="20"/>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sans-serif" w:hAnsi="Times New Roman;sans-serif"/>
          <w:b w:val="false"/>
          <w:color w:val="212529"/>
          <w:sz w:val="20"/>
        </w:rPr>
        <w:t>subscriptions and cloud-enabled technologies</w:t>
      </w:r>
      <w:r>
        <w:rPr>
          <w:rFonts w:ascii="Times New Roman;sans-serif" w:hAnsi="Times New Roman;sans-serif"/>
          <w:b w:val="false"/>
          <w:color w:val="000000"/>
          <w:sz w:val="20"/>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financial results, key metrics, and other operating metrics fluctuate within each quarter and from quarter to quarter, making our future revenue and financial results difficult to predict.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market, economic, business, and political conditions in Europe, APAC, and emerging economies, including from an economic downturn or recession in the United States or other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produce sufficient revenue, billings, subscription, profitability, and cash flow growth;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accurately predict the impact of acquired businesses or to identify and realize the anticipated benefits of acquisitions, and successfully integrate such acquired businesses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shift to named-user plans and annual billing of multi-year contracts, which impacted the timing of our billings and cash collections in fiscal year 2024 and 2025 and which is expected to continue into fiscal year 2026;</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introduce and expand new transaction models such as Flex;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potential goodwill impairment charges related to prior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manage spend;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billings linearity;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subscription mix, pricing pressure, or changes in subscription pricing;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weak or negative growth in one or more of the industries we serve, including AECO, manufacturing, and digital media and entertainment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success of new business or sales initiatives;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breaches, related reputational harm, and potential financial penalties to customers and government entities;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restructuring or other accounting charges and unexpected costs or other operating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additional investments in our technologies or deployment of our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revenue recognition or other accounting guidelines employed by us and/or established by the Financial Accounting Standards Board, Securities and Exchange Commission, or other rulemaking bodies;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 and the effectiveness of our hedging activity;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dependence on and timing of large transactions;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adjustments arising from ongoing or future tax examinations;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governments around the world to adopt fiscal policies, meet their financial and debt obligations, and finance infrastructure projects;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expand our AutoCAD and AutoCAD LT customer base to related design products and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rapidly adapt to technological and customer preference changes, including those related to cloud computing, mobile devices, and new computing platforms;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the introduction of new products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financial and business condition of our reseller and distribution channels;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perceived or actual technical or other problems with a product or combination of subscriptions;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or negative outcomes of matters and expenses relating to litigation or regulatory inquiries;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cloud functionality-related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releases and retirements of offerings;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tax laws or tax or accounting rules and regulations, such as increased use of fair value measures;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sales compensation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effectively implement and maintain our copyright legalization programs, especially in developing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renegotiation or termination of royalty or intellectual property arrangements;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interruptions or terminations in the business of our consultants or third-party developers;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and degree of expected investments in growth and efficiency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achieve continued success in technology advancements;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catastrophic events, natural disasters, or public health events, such as pandemics and epidemics;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compliance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appropriately estimate the scope of services under consulting arrangements.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based in part on our expectations for future revenue and are relatively fixed in the short term. Accordingly, any revenue shortfall below expectations has had, and in the future could have, an immediate and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adverse effect on our profitability. Greater than anticipated expenses or a failure to maintain rigorous cost controls would also negatively affect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derive a substantial portion of our net revenue from a small number of solutions, including our AutoCAD-based software products and collections, and if these offerings are not successful, our revenue would be adversely affected.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fiscal 2025 and 2024, combined revenue from our AutoCAD and AutoCAD LT family products, not including collections having AutoCAD or AutoCAD LT as a component, represented 26% and 27% of our total net revenue,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From time to time we realign or introduce new business and sales initiatives; if we fail to successfully execute and manage these initiatives, our results of operations could be negatively impacted.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 billings, earnings, cash flow, or subscriptions shortfalls or volatility of the market generally may cause the market price of our stock to decline.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quarterly variations in our or our competitors’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socioeconomic, political, or market conditions, including from an economic downturn or recession in the United States or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forward-looking estimates of future results, how those estimates compare to securities analyst expectations, or changes in recommendations or confusion on the part of analysts and investors about the short- and long-term impact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uncertainty about certain governments’ abilities to repay debt or effect fiscal policy;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of new offerings or enhancements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unusual events such as significant acquisitions, divestitures, regulatory actions, and litigation;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rules, or regulations applicable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outstanding debt service obligations;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actions by activist shareholders or others, and our response to such actions;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including factors unrelated to our operating performance, such as instability affecting the economy or the operating performance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As a result of our strategy of partnering with other companies for product development, our product delivery schedules could be adversely affected if we experience difficulties with our product development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incorporate AI into our offerings, and challenges with properly managing its use could result in competitive harm, reputational harm, or liability,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or other aspects of the development or use of AI may also increase the burden and cost of research and development in this area, subjecting us to brand or reputational harm, competitive harm, or legal liability. For example, the European Union’s Artificial Intelligence Act (the “AI Act”), which achieved approval by the European Council on February 2, 2024, and the European Parliament on March 13, 2024, will impose obligations on providers and users of artificial intelligence technologies. Some U.S. states have proposed, and in certain cases enacted, laws addressing aspects of the development and use of AI. Failure to address AI ethical and regulatory issues by us or others in our industry could undermine public confidence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AI, slow adoption of AI in our products and services, and subject us to claims, demands, and proceedings from private actors, regulatory investigations and other proceedings by regulatory authorities, and fines, penalties, and other liabilities.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Audit Committee internal investigation has been time-consuming and expensive, has resulted in the filing of lawsuits, and may result in additional expense and/or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Autodesk voluntarily contacted the Securities and Exchange Commission (the “SEC”) to advise it that an internal investigation was ongoing. Autodesk is cooperating with the SEC’s investigation.</w:t>
      </w:r>
      <w:r>
        <w:rPr>
          <w:color w:val="000000"/>
        </w:rPr>
        <w:t xml:space="preserve"> </w:t>
      </w:r>
      <w:r>
        <w:rPr>
          <w:rFonts w:ascii="Times New Roman;sans-serif" w:hAnsi="Times New Roman;sans-serif"/>
          <w:b w:val="false"/>
          <w:color w:val="000000"/>
          <w:sz w:val="20"/>
        </w:rPr>
        <w:t>Furthermore, if the SEC commences legal action, we could be required to pay significant penalties and become subject to injunctions, a cease and desist order and other equitable remedies.</w:t>
      </w:r>
      <w:r>
        <w:rPr>
          <w:color w:val="000000"/>
        </w:rPr>
        <w:t xml:space="preserve"> </w:t>
      </w:r>
      <w:r>
        <w:rPr>
          <w:rFonts w:ascii="Times New Roman;sans-serif" w:hAnsi="Times New Roman;sans-serif"/>
          <w:b w:val="false"/>
          <w:color w:val="000000"/>
          <w:sz w:val="20"/>
        </w:rPr>
        <w:t>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w:t>
      </w:r>
      <w:r>
        <w:rPr>
          <w:color w:val="000000"/>
        </w:rPr>
        <w:t xml:space="preserve"> </w:t>
      </w:r>
      <w:r>
        <w:rPr>
          <w:rFonts w:ascii="Times New Roman;sans-serif" w:hAnsi="Times New Roman;sans-serif"/>
          <w:b w:val="false"/>
          <w:color w:val="000000"/>
          <w:sz w:val="20"/>
        </w:rPr>
        <w:t>We can provide no assurances as to the outcome of any governmental investigation.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and certain of our officers and directors have been named in purported shareholder litigation arising out of our announcement of the investigation. For additional discussion, see Part I, Item 3. Legal Proceedings and Note 11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Our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between Israel and Hamas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Our use of AI may also increase our risks of being subject to a security breach or incident.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Our use</w:t>
      </w:r>
      <w:r>
        <w:rPr>
          <w:color w:val="000000"/>
        </w:rPr>
        <w:t xml:space="preserve"> </w:t>
      </w:r>
      <w:r>
        <w:rPr>
          <w:rFonts w:ascii="Times New Roman;sans-serif" w:hAnsi="Times New Roman;sans-serif"/>
          <w:b w:val="false"/>
          <w:i/>
          <w:color w:val="000000"/>
          <w:sz w:val="20"/>
        </w:rPr>
        <w:t>of third-party</w:t>
      </w:r>
      <w:r>
        <w:rPr>
          <w:color w:val="000000"/>
        </w:rPr>
        <w:t xml:space="preserve"> </w:t>
      </w:r>
      <w:r>
        <w:rPr>
          <w:rFonts w:ascii="Times New Roman;sans-serif" w:hAnsi="Times New Roman;sans-serif"/>
          <w:b w:val="false"/>
          <w:i/>
          <w:color w:val="000000"/>
          <w:sz w:val="20"/>
        </w:rPr>
        <w:t>open</w:t>
      </w:r>
      <w:r>
        <w:rPr>
          <w:color w:val="000000"/>
        </w:rPr>
        <w:t xml:space="preserve"> </w:t>
      </w:r>
      <w:r>
        <w:rPr>
          <w:rFonts w:ascii="Times New Roman;sans-serif" w:hAnsi="Times New Roman;sans-serif"/>
          <w:b w:val="false"/>
          <w:i/>
          <w:color w:val="000000"/>
          <w:sz w:val="20"/>
        </w:rPr>
        <w:t>source</w:t>
      </w:r>
      <w:r>
        <w:rPr>
          <w:color w:val="000000"/>
        </w:rPr>
        <w:t xml:space="preserve"> </w:t>
      </w:r>
      <w:r>
        <w:rPr>
          <w:rFonts w:ascii="Times New Roman;sans-serif" w:hAnsi="Times New Roman;sans-serif"/>
          <w:b w:val="false"/>
          <w:i/>
          <w:color w:val="000000"/>
          <w:sz w:val="20"/>
        </w:rPr>
        <w:t>software</w:t>
      </w:r>
      <w:r>
        <w:rPr>
          <w:color w:val="000000"/>
        </w:rPr>
        <w:t xml:space="preserve"> </w:t>
      </w:r>
      <w:r>
        <w:rPr>
          <w:rFonts w:ascii="Times New Roman;sans-serif" w:hAnsi="Times New Roman;sans-serif"/>
          <w:b w:val="false"/>
          <w:i/>
          <w:color w:val="000000"/>
          <w:sz w:val="20"/>
        </w:rPr>
        <w:t>could negatively affect</w:t>
      </w:r>
      <w:r>
        <w:rPr>
          <w:color w:val="000000"/>
        </w:rPr>
        <w:t xml:space="preserve"> </w:t>
      </w:r>
      <w:r>
        <w:rPr>
          <w:rFonts w:ascii="Times New Roman;sans-serif" w:hAnsi="Times New Roman;sans-serif"/>
          <w:b w:val="false"/>
          <w:i/>
          <w:color w:val="000000"/>
          <w:sz w:val="20"/>
        </w:rPr>
        <w:t>our ability</w:t>
      </w:r>
      <w:r>
        <w:rPr>
          <w:color w:val="000000"/>
        </w:rPr>
        <w:t xml:space="preserve"> </w:t>
      </w:r>
      <w:r>
        <w:rPr>
          <w:rFonts w:ascii="Times New Roman;sans-serif" w:hAnsi="Times New Roman;sans-serif"/>
          <w:b w:val="false"/>
          <w:i/>
          <w:color w:val="000000"/>
          <w:sz w:val="20"/>
        </w:rPr>
        <w:t>to sell subscriptions to access</w:t>
      </w:r>
      <w:r>
        <w:rPr>
          <w:color w:val="000000"/>
        </w:rPr>
        <w:t xml:space="preserve"> </w:t>
      </w:r>
      <w:r>
        <w:rPr>
          <w:rFonts w:ascii="Times New Roman;sans-serif" w:hAnsi="Times New Roman;sans-serif"/>
          <w:b w:val="false"/>
          <w:i/>
          <w:color w:val="000000"/>
          <w:sz w:val="20"/>
        </w:rPr>
        <w:t>our products</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subject us to possible litigation and greater security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w:t>
      </w:r>
      <w:r>
        <w:rPr>
          <w:color w:val="000000"/>
        </w:rPr>
        <w:t xml:space="preserve"> </w:t>
      </w:r>
      <w:r>
        <w:rPr>
          <w:rFonts w:ascii="Times New Roman;sans-serif" w:hAnsi="Times New Roman;sans-serif"/>
          <w:b w:val="false"/>
          <w:color w:val="000000"/>
          <w:sz w:val="20"/>
        </w:rPr>
        <w:t xml:space="preserve">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Delays in service from third-party service providers could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could result in disruption in our business operations, loss of customers, loss of revenue, errors in our accounting and financial reporting, or damage to our reputation, all of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software products both directly to end users and through a network of distributors and resellers. For fiscal 2025 and 2024, approximately 58% and 63%, respectively, of our revenue was derived from indirect channel sales primarily through distributors and resellers.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We rely significantly upon major distributors and resellers in both the U.S. and international regions. Of our distributors, TD Synnex accounted for 33% and 39% of our total net revenue for fiscal 2025 and 2024, respectively, and Ingram Micro, Inc. (“Ingram Micro”) accounted for 5% and 7% of our total net revenue for fiscal 2025 and 2024, respectively. During October 2022, we entered into a transition agreements with each of TD Synnex and Ingram Micro to provide transition distribution activities for a one-to-two-year period, with potential extensions. In connection with such transition agreements, we intend to increase our selling efforts with resellers and agents. During the transition period, we believe the resellers and end users who currently purchase our products through TD Synnex and Ingram Micro will be able to continue to do so, and following the transition period, we believe such end users will be able to continue to purchase our products from certain resellers or directly from Autodesk, in each case under substantially the same terms and without substantial disruption to our revenue. However, if during the transition period, TD Synnex or Ingram Micro were to experience a significant business disruption or if our relationship with either were to significantly deteriorate, it is possible that our ability to sell to end users would, at least temporarily, be negatively impacted. Also, if any of our assumptions about our end users, resellers, distributors, or agents or our direct selling capabilities proves incorrect, these changes could harm our business.</w:t>
      </w:r>
      <w:r>
        <w:rPr>
          <w:color w:val="000000"/>
        </w:rPr>
        <w:t xml:space="preserve"> </w:t>
      </w:r>
      <w:r>
        <w:rPr>
          <w:rFonts w:ascii="Times New Roman;sans-serif" w:hAnsi="Times New Roman;sans-serif"/>
          <w:b w:val="false"/>
          <w:color w:val="000000"/>
          <w:sz w:val="20"/>
        </w:rPr>
        <w:t>This could, in turn, negatively impact our financial results.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rely on software from third parties, and a failure to properly manage our use of third-party software could result in increased costs or loss of revenue.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adversely affected if we are unable to attract and retain key personnel.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rely on third-party technologies and if we are unable to use or integrate these technologies, our solutions and service development may be delayed and our financial results negatively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Disruptions in licensing relationships and with third-party developers could adversely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Increasing regulatory focus on privacy, data protection, and information security issues and new and expanding laws may impact our business and expose us to increased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In addition, there is continued instability of international personal data transfer legal mechanisms that are complex, uncertain, and subject to active litigation and enforcement actions in a number of jurisdictions around the world.</w:t>
      </w:r>
      <w:r>
        <w:rPr>
          <w:color w:val="000000"/>
        </w:rPr>
        <w:t xml:space="preserve"> </w:t>
      </w:r>
      <w:r>
        <w:rPr>
          <w:rFonts w:ascii="Times New Roman;sans-serif" w:hAnsi="Times New Roman;sans-serif"/>
          <w:b w:val="false"/>
          <w:color w:val="000000"/>
          <w:sz w:val="20"/>
        </w:rPr>
        <w:t xml:space="preserve">For example, on June 4, 2021, the European Commission published a new set of modular standard contractual clause (“SCCs”), which became effective on June 29, 2021. The SCCs impose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 or other regions.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United Kingdom’s (“UK”) exit from the EU, and ongoing developments in the UK, have created uncertainty with regard to data protection regulation in the UK. Personal data processing in the UK is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make use of to legitimize personal data transfers to the U.S. from the European Economic Area,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from privacy advocacy groups or others. Further, the European Commission’s adequacy decision regarding the EU-U.S. DPF provides that the EU-U.S. DPF will be subject to future reviews and may be subject to suspension, amendment, repeal, or limitations to its scope by the European Commission. We may, in addition to other impacts, experience additional costs associated with increased compliance burdens and be required to engage in new contract negotiations with third parties that aid in processing personal data on our behalf or localize certain personal data.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several European data protection authorities have indicated that the use of Google Analytics by European website operators involves the unlawful transfer of personal data to the United States. As the enforcement landscape further develops,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depending on the impacts of these rulings and other developments with respect to cross-border data transfer, we could suffer additional costs, complaints and/or regulatory investigations or fines, have to stop using certain tools and vendors, and make other operational changes.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Several other countries, including China, Australia, New Zealand, Brazil, and Japan, have also established specific legal requirements for cross-border data transfers. There is also an increasing trend towards data localization policies. For example, China and India have introduced localization requirements for certain data. Other countries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In addition, the CPRA and many other new state laws addressing privacy and information security, including those that have become or will become effective in 2025, provide for additional obligations such as data minimization and storage limitations, granting additional rights to consumers such as correction of personal information and additional opt-out rights.</w:t>
      </w:r>
      <w:r>
        <w:rPr>
          <w:color w:val="000000"/>
        </w:rPr>
        <w:t xml:space="preserve"> </w:t>
      </w:r>
      <w:r>
        <w:rPr>
          <w:rFonts w:ascii="Times New Roman;sans-serif" w:hAnsi="Times New Roman;sans-serif"/>
          <w:b w:val="false"/>
          <w:color w:val="000000"/>
          <w:sz w:val="20"/>
        </w:rPr>
        <w:t>The CPRA also created a new agency to implement and enforce the law. These new state laws have required us to modify our data processing practices and policies and may cause us to</w:t>
      </w:r>
      <w:r>
        <w:rPr>
          <w:color w:val="000000"/>
        </w:rPr>
        <w:t xml:space="preserve"> </w:t>
      </w:r>
      <w:r>
        <w:rPr>
          <w:rFonts w:ascii="Times New Roman;sans-serif" w:hAnsi="Times New Roman;sans-serif"/>
          <w:b w:val="false"/>
          <w:color w:val="000000"/>
          <w:sz w:val="20"/>
        </w:rPr>
        <w:t xml:space="preserve">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 regulators, plaintiffs’ attorneys, and privacy advocates have increased their focus on how companies collect, use, store, share, transmit, and otherwise process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and cybersecurity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governmental export and import controls that could impair our ability to compete in international markets or subject us to liability if we violate the controls.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offerings are subject to export controls and economic sanctions laws and regulations that prohibit the delivery of certain solutions and services without the required export authorizations or the export to locations, governments, and persons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controls and sanctions laws and regulations.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or loss of sales opportunities. Violations of applicable sanctions or export control laws or regulations can result in fines or penalties.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risks regarding sanctions and trade protectionism, please see the risk factor entitled “We are dependent on international revenue and operations . . .” earlier in this section.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not able to adequately protect our proprietary rights,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face intellectual property infringement claims that could be costly to defend and result in the loss of significant rights.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Contracting with government entities exposes us to additional risks inherent in the government procurement process.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Financial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exposed to fluctuations in currency exchange rates that could negatively impact our financial results and cash flows.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debt service obligations may adversely affect our financial condition and cash flows from operations.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$2.30 billion of principal debt, consisting of notes due at various times from June 2025 to December 2031, as of January 31, 2025, as described in Part II, Item 8. We also entered into a credit agreement that provides for an unsecured revolving loan facility in the aggregate principal amount of $1.5 billion, with an option to be increased up to $2.0 billion, as described in Part II, Item 8. Maintenance of our indebtedness, contractual restrictions, and additional issuances of indebtedness could: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cause us to dedicate a substantial portion of our cash flows from operations towards debt service obligations and principal repayments;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impair our ability to obtain future financing for working capital, capital expenditures, acquisitions, general corporate, or other purposes;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II, Item 8,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 loss on any of our investments may cause us to record an other-than-temporary impairment charge. The effect of this charge could impact our overall net income and earnings per share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In any of these scenarios, our liquidity may be negatively impacted, which in turn may prohibit us from making investments in our business, taking advantage of opportunities, and potentially meeting our financial obligations as they come due.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tax rules and regulations, and uncertainties in interpretation and application, could materially affect our tax obligations and effective tax rate.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 ultimate effect on our results of operations, including for our prior tax years.</w:t>
      </w:r>
      <w:r>
        <w:rPr>
          <w:color w:val="000000"/>
        </w:rPr>
        <w:t xml:space="preserve"> </w:t>
      </w:r>
      <w:r>
        <w:rPr>
          <w:rFonts w:ascii="Times New Roman;sans-serif" w:hAnsi="Times New Roman;sans-serif"/>
          <w:b w:val="false"/>
          <w:color w:val="000000"/>
          <w:sz w:val="20"/>
        </w:rPr>
        <w:t>In addition, increases in corporate tax rates, could increase our effective tax rate, cash taxes and have an adverse effect on our results from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Organisation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were required to record an impairment charge related to the value of our long-lived assets or an additional valuation allowance against our deferred tax assets, our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w:t>
      </w:r>
      <w:r>
        <w:rPr>
          <w:color w:val="000000"/>
        </w:rPr>
        <w:t xml:space="preserve"> </w:t>
      </w:r>
      <w:r>
        <w:rPr>
          <w:rFonts w:ascii="Times New Roman;sans-serif" w:hAnsi="Times New Roman;sans-serif"/>
          <w:b w:val="false"/>
          <w:color w:val="000000"/>
          <w:sz w:val="20"/>
        </w:rPr>
        <w:t>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may be significantly disrupted upon the occurrence of a catastrophic event.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existing financial accounting standards or practices, or taxation rules or practices may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preparing our financial statements we make certain assumptions, judgments, and estimates that affect amounts reported in our consolidated financial statements which, if not accurate, may significantly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1C.</w:t>
      </w:r>
      <w:r>
        <w:rPr>
          <w:color w:val="000000"/>
        </w:rPr>
        <w:t xml:space="preserve"> </w:t>
      </w:r>
      <w:r>
        <w:rPr>
          <w:rFonts w:ascii="Times New Roman;sans-serif" w:hAnsi="Times New Roman;sans-serif"/>
          <w:b/>
          <w:color w:val="000000"/>
          <w:sz w:val="20"/>
        </w:rPr>
        <w:t>CYBERSECURITY</w:t>
      </w:r>
    </w:p>
    <w:p>
      <w:pPr>
        <w:pStyle w:val="TextBody"/>
        <w:bidi w:val="0"/>
        <w:spacing w:before="0" w:after="0"/>
        <w:ind w:left="0" w:right="0" w:hanging="360"/>
        <w:jc w:val="left"/>
        <w:rPr/>
      </w:pPr>
      <w:r>
        <w:rPr/>
      </w:r>
    </w:p>
    <w:p>
      <w:pPr>
        <w:pStyle w:val="TextBody"/>
        <w:bidi w:val="0"/>
        <w:spacing w:lineRule="auto" w:line="268" w:before="0" w:after="0"/>
        <w:jc w:val="both"/>
        <w:rPr/>
      </w:pPr>
      <w:r>
        <w:rPr>
          <w:rFonts w:ascii="Times New Roman;sans-serif" w:hAnsi="Times New Roman;sans-serif"/>
          <w:b w:val="false"/>
          <w:i/>
          <w:color w:val="000000"/>
          <w:sz w:val="20"/>
          <w:u w:val="single"/>
        </w:rPr>
        <w:t>Risk Management and Strategy</w:t>
      </w:r>
      <w:r>
        <w:rPr>
          <w:color w:val="000000"/>
        </w:rPr>
        <w:t xml:space="preserv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has established policies and processes for assessing, treating, and managing material risk from cybersecurity threats based on relevant industry standards. These policies and processes are reviewed and updated at least annually.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integrated these processes into our overall risk management systems and processes. We routinely assess material risks from cybersecurity threats, including any potential unauthorized occurrence on or conducted through our information systems that may adversely affect the confidentiality, integrity, or availability of our information systems or any information residing therein.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conduct risk assessments, penetration tests, and other security assessments to identify cybersecurity threats regularly, and in the event of a material change in our business practices that may affect information systems potentially vulnerable to such cybersecurity threats. These assessments include the identification of reasonably foreseeable internal and external risks, the likelihood and potential damage that could result from such risks, and the sufficiency of existing policies, procedures, systems, and safeguards in place to manage such risks. Risks are then assigned to the appropriate owners for tracking and mitigation.</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these assessments, we re-design, implement, and maintain reasonable safeguards, when appropriate, to minimize identified risks; reasonably address any identified gaps in existing safeguards; and continually monitor the effectiveness of our safeguards. We devote significant resources and designate high-level personnel, including our Chief Trust Officer, who reports to our Chief Technology Officer, to manage the risk assessment and mitigation processes.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overall risk management system, we monitor and test our safeguards. We train our workforce on these safeguards. Personnel at all levels and departments are made aware of our cybersecurity policies through required trainings. Cybersecurity tabletop exercises are regularly conducted for our executives and for incident response professionals. Improvements identified at these tabletop exercises are implemented into our processes.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engage assessors, consultants, and auditors in connection with our risk assessment processes. These outside advisors assist us to design and implement our cybersecurity policies and procedures, as well as to monitor and test our safeguards.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Autodesk’s third-party service providers and suppliers to implement and maintain appropriate security measures consistent with applicable laws in connection with their work with us and to promptly report any suspected breach of their security measures that may affect our Company.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under the heading “Risks Relating to Our Operations”.</w:t>
      </w:r>
    </w:p>
    <w:p>
      <w:pPr>
        <w:pStyle w:val="TextBody"/>
        <w:bidi w:val="0"/>
        <w:spacing w:before="0" w:after="0"/>
        <w:ind w:left="0" w:right="0" w:firstLine="495"/>
        <w:jc w:val="left"/>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Governance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One of the key functions of our board of directors is informed oversight of our risk management process, including risks from cybersecurity threats. Our board of directors is responsible for monitoring and assessing strategic risk exposure. The board’s Audit Committee oversees the management of cybersecurity risks relating to financial, accounting, and internal control matters. The full board receives regular updates from our senior management and outside advisors regarding cybersecurity risks Autodesk faces. Our Enterprise Risk Management function is responsible for identifying, prioritizing, and mitigating risks that could limit Autodesk's achievement of its strategic and operational priorities. Our executive officers are responsible for the day-to-day assessment and management of these risks.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Trust Officer is responsible for assessing and managing material risks from cybersecurity threats. Our Chief Trust Officer has more than twenty years of cybersecurity leadership experience, including serving in similar roles leading cybersecurity programs at other public companies.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Chief Trust Officer oversees our cybersecurity policies and processes, including those described in “Risk Management and Strategy” above. The processes by which our Chief Trust Officer is informed about and monitors the prevention, detection, mitigation, and remediation of cybersecurity incidents include the following: leading Autodesk’s Trust program which implements data protection measures and processes across the organization; strategic planning of the company’s cybersecurity initiatives and objectives; cybersecurity risk mitigation efforts; managing tools and processes that support security incident monitoring and alerting; overseeing security incident response planning; managing exercises that test management’s response plans and procedures; and managing our response to suspected or actual security incidents.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Trust Officer provides quarterly briefings to the Audit Committee regarding our cybersecurity risks and state of our Trust program, including recent cybersecurity incidents and related responses, cybersecurity systems testing, and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initiatives and metrics. Our Audit Committee regularly updates the board of directors on such reports. In addition, our Chief Trust Officer provides briefings on cybersecurity risks and activities to the board of directors at least annually. Our Chief Trust Officer may also brief the board of directors regarding significant cybersecurity incidents.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lease approximately 1,300,000 square feet of office space in 87 locations in the United States and internationally through our foreign subsidiaries. Our executive offices and corporate headquarters are in leased office space in San Francisco, California. Our San Francisco facilities consist of approximately 211,000 square feet under leases that have expiration dates ranging from June 2026 to December 2028. We and our foreign subsidiaries lease additional space in various locations throughout the world for local sales, product development, and technical support personnel.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facilities are in good condition. We believe that our existing facilities and offices are adequate to meet our requirements for the foreseeable future. See Part II, Item 8, Note 9, “Leases,” in the Notes to Consolidated Financial Statements for more information.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Internal Investigation,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w:t>
      </w:r>
      <w:r>
        <w:rPr>
          <w:color w:val="000000"/>
        </w:rPr>
        <w:t xml:space="preserve"> </w:t>
      </w:r>
      <w:r>
        <w:rPr>
          <w:rFonts w:ascii="Times New Roman;sans-serif" w:hAnsi="Times New Roman;sans-serif"/>
          <w:b w:val="false"/>
          <w:color w:val="000000"/>
          <w:sz w:val="20"/>
        </w:rPr>
        <w:t xml:space="preserve">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This complaint generally alleges contribution under Section 10(b) of the Exchange Act and Rule 10b-5, Sections 14(a) and 20(a) of the Exchange Act, breach of fiduciary duties for insider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misappropriation of information, unjust enrichment, abuse of control, gross mismanagement, and waste of corporate assets, also based on similar underlying allegations contained in the purported federal securities class action described above.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50"/>
        <w:jc w:val="left"/>
        <w:rPr>
          <w:color w:val="000000"/>
        </w:rPr>
      </w:pPr>
      <w:r>
        <w:rPr>
          <w:color w:val="000000"/>
        </w:rPr>
        <w:t>    </w:t>
      </w:r>
      <w:r>
        <w:rPr>
          <w:rFonts w:ascii="Times New Roman;sans-serif" w:hAnsi="Times New Roman;sans-serif"/>
          <w:b w:val="false"/>
          <w:color w:val="000000"/>
          <w:sz w:val="20"/>
        </w:rPr>
        <w:t>Not applicable.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MARKET INFORMATION FOR COMMON STOCK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Select Market under the symbol ADSK.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for the foreseeable future, we will not pay any cash or stock dividends.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the number of common stockholders of record was 262. Because many of our shares of common stock are held by brokers or other institutions on behalf of stockholders, we are unable to estimate the total number of stockholders represented by the record holders.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stock repurchase programs provide us with the ability to offset the dilution from the issuance of stock under our employee stock plans and reduce shares outstanding over time, and have the effect of returning excess cash generated from our business to stockholders. Under the share repurchase programs, we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our Board of Directors authorized the repurchase of $5 billion of our common stock, in addition to the $3.88 billion remaining under previously announced share repurchase programs.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repurchase of common stock in open-market transactions during the quarter ended January 31, 2025:</w:t>
      </w:r>
    </w:p>
    <w:tbl>
      <w:tblPr>
        <w:tblW w:w="10205" w:type="dxa"/>
        <w:jc w:val="left"/>
        <w:tblInd w:w="0" w:type="dxa"/>
        <w:tblLayout w:type="fixed"/>
        <w:tblCellMar>
          <w:top w:w="28" w:type="dxa"/>
          <w:left w:w="28" w:type="dxa"/>
          <w:bottom w:w="28" w:type="dxa"/>
          <w:right w:w="28" w:type="dxa"/>
        </w:tblCellMar>
      </w:tblPr>
      <w:tblGrid>
        <w:gridCol w:w="521"/>
        <w:gridCol w:w="355"/>
        <w:gridCol w:w="357"/>
        <w:gridCol w:w="487"/>
        <w:gridCol w:w="487"/>
        <w:gridCol w:w="489"/>
        <w:gridCol w:w="109"/>
        <w:gridCol w:w="109"/>
        <w:gridCol w:w="109"/>
        <w:gridCol w:w="256"/>
        <w:gridCol w:w="845"/>
        <w:gridCol w:w="142"/>
        <w:gridCol w:w="109"/>
        <w:gridCol w:w="109"/>
        <w:gridCol w:w="109"/>
        <w:gridCol w:w="861"/>
        <w:gridCol w:w="861"/>
        <w:gridCol w:w="863"/>
        <w:gridCol w:w="109"/>
        <w:gridCol w:w="109"/>
        <w:gridCol w:w="109"/>
        <w:gridCol w:w="787"/>
        <w:gridCol w:w="787"/>
        <w:gridCol w:w="1126"/>
      </w:tblGrid>
      <w:tr>
        <w:trPr/>
        <w:tc>
          <w:tcPr>
            <w:tcW w:w="5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(Shares in thousands)</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Approximate Dollar Value of Shares that May Yet Be Purchased Under the Plans or Programs (</w:t>
            </w:r>
            <w:r>
              <w:rPr>
                <w:rFonts w:ascii="Times New Roman;sans-serif" w:hAnsi="Times New Roman;sans-serif"/>
                <w:b/>
                <w:i/>
                <w:color w:val="000000"/>
                <w:sz w:val="16"/>
              </w:rPr>
              <w:t>in millions</w:t>
            </w:r>
            <w:r>
              <w:rPr>
                <w:rFonts w:ascii="Times New Roman;sans-serif" w:hAnsi="Times New Roman;sans-serif"/>
                <w:b/>
                <w:color w:val="000000"/>
                <w:sz w:val="16"/>
              </w:rPr>
              <w:t>) (2)</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 November 30</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 December 31</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9,034 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January 31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8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(1)Represents shares purchased in open-market transactions under the stock repurchase programs approved by the Board of Directors.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(2)These amounts correspond to the plans publicly announced and approved by the Board of Directors in November 2022 and November 2024 that authorized the repurchase of $5 billion and $5 billion, respectively. At January 31, 2025, $3.88 billion and $5 billion remained available for repurchase under the November 2022 and November 2024 repurchase programs, respectively. The plans do not have a fixed expiration date.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bidi w:val="0"/>
        <w:spacing w:before="0" w:after="0"/>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securities during the three months ended January 31, 2025.</w:t>
      </w:r>
    </w:p>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STOCK PERFORMANCE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five-year comparison of cumulative total return (equal to dividends plus stock appreciation) for our common stock, the Standard &amp; Poor’s 500 Stock Index, the Standard &amp; Poor’s North American Technology Software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Comparison of Five Year Cumulative Total Stockholder Return (1)</w:t>
      </w:r>
    </w:p>
    <w:p>
      <w:pPr>
        <w:pStyle w:val="TextBody"/>
        <w:bidi w:val="0"/>
        <w:spacing w:before="0" w:after="0"/>
        <w:jc w:val="center"/>
        <w:rPr/>
      </w:pPr>
      <w:r>
        <w:rPr/>
        <w:drawing>
          <wp:inline distT="0" distB="0" distL="0" distR="0">
            <wp:extent cx="5076825" cy="38100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5076825" cy="381000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(1)Assumes $100 invested on January 31, 2020, in Autodesk’s stock, the Standard &amp; Poor’s 500 Stock Index, Standard &amp; Poor’s North American Technology Software Index, and the Dow Jones U.S. Software Index with reinvestment of all dividends. Total stockholder returns for prior periods are not an indication of future investment returns.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in Part II, Item 8 of this Annual Report on Form 10-K. This discussion contains forward-looking statements based upon current expectations that involve risks and uncertainties. Our actual results may differ materially from those anticipated in these forward-looking statements as a result of several factors, including those set forth above in Part I, Item 1A, "Risk Factors," and elsewhere in this report. See “Forward-Looking Information” immediately preceding Part I.</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 Evolution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plans represent a hybrid of desktop software and cloud functionality, which provides a device-independent, collaborative design workflow for designers and their stakeholders. Our cloud offerings, for example, Autodesk Construction Cloud, Autodesk Build, Fusion, Flow Production Tracking,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Industry Collections provide our customers with access to a broader selection of Autodesk solutions and services, simplifying the customers’ ability to benefit from a complete set of tools for their industry.</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strategic priority of digital transformation in Architecture, Engineering, Construction and Operations (“AECO”), we are strengthening our AECO solutions’ foundation with both organic and inorganic investments. In the first quarter of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Artificial Intelligence (“AI”)-powered insights that simplify the exploration of design concepts, offload repetitive tasks, and help evaluate environmental qualities surrounding a building site. In fiscal 2023, we acquired a cloud-connected, extended reality (XR) platform enabling AECO professionals to present, collaborate and review projects in immersive and interactive experiences, from anywhere and at any time. This acquisition enables Autodesk to meet increasing needs for augmented reality (AR) and virtual reality (VR) technology advancements within the AECO industry and further support AECO customers throughout the project delivery lifecycle.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In fiscal 2023, we acquired a maker of software for optimizing manufacturing processes with automation and digitization from the shop floor upward that provides a real-time system of record for data collection, management, and analysis.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Global Reach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distributors, resellers, direct market resellers, volume channel partners, and product-specific resellers. During fiscal 2023, we entered into transition agreements with certain of our distributors, including TD Synnex and Ingram Micro Inc., to provide transition distribution activities for a one-to-two-year period. In the third fiscal quarter of 2025, we entered into a new distribution agreement with TD Synnex for government business in certain jurisdictions. Existing distribution agreements will continue in emerging markets. We introduced a new transaction model for our token-based Flex offering in North America, and certain countries in EMEA, and APAC during fiscal 2023 and 2024. Most of our subscription offerings transitioned to the new transaction model in Australia during fiscal 2024. In fiscal 2025, we transitioned most of our indirect business to the new transaction model in our major markets. In this new transaction model, Solution Providers provide a quote to customers but the actual transaction occurs directly between Autodesk and the customer. We expect the change in recognition of sales incentives to indirect channels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II, Item 8, Note 2, "Revenue Recognition" in the Notes to the Consolidated Financial Statements for further detail on the results of our indirect and direct channel sales for the fiscal years ended January 31, 2025, 2024, and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Platform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example of these shared capabilities is Autodesk AI. We have been investing in AI for over a decade. Our focus is on building AI capabilities that add value to our customers’ workloads through augmentation, automation and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Impact at Autodesk</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ans-serif" w:hAnsi="Times New Roman;sans-serif"/>
          <w:b w:val="false"/>
          <w:color w:val="0E2841"/>
          <w:sz w:val="20"/>
        </w:rPr>
      </w:pPr>
      <w:r>
        <w:rPr>
          <w:rFonts w:ascii="Times New Roman;sans-serif" w:hAnsi="Times New Roman;sans-serif"/>
          <w:b w:val="false"/>
          <w:color w:val="0E2841"/>
          <w:sz w:val="20"/>
        </w:rPr>
        <w:t xml:space="preserve">Autodesk is committed to advancing a more sustainable, resilient, and inclusive world. We take action as a business to support our employees, customers, and communities in our collective opportunity to design and make a better world for all.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E2841"/>
          <w:sz w:val="20"/>
        </w:rPr>
      </w:pPr>
      <w:r>
        <w:rPr>
          <w:rFonts w:ascii="Times New Roman;sans-serif" w:hAnsi="Times New Roman;sans-serif"/>
          <w:b w:val="false"/>
          <w:color w:val="0E2841"/>
          <w:sz w:val="20"/>
        </w:rPr>
        <w:t xml:space="preserve">We focus our efforts to advance positive outcomes across three primary areas: energy and materials, health and resilience, and work and prosperity. These impact opportunity areas, informed by the UN Sustainable Development Goals (“SDGs”), have been identified through a multi-pronged process to align the top needs of our stakeholders, the issues most important to our business, and the areas we are best placed to accelerate positive impact at scale.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drive positive outcomes across these areas primarily by empowering customers to leverage our technology to design and make net-zero carbon buildings, resilient infrastructure, more sustainable products, and cultivate a thriving workforce. We advance these opportunities with industry innovators through collaboration, philanthropic capital, software donations, and training.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E2841"/>
          <w:sz w:val="20"/>
        </w:rPr>
      </w:pPr>
      <w:r>
        <w:rPr>
          <w:rFonts w:ascii="Times New Roman;sans-serif" w:hAnsi="Times New Roman;sans-serif"/>
          <w:b w:val="false"/>
          <w:color w:val="0E2841"/>
          <w:sz w:val="20"/>
        </w:rPr>
        <w:t>We continue to power our business with 100% renewable energy, neutralize greenhouse gas emissions associated with our operations, and support an inclusive culture at Autodesk.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impact. On our behalf, the Foundation also administers a discounted software donation program to nonprofit organizations, entrepreneurs, and others who are developing design solutions that will transform industries and help shape a better world for all.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Assumptions Behind Our Strategy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Part II, Item 8, “Financial Statements and Supplementary Data,”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Revenue Recognition -</w:t>
      </w:r>
      <w:r>
        <w:rPr>
          <w:color w:val="000000"/>
        </w:rPr>
        <w:t> </w:t>
      </w:r>
      <w:r>
        <w:rPr>
          <w:rFonts w:ascii="Times New Roman;sans-serif" w:hAnsi="Times New Roman;sans-serif"/>
          <w:b w:val="false"/>
          <w:i/>
          <w:color w:val="000000"/>
          <w:sz w:val="20"/>
        </w:rPr>
        <w:t xml:space="preserve">Judgments with Multiple Performance Obligations. </w:t>
      </w:r>
      <w:r>
        <w:rPr>
          <w:rFonts w:ascii="Times New Roman;sans-serif" w:hAnsi="Times New Roman;sans-serif"/>
          <w:b w:val="false"/>
          <w:color w:val="000000"/>
          <w:sz w:val="20"/>
        </w:rPr>
        <w:t xml:space="preserve">Our contracts with customers may include promises to transfer multiple products and services to a customer. A 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its intended purpose without our cloud functionalities.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contracts with more than one performance obligation, the transaction price is allocated among the performance obligations in an amount that depicts the relative standalone selling price (“SSP”) of each obligation. We establish SSP for most of our products and services based on observable prices when sold separately in similar circumstances or to similar customers. When products or services are not sold separately, we establish SSP based on other observable inputs.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Business Combinations. </w:t>
      </w:r>
      <w:r>
        <w:rPr>
          <w:rFonts w:ascii="Times New Roman;sans-serif" w:hAnsi="Times New Roman;sans-serif"/>
          <w:b w:val="false"/>
          <w:color w:val="000000"/>
          <w:sz w:val="20"/>
        </w:rPr>
        <w:t>The assets acquired and liabilities assumed in a business combination are recorded based on their estimated fair values at the acquisition date, with the exception of contract assets and contract liabilities (i.e., deferred revenue) which are recognized and measured on the acquisition date in accordance with Autodesk’s “Revenue Recognition” policy in Part II, Item 8, “Financial Statements and Supplementary Data,” Note 1 “Business and Summary of Significant Accounting Policies”. Any residual purchase price is recorded as goodwill. Accounting for business combinations requires us to make significant estimates and assumptions, especially at the acquisition date with respect to intangible assets.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the assumptions and estimates we have made are reasonable, they are based in part on historical experience and information obtained from the management of the acquired companies and are inherently uncertain and unpredictable. Unanticipated events and circumstances may occur which may affect the accuracy or validity of such assumptions, estimates, or actual results. Examples of critical estimates used in valuing certain of the acquired intangible assets and in determining their useful lives include but are not limited to: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future expected cash flows from subscriptions and maintenance agreements, sales, and acquired developed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expected growth in revenue from the acquired company’s existing customer relationships;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uncertain tax positions and tax related valuation allowances assumed;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discount rates used to determine the present value of estimated future cash flows.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 We recognize the tax benefit for an uncertain tax position when it meets the more likely than not threshold for recognition. We recognize potential accrued interest and penalties related to unrecognized tax benefits as income tax expense.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or release of a valuation allowance, we consider all available evidence including past operating results and estimates of future taxable income.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Loss Contingencies</w:t>
      </w:r>
      <w:r>
        <w:rPr>
          <w:rFonts w:ascii="Times New Roman;sans-serif" w:hAnsi="Times New Roman;sans-serif"/>
          <w:b w:val="false"/>
          <w:color w:val="000000"/>
          <w:sz w:val="20"/>
        </w:rPr>
        <w:t>. As described in Part I, Item 3, “Legal Proceedings” and Part II, Item 8, “Financial Statements and Supplementary Data, Note 11, “Commitments and Contingencies,” in the 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Significant judgment is required to determine both the likelihood of there being, and the estimated amount of, a loss related to such matters. Due to inherent uncertainties related to these matters, we base our loss accruals on the best information available at the time. Until the final resolution of such matters, there may be an exposure to loss in excess of the amount recorded. As additional information becomes available, we reassess our potential liability and may revise our estimates. Such revisions could have a material impact on future quarterly or annual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Part II, Item 8, “Financial Statements and Supplementary Data,”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OVERVIEW OF FISCAL 2025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Total net revenue was $6.13 billion during fiscal 2025, an increase of 12% compared to the prior fiscal year.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Recurring revenue as a percentage of net revenue was 97% and 98% for fiscal years ending January 31, 2025 and 2024, respectively.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revenue retention rate (“NR3”) was within the range of 100% and 110%, on a constant currency basis, as of both January 31, 2025 and 2024.</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Deferred revenue was $4.13 billion, a decrease of 3% compared to the prior fiscal year.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Remaining performance obligations (short-term and long-term deferred revenue plus unbilled deferred revenue) (“RPO”) was $6.94 billion, an increase of 14% compared to the fourth quarter in the prior fiscal year.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Current remaining performance obligations were $4.46 billion, an increase of 12% compared to the prior 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Analysis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2025, net revenue increased 12%, as compared to the prior fiscal year, primarily due to a 12% increase in subscription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the drivers of these results are discussed below under the heading “Results of Operations.”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significantly upon major distributors and resellers in both the United States and international regions, including TD Synnex Corporation and its global affiliates (collectively, “TD Synnex”). Total revenue from TD Synnex accounted for 33%, 39%, and 37% of Autodesk’s total net revenue during fiscal 2025, 2024 and 2023, respectively. Our customers through TD Synnex are the resellers and end users who purchase our software subscriptions and services. During fiscal 2023, we entered into transition agreements with TD Synnex to provide transition distribution activities for a one-to-two-year period, with potential extensions. In the third fiscal quarter of 2025, we entered into a new distribution agreement with TD Synnex for government business in certain jurisdictions. Existing distribution agreements will continue in emerging markets. We have increased our selling efforts with Solution Providers in connection with our new transaction model. Consequently, we believe our business is not substantially dependent on TD Synnex.</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Recurring Revenue and Net Revenue Retention Rate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our recurring revenue metric for the fiscal years ended January 31, 2025, 2024, and 2023:</w:t>
      </w:r>
    </w:p>
    <w:p>
      <w:pPr>
        <w:pStyle w:val="TextBody"/>
        <w:bidi w:val="0"/>
        <w:spacing w:before="0" w:after="0"/>
        <w:ind w:left="0" w:right="0" w:firstLine="450"/>
        <w:jc w:val="left"/>
        <w:rPr/>
      </w:pPr>
      <w:r>
        <w:rPr/>
      </w:r>
    </w:p>
    <w:tbl>
      <w:tblPr>
        <w:tblW w:w="10205" w:type="dxa"/>
        <w:jc w:val="center"/>
        <w:tblInd w:w="0" w:type="dxa"/>
        <w:tblLayout w:type="fixed"/>
        <w:tblCellMar>
          <w:top w:w="28" w:type="dxa"/>
          <w:left w:w="28" w:type="dxa"/>
          <w:bottom w:w="28" w:type="dxa"/>
          <w:right w:w="28" w:type="dxa"/>
        </w:tblCellMar>
      </w:tblPr>
      <w:tblGrid>
        <w:gridCol w:w="762"/>
        <w:gridCol w:w="363"/>
        <w:gridCol w:w="364"/>
        <w:gridCol w:w="253"/>
        <w:gridCol w:w="720"/>
        <w:gridCol w:w="331"/>
        <w:gridCol w:w="109"/>
        <w:gridCol w:w="109"/>
        <w:gridCol w:w="109"/>
        <w:gridCol w:w="208"/>
        <w:gridCol w:w="446"/>
        <w:gridCol w:w="115"/>
        <w:gridCol w:w="115"/>
        <w:gridCol w:w="115"/>
        <w:gridCol w:w="115"/>
        <w:gridCol w:w="165"/>
        <w:gridCol w:w="166"/>
        <w:gridCol w:w="277"/>
        <w:gridCol w:w="109"/>
        <w:gridCol w:w="109"/>
        <w:gridCol w:w="109"/>
        <w:gridCol w:w="253"/>
        <w:gridCol w:w="720"/>
        <w:gridCol w:w="331"/>
        <w:gridCol w:w="109"/>
        <w:gridCol w:w="109"/>
        <w:gridCol w:w="109"/>
        <w:gridCol w:w="208"/>
        <w:gridCol w:w="446"/>
        <w:gridCol w:w="115"/>
        <w:gridCol w:w="115"/>
        <w:gridCol w:w="115"/>
        <w:gridCol w:w="115"/>
        <w:gridCol w:w="165"/>
        <w:gridCol w:w="166"/>
        <w:gridCol w:w="277"/>
        <w:gridCol w:w="109"/>
        <w:gridCol w:w="109"/>
        <w:gridCol w:w="109"/>
        <w:gridCol w:w="251"/>
        <w:gridCol w:w="713"/>
        <w:gridCol w:w="392"/>
      </w:tblGrid>
      <w:tr>
        <w:trPr/>
        <w:tc>
          <w:tcPr>
            <w:tcW w:w="7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Recurring Revenue</w:t>
            </w:r>
            <w:r>
              <w:rPr>
                <w:color w:val="000000"/>
              </w:rPr>
              <w:t xml:space="preserve"> </w:t>
            </w:r>
            <w:r>
              <w:rPr>
                <w:rFonts w:ascii="Times New Roman;sans-serif" w:hAnsi="Times New Roman;sans-serif"/>
                <w:b w:val="false"/>
                <w:i/>
                <w:color w:val="000000"/>
                <w:sz w:val="18"/>
              </w:rPr>
              <w:t>(in millions)</w:t>
            </w:r>
            <w:r>
              <w:rPr>
                <w:color w:val="000000"/>
              </w:rPr>
              <w:t xml:space="preserve"> </w:t>
            </w:r>
            <w:r>
              <w:rPr>
                <w:rFonts w:ascii="Times New Roman;sans-serif" w:hAnsi="Times New Roman;sans-serif"/>
                <w:b w:val="false"/>
                <w:color w:val="000000"/>
                <w:sz w:val="18"/>
              </w:rPr>
              <w:t>(1)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net revenue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     The acquisition of a business may cause variability in the comparison of recurring revenue in this table above and recurring revenue derived from the revenue reported in the Consolidated Statements of Operations.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NR3 was within the range of 100% and 110%, on a constant currency basis, as of both January 31, 2025 and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Analysis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amount of our revenue in the United States, Germany, Japan, the United Kingdom, and Canada.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impact of foreign exchange rate changes on our net revenue and total spend: </w:t>
      </w:r>
    </w:p>
    <w:tbl>
      <w:tblPr>
        <w:tblW w:w="10205" w:type="dxa"/>
        <w:jc w:val="left"/>
        <w:tblInd w:w="0" w:type="dxa"/>
        <w:tblLayout w:type="fixed"/>
        <w:tblCellMar>
          <w:top w:w="28" w:type="dxa"/>
          <w:left w:w="28" w:type="dxa"/>
          <w:bottom w:w="28" w:type="dxa"/>
          <w:right w:w="28" w:type="dxa"/>
        </w:tblCellMar>
      </w:tblPr>
      <w:tblGrid>
        <w:gridCol w:w="318"/>
        <w:gridCol w:w="279"/>
        <w:gridCol w:w="280"/>
        <w:gridCol w:w="464"/>
        <w:gridCol w:w="464"/>
        <w:gridCol w:w="1093"/>
        <w:gridCol w:w="138"/>
        <w:gridCol w:w="138"/>
        <w:gridCol w:w="138"/>
        <w:gridCol w:w="655"/>
        <w:gridCol w:w="655"/>
        <w:gridCol w:w="1544"/>
        <w:gridCol w:w="138"/>
        <w:gridCol w:w="138"/>
        <w:gridCol w:w="138"/>
        <w:gridCol w:w="1060"/>
        <w:gridCol w:w="1060"/>
        <w:gridCol w:w="1505"/>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 compared to</w:t>
              <w:br/>
              <w:t>prior fiscal year (as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percent change compared to</w:t>
              <w:br/>
              <w:t>prior fiscal year (1)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Positive/negative/neutral impact from foreign exchange rate changes</w:t>
            </w:r>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spend </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Positive</w:t>
            </w:r>
          </w:p>
        </w:tc>
      </w:tr>
    </w:tbl>
    <w:p>
      <w:pPr>
        <w:pStyle w:val="TextBody"/>
        <w:bidi w:val="0"/>
        <w:spacing w:lineRule="auto" w:line="288" w:before="0" w:after="0"/>
        <w:ind w:left="0" w:right="0" w:firstLine="45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(1)Please refer to the “Glossary of Terms” in Part I, Item 1, “Business” for the definitions of our constant currency growth rates.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value of the U.S. dollar may have a significant effect on net revenue, total spend, income from operations, and cash flow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Remaining Performance Obligations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Consolidated Balance Sheets. See Part II, Item 8, Note 2, “Revenue Recognition” for more details on Autodesk's performance obligations. </w:t>
      </w:r>
    </w:p>
    <w:tbl>
      <w:tblPr>
        <w:tblW w:w="5124" w:type="dxa"/>
        <w:jc w:val="center"/>
        <w:tblInd w:w="0" w:type="dxa"/>
        <w:tblLayout w:type="fixed"/>
        <w:tblCellMar>
          <w:top w:w="28" w:type="dxa"/>
          <w:left w:w="28" w:type="dxa"/>
          <w:bottom w:w="28" w:type="dxa"/>
          <w:right w:w="28" w:type="dxa"/>
        </w:tblCellMar>
      </w:tblPr>
      <w:tblGrid>
        <w:gridCol w:w="710"/>
        <w:gridCol w:w="624"/>
        <w:gridCol w:w="630"/>
        <w:gridCol w:w="317"/>
        <w:gridCol w:w="901"/>
        <w:gridCol w:w="176"/>
        <w:gridCol w:w="109"/>
        <w:gridCol w:w="109"/>
        <w:gridCol w:w="109"/>
        <w:gridCol w:w="311"/>
        <w:gridCol w:w="884"/>
        <w:gridCol w:w="244"/>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deferred revenue</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RPO</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RPO consisted of the following:</w:t>
      </w:r>
    </w:p>
    <w:tbl>
      <w:tblPr>
        <w:tblW w:w="5963" w:type="dxa"/>
        <w:jc w:val="center"/>
        <w:tblInd w:w="0" w:type="dxa"/>
        <w:tblLayout w:type="fixed"/>
        <w:tblCellMar>
          <w:top w:w="28" w:type="dxa"/>
          <w:left w:w="28" w:type="dxa"/>
          <w:bottom w:w="28" w:type="dxa"/>
          <w:right w:w="28" w:type="dxa"/>
        </w:tblCellMar>
      </w:tblPr>
      <w:tblGrid>
        <w:gridCol w:w="504"/>
        <w:gridCol w:w="443"/>
        <w:gridCol w:w="448"/>
        <w:gridCol w:w="109"/>
        <w:gridCol w:w="109"/>
        <w:gridCol w:w="109"/>
        <w:gridCol w:w="109"/>
        <w:gridCol w:w="1396"/>
        <w:gridCol w:w="109"/>
        <w:gridCol w:w="317"/>
        <w:gridCol w:w="901"/>
        <w:gridCol w:w="176"/>
        <w:gridCol w:w="109"/>
        <w:gridCol w:w="109"/>
        <w:gridCol w:w="109"/>
        <w:gridCol w:w="196"/>
        <w:gridCol w:w="55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1233" w:type="dxa"/>
            <w:gridSpan w:val="6"/>
            <w:tcBorders/>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RPO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RPO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cash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Balance Sheet and Cash Flow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31, 2025, we had $2.15 billion in cash, cash equivalents, and marketable securities. Our cash flow from operations increased to $1.61 billion for the fiscal year ended January 31, 2025, from $1.31 billion for the fiscal year ended January 31, 2024. We repurchased 3 million shares of our common stock for $858 million during fiscal 2025. Comparatively, we repurchased 4 million shares of our common stock for $795 million during fiscal 2024. Further discussion regarding the balance sheet and cash flow activities are discussed below under the heading “Liquidity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49"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and foreign exchange rate fluctuations, may impact our outlook. We also expect our transition to annual billings for multi-year contracts to impact the timing of our billings and cash collections. The extent of the impact of these risks on our business in fiscal 2026 and beyond will depend on several factors, some of which are out of our control. Further discussion of the potential impacts of these risks on our business can be found in Part I, Item 1A, “Risk Factors.”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introduced a new transaction model for our token-based Flex offering in North America, and certain countries in EMEA, and APAC during fiscal 2023 and 2024. Most of our subscription offerings transitioned to the new transaction model in Australia during fiscal 2024. In fiscal 2025, we transitioned most of our indirect business to the new transaction model in our major markets. In this new transaction model, Solution Providers provide a quote to customers but the actual transaction occurs directly between Autodesk and the customer.</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incentives to Solution Providers will be recorded as operating expenses under the new transaction model as we will contract directly with end customers. Accordingly, we expect sales incentives paid to resellers recorded as a reduction of transaction price and subsequently recognized as a reduction to subscription revenue over the contract period will decrease as we transition to the new transaction model. Most of the sales incentives payments to Solution Providers in our new transaction model, will be considered incremental and recoverable costs of obtaining a contract with a customer and will be capitalized and included in “Prepaid expenses and other current assets” and “Long-term other assets” on the Consolidated Balance Sheets. The deferred costs will then be amortized over the period of benefit and recorded to “Sales and Marketing” on the Consolidated Statement of Operations. The sales incentives not qualifying for capitalization will be recorded to “Sales and Marketing” on the Consolidated Statement of Operations as the costs are incurred under the incentive program requirements. In the near term,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 by Income Statement Presentation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consists of revenue from consulting and other products and services and is recognized as the products are delivered and services are performed.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50"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4"/>
        <w:gridCol w:w="480"/>
        <w:gridCol w:w="483"/>
        <w:gridCol w:w="291"/>
        <w:gridCol w:w="827"/>
        <w:gridCol w:w="162"/>
        <w:gridCol w:w="109"/>
        <w:gridCol w:w="109"/>
        <w:gridCol w:w="109"/>
        <w:gridCol w:w="233"/>
        <w:gridCol w:w="500"/>
        <w:gridCol w:w="129"/>
        <w:gridCol w:w="129"/>
        <w:gridCol w:w="129"/>
        <w:gridCol w:w="129"/>
        <w:gridCol w:w="202"/>
        <w:gridCol w:w="157"/>
        <w:gridCol w:w="304"/>
        <w:gridCol w:w="109"/>
        <w:gridCol w:w="109"/>
        <w:gridCol w:w="109"/>
        <w:gridCol w:w="291"/>
        <w:gridCol w:w="827"/>
        <w:gridCol w:w="162"/>
        <w:gridCol w:w="109"/>
        <w:gridCol w:w="109"/>
        <w:gridCol w:w="109"/>
        <w:gridCol w:w="930"/>
        <w:gridCol w:w="930"/>
        <w:gridCol w:w="1325"/>
      </w:tblGrid>
      <w:tr>
        <w:trPr/>
        <w:tc>
          <w:tcPr>
            <w:tcW w:w="60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subscription renewal revenue. Also contributing to the growth was an increase in revenue from Cloud Service offerings.</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Maintenance </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8"/>
              </w:rPr>
              <w:t xml:space="preserve">Total subscription and maintenance revenue </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37"/>
        <w:gridCol w:w="416"/>
        <w:gridCol w:w="419"/>
        <w:gridCol w:w="257"/>
        <w:gridCol w:w="731"/>
        <w:gridCol w:w="143"/>
        <w:gridCol w:w="109"/>
        <w:gridCol w:w="109"/>
        <w:gridCol w:w="109"/>
        <w:gridCol w:w="219"/>
        <w:gridCol w:w="472"/>
        <w:gridCol w:w="122"/>
        <w:gridCol w:w="122"/>
        <w:gridCol w:w="122"/>
        <w:gridCol w:w="122"/>
        <w:gridCol w:w="202"/>
        <w:gridCol w:w="152"/>
        <w:gridCol w:w="287"/>
        <w:gridCol w:w="257"/>
        <w:gridCol w:w="731"/>
        <w:gridCol w:w="143"/>
        <w:gridCol w:w="109"/>
        <w:gridCol w:w="109"/>
        <w:gridCol w:w="109"/>
        <w:gridCol w:w="1197"/>
        <w:gridCol w:w="1197"/>
        <w:gridCol w:w="1703"/>
      </w:tblGrid>
      <w:tr>
        <w:trPr/>
        <w:tc>
          <w:tcPr>
            <w:tcW w:w="5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the subscriber base across subscription types, led by subscription renewal revenue with current-year subscription renewals reflecting new subscriptions sold in prior periods. Also contributing to the growth was an increase in revenue from EBA offerings and Cloud Service Offerings.</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Maintenance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8"/>
              </w:rPr>
              <w:t xml:space="preserve">Total subscription and maintenance revenue </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51"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 by Product Family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offerings are focused in four primary product families: Architecture, Engineering, Construction and Operations (“AECO”), AutoCAD and AutoCAD LT, Manufacturing (“MFG”), and Media and Entertainment (“M&amp;E”).</w:t>
      </w:r>
    </w:p>
    <w:tbl>
      <w:tblPr>
        <w:tblW w:w="10205" w:type="dxa"/>
        <w:jc w:val="left"/>
        <w:tblInd w:w="0" w:type="dxa"/>
        <w:tblLayout w:type="fixed"/>
        <w:tblCellMar>
          <w:top w:w="28" w:type="dxa"/>
          <w:left w:w="28" w:type="dxa"/>
          <w:bottom w:w="28" w:type="dxa"/>
          <w:right w:w="28" w:type="dxa"/>
        </w:tblCellMar>
      </w:tblPr>
      <w:tblGrid>
        <w:gridCol w:w="856"/>
        <w:gridCol w:w="528"/>
        <w:gridCol w:w="416"/>
        <w:gridCol w:w="299"/>
        <w:gridCol w:w="851"/>
        <w:gridCol w:w="166"/>
        <w:gridCol w:w="109"/>
        <w:gridCol w:w="109"/>
        <w:gridCol w:w="109"/>
        <w:gridCol w:w="236"/>
        <w:gridCol w:w="507"/>
        <w:gridCol w:w="131"/>
        <w:gridCol w:w="131"/>
        <w:gridCol w:w="131"/>
        <w:gridCol w:w="131"/>
        <w:gridCol w:w="202"/>
        <w:gridCol w:w="146"/>
        <w:gridCol w:w="308"/>
        <w:gridCol w:w="109"/>
        <w:gridCol w:w="109"/>
        <w:gridCol w:w="109"/>
        <w:gridCol w:w="299"/>
        <w:gridCol w:w="851"/>
        <w:gridCol w:w="166"/>
        <w:gridCol w:w="109"/>
        <w:gridCol w:w="109"/>
        <w:gridCol w:w="109"/>
        <w:gridCol w:w="837"/>
        <w:gridCol w:w="837"/>
        <w:gridCol w:w="1195"/>
      </w:tblGrid>
      <w:tr>
        <w:trPr/>
        <w:tc>
          <w:tcPr>
            <w:tcW w:w="85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2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family:</w:t>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AECO</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AEC Collections, EBAs, Autodesk Construction Cloud, Revit, and Payapps.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AutoCAD and AutoCAD LT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both AutoCAD and AutoCAD LT.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MFG</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MFG Collections, EBA offerings, Inventor, and Fusion.</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M&amp;E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revenue from the PIX acquisition and EBA offerings.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6"/>
        <w:gridCol w:w="532"/>
        <w:gridCol w:w="422"/>
        <w:gridCol w:w="306"/>
        <w:gridCol w:w="868"/>
        <w:gridCol w:w="170"/>
        <w:gridCol w:w="109"/>
        <w:gridCol w:w="109"/>
        <w:gridCol w:w="109"/>
        <w:gridCol w:w="238"/>
        <w:gridCol w:w="512"/>
        <w:gridCol w:w="132"/>
        <w:gridCol w:w="132"/>
        <w:gridCol w:w="132"/>
        <w:gridCol w:w="132"/>
        <w:gridCol w:w="202"/>
        <w:gridCol w:w="147"/>
        <w:gridCol w:w="311"/>
        <w:gridCol w:w="109"/>
        <w:gridCol w:w="109"/>
        <w:gridCol w:w="109"/>
        <w:gridCol w:w="306"/>
        <w:gridCol w:w="868"/>
        <w:gridCol w:w="170"/>
        <w:gridCol w:w="109"/>
        <w:gridCol w:w="109"/>
        <w:gridCol w:w="109"/>
        <w:gridCol w:w="814"/>
        <w:gridCol w:w="814"/>
        <w:gridCol w:w="1160"/>
      </w:tblGrid>
      <w:tr>
        <w:trPr/>
        <w:tc>
          <w:tcPr>
            <w:tcW w:w="8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3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family:</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AECO</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AEC Collections, EBAs, Autodesk Build, and Revit.</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AutoCAD and AutoCAD LT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both AutoCAD and AutoCAD LT.</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MFG</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Product Design &amp; MFG Collections, EBAs, Fusion, and Inventor.</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M&amp;E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revenue from EBAs.</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52"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 by Geographic Area</w:t>
      </w:r>
    </w:p>
    <w:p>
      <w:pPr>
        <w:pStyle w:val="TextBody"/>
        <w:bidi w:val="0"/>
        <w:spacing w:before="0" w:after="0"/>
        <w:jc w:val="left"/>
        <w:rPr/>
      </w:pPr>
      <w:r>
        <w:rPr/>
      </w:r>
    </w:p>
    <w:tbl>
      <w:tblPr>
        <w:tblW w:w="10468" w:type="dxa"/>
        <w:jc w:val="center"/>
        <w:tblInd w:w="0" w:type="dxa"/>
        <w:tblLayout w:type="fixed"/>
        <w:tblCellMar>
          <w:top w:w="28" w:type="dxa"/>
          <w:left w:w="28" w:type="dxa"/>
          <w:bottom w:w="28" w:type="dxa"/>
          <w:right w:w="28" w:type="dxa"/>
        </w:tblCellMar>
      </w:tblPr>
      <w:tblGrid>
        <w:gridCol w:w="342"/>
        <w:gridCol w:w="301"/>
        <w:gridCol w:w="303"/>
        <w:gridCol w:w="196"/>
        <w:gridCol w:w="556"/>
        <w:gridCol w:w="109"/>
        <w:gridCol w:w="109"/>
        <w:gridCol w:w="109"/>
        <w:gridCol w:w="109"/>
        <w:gridCol w:w="196"/>
        <w:gridCol w:w="421"/>
        <w:gridCol w:w="109"/>
        <w:gridCol w:w="109"/>
        <w:gridCol w:w="109"/>
        <w:gridCol w:w="109"/>
        <w:gridCol w:w="202"/>
        <w:gridCol w:w="129"/>
        <w:gridCol w:w="256"/>
        <w:gridCol w:w="109"/>
        <w:gridCol w:w="109"/>
        <w:gridCol w:w="109"/>
        <w:gridCol w:w="189"/>
        <w:gridCol w:w="189"/>
        <w:gridCol w:w="448"/>
        <w:gridCol w:w="109"/>
        <w:gridCol w:w="109"/>
        <w:gridCol w:w="109"/>
        <w:gridCol w:w="196"/>
        <w:gridCol w:w="556"/>
        <w:gridCol w:w="109"/>
        <w:gridCol w:w="109"/>
        <w:gridCol w:w="109"/>
        <w:gridCol w:w="109"/>
        <w:gridCol w:w="196"/>
        <w:gridCol w:w="421"/>
        <w:gridCol w:w="109"/>
        <w:gridCol w:w="109"/>
        <w:gridCol w:w="109"/>
        <w:gridCol w:w="109"/>
        <w:gridCol w:w="202"/>
        <w:gridCol w:w="129"/>
        <w:gridCol w:w="256"/>
        <w:gridCol w:w="109"/>
        <w:gridCol w:w="109"/>
        <w:gridCol w:w="109"/>
        <w:gridCol w:w="189"/>
        <w:gridCol w:w="189"/>
        <w:gridCol w:w="448"/>
        <w:gridCol w:w="109"/>
        <w:gridCol w:w="109"/>
        <w:gridCol w:w="109"/>
        <w:gridCol w:w="196"/>
        <w:gridCol w:w="55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change compared to prior 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change compared to prior fiscal year</w:t>
            </w:r>
          </w:p>
        </w:tc>
        <w:tc>
          <w:tcPr>
            <w:tcW w:w="327"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90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2" w:type="dxa"/>
            <w:gridSpan w:val="5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Americas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net revenue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Constant currency data not provided at this level.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53"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 by Sales Channel</w:t>
      </w:r>
    </w:p>
    <w:tbl>
      <w:tblPr>
        <w:tblW w:w="10205" w:type="dxa"/>
        <w:jc w:val="left"/>
        <w:tblInd w:w="0" w:type="dxa"/>
        <w:tblLayout w:type="fixed"/>
        <w:tblCellMar>
          <w:top w:w="28" w:type="dxa"/>
          <w:left w:w="28" w:type="dxa"/>
          <w:bottom w:w="28" w:type="dxa"/>
          <w:right w:w="28" w:type="dxa"/>
        </w:tblCellMar>
      </w:tblPr>
      <w:tblGrid>
        <w:gridCol w:w="851"/>
        <w:gridCol w:w="630"/>
        <w:gridCol w:w="583"/>
        <w:gridCol w:w="464"/>
        <w:gridCol w:w="1317"/>
        <w:gridCol w:w="258"/>
        <w:gridCol w:w="109"/>
        <w:gridCol w:w="109"/>
        <w:gridCol w:w="109"/>
        <w:gridCol w:w="300"/>
        <w:gridCol w:w="644"/>
        <w:gridCol w:w="166"/>
        <w:gridCol w:w="166"/>
        <w:gridCol w:w="166"/>
        <w:gridCol w:w="166"/>
        <w:gridCol w:w="202"/>
        <w:gridCol w:w="174"/>
        <w:gridCol w:w="392"/>
        <w:gridCol w:w="109"/>
        <w:gridCol w:w="109"/>
        <w:gridCol w:w="109"/>
        <w:gridCol w:w="464"/>
        <w:gridCol w:w="1317"/>
        <w:gridCol w:w="258"/>
        <w:gridCol w:w="109"/>
        <w:gridCol w:w="109"/>
        <w:gridCol w:w="109"/>
        <w:gridCol w:w="109"/>
        <w:gridCol w:w="109"/>
        <w:gridCol w:w="109"/>
        <w:gridCol w:w="109"/>
        <w:gridCol w:w="109"/>
        <w:gridCol w:w="161"/>
      </w:tblGrid>
      <w:tr>
        <w:trPr/>
        <w:tc>
          <w:tcPr>
            <w:tcW w:w="85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sales channel:</w:t>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1"/>
        <w:gridCol w:w="589"/>
        <w:gridCol w:w="593"/>
        <w:gridCol w:w="473"/>
        <w:gridCol w:w="1344"/>
        <w:gridCol w:w="263"/>
        <w:gridCol w:w="109"/>
        <w:gridCol w:w="109"/>
        <w:gridCol w:w="109"/>
        <w:gridCol w:w="304"/>
        <w:gridCol w:w="652"/>
        <w:gridCol w:w="168"/>
        <w:gridCol w:w="168"/>
        <w:gridCol w:w="168"/>
        <w:gridCol w:w="168"/>
        <w:gridCol w:w="202"/>
        <w:gridCol w:w="175"/>
        <w:gridCol w:w="396"/>
        <w:gridCol w:w="109"/>
        <w:gridCol w:w="109"/>
        <w:gridCol w:w="109"/>
        <w:gridCol w:w="473"/>
        <w:gridCol w:w="1344"/>
        <w:gridCol w:w="263"/>
        <w:gridCol w:w="109"/>
        <w:gridCol w:w="109"/>
        <w:gridCol w:w="109"/>
        <w:gridCol w:w="109"/>
        <w:gridCol w:w="109"/>
        <w:gridCol w:w="109"/>
        <w:gridCol w:w="109"/>
        <w:gridCol w:w="109"/>
        <w:gridCol w:w="165"/>
      </w:tblGrid>
      <w:tr>
        <w:trPr/>
        <w:tc>
          <w:tcPr>
            <w:tcW w:w="7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20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sales channel:</w:t>
            </w:r>
          </w:p>
        </w:tc>
        <w:tc>
          <w:tcPr>
            <w:tcW w:w="2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Indirect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w:t>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2025 and 2024, approximately 42% and 37%, respectively, of our revenue was derived from direct sales to customers. With the continued growth of our online Autodesk branded store and the introduction of our new transaction model, we have been decreasing our sales through resellers and distributors and transacting directly with more end customers. We anticipate that our revenue by direct sales channel will continue to increase as a percentage of total net revenue. We expect our indirect channel will continue to transact and support a considerable portion of our customers, particularly in emerging regions. See further discussion regarding our new transaction model in the Overview to Results of Operations above.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54"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 by Product Type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5"/>
        <w:gridCol w:w="427"/>
        <w:gridCol w:w="429"/>
        <w:gridCol w:w="316"/>
        <w:gridCol w:w="897"/>
        <w:gridCol w:w="175"/>
        <w:gridCol w:w="109"/>
        <w:gridCol w:w="109"/>
        <w:gridCol w:w="109"/>
        <w:gridCol w:w="199"/>
        <w:gridCol w:w="427"/>
        <w:gridCol w:w="110"/>
        <w:gridCol w:w="110"/>
        <w:gridCol w:w="110"/>
        <w:gridCol w:w="110"/>
        <w:gridCol w:w="165"/>
        <w:gridCol w:w="166"/>
        <w:gridCol w:w="260"/>
        <w:gridCol w:w="109"/>
        <w:gridCol w:w="109"/>
        <w:gridCol w:w="109"/>
        <w:gridCol w:w="109"/>
        <w:gridCol w:w="109"/>
        <w:gridCol w:w="109"/>
        <w:gridCol w:w="109"/>
        <w:gridCol w:w="316"/>
        <w:gridCol w:w="897"/>
        <w:gridCol w:w="175"/>
        <w:gridCol w:w="109"/>
        <w:gridCol w:w="109"/>
        <w:gridCol w:w="109"/>
        <w:gridCol w:w="879"/>
        <w:gridCol w:w="879"/>
        <w:gridCol w:w="1256"/>
      </w:tblGrid>
      <w:tr>
        <w:trP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Type:</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AEC collections, AutoCAD Family, MFG collections and EBA offerings.</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revenue from Autodesk Construction Cloud, Fusion and PIX.</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Type:</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AEC collections, EBA offerings, and AutoCAD Family.</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revenue from Autodesk Construction Cloud and Fusion.</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Revenue and 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tbl>
      <w:tblPr>
        <w:tblW w:w="10205" w:type="dxa"/>
        <w:jc w:val="center"/>
        <w:tblInd w:w="0" w:type="dxa"/>
        <w:tblLayout w:type="fixed"/>
        <w:tblCellMar>
          <w:top w:w="28" w:type="dxa"/>
          <w:left w:w="28" w:type="dxa"/>
          <w:bottom w:w="28" w:type="dxa"/>
          <w:right w:w="28" w:type="dxa"/>
        </w:tblCellMar>
      </w:tblPr>
      <w:tblGrid>
        <w:gridCol w:w="608"/>
        <w:gridCol w:w="377"/>
        <w:gridCol w:w="380"/>
        <w:gridCol w:w="231"/>
        <w:gridCol w:w="656"/>
        <w:gridCol w:w="128"/>
        <w:gridCol w:w="109"/>
        <w:gridCol w:w="109"/>
        <w:gridCol w:w="109"/>
        <w:gridCol w:w="209"/>
        <w:gridCol w:w="450"/>
        <w:gridCol w:w="116"/>
        <w:gridCol w:w="116"/>
        <w:gridCol w:w="116"/>
        <w:gridCol w:w="116"/>
        <w:gridCol w:w="202"/>
        <w:gridCol w:w="135"/>
        <w:gridCol w:w="274"/>
        <w:gridCol w:w="109"/>
        <w:gridCol w:w="109"/>
        <w:gridCol w:w="109"/>
        <w:gridCol w:w="231"/>
        <w:gridCol w:w="656"/>
        <w:gridCol w:w="128"/>
        <w:gridCol w:w="109"/>
        <w:gridCol w:w="109"/>
        <w:gridCol w:w="109"/>
        <w:gridCol w:w="1345"/>
        <w:gridCol w:w="1144"/>
        <w:gridCol w:w="1606"/>
      </w:tblGrid>
      <w:tr>
        <w:trPr/>
        <w:tc>
          <w:tcPr>
            <w:tcW w:w="60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3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 and maintenance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driven by higher headcount and an increase in cloud hosting costs.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Decrease primarily due to decrease in professional fees and stock-based compensation expense.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Amortization of developed technologies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is primarily due to amortization of acquired developed technologies related to acquisitions in fiscal 2025.</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cost of revenue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employee-related costs mostly related to headcount growth, merit increases and internal sales commissions, partially offset by a decrease in stock-based compensation expense. Also, due to an increase in sales commissions to Solution Providers due to the recognition of these costs in marketing and sales expense under the new transaction model, cloud hosting costs, and professional fees partially offset by an increase in capitalized software costs.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driven by higher headcount and merit increases and an increase in cloud hosting costs and professional fees partially offset by an increase in capitalized software costs.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employee-related costs driven by higher headcount and merit increases and an increase in cloud hosting costs partially offset by a decrease in charitable contributions to the Autodesk Foundation and a decrease in lease-related asset impairment and other charges.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is primarily due to amortization of acquired intangibles as a result of acquisitions in fiscal 2025 offset by previously acquired assets that continue to become fully amortized.</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is due to the restructuring plan the Company initiated during fiscal 2026. See Part II, Item 8, Note 17, “Subsequent Events” for more details.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8"/>
        <w:gridCol w:w="398"/>
        <w:gridCol w:w="400"/>
        <w:gridCol w:w="260"/>
        <w:gridCol w:w="738"/>
        <w:gridCol w:w="144"/>
        <w:gridCol w:w="109"/>
        <w:gridCol w:w="109"/>
        <w:gridCol w:w="109"/>
        <w:gridCol w:w="220"/>
        <w:gridCol w:w="474"/>
        <w:gridCol w:w="122"/>
        <w:gridCol w:w="122"/>
        <w:gridCol w:w="122"/>
        <w:gridCol w:w="122"/>
        <w:gridCol w:w="202"/>
        <w:gridCol w:w="152"/>
        <w:gridCol w:w="288"/>
        <w:gridCol w:w="109"/>
        <w:gridCol w:w="109"/>
        <w:gridCol w:w="109"/>
        <w:gridCol w:w="260"/>
        <w:gridCol w:w="738"/>
        <w:gridCol w:w="144"/>
        <w:gridCol w:w="109"/>
        <w:gridCol w:w="109"/>
        <w:gridCol w:w="109"/>
        <w:gridCol w:w="1208"/>
        <w:gridCol w:w="1043"/>
        <w:gridCol w:w="1449"/>
      </w:tblGrid>
      <w:tr>
        <w:trPr/>
        <w:tc>
          <w:tcPr>
            <w:tcW w:w="61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2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Subscription and maintenance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including stock-based compensation expense, driven by higher headcount and merit increases, as well as an increase in cloud hosting costs and professional fees.</w:t>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including stock-based compensation expense, driven by higher headcount and merit increases.</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Amortization of developed technologies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decrease is primarily due to previously acquired assets that continue to become fully amortized offset by amortization of acquired developed technologies as a result of acquisitions in fiscal 2024.</w:t>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cost of revenue</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driven by merit and benefit increases and an increase in cloud hosting costs partially offset by higher capitalized software costs.</w:t>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including stock-based compensation, driven by higher headcount and merit increases, as well as an increase in cloud hosting costs partially offset by lower professional fees.</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employee-related costs, including stock-based compensation expense, driven by higher headcount and merit increases, as well as an increase in cloud hosting costs and lower capitalized software costs.</w:t>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is primarily due to amortization of acquired intangibles as a result of acquisitions in fiscal 2024 offset by previously acquired assets that continue to become fully amortized.</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our expectation for the absolute dollar change for fiscal 2026 as compared to fiscal 2025:</w:t>
      </w:r>
    </w:p>
    <w:tbl>
      <w:tblPr>
        <w:tblW w:w="10205" w:type="dxa"/>
        <w:jc w:val="center"/>
        <w:tblInd w:w="0" w:type="dxa"/>
        <w:tblLayout w:type="fixed"/>
        <w:tblCellMar>
          <w:top w:w="28" w:type="dxa"/>
          <w:left w:w="28" w:type="dxa"/>
          <w:bottom w:w="28" w:type="dxa"/>
          <w:right w:w="28" w:type="dxa"/>
        </w:tblCellMar>
      </w:tblPr>
      <w:tblGrid>
        <w:gridCol w:w="810"/>
        <w:gridCol w:w="520"/>
        <w:gridCol w:w="505"/>
        <w:gridCol w:w="385"/>
        <w:gridCol w:w="385"/>
        <w:gridCol w:w="386"/>
        <w:gridCol w:w="2330"/>
        <w:gridCol w:w="2304"/>
        <w:gridCol w:w="2312"/>
        <w:gridCol w:w="109"/>
        <w:gridCol w:w="159"/>
      </w:tblGrid>
      <w:tr>
        <w:trPr/>
        <w:tc>
          <w:tcPr>
            <w:tcW w:w="8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Absolute dollar impact</w:t>
            </w:r>
          </w:p>
        </w:tc>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cost of revenue to increase as our revenue grows.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marketing and sales expenses to increase with the recognition of Solution Provider commissions under our new transaction model, partially offset by savings from the restructuring initiated in fiscal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research and development expenses to increase as we continue our investments in cloud, platform, and artificial intelligence partially offset by savings from the restructuring initiated in fiscal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Flat</w:t>
            </w:r>
          </w:p>
        </w:tc>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general and administrative expenses to remain flat as we gain increased operational leverage.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6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Flat</w:t>
            </w:r>
          </w:p>
        </w:tc>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amortization of purchased intangibles to remain unchanged.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6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and Other Expense, Net</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interest and other expense, net:</w:t>
      </w:r>
    </w:p>
    <w:tbl>
      <w:tblPr>
        <w:tblW w:w="6072" w:type="dxa"/>
        <w:jc w:val="center"/>
        <w:tblInd w:w="0" w:type="dxa"/>
        <w:tblLayout w:type="fixed"/>
        <w:tblCellMar>
          <w:top w:w="28" w:type="dxa"/>
          <w:left w:w="28" w:type="dxa"/>
          <w:bottom w:w="28" w:type="dxa"/>
          <w:right w:w="28" w:type="dxa"/>
        </w:tblCellMar>
      </w:tblPr>
      <w:tblGrid>
        <w:gridCol w:w="1228"/>
        <w:gridCol w:w="1079"/>
        <w:gridCol w:w="1083"/>
        <w:gridCol w:w="196"/>
        <w:gridCol w:w="331"/>
        <w:gridCol w:w="109"/>
        <w:gridCol w:w="109"/>
        <w:gridCol w:w="109"/>
        <w:gridCol w:w="109"/>
        <w:gridCol w:w="196"/>
        <w:gridCol w:w="331"/>
        <w:gridCol w:w="109"/>
        <w:gridCol w:w="109"/>
        <w:gridCol w:w="109"/>
        <w:gridCol w:w="109"/>
        <w:gridCol w:w="196"/>
        <w:gridCol w:w="40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and investment income (expense), net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strategic investments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increased by $22 million during fiscal 2025, as compared to fiscal 2024. The increase in interest and other income (expense), net, was primarily due to a decrease in impairments of strategic investment equity securities and an increase in gains for investments in debt and equity securities that are held in a rabbi trust under non-qualified deferred compensation plans partially offset by a decrease in interest income and a decrease in gains on foreign currency in the current period as compared to the prior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positively changed by $51 million during fiscal 2024, as compared to fiscal 2023. The positive change in interest and other income (expense), net, was primarily due to an increase in interest income due to higher interest rates in the current period as compared to the prior period and gains in the current year for investments in debt and equity securities that are held in a rabbi trust under non-qualified deferred compensation plans compared to losses in the prior period. The increase in interest and other income (expense), net, was partially offset by an increase in losses on strategic investment equity securities in the current period compared to the prior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investment income fluctuates based on average cash, marketable securities, debt balances, average maturities, and interest rates.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Income Taxes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was $272 million and $230 million for fiscal 2025 and 2024, relative to pre-tax income of $1,384 million and $1,136 million, respectively, for the same periods. The tax expense for fiscal 2025 consists primarily of the U.S. and foreign tax expense, including withholding tax on payments made to the United States or to Singapore from foreign sources, a partial audit settlement with the IRS, and related increase in reserves relating to research and development tax credits, offset by a decrease in tax expense relating to stock-based compensation and tax benefit from the Australia valuation allowance release. Tax expense for fiscal 2024 consisted primarily of the U.S. and foreign tax expense, including withholding tax on payments made to the United States or to Singapore from foreign sources, an increase in tax expense relating to stock-based compensation reduced by non-recurring integration net tax benefit and an income tax benefit arising from temporary relief provided by the Internal Revenue Service relating to U.S. foreign tax credit regulations.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2025, the company established a valuation allowance through goodwill in Australia related to negative evidence at the time of the Payapps Limited acquisition; however, due to positive evidence supporting the realization of its deferred tax assets the valuation allowance was released.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retain a valuation allowance against California, Michigan, and Massachusetts deferred tax assets, as well as U.S. capital losses and deferred tax assets that will convert into a capital loss upon reversal as we do not have sufficient income of the appropriate character to benefit these deferred tax assets. Also, the Company continues to retain a valuation allowance against foreign deferred tax assets in Portugal and New Zealand and Australia.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continually strive to optimize our overall business model, tax planning strategies may become feasible whereby management may determine, based on all available evidence, both positive and negative, that it is more likely than not that the deferred tax assets in Portugal, New Zealand, California, Massachusetts, Michigan, and the assets relating to capital losses or assets that will convert into a capital loss upon reversal in Australia and U.S. will be realized.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$312 million of gross unrecognized tax benefits, of which $47 million would reduce our valuation allowance, if recognized. The remaining $265 million would impact the effective tax rate. The amount of unrecognized tax benefits will immaterially decrease in the next twelve months for statute lapses.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Our future effective tax rates may be adversely affected to the extent earnings are lower than anticipated in countries where we have lower statutory tax rates.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currently subject to U.S. income tax at the time it is billed. We anticipate filing an election in fiscal 2026 that will more closely align the timing of taxation of our revenue with our U.S. GAAP revenue recognition principles. The impact of this election is anticipated to increase our cash flow from operating activities in fiscal 2026 and increase our provision for income taxes due to the loss of taxation benefits we receive through the FDII and GILTI tax regimes.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Signed into law on August 16, 2022, the Inflation Reduction Act contains many revisions to the Internal Revenue Code effective in taxable years beginning after December 31, 2022, including a 15% corporate alternative minimum tax. We continue to monitor the impact the Inflation Reduction Act on our consolidated financial statements.</w:t>
      </w:r>
    </w:p>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FINANCIAL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under U.S. generally accepted accounting principles (“GAAP”) discussed above, we believe the following non-GAAP measures are useful to investors in evaluating our operating performance. For the fiscal years ended January 31, 2025, 2024, and 2023, our gross profit, income from operations, operating margin, net income, and diluted net income per share on a GAAP and non-GAAP basis were as follows (in millions except for operating margin and per share data):</w:t>
      </w:r>
    </w:p>
    <w:tbl>
      <w:tblPr>
        <w:tblW w:w="6798" w:type="dxa"/>
        <w:jc w:val="center"/>
        <w:tblInd w:w="0" w:type="dxa"/>
        <w:tblLayout w:type="fixed"/>
        <w:tblCellMar>
          <w:top w:w="28" w:type="dxa"/>
          <w:left w:w="28" w:type="dxa"/>
          <w:bottom w:w="28" w:type="dxa"/>
          <w:right w:w="28" w:type="dxa"/>
        </w:tblCellMar>
      </w:tblPr>
      <w:tblGrid>
        <w:gridCol w:w="1109"/>
        <w:gridCol w:w="978"/>
        <w:gridCol w:w="988"/>
        <w:gridCol w:w="196"/>
        <w:gridCol w:w="556"/>
        <w:gridCol w:w="256"/>
        <w:gridCol w:w="109"/>
        <w:gridCol w:w="109"/>
        <w:gridCol w:w="109"/>
        <w:gridCol w:w="196"/>
        <w:gridCol w:w="556"/>
        <w:gridCol w:w="256"/>
        <w:gridCol w:w="109"/>
        <w:gridCol w:w="109"/>
        <w:gridCol w:w="109"/>
        <w:gridCol w:w="196"/>
        <w:gridCol w:w="556"/>
        <w:gridCol w:w="301"/>
      </w:tblGrid>
      <w:tr>
        <w:trPr/>
        <w:tc>
          <w:tcPr>
            <w:tcW w:w="1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diluted net income per share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GAAP FINANCIAL MEASURES TO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for operating margin, and per share data):</w:t>
      </w:r>
    </w:p>
    <w:tbl>
      <w:tblPr>
        <w:tblW w:w="8763" w:type="dxa"/>
        <w:jc w:val="center"/>
        <w:tblInd w:w="0" w:type="dxa"/>
        <w:tblLayout w:type="fixed"/>
        <w:tblCellMar>
          <w:top w:w="28" w:type="dxa"/>
          <w:left w:w="28" w:type="dxa"/>
          <w:bottom w:w="28" w:type="dxa"/>
          <w:right w:w="28" w:type="dxa"/>
        </w:tblCellMar>
      </w:tblPr>
      <w:tblGrid>
        <w:gridCol w:w="1822"/>
        <w:gridCol w:w="1599"/>
        <w:gridCol w:w="1619"/>
        <w:gridCol w:w="196"/>
        <w:gridCol w:w="556"/>
        <w:gridCol w:w="256"/>
        <w:gridCol w:w="109"/>
        <w:gridCol w:w="109"/>
        <w:gridCol w:w="109"/>
        <w:gridCol w:w="196"/>
        <w:gridCol w:w="556"/>
        <w:gridCol w:w="256"/>
        <w:gridCol w:w="109"/>
        <w:gridCol w:w="109"/>
        <w:gridCol w:w="109"/>
        <w:gridCol w:w="196"/>
        <w:gridCol w:w="556"/>
        <w:gridCol w:w="301"/>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Lease-related asset impairments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 (1)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Lease-related asset impairments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strategic investments and dispositions,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(Release) establishment of valuation allowance on deferred tax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Discrete GAAP tax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effect of non-GAAP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8007" w:type="dxa"/>
        <w:jc w:val="center"/>
        <w:tblInd w:w="0" w:type="dxa"/>
        <w:tblLayout w:type="fixed"/>
        <w:tblCellMar>
          <w:top w:w="28" w:type="dxa"/>
          <w:left w:w="28" w:type="dxa"/>
          <w:bottom w:w="28" w:type="dxa"/>
          <w:right w:w="28" w:type="dxa"/>
        </w:tblCellMar>
      </w:tblPr>
      <w:tblGrid>
        <w:gridCol w:w="1809"/>
        <w:gridCol w:w="1585"/>
        <w:gridCol w:w="1601"/>
        <w:gridCol w:w="196"/>
        <w:gridCol w:w="466"/>
        <w:gridCol w:w="109"/>
        <w:gridCol w:w="109"/>
        <w:gridCol w:w="109"/>
        <w:gridCol w:w="109"/>
        <w:gridCol w:w="196"/>
        <w:gridCol w:w="466"/>
        <w:gridCol w:w="109"/>
        <w:gridCol w:w="109"/>
        <w:gridCol w:w="109"/>
        <w:gridCol w:w="109"/>
        <w:gridCol w:w="196"/>
        <w:gridCol w:w="46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Lease-related asset impairments and other charges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strategic investments and dispositions,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establishment of valuation allowance on deferred tax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Discrete GAAP tax items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effect of non-GAAP adjustments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diluted net income per share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(1)Totals may not sum due to rounding.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non-GAAP financial measures may exclude the following: </w:t>
      </w:r>
    </w:p>
    <w:p>
      <w:pPr>
        <w:pStyle w:val="TextBody"/>
        <w:bidi w:val="0"/>
        <w:spacing w:before="0" w:after="0"/>
        <w:jc w:val="both"/>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Stock-based compensation expenses.</w:t>
      </w:r>
      <w:r>
        <w:rPr>
          <w:color w:val="000000"/>
        </w:rPr>
        <w:t> </w:t>
      </w:r>
      <w:r>
        <w:rPr>
          <w:rFonts w:ascii="Times New Roman;sans-serif" w:hAnsi="Times New Roman;sans-serif"/>
          <w:b w:val="false"/>
          <w:color w:val="000000"/>
          <w:sz w:val="20"/>
        </w:rPr>
        <w:t>We exclude stock-based compensation expenses from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Amortization of developed technologies and purchased intangibles.</w:t>
      </w:r>
      <w:r>
        <w:rPr>
          <w:color w:val="000000"/>
        </w:rPr>
        <w:t> </w:t>
      </w:r>
      <w:r>
        <w:rPr>
          <w:rFonts w:ascii="Times New Roman;sans-serif" w:hAnsi="Times New Roman;sans-serif"/>
          <w:b w:val="false"/>
          <w:color w:val="000000"/>
          <w:sz w:val="20"/>
        </w:rPr>
        <w:t>We incur amortization of acquisition-related developed technologies and purchased intangibles in connection with acquisitions of certain businesses and technologies. Amortization of developed technologies and purchased intangibles is inconsistent in amount and frequency and is significantly affected by both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Restructuring, other exit costs, and facility reductions.</w:t>
      </w:r>
      <w:r>
        <w:rPr>
          <w:color w:val="000000"/>
        </w:rPr>
        <w:t> </w:t>
      </w:r>
      <w:r>
        <w:rPr>
          <w:rFonts w:ascii="Times New Roman;sans-serif" w:hAnsi="Times New Roman;sans-serif"/>
          <w:b w:val="false"/>
          <w:color w:val="000000"/>
          <w:sz w:val="20"/>
        </w:rPr>
        <w:t xml:space="preserve">These expenses are associated with realigning our business strategies based on current economic conditions. In connection with these restructuring actions or other exit actions, we recognize costs related to termination benefits for former employees whose positions were eliminated, the reduction of facilities, and cancellation of certain contracts. We exclude these charges because these expenses are not reflective of ongoing business and operating results. We believe it is useful for investors to understand the effects of these items on our total operating expenses.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i/>
          <w:color w:val="000000"/>
          <w:sz w:val="20"/>
        </w:rPr>
        <w:t>Lease-related asset impairments and other charges. </w:t>
      </w:r>
      <w:r>
        <w:rPr>
          <w:color w:val="000000"/>
        </w:rPr>
        <w:t> </w:t>
      </w:r>
      <w:r>
        <w:rPr>
          <w:rFonts w:ascii="Times New Roman;sans-serif" w:hAnsi="Times New Roman;sans-serif"/>
          <w:b w:val="false"/>
          <w:color w:val="000000"/>
          <w:sz w:val="20"/>
        </w:rPr>
        <w:t>These charges are associated with the optimization of our facilities costs related to leases for facilities 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Acquisition-related costs.</w:t>
      </w:r>
      <w:r>
        <w:rPr>
          <w:color w:val="000000"/>
        </w:rPr>
        <w:t xml:space="preserve"> </w:t>
      </w:r>
      <w:r>
        <w:rPr>
          <w:rFonts w:ascii="Times New Roman;sans-serif" w:hAnsi="Times New Roman;sans-serif"/>
          <w:b w:val="false"/>
          <w:color w:val="000000"/>
          <w:sz w:val="20"/>
        </w:rPr>
        <w:t xml:space="preserve">We exclude certain acquisition-related costs, including due diligence costs, professional fees in connection with an acquisition, certain financing costs, and certain integration-related expenses. These expenses are unpredictable, and depend on factors that may be outside of our control and unrelated to the continuing operations of the acquired business or our Company. In addition, the size and complexity of an acquisition, which often drives the magnitude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may not be indicative of such future costs. We believe excluding acquisition-related costs facilitates the comparison of our financial results to the Company's historical operating results and to other companies in our industry.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Loss (gain) on strategic investments and dispositions.</w:t>
      </w:r>
      <w:r>
        <w:rPr>
          <w:color w:val="000000"/>
        </w:rPr>
        <w:t xml:space="preserve"> </w:t>
      </w:r>
      <w:r>
        <w:rPr>
          <w:rFonts w:ascii="Times New Roman;sans-serif" w:hAnsi="Times New Roman;sans-serif"/>
          <w:b w:val="false"/>
          <w:color w:val="000000"/>
          <w:sz w:val="20"/>
        </w:rPr>
        <w:t xml:space="preserve">We exclude gains and losses related to our strategic investments and dispositions of strategic 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dividends received, realized gains and losses on the sales or losses on the impairment of these investments, and gain and loss on dispositions. We believe excluding these items is useful to investors because they do not correlate to the underlying performance of our business and these losses or gains were incurred in connection with strategic investments and dispositions which do not occur regularly.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Discrete tax provision items.</w:t>
      </w:r>
      <w:r>
        <w:rPr>
          <w:color w:val="000000"/>
        </w:rPr>
        <w:t xml:space="preserve"> </w:t>
      </w:r>
      <w:r>
        <w:rPr>
          <w:rFonts w:ascii="Times New Roman;sans-serif" w:hAnsi="Times New Roman;sans-serif"/>
          <w:b w:val="false"/>
          <w:color w:val="000000"/>
          <w:sz w:val="20"/>
        </w:rPr>
        <w:t>We exclude the GAAP tax provision, including discrete items, from the non-GAAP measure of net income (loss),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Establishment (release) of a valuation allowance on certain net deferred tax assets.</w:t>
      </w:r>
      <w:r>
        <w:rPr>
          <w:color w:val="000000"/>
        </w:rPr>
        <w:t> </w:t>
      </w:r>
      <w:r>
        <w:rPr>
          <w:rFonts w:ascii="Times New Roman;sans-serif" w:hAnsi="Times New Roman;sans-serif"/>
          <w:b w:val="false"/>
          <w:color w:val="000000"/>
          <w:sz w:val="20"/>
        </w:rPr>
        <w:t>This is a non-cash charge to record or to release a valuation allowance on certain deferred tax assets. As explained above, management finds it useful to exclude certain non-cash charges to assess the appropriate level of various cash expenses to assist in budgeting, planning, and forecasting future periods.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Income tax effects on the difference between GAAP and non-GAAP costs and expenses.</w:t>
      </w:r>
      <w:r>
        <w:rPr>
          <w:color w:val="000000"/>
        </w:rPr>
        <w:t xml:space="preserve"> </w:t>
      </w:r>
      <w:r>
        <w:rPr>
          <w:rFonts w:ascii="Times New Roman;sans-serif" w:hAnsi="Times New Roman;sans-serif"/>
          <w:b w:val="false"/>
          <w:color w:val="000000"/>
          <w:sz w:val="20"/>
        </w:rPr>
        <w:t>The income tax effects that are excluded from the non-GAAP measures relate to the tax impact on the difference between GAAP and non-GAAP expenses, primarily due to stock-based compensation, amortization of purchased intangibles, and restructuring charges and other exit costs (benefits) for GAAP and non-GAAP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2025, our principal sources of liquidity were cash, cash equivalents, and marketable securities totaling $2.15 billion and net accounts receivable of $1.01 billion.</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January 31, 2025, Autodesk had no outstanding borrowings under the Credit Agreement. Additionally, as of March 6, 2025, we have no amounts outstanding under the Credit Agreement. See Part II, Item 8, Note 8, “Borrowing Arrangements,” in the Notes to Consolidated Financial Statements for further discussion on our covenant requirements. If we are unable to remain in compliance with the covenants under the Credit Agreement, we may not be able to draw on our revolving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we had $2.30 billion aggregate principal amount of notes outstanding. See Part II, Item 8, Note 8, “Borrowing Arrangements,” in the Notes to Consolidated Financial Statements for further discussion.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cash equivalents, and marketable securities balances are concentrated in a few locations around the world, with substantial amounts held outside of the United States. As of January 31, 2025, approximately 66%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operations could also be affected by various risks and uncertainties, including, but not limited to the risks detailed in Part I, Item 1A,“Risk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from the date of this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tbl>
      <w:tblPr>
        <w:tblW w:w="6281" w:type="dxa"/>
        <w:jc w:val="left"/>
        <w:tblInd w:w="0" w:type="dxa"/>
        <w:tblLayout w:type="fixed"/>
        <w:tblCellMar>
          <w:top w:w="28" w:type="dxa"/>
          <w:left w:w="28" w:type="dxa"/>
          <w:bottom w:w="28" w:type="dxa"/>
          <w:right w:w="28" w:type="dxa"/>
        </w:tblCellMar>
      </w:tblPr>
      <w:tblGrid>
        <w:gridCol w:w="1084"/>
        <w:gridCol w:w="953"/>
        <w:gridCol w:w="962"/>
        <w:gridCol w:w="196"/>
        <w:gridCol w:w="556"/>
        <w:gridCol w:w="109"/>
        <w:gridCol w:w="109"/>
        <w:gridCol w:w="109"/>
        <w:gridCol w:w="109"/>
        <w:gridCol w:w="196"/>
        <w:gridCol w:w="556"/>
        <w:gridCol w:w="109"/>
        <w:gridCol w:w="109"/>
        <w:gridCol w:w="109"/>
        <w:gridCol w:w="109"/>
        <w:gridCol w:w="196"/>
        <w:gridCol w:w="55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$1.61 billion for fiscal 2025, primarily consisted of $1.11 billion of our net income adjusted for $953 million non-cash items such as stock-based compensation expense, amortization of costs to obtain a contract with a customer, depreciation, amortization, and accretion expense, and deferred income tax. Net cash provided by working capital remained flat primarily due to an increase in accounts payable and other accrued liabilities due to the timing of payments related to employee compensation and related costs partially offset by a decrease in deferred revenue driven by the transition of multi-year subscription contracts billed upfront to annual billing installments, a change in accounts receivable due to the growth in billings and more billings in the fourth fiscal quarter of the current year as compared to the prior period, and a change in prepaid expenses and other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$1.31 billion for fiscal 2024, primarily consisted of $906 million of our net income adjusted for $858 million non-cash items such as stock-based compensation expense, amortization of costs to obtain a contract with a customer, depreciation, amortization, and accretion expense, and deferred income tax. The decrease in cash provided by working capital was primarily due to a decrease in deferred revenue of $316 million driven by the transition of multi-year subscription contracts billed upfront to annual billing installments.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$903 million for fiscal 2025 and was primarily due to business combinations, net of cash acquired, and purchases of marketable securities partially offset by sales and maturities of marketable securities.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$502 million for fiscal 2024 and was primarily due to purchases of marketable securities partially offset by sales and maturities of marketable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$987 million in fiscal 2025 and was primarily due to repurchases of our common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$852 million in fiscal 2024 and was primarily due to repurchases of our common stock.</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financial contractual obligations at January 31, 2025, and the effect such obligations are expected to have on our liquidity and cash flows in future periods.</w:t>
      </w:r>
    </w:p>
    <w:tbl>
      <w:tblPr>
        <w:tblW w:w="10205" w:type="dxa"/>
        <w:jc w:val="center"/>
        <w:tblInd w:w="0" w:type="dxa"/>
        <w:tblLayout w:type="fixed"/>
        <w:tblCellMar>
          <w:top w:w="28" w:type="dxa"/>
          <w:left w:w="28" w:type="dxa"/>
          <w:bottom w:w="28" w:type="dxa"/>
          <w:right w:w="28" w:type="dxa"/>
        </w:tblCellMar>
      </w:tblPr>
      <w:tblGrid>
        <w:gridCol w:w="598"/>
        <w:gridCol w:w="340"/>
        <w:gridCol w:w="251"/>
        <w:gridCol w:w="196"/>
        <w:gridCol w:w="556"/>
        <w:gridCol w:w="109"/>
        <w:gridCol w:w="109"/>
        <w:gridCol w:w="109"/>
        <w:gridCol w:w="109"/>
        <w:gridCol w:w="205"/>
        <w:gridCol w:w="442"/>
        <w:gridCol w:w="114"/>
        <w:gridCol w:w="109"/>
        <w:gridCol w:w="109"/>
        <w:gridCol w:w="109"/>
        <w:gridCol w:w="209"/>
        <w:gridCol w:w="593"/>
        <w:gridCol w:w="116"/>
        <w:gridCol w:w="109"/>
        <w:gridCol w:w="109"/>
        <w:gridCol w:w="109"/>
        <w:gridCol w:w="213"/>
        <w:gridCol w:w="459"/>
        <w:gridCol w:w="119"/>
        <w:gridCol w:w="109"/>
        <w:gridCol w:w="109"/>
        <w:gridCol w:w="109"/>
        <w:gridCol w:w="201"/>
        <w:gridCol w:w="572"/>
        <w:gridCol w:w="113"/>
        <w:gridCol w:w="1100"/>
        <w:gridCol w:w="987"/>
        <w:gridCol w:w="1404"/>
      </w:tblGrid>
      <w:tr>
        <w:trPr/>
        <w:tc>
          <w:tcPr>
            <w:tcW w:w="59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consist of the notes issued in June 2015, June 2017, January 2020, and October 2021 including interest. See Part II, Item 8, Note 8, “Borrowing Arrangements,” in the Notes to Consolidated Financial Statements for further discussion.</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consist primarily of obligations for real estate, vehicles, and certain equipment. See Part II, Item 8, Note 9, “Leases,” in the Notes to Consolidated Financial Statements for further discussion.</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 are contractual obligations for purchase of goods or services and are defined as agreements that are enforceable and legally binding to Autodesk and that specify all significant terms, including: fixed or minimum quantities to be purchased; fixed, minimum, or variable price provisions; and the approximate timing of the transaction. Purchase obligations relate primarily to acquisition of cloud services, marketing and commitments related to our investment agreements with limited liability partnership funds.</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obligations relate to amounts held in a rabbi trust under our non-qualified deferred compensation plan. See Part II, Item 8, Note 7, “Deferred Compensation,” in our Notes to Consolidated Financial Statements for further information regarding this plan.</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obligations relate to our obligations for pension plans outside of the United States. See Part II, Item 8, Note 16, “Retirement Benefit Plans,” in our Notes to Consolidated Financial Statements for further information regarding these obligations.</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 represent the estimated costs to bring certain office buildings that we lease back to their original condition after the termination of the lease.</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(1)This table generally excludes amounts already recorded on the balance sheet as current liabilities, certain purchase obligations as discussed below, long term deferred revenue, and amounts related to income tax accruals for uncertain tax positions, since we cannot predict with reasonable reliability the timing of cash settlements to the respective taxing authorities (see Part II, Item 8, Note 5, “Income Taxes” in the Notes to Consolidated Financial Statements).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stock repurchase programs provide us with the ability to offset the dilution from the issuance of stock under our employee stock plans and reduce shares outstanding over time and has the effect of returning excess cash generated from our business to stockholders. Under the share repurchase programs, we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our Board of Directors authorized the repurchase of $5 billion of our common stock, in addition to the $3.88 billion remaining under previously announced share repurchase programs.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During the three and 12 months ended January 31, 2025, we repurchased 1 million and 3 million shares of our common stock, respectively. At January 31, 2025, $3.88 billion and $5 billion remained available for repurchase under the November 2022 and November 2024 repurchase programs approved by the Board of Directors. The plans do not have a fixed expiration dat</w:t>
      </w:r>
      <w:r>
        <w:rPr>
          <w:rFonts w:ascii="Times New Roman;sans-serif" w:hAnsi="Times New Roman;sans-serif"/>
          <w:b w:val="false"/>
          <w:color w:val="000000"/>
          <w:sz w:val="18"/>
        </w:rPr>
        <w:t xml:space="preserve">e. </w:t>
      </w:r>
      <w:r>
        <w:rPr>
          <w:rFonts w:ascii="Times New Roman;sans-serif" w:hAnsi="Times New Roman;sans-serif"/>
          <w:b w:val="false"/>
          <w:color w:val="000000"/>
          <w:sz w:val="20"/>
        </w:rPr>
        <w:t>See Part II, Item 8, Note 12, “Stock Repurchase Program,” in the Notes to Consolidated Financial Statements for further discussion.</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2025 and 2024, we had open cash flow and balance sheet hedge contracts with future settlements generally within one to 12 months. Contracts were primarily denominated in Euros, British pounds, Japanese yen, Canadian dollars, Singapore dollars, Australian dollars, Swiss francs, Norwegian krone, and Swedish Krona. We do not enter into foreign exchange derivative instruments for trading or speculative purposes.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option and foreign exchange forward contracts outstanding as of the respective period-ends are summarized in U.S. dollar equivalents as follows (in millions):</w:t>
      </w:r>
    </w:p>
    <w:tbl>
      <w:tblPr>
        <w:tblW w:w="7186" w:type="dxa"/>
        <w:jc w:val="left"/>
        <w:tblInd w:w="0" w:type="dxa"/>
        <w:tblLayout w:type="fixed"/>
        <w:tblCellMar>
          <w:top w:w="28" w:type="dxa"/>
          <w:left w:w="28" w:type="dxa"/>
          <w:bottom w:w="28" w:type="dxa"/>
          <w:right w:w="28" w:type="dxa"/>
        </w:tblCellMar>
      </w:tblPr>
      <w:tblGrid>
        <w:gridCol w:w="602"/>
        <w:gridCol w:w="530"/>
        <w:gridCol w:w="532"/>
        <w:gridCol w:w="307"/>
        <w:gridCol w:w="898"/>
        <w:gridCol w:w="159"/>
        <w:gridCol w:w="109"/>
        <w:gridCol w:w="109"/>
        <w:gridCol w:w="109"/>
        <w:gridCol w:w="247"/>
        <w:gridCol w:w="510"/>
        <w:gridCol w:w="127"/>
        <w:gridCol w:w="109"/>
        <w:gridCol w:w="109"/>
        <w:gridCol w:w="109"/>
        <w:gridCol w:w="307"/>
        <w:gridCol w:w="898"/>
        <w:gridCol w:w="159"/>
        <w:gridCol w:w="109"/>
        <w:gridCol w:w="109"/>
        <w:gridCol w:w="109"/>
        <w:gridCol w:w="282"/>
        <w:gridCol w:w="442"/>
        <w:gridCol w:w="205"/>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Contracts: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Purchased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Sold</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Contracts: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Purchased </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foreign currency contracts to reduce the exchange rate impact on the net revenue and operating expenses of certain anticipated transactions. A sensitivity analysis performed on our hedging portfolio as of January 31, 2025, indicated that a hypothetical 10% appreciation of the U.S. dollar from its value at January 31, 2025 and 2024, would increase the fair value of our foreign currency contracts by $209 million and $121 million, respectively. A hypothetical 10% depreciation of the dollar from its value at January 31, 2025 and 2024, would decrease the fair value of our foreign currency contracts by $116 million and $99 million, respectively.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movements affect both the interest income we earn on our short-term investments and the market value of certain longer term securities. At January 31, 2025, we had $1.32 billion of cash equivalents and marketable securities, including $287 million classified as short-term marketable securities and $267 million classified as long-term marketable securities. If interest rates were to move up by 50 or 100 basis points over a 12-month period, the market value change of these securities would not have a material impact on our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MARKET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these strategic investments.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about exposure to counter-party credit-related losses, see Part II, Item 8, Note 1, “Business and Summary of Significant Accounting Policies - Concentration of Credit Risk."</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left"/>
        <w:rPr>
          <w:color w:val="000000"/>
        </w:rPr>
      </w:pPr>
      <w:r>
        <w:rPr>
          <w:color w:val="000000"/>
        </w:rPr>
        <w:t> </w:t>
      </w:r>
    </w:p>
    <w:tbl>
      <w:tblPr>
        <w:tblW w:w="8531" w:type="dxa"/>
        <w:jc w:val="left"/>
        <w:tblInd w:w="0" w:type="dxa"/>
        <w:tblLayout w:type="fixed"/>
        <w:tblCellMar>
          <w:top w:w="28" w:type="dxa"/>
          <w:left w:w="28" w:type="dxa"/>
          <w:bottom w:w="28" w:type="dxa"/>
          <w:right w:w="28" w:type="dxa"/>
        </w:tblCellMar>
      </w:tblPr>
      <w:tblGrid>
        <w:gridCol w:w="1902"/>
        <w:gridCol w:w="1665"/>
        <w:gridCol w:w="1682"/>
        <w:gridCol w:w="196"/>
        <w:gridCol w:w="556"/>
        <w:gridCol w:w="109"/>
        <w:gridCol w:w="109"/>
        <w:gridCol w:w="109"/>
        <w:gridCol w:w="109"/>
        <w:gridCol w:w="196"/>
        <w:gridCol w:w="556"/>
        <w:gridCol w:w="109"/>
        <w:gridCol w:w="109"/>
        <w:gridCol w:w="109"/>
        <w:gridCol w:w="109"/>
        <w:gridCol w:w="196"/>
        <w:gridCol w:w="556"/>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49"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49"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421" w:type="dxa"/>
            <w:gridSpan w:val="12"/>
            <w:tcBorders/>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subscription and maintenance revenue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 and maintenance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other revenue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in computing basic net income per share</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in computing diluted net income per share</w:t>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98"/>
        <w:gridCol w:w="2285"/>
        <w:gridCol w:w="2309"/>
        <w:gridCol w:w="196"/>
        <w:gridCol w:w="556"/>
        <w:gridCol w:w="109"/>
        <w:gridCol w:w="109"/>
        <w:gridCol w:w="109"/>
        <w:gridCol w:w="109"/>
        <w:gridCol w:w="196"/>
        <w:gridCol w:w="421"/>
        <w:gridCol w:w="109"/>
        <w:gridCol w:w="109"/>
        <w:gridCol w:w="109"/>
        <w:gridCol w:w="109"/>
        <w:gridCol w:w="196"/>
        <w:gridCol w:w="421"/>
        <w:gridCol w:w="155"/>
      </w:tblGrid>
      <w:tr>
        <w:trPr/>
        <w:tc>
          <w:tcPr>
            <w:tcW w:w="2598"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152" w:type="dxa"/>
            <w:gridSpan w:val="12"/>
            <w:tcBorders/>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reclassifications: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gain (loss) on derivative instruments (net of tax effect of $2, $6, and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gain on available-for-sale securities (net of tax effect of zero for all periods presented)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defined benefit pension items (net of tax effect of zero, $1, and $1)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cumulative foreign currency translation loss (net of tax effect of $(1), $4, and zero)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97"/>
        <w:gridCol w:w="2441"/>
        <w:gridCol w:w="2460"/>
        <w:gridCol w:w="201"/>
        <w:gridCol w:w="665"/>
        <w:gridCol w:w="111"/>
        <w:gridCol w:w="109"/>
        <w:gridCol w:w="109"/>
        <w:gridCol w:w="109"/>
        <w:gridCol w:w="216"/>
        <w:gridCol w:w="613"/>
        <w:gridCol w:w="174"/>
      </w:tblGrid>
      <w:tr>
        <w:trPr/>
        <w:tc>
          <w:tcPr>
            <w:tcW w:w="2997"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2024</w:t>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marketable securities</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software, furniture, and leasehold improvements,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LIABILITIES AND STOCKHOLDERS’ EQUITY </w:t>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notes payable,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deferred revenue</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income taxes payable</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deferred income taxes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payable, net</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liabilities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shares authorized 2; none issued or outstanding at January 31, 2025 and 2024</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and additional paid-in capital, $0.01 par value; shares authorized 750; 214 issued and outstanding at January 31, 2025 and 2024</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stockholders’ equity </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252" w:type="dxa"/>
        <w:jc w:val="center"/>
        <w:tblInd w:w="0" w:type="dxa"/>
        <w:tblLayout w:type="fixed"/>
        <w:tblCellMar>
          <w:top w:w="28" w:type="dxa"/>
          <w:left w:w="28" w:type="dxa"/>
          <w:bottom w:w="28" w:type="dxa"/>
          <w:right w:w="28" w:type="dxa"/>
        </w:tblCellMar>
      </w:tblPr>
      <w:tblGrid>
        <w:gridCol w:w="2162"/>
        <w:gridCol w:w="1900"/>
        <w:gridCol w:w="1908"/>
        <w:gridCol w:w="196"/>
        <w:gridCol w:w="556"/>
        <w:gridCol w:w="109"/>
        <w:gridCol w:w="109"/>
        <w:gridCol w:w="109"/>
        <w:gridCol w:w="109"/>
        <w:gridCol w:w="196"/>
        <w:gridCol w:w="556"/>
        <w:gridCol w:w="109"/>
        <w:gridCol w:w="109"/>
        <w:gridCol w:w="109"/>
        <w:gridCol w:w="109"/>
        <w:gridCol w:w="196"/>
        <w:gridCol w:w="556"/>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421" w:type="dxa"/>
            <w:gridSpan w:val="12"/>
            <w:tcBorders/>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Adjustments to reconcile net income to net cash provided by operating activities: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to obtain a contract with a customer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Lease-related asset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Other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business combinations: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Prepaid expenses and other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liabilities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Purchases of intangible assets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fiscal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fiscal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disclosure:</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tax refunds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 issued to settle liability-classified restricted stock units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 issued related to business combination (See Note 6)</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098"/>
        <w:gridCol w:w="647"/>
        <w:gridCol w:w="652"/>
        <w:gridCol w:w="242"/>
        <w:gridCol w:w="237"/>
        <w:gridCol w:w="157"/>
        <w:gridCol w:w="157"/>
        <w:gridCol w:w="157"/>
        <w:gridCol w:w="157"/>
        <w:gridCol w:w="283"/>
        <w:gridCol w:w="805"/>
        <w:gridCol w:w="157"/>
        <w:gridCol w:w="109"/>
        <w:gridCol w:w="109"/>
        <w:gridCol w:w="109"/>
        <w:gridCol w:w="475"/>
        <w:gridCol w:w="1060"/>
        <w:gridCol w:w="265"/>
        <w:gridCol w:w="109"/>
        <w:gridCol w:w="109"/>
        <w:gridCol w:w="109"/>
        <w:gridCol w:w="275"/>
        <w:gridCol w:w="802"/>
        <w:gridCol w:w="153"/>
        <w:gridCol w:w="109"/>
        <w:gridCol w:w="109"/>
        <w:gridCol w:w="109"/>
        <w:gridCol w:w="310"/>
        <w:gridCol w:w="880"/>
        <w:gridCol w:w="255"/>
      </w:tblGrid>
      <w:tr>
        <w:trPr/>
        <w:tc>
          <w:tcPr>
            <w:tcW w:w="109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3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239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2022</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liability-classified restricted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as consideration for business combination</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2023</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liability-classified restricted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shares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2024</w:t>
            </w:r>
          </w:p>
        </w:tc>
        <w:tc>
          <w:tcPr>
            <w:tcW w:w="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under stock plans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liability-classified restricted common shares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2025</w:t>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(Tables in millions of dollars, except per share data, unless otherwise indicated)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Business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Inc. (“Autodesk” or the “Company”) is a global leader in 3D design, engineering and entertainment technology solutions, spanning architecture, engineering, construction, product design, manufacturing, media, and entertainment. The Company’s sophisticated software products, offered through a hybrid of desktop and cloud functionality, enable its customers to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Autodesk software products are sold globally through a combination of direct and indirect channels. </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Principles of Consolidation</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Autodesk and its wholly owned subsidiaries. All intercompany accounts and transactions have been eliminated.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Use of Estimates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Examples of significant estimates and assumptions made by management involve revenue recognition for product subscriptions and enterprise business arrangements (“EBAs”), the determination of the fair value of acquired intangible assets and goodwill, the realizability of deferred tax assets, and the fair value of stock awards. The Company also makes assumptions, judgments, and estimates in determining the accruals for uncertain tax positions, variable compensation, partner incentive programs, loss contingencies, and operating lease liabilities.</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 in presentation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2025, the Company changed its presentation of the amortization of costs capitalized to obtain a contract with a customer in our Consolidated Statements of Cash Flows. Amortization of costs capitalized to obtain a contract with a customer were previously presented in “Changes in operating assets and liabilities, net of business combinations” and are now presented in “Adjustments to reconcile net income to net cash provided by operating activities.” Accordingly, prior period amounts have been reclassified to conform to the current period presentation. The effect of the change on the Consolidated Statement of Cash Flows for the fiscal years ended January 31, 2024 and January 31, 2023 was $140 million and $138 million, respectively. These reclassifications did not impact total net cash provided by operating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operates in one operating and reportable segment, the Company as a whole. Autodesk is a global leader in 3D design, engineering and entertainment technology solutions, spanning architecture, engineering, construction, product design, manufacturing, media, and entertainment. Autodesk’s software products are offered through a hybrid of desktop and cloud functionality. The chief operating decision maker (“CODM”) assesses performance and decides how to allocate resources based on consolidated net income as reported on the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The measure of Autodesk’s segment assets is reported on the Consolidated Balance Sheets as total assets. Autodesk determined that the Company’s Chief Executive Officer, serves as the CODM.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Autodesk’s reported segment total net revenue, segment profit, and significant segment expenses:</w:t>
      </w:r>
    </w:p>
    <w:tbl>
      <w:tblPr>
        <w:tblW w:w="7166" w:type="dxa"/>
        <w:jc w:val="left"/>
        <w:tblInd w:w="0" w:type="dxa"/>
        <w:tblLayout w:type="fixed"/>
        <w:tblCellMar>
          <w:top w:w="28" w:type="dxa"/>
          <w:left w:w="28" w:type="dxa"/>
          <w:bottom w:w="28" w:type="dxa"/>
          <w:right w:w="28" w:type="dxa"/>
        </w:tblCellMar>
      </w:tblPr>
      <w:tblGrid>
        <w:gridCol w:w="1409"/>
        <w:gridCol w:w="1235"/>
        <w:gridCol w:w="1240"/>
        <w:gridCol w:w="196"/>
        <w:gridCol w:w="556"/>
        <w:gridCol w:w="109"/>
        <w:gridCol w:w="109"/>
        <w:gridCol w:w="109"/>
        <w:gridCol w:w="109"/>
        <w:gridCol w:w="196"/>
        <w:gridCol w:w="556"/>
        <w:gridCol w:w="109"/>
        <w:gridCol w:w="109"/>
        <w:gridCol w:w="109"/>
        <w:gridCol w:w="109"/>
        <w:gridCol w:w="196"/>
        <w:gridCol w:w="556"/>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 and maintenance revenue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other revenue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transaction model (3)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(1)Significant expense categories and amounts align with the segment-level information that is regularly provided to the CODM.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(2)The amounts of new transaction model and stock-based compensation are excluded from this line and presented separately within this table.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(3)New transaction model costs include sales incentives to solution providers, transaction fees, and internal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Autodesk’s other segment disclosures: </w:t>
      </w:r>
    </w:p>
    <w:tbl>
      <w:tblPr>
        <w:tblW w:w="6807" w:type="dxa"/>
        <w:jc w:val="left"/>
        <w:tblInd w:w="0" w:type="dxa"/>
        <w:tblLayout w:type="fixed"/>
        <w:tblCellMar>
          <w:top w:w="28" w:type="dxa"/>
          <w:left w:w="28" w:type="dxa"/>
          <w:bottom w:w="28" w:type="dxa"/>
          <w:right w:w="28" w:type="dxa"/>
        </w:tblCellMar>
      </w:tblPr>
      <w:tblGrid>
        <w:gridCol w:w="1523"/>
        <w:gridCol w:w="1334"/>
        <w:gridCol w:w="1343"/>
        <w:gridCol w:w="196"/>
        <w:gridCol w:w="331"/>
        <w:gridCol w:w="109"/>
        <w:gridCol w:w="109"/>
        <w:gridCol w:w="109"/>
        <w:gridCol w:w="109"/>
        <w:gridCol w:w="196"/>
        <w:gridCol w:w="331"/>
        <w:gridCol w:w="109"/>
        <w:gridCol w:w="109"/>
        <w:gridCol w:w="109"/>
        <w:gridCol w:w="109"/>
        <w:gridCol w:w="196"/>
        <w:gridCol w:w="33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amortization, and accretion expense </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to obtain a contract with a customer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significant non-cash items include stock-based compensation. See disclosure in table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Autodesk's long-lived assets by geographic area were as follows:</w:t>
      </w:r>
    </w:p>
    <w:tbl>
      <w:tblPr>
        <w:tblW w:w="4239" w:type="dxa"/>
        <w:jc w:val="center"/>
        <w:tblInd w:w="0" w:type="dxa"/>
        <w:tblLayout w:type="fixed"/>
        <w:tblCellMar>
          <w:top w:w="28" w:type="dxa"/>
          <w:left w:w="28" w:type="dxa"/>
          <w:bottom w:w="28" w:type="dxa"/>
          <w:right w:w="28" w:type="dxa"/>
        </w:tblCellMar>
      </w:tblPr>
      <w:tblGrid>
        <w:gridCol w:w="874"/>
        <w:gridCol w:w="769"/>
        <w:gridCol w:w="772"/>
        <w:gridCol w:w="196"/>
        <w:gridCol w:w="421"/>
        <w:gridCol w:w="109"/>
        <w:gridCol w:w="109"/>
        <w:gridCol w:w="109"/>
        <w:gridCol w:w="109"/>
        <w:gridCol w:w="196"/>
        <w:gridCol w:w="42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Long-lived assets (1):</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Americas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(1)Long-lived assets exclude deferred tax assets, marketable securities, goodwill, and intangible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Recognition</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Autodesk’s revenue is divided into three categories: subscription revenue, maintenance revenue, and other revenue. Subscription revenue consists of our term-based product subscriptions, cloud service offerings, and flexible enterprise business agreements (“EBAs”).  Maintenance revenue consists of renewal fees for existing maintenance plan agreements that were initially purchased with a perpetual software license. Under our maintenance plan, customers are eligible to receive unspecified upgrades, when and if available, and technical support. Other revenue consists of revenue from consulting and other products and services. Revenue is recognized when control for these offerings is transferred to our customers, in an amount that reflects the consideration we expect to be entitled to in exchange for products and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Autodesk’s contracts with customers may include promises to transfer multiple products and services to a customer. Determining whether the products and services are considered distinct performance obligations that should be accounted for separately or as a single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product subscriptions and flexible EBA subscriptions in which the desktop software and related cloud functionalities are highly interrelated, the single performance obligation is recognized ratably over the contract term as the subscription is delivered. For subscriptions involving distinct desktop software licenses, the license performance obligation is satisfied when delivered to our customers. For standalone maintenance subscriptions and cloud subscriptions, the performance obligation is satisfied ratably over the contract term as those services are delivered. For consulting services, the performance obligation is satisfied over a period of time as those services are delivered.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contracts with more than one performance obligation, the transaction price is allocated among the performance obligations in an amount that depicts the relative standalone selling price (“SSP”) of each obligation. We establish SSP for most of our products and services based on observable prices when sold separately in similar circumstances or to similar customers. When products or services are not sold separately, we establish SSP based on other observable inputs.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to Obtain a Contract with a Customer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 earned by our internal sales personnel and our solution providers are considered incremental and recoverable costs of obtaining a contract with a customer. The commission costs are capitalized and included in “Prepaid expenses and other current assets” and “Long-term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solution providers that are related to contract renewals may either be commensurate or non-commensurate with commissions earned on the initial contract, depending on the commissions program. Costs for initial contracts that are non-commensurate with commissions on renewal contracts are amortized on a straight-line basis over the period of benefit. For non-commensurate commissions, we determined the estimated period of benefit by taking into consideration customer retention data, customer contracts, our technology, and other factors. Costs for initial contracts that are commensurate with commissions on renewal contracts are amortized based on the contract term, which ranges from 1 to 3 years. Deferred costs are periodically reviewed for impairment. Amortization expense is included in marketing and sales expenses in the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Fair Value Measurement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 Quoted prices for identical instruments in active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for which there is little or no market data, which require Autodesk to develop its own assumptions.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and Level 2 assets.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 Autodesk’s Level 2 securities and derivatives are valued primarily using observable inputs other than quoted prices in active markets for identical assets and liabilities. The Company has elected to use the income approach to value derivatives using the observable Level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See Note 3, “Financial Instruments” for more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and Cash Equivalents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considers all highly liquid investments with insignificant interest rate risk and remaining maturities of three months or less at the date of purchase to be cash equivalents. Cash equivalents are stated at estimated fair value.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Marketable Securities and Strategic Investments</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classifies its marketable securities as either short-term or long-term generally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are stated at fair value. Marketable securities maturing within one year that are not restricted are classified as current assets.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strategic investments consist of privately held debt and equity securities.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measurement alternative method, strategic investments in equity securities are measured at cost, less any impairments, plus or minus changes resulting from observable price changes in orderly transactions for the identical or similar investment of the same issuer in the current period. The carrying value is not adjusted for the Company’s strategic investments in equity securities if there are no observable price changes in a same or similar security from the same issuer or if there are no identified events or changes in circumstances that may indicate impairment, as discussed below.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strategic investments in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estimated fair value of its strategic investments,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Autodesk’s marketable securities and strategic investments are subject to a periodic impairment review. Strategic investments in equity securities are assessed based on available information such as current cash positions, earnings, earnings and cash flow forecasts, recent operational performance and any other readily available market data. For any available-for-sale debt securities, if Autodesk does not intend to sell and it is not more likely than not that Autodesk will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the amortized cost basis and the fair value. Impairment will be assessed at the individual security level. Credit-related impairment is recognized as an allowance on the Consolidated Balance Sheets with a corresponding adjustment to “Interest and other expense, net” on the Company’s Consolidated Statements of Operations. Any impairment that is not credit-related is recognized in “Accumulated other comprehensive loss” on the Consolidated Balance Sheets.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Consolidated Statements of Operations. Any accrued interest receivable on available-for-sale debt securities is recorded in “Prepaid expenses and other current assets,” in the accompanying Consolidated Balance Sheets, as applicable.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Autodesk’s quarterly impairment assessment of privately held debt and equity securities strategic investment portfolio, the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“Concentration of Credit Risk” within this Note 1, “Business and Summary of Significant Accounting Policies” and Note 3, “Financial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Financial Instruments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Australian dollars, British pounds, Canadian dollars, Euros, Japanese yen, Norwegian krone, Singapore dollars, Swedish krona, and Swiss francs. These instruments generally have maturities between one and 12 months in the future. Autodesk uses foreign currency contracts not designated as hedging instruments and foreign currency contracts designated as cash flow hedges but Autodesk does not enter into derivative instrument transactions for trading or speculative purposes.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or options to acquire equity securities in a privately held company. These derivatives are recorded at fair value as of each balance sheet date and are recorded in “Long-term other assets.” Changes in the fair values of these instruments are recognized in “Interest and other income (expense), net.”</w:t>
      </w:r>
    </w:p>
    <w:p>
      <w:pPr>
        <w:pStyle w:val="TextBody"/>
        <w:bidi w:val="0"/>
        <w:spacing w:before="0" w:after="0"/>
        <w:jc w:val="both"/>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Translation and Transactions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in other comprehensive income (loss).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realized from foreign currency transactions, those transactions denominated in currencies other than the foreign subsidiary’s functional currency, are included in “Interest and other income (expense), net.” Monetary assets and liabilities are remeasured using foreign currency exchange rates at the end of the period, and non-monetary assets and liabilities are remeasured based on historical exchange rates.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Foreign Currency Contracts Designated as Cash Flow Hedges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income (expense), net” in the Company’s Consolidated Financial Statements at that time. Derivative contracts and related gain (loss) are presented within “Net cash provided by operating activities” in the Company’s Consolidated Statements of Cash Flow. See Note 3, “Financial Instruments” for additional information.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 Not Designated as Hedging Instruments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as of January 31:</w:t>
      </w:r>
    </w:p>
    <w:tbl>
      <w:tblPr>
        <w:tblW w:w="4838" w:type="dxa"/>
        <w:jc w:val="center"/>
        <w:tblInd w:w="0" w:type="dxa"/>
        <w:tblLayout w:type="fixed"/>
        <w:tblCellMar>
          <w:top w:w="28" w:type="dxa"/>
          <w:left w:w="28" w:type="dxa"/>
          <w:bottom w:w="28" w:type="dxa"/>
          <w:right w:w="28" w:type="dxa"/>
        </w:tblCellMar>
      </w:tblPr>
      <w:tblGrid>
        <w:gridCol w:w="1042"/>
        <w:gridCol w:w="917"/>
        <w:gridCol w:w="920"/>
        <w:gridCol w:w="196"/>
        <w:gridCol w:w="556"/>
        <w:gridCol w:w="109"/>
        <w:gridCol w:w="109"/>
        <w:gridCol w:w="109"/>
        <w:gridCol w:w="109"/>
        <w:gridCol w:w="196"/>
        <w:gridCol w:w="4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returns reserve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programs and other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customer-specific information. Allowances for credit losses on trade receivables and contract assets were not material as of January 31, 2025.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accounts receivable and deferred revenue in the period the transaction is billed. The portion recorded as deferred revenue is subsequently recognized as a reduction to subscription revenue over the contract period. The remainder reduces subscription or other revenue in the current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incentive balances do not require significant assumptions or judgments. Depending on how the payments are made, the reserves associated with the partner incentive program are recognized on the balance sheet as either a reduction to accounts receivable or recorded as accounts payable.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Concentration of Credit Risk</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Autodesk’s accounts receivable are derived from sales to a large number of resellers, distributors, and direct customers in the Americas, Europe, Middle East and Africa (“EMEA”), and Asia Pacific (“APAC”) geographies. Autodesk performs ongoing evaluations of these partners’ and customers’ financial condition and limits the amount of credit extended when deemed necessary, but generally does not require collateral from such parties. Total revenue from the Company’s largest distributor TD Synnex Corporation, and its global affiliates (“TD Synnex”), accounted for 33%, 39%, and 37% of Autodesk's net revenue for fiscal years ended January 31, 2025, 2024 and 2023, respectively. The majority of the net revenue from sales to TD Synnex is from sales made outside of the United States. In addition, TD Synnex accounted for 5% and 18% of trade accounts receivable as of January 31, 2025 and 2024, respectively. No other customer accounted for more than 10% of Autodesk’s total net revenue or trade accounts receivable for each of the respective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Intangible Assets, Net</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include customer relationships, developed technologies, trade names and patents, and other, and the related accumulated amortization. These assets are presented as “Intangible assets, net” in the Consolidated Balance Sheets. The majority of Autodesk’s intangible assets are amortized to expense over the estimated economic life, which ranges from 3 to 15 years. Amortization expense for intangible assets was $134 million in fiscal 2025, $89 million in fiscal 2024, and $98 million in fiscal 2023.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related accumulated amortization at January 31, 2025 were as follows:</w:t>
      </w:r>
    </w:p>
    <w:p>
      <w:pPr>
        <w:pStyle w:val="TextBody"/>
        <w:bidi w:val="0"/>
        <w:spacing w:before="0" w:after="0"/>
        <w:jc w:val="left"/>
        <w:rPr/>
      </w:pPr>
      <w:r>
        <w:rPr/>
      </w:r>
    </w:p>
    <w:tbl>
      <w:tblPr>
        <w:tblW w:w="8029" w:type="dxa"/>
        <w:jc w:val="left"/>
        <w:tblInd w:w="0" w:type="dxa"/>
        <w:tblLayout w:type="fixed"/>
        <w:tblCellMar>
          <w:top w:w="28" w:type="dxa"/>
          <w:left w:w="28" w:type="dxa"/>
          <w:bottom w:w="28" w:type="dxa"/>
          <w:right w:w="28" w:type="dxa"/>
        </w:tblCellMar>
      </w:tblPr>
      <w:tblGrid>
        <w:gridCol w:w="675"/>
        <w:gridCol w:w="591"/>
        <w:gridCol w:w="594"/>
        <w:gridCol w:w="485"/>
        <w:gridCol w:w="1376"/>
        <w:gridCol w:w="269"/>
        <w:gridCol w:w="109"/>
        <w:gridCol w:w="109"/>
        <w:gridCol w:w="109"/>
        <w:gridCol w:w="461"/>
        <w:gridCol w:w="1348"/>
        <w:gridCol w:w="260"/>
        <w:gridCol w:w="109"/>
        <w:gridCol w:w="109"/>
        <w:gridCol w:w="109"/>
        <w:gridCol w:w="196"/>
        <w:gridCol w:w="421"/>
        <w:gridCol w:w="109"/>
        <w:gridCol w:w="109"/>
        <w:gridCol w:w="109"/>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2" w:type="dxa"/>
            <w:gridSpan w:val="14"/>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patents</w:t>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the effects of foreign currency translation.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related accumulated amortization at January 31, 2024 were as follows:</w:t>
      </w:r>
    </w:p>
    <w:p>
      <w:pPr>
        <w:pStyle w:val="TextBody"/>
        <w:bidi w:val="0"/>
        <w:spacing w:before="0" w:after="0"/>
        <w:ind w:left="0" w:right="0" w:firstLine="495"/>
        <w:jc w:val="left"/>
        <w:rPr/>
      </w:pPr>
      <w:r>
        <w:rPr/>
      </w:r>
    </w:p>
    <w:tbl>
      <w:tblPr>
        <w:tblW w:w="7702" w:type="dxa"/>
        <w:jc w:val="left"/>
        <w:tblInd w:w="0" w:type="dxa"/>
        <w:tblLayout w:type="fixed"/>
        <w:tblCellMar>
          <w:top w:w="28" w:type="dxa"/>
          <w:left w:w="28" w:type="dxa"/>
          <w:bottom w:w="28" w:type="dxa"/>
          <w:right w:w="28" w:type="dxa"/>
        </w:tblCellMar>
      </w:tblPr>
      <w:tblGrid>
        <w:gridCol w:w="675"/>
        <w:gridCol w:w="591"/>
        <w:gridCol w:w="594"/>
        <w:gridCol w:w="485"/>
        <w:gridCol w:w="1376"/>
        <w:gridCol w:w="269"/>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316" w:type="dxa"/>
            <w:gridSpan w:val="8"/>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patents</w:t>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the effects of foreign currency translation.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amortization period for intangible assets during fiscal 2025 was 7.2 years. Expected future amortization expense for intangible assets for each of the fiscal years ended thereafter is as follows:</w:t>
      </w:r>
    </w:p>
    <w:tbl>
      <w:tblPr>
        <w:tblW w:w="3211" w:type="dxa"/>
        <w:jc w:val="center"/>
        <w:tblInd w:w="0" w:type="dxa"/>
        <w:tblLayout w:type="fixed"/>
        <w:tblCellMar>
          <w:top w:w="28" w:type="dxa"/>
          <w:left w:w="28" w:type="dxa"/>
          <w:bottom w:w="28" w:type="dxa"/>
          <w:right w:w="28" w:type="dxa"/>
        </w:tblCellMar>
      </w:tblPr>
      <w:tblGrid>
        <w:gridCol w:w="304"/>
        <w:gridCol w:w="267"/>
        <w:gridCol w:w="270"/>
        <w:gridCol w:w="600"/>
        <w:gridCol w:w="1294"/>
        <w:gridCol w:w="47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Computer Equipment, Software, Furniture, and Leasehold Improvements,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$43 million in fiscal 2025, $47 million in fiscal 2024, and $50 million in fiscal 2023. Impairment losses were not material in fiscal years ended January 31, 2025, 2024, and 2023.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software, furniture, leasehold improvements, and the related accumulated depreciation at January 31 were as follows:</w:t>
      </w:r>
    </w:p>
    <w:tbl>
      <w:tblPr>
        <w:tblW w:w="7238" w:type="dxa"/>
        <w:jc w:val="center"/>
        <w:tblInd w:w="0" w:type="dxa"/>
        <w:tblLayout w:type="fixed"/>
        <w:tblCellMar>
          <w:top w:w="28" w:type="dxa"/>
          <w:left w:w="28" w:type="dxa"/>
          <w:bottom w:w="28" w:type="dxa"/>
          <w:right w:w="28" w:type="dxa"/>
        </w:tblCellMar>
      </w:tblPr>
      <w:tblGrid>
        <w:gridCol w:w="1961"/>
        <w:gridCol w:w="1723"/>
        <w:gridCol w:w="1730"/>
        <w:gridCol w:w="196"/>
        <w:gridCol w:w="421"/>
        <w:gridCol w:w="109"/>
        <w:gridCol w:w="109"/>
        <w:gridCol w:w="109"/>
        <w:gridCol w:w="109"/>
        <w:gridCol w:w="196"/>
        <w:gridCol w:w="421"/>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hardware, at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 at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equipment, at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 land and buildings, at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software, furniture, and leasehold improvements,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 Autodesk had no material capitalized internal use software development costs at January 31, 2025 and 2024.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Software Development Costs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development costs for external use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two-year period, if material. Autodesk had no material capitalized software development costs at January 31, 2025 and 2024.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Cloud Computing Arrangements</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Consolidated Balance Sheets. Capitalized costs were $327 million and $254 million at January 31, 2025, and January 31, 2024, respectively. Accumulated amortization was $136 million and $83 million at January 31, 2025, and January 31, 2024, respectively. Amortization expense was $53 million, $42 million, and $24 million in fiscal 2025, fiscal 2024, and fiscal 2023, respectively.</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determines if an arrangement is a lease at inception. Operating leases are included in “Operating lease right-of-use assets,” “Operating lease liabilities,” and “Long-term operating lease liabilities” in the Consolidated Balance Sheets.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represent Autodesk’s right to use an underlying asset for the lease term and operating lease liabilities represent the Company’s obligation to make lease payments arising from the lease. Operating lease right-of-use assets and operating lease liabilities are recognized at commencement date based on the present value of lease payments over the lease term. The operating lease right-of-use assets also include any lease payments made and are reduced by any lease incentives. Autodesk uses its incremental borrowing rate, if the Company’s leases do not provide an implicit rate, adjusted for local country-specific borrowing rates as applicable, based on the information available at commencement date in determining the present value of lease payments. Options to extend or terminate the lease are considered in determining the lease term when it is reasonably certain that the option will be exercised. Lease expense for lease payments is recognized on a straight-line basis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has lease agreements with lease and non-lease components. Autodesk accounts for the lease and non-lease components as a single lease component.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Business Combinations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records the tangible and intangible assets acquired and liabilities assumed in a business combination based on their estimated fair values at the date of the respective acquisition, with the exception of contract assets and contract liabilities (i.e., deferred revenue) which are recognized and measured on the acquisition date in accordance with Autodesk’s “Revenue Recognition” policy in Note 1 “Business and Summary of Significant Accounting Policies”. The fair values assigned to the identifiable intangible assets acquired are based on estimates and assumptions determined by management. Autodesk records the excess of consideration transferred over the aggregate fair values as goodwill. During the measurement period, which may be up to one year from the acquisition date, Autodesk may record adjustments to these tangible and intangible assets acquired and liabilities assumed, with the corresponding offset to goodwill.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Impairment of Long-Lived Assets</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the recoverability of these assets.  Recoverability is measured by comparison of the carrying amounts of the assets to the future undiscounted cash flow the assets are expected to generate generally using Level 3 inputs. If the long-lived assets are impaired, the impairment to be recognized is equal to the amount by which the carrying value of the assets exceeds its fair market value. See Note 9, “Leases” for further discussion on impairment charges of lease related right-of-assets.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its reporting unit.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tests goodwill for impairment by performing a quantitative assessment of whether fair value of the reporting unit is greater than its carrying value. In situations in which an entity’s reporting unit is publicly traded, the fair value of the company may be approximated by its market capitalization, in performing the quantitative impairment test.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exists when the estimated fair value of goodwill is less than its carrying value. If impairment exists, the carrying value of the goodwill is reduced to fair value through an impairment charge recorded in the Company’s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annual impairment test, Autodesk’s market capitalization was substantially in excess of the carrying value of the Company as of January 31, 2025. Accordingly, Autodesk has determined there was no goodwill impairment of our reporting unit during the fiscal year ended January 31, 2025. In addition, Autodesk did not recognize any goodwill impairment losses in fiscal 2024 or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during the fiscal years ended January 31, 2025 and 2024:</w:t>
      </w:r>
    </w:p>
    <w:tbl>
      <w:tblPr>
        <w:tblW w:w="8800" w:type="dxa"/>
        <w:jc w:val="left"/>
        <w:tblInd w:w="0" w:type="dxa"/>
        <w:tblLayout w:type="fixed"/>
        <w:tblCellMar>
          <w:top w:w="28" w:type="dxa"/>
          <w:left w:w="28" w:type="dxa"/>
          <w:bottom w:w="28" w:type="dxa"/>
          <w:right w:w="28" w:type="dxa"/>
        </w:tblCellMar>
      </w:tblPr>
      <w:tblGrid>
        <w:gridCol w:w="2042"/>
        <w:gridCol w:w="1796"/>
        <w:gridCol w:w="1802"/>
        <w:gridCol w:w="317"/>
        <w:gridCol w:w="901"/>
        <w:gridCol w:w="176"/>
        <w:gridCol w:w="109"/>
        <w:gridCol w:w="109"/>
        <w:gridCol w:w="109"/>
        <w:gridCol w:w="311"/>
        <w:gridCol w:w="884"/>
        <w:gridCol w:w="244"/>
      </w:tblGrid>
      <w:tr>
        <w:trPr/>
        <w:tc>
          <w:tcPr>
            <w:tcW w:w="204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beginning of the year (1)</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arising from acquisitions during the year</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 and measurement period adjustments (2)</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end of the year (1)</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pPr>
      <w:r>
        <w:rPr>
          <w:rFonts w:ascii="Times New Roman;sans-serif" w:hAnsi="Times New Roman;sans-serif"/>
          <w:b w:val="false"/>
          <w:color w:val="000000"/>
          <w:sz w:val="18"/>
        </w:rPr>
        <w:t xml:space="preserve">(1)Accumulated impairment losses as of both </w:t>
      </w:r>
      <w:r>
        <w:rPr>
          <w:rFonts w:ascii="Times New Roman;sans-serif" w:hAnsi="Times New Roman;sans-serif"/>
          <w:b w:val="false"/>
          <w:color w:val="000000"/>
          <w:sz w:val="20"/>
        </w:rPr>
        <w:t>January 31, 2025 and 2024, were $149 million.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(2)Measurement period adjustments reflect revisions made to the Company's preliminary determination of estimated fair value of assets and liabilities assumed.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Portugal, New Zealand, California, Michigan and Massachusetts deferred tax assets, and deferred tax assets relating to capital losses and assets that will convert into capital loss upon reversal in Australia and the U.S. Autodesk performs a quarterly assessment of the recoverability of these net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 Expense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for fiscal 2025, 2024, and 2023, as follows:</w:t>
      </w:r>
    </w:p>
    <w:tbl>
      <w:tblPr>
        <w:tblW w:w="10205" w:type="dxa"/>
        <w:jc w:val="center"/>
        <w:tblInd w:w="0" w:type="dxa"/>
        <w:tblLayout w:type="fixed"/>
        <w:tblCellMar>
          <w:top w:w="28" w:type="dxa"/>
          <w:left w:w="28" w:type="dxa"/>
          <w:bottom w:w="28" w:type="dxa"/>
          <w:right w:w="28" w:type="dxa"/>
        </w:tblCellMar>
      </w:tblPr>
      <w:tblGrid>
        <w:gridCol w:w="2670"/>
        <w:gridCol w:w="2322"/>
        <w:gridCol w:w="2335"/>
        <w:gridCol w:w="196"/>
        <w:gridCol w:w="421"/>
        <w:gridCol w:w="109"/>
        <w:gridCol w:w="109"/>
        <w:gridCol w:w="109"/>
        <w:gridCol w:w="109"/>
        <w:gridCol w:w="196"/>
        <w:gridCol w:w="421"/>
        <w:gridCol w:w="109"/>
        <w:gridCol w:w="109"/>
        <w:gridCol w:w="109"/>
        <w:gridCol w:w="109"/>
        <w:gridCol w:w="196"/>
        <w:gridCol w:w="421"/>
        <w:gridCol w:w="155"/>
      </w:tblGrid>
      <w:tr>
        <w:trPr/>
        <w:tc>
          <w:tcPr>
            <w:tcW w:w="2670"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7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 and maintenance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other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related to stock awards and Employee Qualified Stock Purchase Plan ("ESPP") purchases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related to stock awards and ESPP purchases,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measures stock-based compensation cost at the grant date fair value of the award, and recognizes expense ratably over the requisite service period, which is generally the vesting period. Autodesk determines the grant date fair value of its stock-based payment awards for grants of employee stock purchases related to the employee stock purchase plan using the Black-Scholes-Merton (“BSM”) option-pricing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when awards are granted and adjusted as needed. Stock-based compensation cost for restricted stock is measured on the closing fair market value of our common stock on the date of grant. Autodesk uses the following assumptions to estimate the fair value of stock-based awards:</w:t>
      </w:r>
    </w:p>
    <w:tbl>
      <w:tblPr>
        <w:tblW w:w="10205" w:type="dxa"/>
        <w:jc w:val="center"/>
        <w:tblInd w:w="0" w:type="dxa"/>
        <w:tblLayout w:type="fixed"/>
        <w:tblCellMar>
          <w:top w:w="28" w:type="dxa"/>
          <w:left w:w="28" w:type="dxa"/>
          <w:bottom w:w="28" w:type="dxa"/>
          <w:right w:w="28" w:type="dxa"/>
        </w:tblCellMar>
      </w:tblPr>
      <w:tblGrid>
        <w:gridCol w:w="579"/>
        <w:gridCol w:w="425"/>
        <w:gridCol w:w="429"/>
        <w:gridCol w:w="109"/>
        <w:gridCol w:w="109"/>
        <w:gridCol w:w="109"/>
        <w:gridCol w:w="448"/>
        <w:gridCol w:w="448"/>
        <w:gridCol w:w="449"/>
        <w:gridCol w:w="126"/>
        <w:gridCol w:w="126"/>
        <w:gridCol w:w="126"/>
        <w:gridCol w:w="235"/>
        <w:gridCol w:w="235"/>
        <w:gridCol w:w="240"/>
        <w:gridCol w:w="109"/>
        <w:gridCol w:w="109"/>
        <w:gridCol w:w="109"/>
        <w:gridCol w:w="109"/>
        <w:gridCol w:w="109"/>
        <w:gridCol w:w="448"/>
        <w:gridCol w:w="448"/>
        <w:gridCol w:w="449"/>
        <w:gridCol w:w="126"/>
        <w:gridCol w:w="126"/>
        <w:gridCol w:w="126"/>
        <w:gridCol w:w="235"/>
        <w:gridCol w:w="235"/>
        <w:gridCol w:w="240"/>
        <w:gridCol w:w="109"/>
        <w:gridCol w:w="109"/>
        <w:gridCol w:w="109"/>
        <w:gridCol w:w="109"/>
        <w:gridCol w:w="109"/>
        <w:gridCol w:w="448"/>
        <w:gridCol w:w="448"/>
        <w:gridCol w:w="449"/>
        <w:gridCol w:w="126"/>
        <w:gridCol w:w="126"/>
        <w:gridCol w:w="126"/>
        <w:gridCol w:w="219"/>
        <w:gridCol w:w="219"/>
        <w:gridCol w:w="328"/>
      </w:tblGrid>
      <w:tr>
        <w:trPr/>
        <w:tc>
          <w:tcPr>
            <w:tcW w:w="57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Range of expected volatilities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29.4 - 31.4%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28.7 - 34.5%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40.9 - 42.5%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29.4 - 42.4%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39.4 - 40.7%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38.3 - 44.9%</w:t>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Range of expected lives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0.5 - 2.0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0.5 - 2.0</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Range of risk-free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3.6 - 5.4%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4.3 - 4.7%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1.2 - 1.6%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0.9 - 3.9%</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range of expected lives of ESPP awards are based upon the four six-month exercise periods within a 24-month offering period.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did not pay cash dividends in fiscal 2025, 2024, or 2023 and does not anticipate paying any cash dividends in the foreseeable future. Consequently, an expected dividend yield of zero is used in the BSM option pricing model and the Monte Carlo simulation model.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used in the BSM option pricing model and the Monte Carlo simulation model for stock-based awards is the historical yield on U.S. Treasury securities with equivalent remaining lives.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recognizes expense only for the stock-based awards that ultimately vest. Autodesk accounts for forfeitures of stock-based awards as those forfeitures occur.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Advertising Expenses</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Total advertising expenses incurred were $54 million in fiscal 2025, $64 million in fiscal 2024, and $69 million in fiscal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Income Per Share</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using the weighted average number of shares of common stock outstanding during the period. Diluted net income per share is computed using the weighted average shares of common stock outstanding during the period and potentially dilutive common shares, including the effect of restricted stock units, performance share awards, and stock options using the treasury stock method.</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Defined Benefit Pension Plans</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benefit cost is recorded in the Consolidated Statements of Operations and includes service cost, interest cost, expected return on plan assets, amortization of prior service costs, and gains or losses previously recognized as a component of other comprehensive income (loss). Certain events, such as changes in the employee base, plan amendments, and changes in actuarial assumptions may result in a change in the defined benefit obligation and the corresponding change to other comprehensive loss.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and prior service costs not recognized as a component of net periodic benefit cost in the Consolidated Statements of Operations as they arise are recognized as a component of other comprehensive income (loss) in the Consolidated Statements of Comprehensive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Accounting Standards in Fiscal 2025</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those discussed below, there have been no recent changes in accounting pronouncements issued by FASB or adopted by the Company during the fiscal year ended January 31, 2025, that are applicable to the Company.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Accounting Standards Adopted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Autodesk adopted the annual disclosures of ASU 2023-07 for our fiscal year ended January 31, 2025. ASU 2023-07 is effective for interim periods for Autodesk’s fiscal year beginning February 1, 2025, and should be applied on a retrospective basis.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Recently issued accounting standards not yet adopted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and disclosure of the total amount of selling expenses, and in annual reporting periods, Autodesk’s definition of selling expenses. In addition, the FASB issued ASU No. 2025-01 to clarify the requirement to adopt the guidance in annual reporting periods beginning after December 15, 2026, and interim periods within annual reporting periods beginning after December 15, 2027. ASU 2024-03 is effective for Autodesk’s fiscal year beginning February 1, 2027, and interim periods for Autodesk’s fiscal year beginning February 1, 2028. Early adoption is permitted. Autodesk is currently evaluating the effect of adopting ASU 2024-03 on its disclosures.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Autodesk’s fiscal year beginning February 1, 2025 on a prospective basis. Autodesk is currently evaluating the effect of adopting ASU 2023-09 on its disclosures.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Revenue Recognition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Disaggregation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recognizes revenue from the sale of (1) product subscriptions, cloud service offerings, and EBAs, (2) renewal fees for existing maintenance plan agreements that were initially purchased with a perpetual software license, and (3) consulting and other products and services. The three categories are presented as line items on Autodesk’s Consolidated Statements of Operations.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Information regarding the components of Autodesk’s net revenue from contracts with customers by product family, geographic location, sales channel, and product type was as follows:</w:t>
      </w:r>
      <w:r>
        <w:rPr>
          <w:color w:val="000000"/>
        </w:rPr>
        <w:t> </w:t>
      </w:r>
    </w:p>
    <w:tbl>
      <w:tblPr>
        <w:tblW w:w="7347" w:type="dxa"/>
        <w:jc w:val="left"/>
        <w:tblInd w:w="0" w:type="dxa"/>
        <w:tblLayout w:type="fixed"/>
        <w:tblCellMar>
          <w:top w:w="28" w:type="dxa"/>
          <w:left w:w="28" w:type="dxa"/>
          <w:bottom w:w="28" w:type="dxa"/>
          <w:right w:w="28" w:type="dxa"/>
        </w:tblCellMar>
      </w:tblPr>
      <w:tblGrid>
        <w:gridCol w:w="1474"/>
        <w:gridCol w:w="1292"/>
        <w:gridCol w:w="1299"/>
        <w:gridCol w:w="196"/>
        <w:gridCol w:w="556"/>
        <w:gridCol w:w="109"/>
        <w:gridCol w:w="109"/>
        <w:gridCol w:w="109"/>
        <w:gridCol w:w="109"/>
        <w:gridCol w:w="196"/>
        <w:gridCol w:w="556"/>
        <w:gridCol w:w="109"/>
        <w:gridCol w:w="109"/>
        <w:gridCol w:w="109"/>
        <w:gridCol w:w="109"/>
        <w:gridCol w:w="196"/>
        <w:gridCol w:w="55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family:</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Architecture, Engineering, Construction and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AutoCAD and AutoCAD LT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Media and Entertainment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geographic area: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Americas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sales channel:</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type: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extBody"/>
        <w:bidi w:val="0"/>
        <w:spacing w:before="0" w:after="0"/>
        <w:ind w:left="0" w:right="0" w:hanging="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product subscriptions, cloud subscriptions, and maintenance subscriptions are typically due in annual installments or up front with payment terms of 30 to 45 days. Payments on EBAs are typically due up front or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pStyle w:val="TextBody"/>
        <w:bidi w:val="0"/>
        <w:spacing w:before="0" w:after="0"/>
        <w:ind w:left="0" w:right="0" w:firstLine="45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consist of total short-term, long-term, and unbilled deferred revenue. As of January 31, 2025, Autodesk had remaining performance obligations of $6.94 billion, which represents the total transaction price allocated to remaining performance obligations, which are generally recognized over the next three years. We expect to recognize $4.46 billion or 64% of our remaining performance obligations as revenue during the next 12 months. We expect to recognize the remaining $2.48 billion or 36% of our remaining performance obligations as revenue thereafter.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remaining performance obligations may be impacted by the specific timing, duration, and size of customer subscription and support agreements, the specific timing of customer renewals, and foreign currency fluctuations.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225"/>
        <w:jc w:val="left"/>
        <w:rPr/>
      </w:pPr>
      <w:r>
        <w:rPr>
          <w:rFonts w:ascii="Times New Roman;sans-serif" w:hAnsi="Times New Roman;sans-serif"/>
          <w:b w:val="false"/>
          <w:i/>
          <w:color w:val="000000"/>
          <w:sz w:val="20"/>
          <w:u w:val="single"/>
        </w:rPr>
        <w:t>Contract Balances</w:t>
      </w:r>
      <w:r>
        <w:rPr>
          <w:color w:val="000000"/>
        </w:rPr>
        <w:t xml:space="preserve">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payments from customers based on a billing schedule as established in our contracts. Contract assets relate to performance completed in advance of scheduled billings. Contract assets were not material as of January 31, 2025. Deferred revenue relates to billings in advance of performance under the contract. The primary changes in our contract assets and deferred revenues are due to our performance under the contracts and billings.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fiscal years ended January 31, 2025 and 2024, that was included in the deferred revenue balances at January 31, 2024 and 2023, was $3.49 billion and $3.20 billion, respectively. The satisfaction of performance obligations typically lags behind billings under revenue contracts from customers.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Financial Instruments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financial instruments by significant investment category as of January 31, 2025 and 2024. </w:t>
      </w:r>
    </w:p>
    <w:tbl>
      <w:tblPr>
        <w:tblW w:w="10205" w:type="dxa"/>
        <w:jc w:val="left"/>
        <w:tblInd w:w="0" w:type="dxa"/>
        <w:tblLayout w:type="fixed"/>
        <w:tblCellMar>
          <w:top w:w="28" w:type="dxa"/>
          <w:left w:w="28" w:type="dxa"/>
          <w:bottom w:w="28" w:type="dxa"/>
          <w:right w:w="28" w:type="dxa"/>
        </w:tblCellMar>
      </w:tblPr>
      <w:tblGrid>
        <w:gridCol w:w="172"/>
        <w:gridCol w:w="151"/>
        <w:gridCol w:w="151"/>
        <w:gridCol w:w="310"/>
        <w:gridCol w:w="308"/>
        <w:gridCol w:w="251"/>
        <w:gridCol w:w="800"/>
        <w:gridCol w:w="681"/>
        <w:gridCol w:w="654"/>
        <w:gridCol w:w="251"/>
        <w:gridCol w:w="712"/>
        <w:gridCol w:w="140"/>
        <w:gridCol w:w="109"/>
        <w:gridCol w:w="109"/>
        <w:gridCol w:w="109"/>
        <w:gridCol w:w="404"/>
        <w:gridCol w:w="836"/>
        <w:gridCol w:w="226"/>
        <w:gridCol w:w="109"/>
        <w:gridCol w:w="109"/>
        <w:gridCol w:w="109"/>
        <w:gridCol w:w="409"/>
        <w:gridCol w:w="847"/>
        <w:gridCol w:w="229"/>
        <w:gridCol w:w="109"/>
        <w:gridCol w:w="109"/>
        <w:gridCol w:w="109"/>
        <w:gridCol w:w="199"/>
        <w:gridCol w:w="566"/>
        <w:gridCol w:w="110"/>
        <w:gridCol w:w="109"/>
        <w:gridCol w:w="109"/>
        <w:gridCol w:w="109"/>
        <w:gridCol w:w="109"/>
        <w:gridCol w:w="109"/>
        <w:gridCol w:w="109"/>
        <w:gridCol w:w="163"/>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mortgage-backed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7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primarily of corporate debt securities.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(4)Consists primarily of agency collateralized mortgage obligations and supranational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(5)See Note 7,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Consolidated Balance Sheets.</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2"/>
        <w:gridCol w:w="151"/>
        <w:gridCol w:w="151"/>
        <w:gridCol w:w="310"/>
        <w:gridCol w:w="308"/>
        <w:gridCol w:w="251"/>
        <w:gridCol w:w="800"/>
        <w:gridCol w:w="738"/>
        <w:gridCol w:w="598"/>
        <w:gridCol w:w="251"/>
        <w:gridCol w:w="712"/>
        <w:gridCol w:w="140"/>
        <w:gridCol w:w="109"/>
        <w:gridCol w:w="109"/>
        <w:gridCol w:w="109"/>
        <w:gridCol w:w="404"/>
        <w:gridCol w:w="836"/>
        <w:gridCol w:w="226"/>
        <w:gridCol w:w="109"/>
        <w:gridCol w:w="109"/>
        <w:gridCol w:w="109"/>
        <w:gridCol w:w="409"/>
        <w:gridCol w:w="847"/>
        <w:gridCol w:w="229"/>
        <w:gridCol w:w="109"/>
        <w:gridCol w:w="109"/>
        <w:gridCol w:w="109"/>
        <w:gridCol w:w="199"/>
        <w:gridCol w:w="566"/>
        <w:gridCol w:w="110"/>
        <w:gridCol w:w="109"/>
        <w:gridCol w:w="109"/>
        <w:gridCol w:w="109"/>
        <w:gridCol w:w="109"/>
        <w:gridCol w:w="109"/>
        <w:gridCol w:w="109"/>
        <w:gridCol w:w="162"/>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6"/>
            <w:tcBorders/>
          </w:tcPr>
          <w:p>
            <w:pPr>
              <w:pStyle w:val="TableContents"/>
              <w:bidi w:val="0"/>
              <w:spacing w:before="0" w:after="283"/>
              <w:jc w:val="left"/>
              <w:rPr>
                <w:sz w:val="4"/>
                <w:szCs w:val="4"/>
              </w:rPr>
            </w:pPr>
            <w:r>
              <w:rPr>
                <w:sz w:val="4"/>
                <w:szCs w:val="4"/>
              </w:rPr>
            </w:r>
          </w:p>
        </w:tc>
      </w:tr>
      <w:tr>
        <w:trPr/>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mortgage-backed securities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7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(2)Consists primarily of mortgage-backed securities and corporate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U.S. government securities, mortgage-backed securities, certificates of deposit, and agency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(4)Consists primarily of agency bonds, agency collateralized mortgage obligations, and mortgage-backed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(5)See Note 7, "Deferred Compensation" for more information.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values of investments classified as marketable debt securities by contractual maturity date as of January 31, 2025: </w:t>
      </w:r>
    </w:p>
    <w:tbl>
      <w:tblPr>
        <w:tblW w:w="3329" w:type="dxa"/>
        <w:jc w:val="left"/>
        <w:tblInd w:w="0" w:type="dxa"/>
        <w:tblLayout w:type="fixed"/>
        <w:tblCellMar>
          <w:top w:w="28" w:type="dxa"/>
          <w:left w:w="28" w:type="dxa"/>
          <w:bottom w:w="28" w:type="dxa"/>
          <w:right w:w="28" w:type="dxa"/>
        </w:tblCellMar>
      </w:tblPr>
      <w:tblGrid>
        <w:gridCol w:w="871"/>
        <w:gridCol w:w="760"/>
        <w:gridCol w:w="769"/>
        <w:gridCol w:w="236"/>
        <w:gridCol w:w="508"/>
        <w:gridCol w:w="185"/>
      </w:tblGrid>
      <w:tr>
        <w:trPr/>
        <w:tc>
          <w:tcPr>
            <w:tcW w:w="87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1 year</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in 1 year through 5 years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in 5 years through 10 years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10 years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both January 31, 2025 and 2024,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fiscal 2025.</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monitors all marketable debt securities for potential credit losses by reviewing indicators such as, but not limited to, current credit rating, change in credit rating, credit outlook, and default risk. There were no allowances for credit losses as of both January 31, 2025 and 2024. There were no write offs of accrued interest receivables for both fiscal 2025 and 2024.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realized gain or loss for the sales or redemptions of debt securities during fiscal 2025, 2024, and 2023. Realized gains and losses from the sale or redemption of marketable securities are recorded in “Interest and other income (expense), net” on the Company’s Consolidated Statements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sale and maturity of marketable debt securities were as follows: </w:t>
      </w:r>
    </w:p>
    <w:tbl>
      <w:tblPr>
        <w:tblW w:w="4886" w:type="dxa"/>
        <w:jc w:val="left"/>
        <w:tblInd w:w="0" w:type="dxa"/>
        <w:tblLayout w:type="fixed"/>
        <w:tblCellMar>
          <w:top w:w="28" w:type="dxa"/>
          <w:left w:w="28" w:type="dxa"/>
          <w:bottom w:w="28" w:type="dxa"/>
          <w:right w:w="28" w:type="dxa"/>
        </w:tblCellMar>
      </w:tblPr>
      <w:tblGrid>
        <w:gridCol w:w="728"/>
        <w:gridCol w:w="638"/>
        <w:gridCol w:w="643"/>
        <w:gridCol w:w="196"/>
        <w:gridCol w:w="421"/>
        <w:gridCol w:w="109"/>
        <w:gridCol w:w="109"/>
        <w:gridCol w:w="109"/>
        <w:gridCol w:w="109"/>
        <w:gridCol w:w="196"/>
        <w:gridCol w:w="421"/>
        <w:gridCol w:w="109"/>
        <w:gridCol w:w="109"/>
        <w:gridCol w:w="109"/>
        <w:gridCol w:w="109"/>
        <w:gridCol w:w="196"/>
        <w:gridCol w:w="42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Marketable debt securities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investments in equity securities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and 2024, Autodesk had $168 million and $162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the carrying value of our strategic investments in equity securities with no readily determined fair values measured using the measurement alternative are included in Interest and Other Income (Expense), net on the Company’s Consolidated Statements of Operations. These adjustments were as follows:</w:t>
      </w:r>
    </w:p>
    <w:tbl>
      <w:tblPr>
        <w:tblW w:w="8377" w:type="dxa"/>
        <w:jc w:val="left"/>
        <w:tblInd w:w="0" w:type="dxa"/>
        <w:tblLayout w:type="fixed"/>
        <w:tblCellMar>
          <w:top w:w="28" w:type="dxa"/>
          <w:left w:w="28" w:type="dxa"/>
          <w:bottom w:w="28" w:type="dxa"/>
          <w:right w:w="28" w:type="dxa"/>
        </w:tblCellMar>
      </w:tblPr>
      <w:tblGrid>
        <w:gridCol w:w="1195"/>
        <w:gridCol w:w="1050"/>
        <w:gridCol w:w="1054"/>
        <w:gridCol w:w="196"/>
        <w:gridCol w:w="406"/>
        <w:gridCol w:w="109"/>
        <w:gridCol w:w="109"/>
        <w:gridCol w:w="109"/>
        <w:gridCol w:w="109"/>
        <w:gridCol w:w="196"/>
        <w:gridCol w:w="406"/>
        <w:gridCol w:w="109"/>
        <w:gridCol w:w="109"/>
        <w:gridCol w:w="109"/>
        <w:gridCol w:w="109"/>
        <w:gridCol w:w="196"/>
        <w:gridCol w:w="316"/>
        <w:gridCol w:w="109"/>
        <w:gridCol w:w="109"/>
        <w:gridCol w:w="109"/>
        <w:gridCol w:w="109"/>
        <w:gridCol w:w="578"/>
        <w:gridCol w:w="1020"/>
        <w:gridCol w:w="456"/>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Cumulative Amount as of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Upward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Negative adjustments, including impairments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does not consider the remaining investments to be impaired as of January 31, 2025.</w:t>
      </w:r>
    </w:p>
    <w:p>
      <w:pPr>
        <w:pStyle w:val="TextBody"/>
        <w:bidi w:val="0"/>
        <w:spacing w:before="100" w:after="283"/>
        <w:ind w:left="0" w:right="0" w:firstLine="495"/>
        <w:jc w:val="center"/>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Fair Value</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financial instruments measured at fair value on a recurring basis by significant investment category as of January 31, 2025 and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9076" w:type="dxa"/>
        <w:jc w:val="left"/>
        <w:tblInd w:w="0" w:type="dxa"/>
        <w:tblLayout w:type="fixed"/>
        <w:tblCellMar>
          <w:top w:w="28" w:type="dxa"/>
          <w:left w:w="28" w:type="dxa"/>
          <w:bottom w:w="28" w:type="dxa"/>
          <w:right w:w="28" w:type="dxa"/>
        </w:tblCellMar>
      </w:tblPr>
      <w:tblGrid>
        <w:gridCol w:w="201"/>
        <w:gridCol w:w="177"/>
        <w:gridCol w:w="177"/>
        <w:gridCol w:w="337"/>
        <w:gridCol w:w="337"/>
        <w:gridCol w:w="337"/>
        <w:gridCol w:w="790"/>
        <w:gridCol w:w="790"/>
        <w:gridCol w:w="790"/>
        <w:gridCol w:w="109"/>
        <w:gridCol w:w="109"/>
        <w:gridCol w:w="109"/>
        <w:gridCol w:w="109"/>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assets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liabilities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primarily of corporate debt securities.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(4)Consists primarily of agency collateralized mortgage obligations and supranational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(5)See Note 7,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Consolidated Balance Sheets.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(7)Included in “Other accrued liabilities” in the accompanying Consolidated Balance Sheets.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9211" w:type="dxa"/>
        <w:jc w:val="left"/>
        <w:tblInd w:w="0" w:type="dxa"/>
        <w:tblLayout w:type="fixed"/>
        <w:tblCellMar>
          <w:top w:w="28" w:type="dxa"/>
          <w:left w:w="28" w:type="dxa"/>
          <w:bottom w:w="28" w:type="dxa"/>
          <w:right w:w="28" w:type="dxa"/>
        </w:tblCellMar>
      </w:tblPr>
      <w:tblGrid>
        <w:gridCol w:w="201"/>
        <w:gridCol w:w="177"/>
        <w:gridCol w:w="177"/>
        <w:gridCol w:w="337"/>
        <w:gridCol w:w="337"/>
        <w:gridCol w:w="337"/>
        <w:gridCol w:w="790"/>
        <w:gridCol w:w="790"/>
        <w:gridCol w:w="790"/>
        <w:gridCol w:w="109"/>
        <w:gridCol w:w="109"/>
        <w:gridCol w:w="109"/>
        <w:gridCol w:w="109"/>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39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assets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liabilities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(2)Consists primarily of mortgage-backed securities and corporate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U.S. government securities, mortgage-backed securities, certificates of deposit, and agency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(4)Consists primarily of agency bonds, agency collateralized mortgage obligations, and mortgage-backed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(5)See Note 7, "Deferred Compensation" for more information.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Consolidated Balance Sheets.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(7)Included in “Other accrued liabilities” in the accompanying Consolidated Balance Sheets.</w:t>
      </w:r>
    </w:p>
    <w:p>
      <w:pPr>
        <w:pStyle w:val="TextBody"/>
        <w:bidi w:val="0"/>
        <w:spacing w:before="0" w:after="0"/>
        <w:ind w:left="0" w:right="0" w:firstLine="72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Equity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 Plans</w:t>
      </w:r>
    </w:p>
    <w:p>
      <w:pPr>
        <w:pStyle w:val="TextBody"/>
        <w:bidi w:val="0"/>
        <w:spacing w:before="0" w:after="0"/>
        <w:ind w:left="0" w:right="0" w:firstLine="22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2022 Equity Incentive Plan (the “2022 Plan”) was approved by Autodesk’s stockholders and became effective on June 16, 2022. The 2022 Plan replaced the 2012 Employee Stock Plan, as amended, and the 2012 Outside Directors’ Stock Plan, as amended (collectively, the “Prior Plans”), and no further equity awards may be granted under the Prior Plans. The 2022 Plan reserves up to 23 million shares. The 2022 Plan permits the grant of stock options, restricted stock units, and restricted stock awards to employees and non-employee members of the Board of Directors. Each restricted stock unit or restricted stock award granted will be counted against the shares authorized for issuance under the 2022 Plan as 2.08 shares. If a granted option, restricted stock unit, or restricted stock award expires or becomes unexercisable for any reason, the unpurchased or forfeited shares that were granted may be returned to the 2022 Plan and may become available for future grant under the 2022 Plan. As of January 31, 2025, 16 million shares subject to restricted stock units and restricted stock awards have been granted under the 2022 Plan. Restricted stock units that were granted under the 2022 Plan vest over one to three years from the date of grant. The 2022 Plan will expire on March 17, 2032. At January 31, 2025, approximately 8 million shares were available for future issuance under the 2022 Plan.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sections summarize activity under Autodesk’s stock plans.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activity for the fiscal year ended January 31, 2025, was as follows:</w:t>
      </w:r>
    </w:p>
    <w:tbl>
      <w:tblPr>
        <w:tblW w:w="10205" w:type="dxa"/>
        <w:jc w:val="center"/>
        <w:tblInd w:w="0" w:type="dxa"/>
        <w:tblLayout w:type="fixed"/>
        <w:tblCellMar>
          <w:top w:w="28" w:type="dxa"/>
          <w:left w:w="28" w:type="dxa"/>
          <w:bottom w:w="28" w:type="dxa"/>
          <w:right w:w="28" w:type="dxa"/>
        </w:tblCellMar>
      </w:tblPr>
      <w:tblGrid>
        <w:gridCol w:w="1120"/>
        <w:gridCol w:w="978"/>
        <w:gridCol w:w="984"/>
        <w:gridCol w:w="1108"/>
        <w:gridCol w:w="1108"/>
        <w:gridCol w:w="1111"/>
        <w:gridCol w:w="109"/>
        <w:gridCol w:w="109"/>
        <w:gridCol w:w="109"/>
        <w:gridCol w:w="681"/>
        <w:gridCol w:w="2245"/>
        <w:gridCol w:w="543"/>
      </w:tblGrid>
      <w:tr>
        <w:trPr/>
        <w:tc>
          <w:tcPr>
            <w:tcW w:w="11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Unreleased Restricted Stock 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at January 31, 2024</w:t>
            </w:r>
          </w:p>
        </w:tc>
        <w:tc>
          <w:tcPr>
            <w:tcW w:w="2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5,371 </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203.87 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Canceled/Forfeited </w:t>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(1)</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at January 31, 2025</w:t>
            </w:r>
          </w:p>
        </w:tc>
        <w:tc>
          <w:tcPr>
            <w:tcW w:w="22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(1)Based on Autodesk’s financial results and relative total stockholder return for the fiscal 2024 performance period. The performance stock units were attained at rates ranging from 75% to 96% of the target award.</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restricted stock granted during fiscal years ended January 31, 2025, 2024, and 2023, the weighted average grant date fair values were $245.32, $200.53, and $198.89, respectively. The fair value of the shares vested during fiscal years ended January 31, 2025, 2024, and 2023 were $785 million, $580 million, and $490 million,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2025, Autodesk granted 3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January 31, 2025 and 2024, Autodesk settled liability-classified awards of $4 million and $15 million, respectively. As these awards were settled in a fixed dollar amount of shares, the awards were accounted for as a liability-classified award and were expensed using the straight-line method over the vesting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stock-based compensation expense related to restricted stock units of $584 million, $580 million, and $510 million during fiscal years ended January 31, 2025, 2024, and 2023, respectively. As of January 31, 2025, total compensation cost not yet recognized of $795 million related to unvested awards is expected to be recognized over a weighted average period of 1.71 years. At January 31, 2025, the number of restricted stock units granted but unvested was 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2025, Autodesk granted 279 thousand performance stock units for which the ultimate number of shares earned is determined based on the achievement of performance criteria at the end of the stated service and performance period. The performance criteria for the majority of the performance stock units are primarily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 </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one, depending upon the achievement of the performance criteria for fiscal 2025 as well as one-year Relative TSR (covering year one).</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two, depending upon the achievement of the performance criteria for year two as well as two-year Relative TSR (covering years one and two).</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three, depending upon the achievement of the performance criteria for year three as well as three-year Relative TSR (covering years one, two and three).</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criteria for the performance stock units vested during fiscal year ended January 31, 2025, was based on revenue and free cash flow goals adopted by the Compensation and Human Resource Committee.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 are not considered outstanding stock at the time of grant, as the holders of these units are not entitled to any of the rights of a stockholder, including voting rights. The fair value of the performance stock units is expensed using the accelerated attribution over the vesting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stock-based compensation expense related to performance stock units of $57 million, $42 million, and $54 million during fiscal years ended January 31, 2025, 2024, and 2023, respectively. As of January 31, 2025, total compensation cost not yet recognized of $13 million related to unvested performance stock units, is expected to be recognized over a weighted average period of 0.83 years. At January 31, 2025, the number of performance stock units granted but unvested was 541 thousand.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Common Stock </w:t>
      </w:r>
    </w:p>
    <w:p>
      <w:pPr>
        <w:pStyle w:val="TextBody"/>
        <w:bidi w:val="0"/>
        <w:spacing w:before="0" w:after="0"/>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stock-based compensation expense related to common stock shares of $4 million, $19 million, and $32 million during the fiscal years ended January 31, 2025, 2024, and 2023, respectively.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1998 Employee Qualified Stock Purchase Plan (“ESPP”)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2025, a total of 3 million shares were available for future issuance. Under the ESPP, the Company issues shares on the first trading day following March 31 and September 30 of each fiscal year. The ESPP does not have an expiration date.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ESPP activity for the fiscal years ended January 31, 2025, 2024, and 2023 was as follows:</w:t>
      </w:r>
    </w:p>
    <w:tbl>
      <w:tblPr>
        <w:tblW w:w="9189" w:type="dxa"/>
        <w:jc w:val="center"/>
        <w:tblInd w:w="0" w:type="dxa"/>
        <w:tblLayout w:type="fixed"/>
        <w:tblCellMar>
          <w:top w:w="28" w:type="dxa"/>
          <w:left w:w="28" w:type="dxa"/>
          <w:bottom w:w="28" w:type="dxa"/>
          <w:right w:w="28" w:type="dxa"/>
        </w:tblCellMar>
      </w:tblPr>
      <w:tblGrid>
        <w:gridCol w:w="1919"/>
        <w:gridCol w:w="1692"/>
        <w:gridCol w:w="169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of issued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 of awards granted under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$41 million, $63 million, and $62 million of compensation expense associated with the ESPP in fiscal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Compensation Plan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outstanding options and awards granted to employees and directors, as well as the number of securities remaining available for future issuance under these plans as of January 31, 2025:</w:t>
      </w:r>
    </w:p>
    <w:tbl>
      <w:tblPr>
        <w:tblW w:w="10205" w:type="dxa"/>
        <w:jc w:val="center"/>
        <w:tblInd w:w="0" w:type="dxa"/>
        <w:tblLayout w:type="fixed"/>
        <w:tblCellMar>
          <w:top w:w="28" w:type="dxa"/>
          <w:left w:w="28" w:type="dxa"/>
          <w:bottom w:w="28" w:type="dxa"/>
          <w:right w:w="28" w:type="dxa"/>
        </w:tblCellMar>
      </w:tblPr>
      <w:tblGrid>
        <w:gridCol w:w="576"/>
        <w:gridCol w:w="508"/>
        <w:gridCol w:w="473"/>
        <w:gridCol w:w="839"/>
        <w:gridCol w:w="839"/>
        <w:gridCol w:w="841"/>
        <w:gridCol w:w="109"/>
        <w:gridCol w:w="109"/>
        <w:gridCol w:w="109"/>
        <w:gridCol w:w="421"/>
        <w:gridCol w:w="1194"/>
        <w:gridCol w:w="234"/>
        <w:gridCol w:w="109"/>
        <w:gridCol w:w="109"/>
        <w:gridCol w:w="109"/>
        <w:gridCol w:w="1060"/>
        <w:gridCol w:w="1060"/>
        <w:gridCol w:w="1506"/>
      </w:tblGrid>
      <w:tr>
        <w:trPr/>
        <w:tc>
          <w:tcPr>
            <w:tcW w:w="5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Plan category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or vesting of outstanding options and awards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 (in millions) (1)</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w:t>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this amount are 3 million securities available for future issuance under Autodesk’s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Income Taxes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w:t>
      </w:r>
    </w:p>
    <w:tbl>
      <w:tblPr>
        <w:tblW w:w="4541" w:type="dxa"/>
        <w:jc w:val="center"/>
        <w:tblInd w:w="0" w:type="dxa"/>
        <w:tblLayout w:type="fixed"/>
        <w:tblCellMar>
          <w:top w:w="28" w:type="dxa"/>
          <w:left w:w="28" w:type="dxa"/>
          <w:bottom w:w="28" w:type="dxa"/>
          <w:right w:w="28" w:type="dxa"/>
        </w:tblCellMar>
      </w:tblPr>
      <w:tblGrid>
        <w:gridCol w:w="623"/>
        <w:gridCol w:w="512"/>
        <w:gridCol w:w="529"/>
        <w:gridCol w:w="196"/>
        <w:gridCol w:w="421"/>
        <w:gridCol w:w="109"/>
        <w:gridCol w:w="109"/>
        <w:gridCol w:w="109"/>
        <w:gridCol w:w="109"/>
        <w:gridCol w:w="196"/>
        <w:gridCol w:w="421"/>
        <w:gridCol w:w="109"/>
        <w:gridCol w:w="109"/>
        <w:gridCol w:w="109"/>
        <w:gridCol w:w="109"/>
        <w:gridCol w:w="196"/>
        <w:gridCol w:w="42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664"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Foreign pretax income was $992 million in fiscal 2025, $730 million in fiscal 2024, and $755 million in fiscal 2023.</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U.S. statutory rate and the aggregate income tax provision are as follows:</w:t>
      </w:r>
    </w:p>
    <w:tbl>
      <w:tblPr>
        <w:tblW w:w="7976" w:type="dxa"/>
        <w:jc w:val="left"/>
        <w:tblInd w:w="0" w:type="dxa"/>
        <w:tblLayout w:type="fixed"/>
        <w:tblCellMar>
          <w:top w:w="28" w:type="dxa"/>
          <w:left w:w="28" w:type="dxa"/>
          <w:bottom w:w="28" w:type="dxa"/>
          <w:right w:w="28" w:type="dxa"/>
        </w:tblCellMar>
      </w:tblPr>
      <w:tblGrid>
        <w:gridCol w:w="1844"/>
        <w:gridCol w:w="1621"/>
        <w:gridCol w:w="1634"/>
        <w:gridCol w:w="196"/>
        <w:gridCol w:w="421"/>
        <w:gridCol w:w="109"/>
        <w:gridCol w:w="109"/>
        <w:gridCol w:w="109"/>
        <w:gridCol w:w="109"/>
        <w:gridCol w:w="196"/>
        <w:gridCol w:w="421"/>
        <w:gridCol w:w="109"/>
        <w:gridCol w:w="109"/>
        <w:gridCol w:w="109"/>
        <w:gridCol w:w="109"/>
        <w:gridCol w:w="196"/>
        <w:gridCol w:w="421"/>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year ended January 31,</w:t>
            </w:r>
          </w:p>
        </w:tc>
      </w:tr>
      <w:tr>
        <w:trPr/>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at U.S. Federal statutory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benefit, net of the U.S. Federal benefit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income taxed at rates different from the U.S. statutory 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 adjustment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non-deductible stock-based compensation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(windfall) / shortfall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tax credit benefit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Closure of income tax audits and changes in uncertain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officer compensation in excess of $1 million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intangible low-taxed income, foreign derived intangible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integrations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Autodesk’s fiscal 2025 tax expense is primarily driven by the U.S. and foreign tax expense, including withholding taxes on payments made to the United States or to Singapore from foreign sources, a partial audit settlement with the IRS, and related increase in reserves, offset by a decrease in tax expense relating to stock-based compensation and the tax benefit from the valuation allowance release in Australia.</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Autodesk’s deferred tax assets and liabilities are as follows:</w:t>
      </w:r>
    </w:p>
    <w:tbl>
      <w:tblPr>
        <w:tblW w:w="5844" w:type="dxa"/>
        <w:jc w:val="center"/>
        <w:tblInd w:w="0" w:type="dxa"/>
        <w:tblLayout w:type="fixed"/>
        <w:tblCellMar>
          <w:top w:w="28" w:type="dxa"/>
          <w:left w:w="28" w:type="dxa"/>
          <w:bottom w:w="28" w:type="dxa"/>
          <w:right w:w="28" w:type="dxa"/>
        </w:tblCellMar>
      </w:tblPr>
      <w:tblGrid>
        <w:gridCol w:w="1358"/>
        <w:gridCol w:w="1194"/>
        <w:gridCol w:w="1198"/>
        <w:gridCol w:w="196"/>
        <w:gridCol w:w="556"/>
        <w:gridCol w:w="109"/>
        <w:gridCol w:w="109"/>
        <w:gridCol w:w="109"/>
        <w:gridCol w:w="109"/>
        <w:gridCol w:w="196"/>
        <w:gridCol w:w="556"/>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3750"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tax credit carryforwards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credit carryforwards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accruals not currently deductible for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loss carryforwards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Purchased technology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 lived intangibles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 on foreign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regularly assesses the need for a valuation allowance against its deferred tax assets. In making that assessment, Autodesk evaluates whether it is more likely than not that some or all of the deferred tax assets will not be realized based on all available positive and negative evidence.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retain a valuation allowance against Portugal, New Zealand, California, Massachusetts and Michigan deferred tax assets and deferred tax assets relating to capital losses or assets that will convert into a capital loss upon reversal in Australia and U.S., as we do not have sufficient income of the appropriate character to benefit these deferred tax assets. In fiscal 2025, the Company established a valuation allowance through goodwill in Australia related to negative evidence at the time of the Payapps Limited acquisition; however, due to positive evidence supporting the realization of its deferred tax assets the valuation allowance was released. In fiscal 2024, the Company established a valuation allowance in Massachusetts on the basis that it is more likely than not that some or all of the deferred tax assets will not be realized. The impact of this establishment was offset by a decrease in the valuation allowance in the Netherlands due to the elimination of the deferred tax assets in that jurisdiction in fiscal 2024.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valuation allowance decreased by $18 million in fiscal 2025, primarily due to the reduction of California deferred tax assets. The valuation allowance increased by $1 million in fiscal 2024, due to the establishment of valuation allowance in Massachusetts offset with the release of the valuation allowance in the Netherlands due to the elimination of the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recognize any potential GILTI obligations as an expense in the period it is incurred. </w:t>
      </w:r>
    </w:p>
    <w:p>
      <w:pPr>
        <w:pStyle w:val="TextBody"/>
        <w:bidi w:val="0"/>
        <w:spacing w:before="0" w:after="0"/>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January 31, 2025, Autodesk had $7 million of cumulative U.S. federal tax loss carryforwards and $316 million of cumulative U.S. state tax loss carryforwards, which may be available to reduce future income tax liabilities in federal and state jurisdictions. The U.S. federal losses generated beginning in fiscal 2019 are carried forward indefinitely. The U.S. state tax loss carryforward will expire beginning fiscal 2025 through fiscal 2045. In addition to U.S. federal and state tax loss carryforwards, Portugal, Norway, New Zealand and other foreign jurisdictions incurred tax losses totaling $24 million, which may be available to reduce future income tax liabilities. Our Portugal, Norway, and New Zealand losses of $8 million, $9 million, and $3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respectively, have an indefinite expiration period. Portugal and New Zealand losses have a full valuation allowance against them on our balance sheet as the Company has determined it is more likely than not that these losses will not be utilized. </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Autodesk had $130 million of cumulative California state research tax credit carryforwards, $13 million of cumulative Massachusetts state research tax credit carryforwards, and $42 million of cumulative Canadian federal research, which may be available to reduce future income tax liabilities in the respective jurisdictions. The state research tax credit carryforwards in California and Massachusetts may reduce future California and Massachusetts income tax liabilities indefinitely in those respective states, and the Canadian research tax credit carryforwards will expire beginning fiscal 2031 through fiscal 2045. Autodesk also has $20 million of cumulative U.S. federal foreign tax credit carryforwards, which may be available to reduce future U.S. tax liabilities. These foreign tax credits will expire beginning fiscal 2032 through fiscal 2035. As discussed above, the California and Massachusetts cumulative assets have full valuation allowance against them on our balance sheet as the Company has determined it is more likely than not that these losses and credits will not be utilized.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result in permanent losses of the U.S. federal and state tax attributes.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the Company had $312 million of gross unrecognized tax benefits, of which $47 million would reduce our valuation allowance, if recognized. The remaining $265 million would impact the effective tax rate. The amount of unrecognized tax benefits will immaterially decrease in the next twelve months for statute lapses.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the gross unrecognized tax benefits is as follows:</w:t>
      </w:r>
    </w:p>
    <w:tbl>
      <w:tblPr>
        <w:tblW w:w="7917" w:type="dxa"/>
        <w:jc w:val="center"/>
        <w:tblInd w:w="0" w:type="dxa"/>
        <w:tblLayout w:type="fixed"/>
        <w:tblCellMar>
          <w:top w:w="28" w:type="dxa"/>
          <w:left w:w="28" w:type="dxa"/>
          <w:bottom w:w="28" w:type="dxa"/>
          <w:right w:w="28" w:type="dxa"/>
        </w:tblCellMar>
      </w:tblPr>
      <w:tblGrid>
        <w:gridCol w:w="1825"/>
        <w:gridCol w:w="1603"/>
        <w:gridCol w:w="1612"/>
        <w:gridCol w:w="196"/>
        <w:gridCol w:w="421"/>
        <w:gridCol w:w="109"/>
        <w:gridCol w:w="109"/>
        <w:gridCol w:w="109"/>
        <w:gridCol w:w="109"/>
        <w:gridCol w:w="196"/>
        <w:gridCol w:w="421"/>
        <w:gridCol w:w="109"/>
        <w:gridCol w:w="109"/>
        <w:gridCol w:w="109"/>
        <w:gridCol w:w="109"/>
        <w:gridCol w:w="196"/>
        <w:gridCol w:w="421"/>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unrecognized tax benefits at the beginning of the fiscal year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for tax positions of prior years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for tax positions of prior years (1)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for tax positions related to the current year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relating to settlements with taxing authorities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as a result of lapse of the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unrecognized tax benefits at the end of the fiscal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(1)During the year ended January 31, 2024, the Company corrected its presentation to remove correlative benefits related to certain transfer pricing matters. The above comparatives for fiscal 2023 has been corrected to conform to the current period presentation. The effect of the change on the ending gross unrecognized tax benefits was $15 million in fiscal 2023.</w:t>
      </w:r>
    </w:p>
    <w:p>
      <w:pPr>
        <w:pStyle w:val="TextBody"/>
        <w:bidi w:val="0"/>
        <w:spacing w:lineRule="auto" w:line="288" w:before="0" w:after="0"/>
        <w:ind w:left="0" w:right="0" w:hanging="9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continuing practice to recognize interest and/or penalties related to income tax matters in income tax expense. Autodesk had $15 million, $7 million, and $5 million, net of tax benefit, accrued for interest and penalties related to unrecognized tax benefits as of January 31, 2025, 2024, and 2023, respectively. There was $9 million, $2 million, and $(2) million of net expense for interest and penalties related to tax matters recorded through the consolidated statements of operations for the years ended January 31, 2025, 2024, and 2023,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Autodesk’s U.S. and state income tax returns for fiscal 2002 through fiscal 2025 remain open to examination due to either net operating loss or credit carryforward. The Internal Revenue Service notified the Company of examination of the Company’s consolidated federal income tax returns for fiscal 2020 and 2021. This audit commenced in February 2022 and remains in progress. As of fiscal 2025, Autodesk settled on a partial disallowance of research and development credits and consequently the reserve on such credits for years not under audit has increased.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files tax returns in multiple foreign taxing jurisdictions with open tax years ranging from fiscal 2005 to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Acquisitions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Fiscal 2025 Acquisitions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following acquisitions are included in the accompanying Consolidated Statements of Operations since their respective acquisition dates. Pro forma results of operations have not been presented because the effects of these acquisitions were not material to Autodesk’s Consolidated Financial Statements.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20, 2024, Autodesk acquired 100% of Aether Media, Inc. (“Aether”), a provider of a cloud-based artificial intelligence pipeline for creating computer-generated 3D characters into live-action scenes, for total consideration of $131 million in cash. Of the total consideration transferred, $122 million is considered purchase consideration. The remaining amount of $9 million was primarily recorded in “Prepaid expenses and other current assets” and “Long-term other assets” on our Consolidated Balance Sheets and will be amortized to compensation expense using the straight-line method over the vesting period. Autodesk expects to enhance artificial intelligence capabilities for Autodesk’s visual effects (“VFX”) creation tools and democratize high end VFX work on Autodesk’s Flow platform.</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2024, Autodesk acquired 100% of the PIX business of X2X, LLC (“PIX”), a production management solution for secure review and content collaboration in the media and entertainment industry for total consideration of $266 million in cash. The acquisition is expected to foster broader collaboration and communication, as well as help drive greater efficiencies, in the production process.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2024, Autodesk acquired 100% of the outstanding stock of Payapps Limited (“Payapps”), a leading cloud-based software platform for managing construction-related payments, for total consideration of $387 million in cash. Of the total consideration transferred, $381 million is considered purchase consideration. The remaining amount of $6 million was recorded in “Prepaid expenses and other current assets” and “Long-term other assets” on our Consolidated Balance Sheets and will be amortized to compensation expense using the straight-line method over the vesting period. Autodesk expects to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Purchase Price Allocation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acquisitions during fiscal 2025 were accounted for as business combinations, and Autodesk recorded the tangible and intangible assets acquired and liabilities assumed based on their estimated fair values at the date of each respective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respective acquisition. Goodwill of $159 million and $185 million is expected to be deductible for U.S. income tax purposes for Payapps and PIX, respectively. No goodwill is deductible for U.S. income tax purposes for Aether. The transaction costs related to the acquisitions were not material.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assets acquired and liabilities assumed by major class for the significant business combinations that were completed during the fiscal year ended January 31, 2025:</w:t>
      </w:r>
    </w:p>
    <w:p>
      <w:pPr>
        <w:pStyle w:val="TextBody"/>
        <w:bidi w:val="0"/>
        <w:spacing w:before="0" w:after="0"/>
        <w:ind w:left="0" w:right="0" w:firstLine="450"/>
        <w:jc w:val="left"/>
        <w:rPr/>
      </w:pPr>
      <w:r>
        <w:rPr/>
      </w:r>
    </w:p>
    <w:tbl>
      <w:tblPr>
        <w:tblW w:w="7871"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Payapps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Aether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long-term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business combinations, the allocation of purchase price consideration to certain assets and liabilities as well as the final amount of purchase consideration are not yet finalized. For the items not yet finalized, Autodesk's estimates and assumptions are subject to change within the measurement period (up to one year from the acquisition date). The primary areas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the preliminary purchase price allocation that are not yet finalized are amounts for tax assets and liabilities, deferred revenue, and residual goodwill.</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Fiscal 2024 Acquisitions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2024, Autodesk completed three business combinations. The acquisition-date fair value of the consideration transferred totaled $85 million in cash. Of the total consideration transferred, $71 million was considered purchase consideration.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fiscal 2024 acquisitions were included in the accompanying Consolidated Statement of Operations from the dates of the respective acquisitions. Goodwill of $35 million is deductible for U.S. income tax purposes.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Fiscal 2023 Acquisitions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2023, Autodesk completed two business combinations. The acquisition-date fair value of the consideration transferred totaled $114 million, which consisted of $96 million of cash, 40 thousand shares of Autodesk’s restricted common stock at an aggregate fair value of $10 million, and Autodesk issued a fixed amount of $5 million in common stock at future dates to certain employees. Of the total consideration transferred, $97 million was considered purchase consideration. Of the remaining amount, $10 million was recorded in “Prepaid expenses and other current assets” and “Long-term other assets” on our Consolidated Balance Sheets and is amortized to stock-based compensation expense using the straight-line method over the vesting period, $5 million was accounted for as liability-classified awards and is recognized as compensation expense using the straight-line method over the vesting period and $2 million was recorded as stock-based compensation expense on the date of acquisition.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for fiscal 2023 acquisitions were included in the accompanying Consolidated Statement of Operations from the dates of the respective acquisitions. No goodwill is deductible for U.S. income tax purposes.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Deferred Compensation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31, 2025, Autodesk had investments in debt and equity securities that are held in a rabbi trust under non-qualified deferred compensation plans and a corresponding deferred compensation liability totaling $118 million. Of this amount, $12 million was classified as current and $106 million was classified as non-current in the Consolidated Balance Sheet. Of the $100 million related to investments and deferred compensation liability in a rabbi trust as of January 31, 2024, $10 million was classified as current and $90 million was classified as non-current. The current and non-current asset portions of the investments in debt and equity securities that are held in a rabbi trust under non-qualified deferred compensation plans are recorded in the Consolidated Balance Sheets under “Prepaid expenses and other current assets” and “Long-term other assets,” respectively. The current and non-current portions of the deferred compensation liability are recorded in the Consolidated Balance Sheets under “Accrued compensation” and “Long-term other liabilities,” respectively.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to obtain a contract with a customer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earned by our internal sales personnel and our solution providers are considered incremental and recoverable costs of obtaining a contract with a customer. The ending balance of assets recognized from costs to obtain a contract with a customer was $467 million and $210 million as of January 31, 2025 and January 31, 2024, respectively. These assets are recorded in “Prepaid expenses and other current assets” and “Long-term other assets” in the Consolidated Balance Sheet. Amortization expense related to assets recognized from costs to obtain a contract with a customer was $212 million, $140 million, and $138 million during fiscal years ended January 31, 2025, 2024, and 2023, respectively. Autodesk did not recognize any contract cost impairment losses during the fiscal years ended January 31, 2025, 2024, or 2023.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Borrowing Arrangements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$1.50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At January 31, 2025, Autodesk was in compliance with the Credit Agreement covenants.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 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 At January 31, 2025, Autodesk had no outstanding borrowings under the Credit Agreement.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2015, Autodesk issued $300 million aggregate principal amount of 4.375% notes due June 15, 2025 (“ 2015 Notes”). Net of a discount of $1 million, and issuance costs of $3 million, Autodesk received net proceeds of $296 million from issuance of the 2015 Notes. Both the discount and issuance costs are being amortized to interest expense over the respective terms of the 2015 Notes using the effective interest method. The proceeds of the 2015 Notes are available for general corporate purposes.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Notes, 2020 Notes, 2017 Notes, and the 2015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quoted market prices, the approximate fair value of the notes as of January 31, 2025, were as follows:</w:t>
      </w:r>
    </w:p>
    <w:tbl>
      <w:tblPr>
        <w:tblW w:w="4375" w:type="dxa"/>
        <w:jc w:val="left"/>
        <w:tblInd w:w="0" w:type="dxa"/>
        <w:tblLayout w:type="fixed"/>
        <w:tblCellMar>
          <w:top w:w="28" w:type="dxa"/>
          <w:left w:w="28" w:type="dxa"/>
          <w:bottom w:w="28" w:type="dxa"/>
          <w:right w:w="28" w:type="dxa"/>
        </w:tblCellMar>
      </w:tblPr>
      <w:tblGrid>
        <w:gridCol w:w="342"/>
        <w:gridCol w:w="300"/>
        <w:gridCol w:w="302"/>
        <w:gridCol w:w="595"/>
        <w:gridCol w:w="1279"/>
        <w:gridCol w:w="331"/>
        <w:gridCol w:w="109"/>
        <w:gridCol w:w="109"/>
        <w:gridCol w:w="109"/>
        <w:gridCol w:w="229"/>
        <w:gridCol w:w="491"/>
        <w:gridCol w:w="17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 Notes</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 Notes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 Notes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 Notes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principal payments for all borrowings as of January 31, 2025, were as follows:</w:t>
      </w:r>
    </w:p>
    <w:tbl>
      <w:tblPr>
        <w:tblW w:w="3569" w:type="dxa"/>
        <w:jc w:val="center"/>
        <w:tblInd w:w="0" w:type="dxa"/>
        <w:tblLayout w:type="fixed"/>
        <w:tblCellMar>
          <w:top w:w="28" w:type="dxa"/>
          <w:left w:w="28" w:type="dxa"/>
          <w:bottom w:w="28" w:type="dxa"/>
          <w:right w:w="28" w:type="dxa"/>
        </w:tblCellMar>
      </w:tblPr>
      <w:tblGrid>
        <w:gridCol w:w="725"/>
        <w:gridCol w:w="638"/>
        <w:gridCol w:w="646"/>
        <w:gridCol w:w="196"/>
        <w:gridCol w:w="556"/>
        <w:gridCol w:w="109"/>
        <w:gridCol w:w="109"/>
        <w:gridCol w:w="109"/>
        <w:gridCol w:w="109"/>
        <w:gridCol w:w="109"/>
        <w:gridCol w:w="109"/>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 outstanding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Leases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Autodesk has operating leases for real estate, vehicles and certain equipment. Leases have remaining lease terms of less than 1 year to 65 years, some of which include options to extend the lease with renewal terms from 1 year to 8 years</w:t>
      </w:r>
      <w:r>
        <w:rPr>
          <w:color w:val="0070C0"/>
        </w:rPr>
        <w:t xml:space="preserve"> </w:t>
      </w:r>
      <w:r>
        <w:rPr>
          <w:rFonts w:ascii="Times New Roman;sans-serif" w:hAnsi="Times New Roman;sans-serif"/>
          <w:b w:val="false"/>
          <w:color w:val="000000"/>
          <w:sz w:val="20"/>
        </w:rPr>
        <w:t>and some of which include options to terminate the leases from less than 1 year to 5 years. Options to extend the lease are included in the lease liability if they are reasonably certain of being exercised. Options to terminate are considered in determining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Consolidated Statements of Cash Flows with the exception of “Lease-related asset impairments” which is presented in “Adjustments to reconcile net income to net cash provided by operating activities”.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recorded no operating lease right-of-use assets impairment charges during the fiscal year ended January 31, 2025. During the fiscal years ended January 31, 2024 and 2023, Autodesk recorded total operating lease right-of-use assets impairment charges of $9 million and $29 million, respectively.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The operating lease right-of-use assets and other lease-related assets charges are included in “general and administrative” in the Company’s Consolidated Statements of Operations.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lease cost were as follows: </w:t>
      </w:r>
    </w:p>
    <w:tbl>
      <w:tblPr>
        <w:tblW w:w="10205" w:type="dxa"/>
        <w:jc w:val="left"/>
        <w:tblInd w:w="0" w:type="dxa"/>
        <w:tblLayout w:type="fixed"/>
        <w:tblCellMar>
          <w:top w:w="28" w:type="dxa"/>
          <w:left w:w="28" w:type="dxa"/>
          <w:bottom w:w="28" w:type="dxa"/>
          <w:right w:w="28" w:type="dxa"/>
        </w:tblCellMar>
      </w:tblPr>
      <w:tblGrid>
        <w:gridCol w:w="450"/>
        <w:gridCol w:w="396"/>
        <w:gridCol w:w="397"/>
        <w:gridCol w:w="869"/>
        <w:gridCol w:w="1069"/>
        <w:gridCol w:w="486"/>
        <w:gridCol w:w="451"/>
        <w:gridCol w:w="556"/>
        <w:gridCol w:w="253"/>
        <w:gridCol w:w="391"/>
        <w:gridCol w:w="661"/>
        <w:gridCol w:w="218"/>
        <w:gridCol w:w="496"/>
        <w:gridCol w:w="839"/>
        <w:gridCol w:w="277"/>
        <w:gridCol w:w="525"/>
        <w:gridCol w:w="887"/>
        <w:gridCol w:w="293"/>
        <w:gridCol w:w="196"/>
        <w:gridCol w:w="331"/>
        <w:gridCol w:w="16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subscription and maintenance revenue</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other revenue</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Marketing and sales</w:t>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Research and development</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General and administrative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0"/>
        <w:gridCol w:w="396"/>
        <w:gridCol w:w="397"/>
        <w:gridCol w:w="869"/>
        <w:gridCol w:w="1069"/>
        <w:gridCol w:w="486"/>
        <w:gridCol w:w="451"/>
        <w:gridCol w:w="556"/>
        <w:gridCol w:w="253"/>
        <w:gridCol w:w="391"/>
        <w:gridCol w:w="661"/>
        <w:gridCol w:w="218"/>
        <w:gridCol w:w="496"/>
        <w:gridCol w:w="839"/>
        <w:gridCol w:w="277"/>
        <w:gridCol w:w="525"/>
        <w:gridCol w:w="887"/>
        <w:gridCol w:w="293"/>
        <w:gridCol w:w="196"/>
        <w:gridCol w:w="331"/>
        <w:gridCol w:w="16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subscription and maintenance revenue</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other revenue</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Marketing and sales</w:t>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Research and development</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General and administrative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450"/>
        <w:gridCol w:w="396"/>
        <w:gridCol w:w="397"/>
        <w:gridCol w:w="869"/>
        <w:gridCol w:w="1069"/>
        <w:gridCol w:w="486"/>
        <w:gridCol w:w="451"/>
        <w:gridCol w:w="556"/>
        <w:gridCol w:w="253"/>
        <w:gridCol w:w="391"/>
        <w:gridCol w:w="661"/>
        <w:gridCol w:w="218"/>
        <w:gridCol w:w="496"/>
        <w:gridCol w:w="839"/>
        <w:gridCol w:w="277"/>
        <w:gridCol w:w="525"/>
        <w:gridCol w:w="887"/>
        <w:gridCol w:w="293"/>
        <w:gridCol w:w="196"/>
        <w:gridCol w:w="331"/>
        <w:gridCol w:w="16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subscription and maintenance revenue</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other revenue</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Marketing and sales</w:t>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Research and development</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General and administrative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operating cash flow information related to leases was as follows:</w:t>
      </w:r>
    </w:p>
    <w:tbl>
      <w:tblPr>
        <w:tblW w:w="10205" w:type="dxa"/>
        <w:jc w:val="left"/>
        <w:tblInd w:w="0" w:type="dxa"/>
        <w:tblLayout w:type="fixed"/>
        <w:tblCellMar>
          <w:top w:w="28" w:type="dxa"/>
          <w:left w:w="28" w:type="dxa"/>
          <w:bottom w:w="28" w:type="dxa"/>
          <w:right w:w="28" w:type="dxa"/>
        </w:tblCellMar>
      </w:tblPr>
      <w:tblGrid>
        <w:gridCol w:w="1470"/>
        <w:gridCol w:w="1219"/>
        <w:gridCol w:w="1229"/>
        <w:gridCol w:w="572"/>
        <w:gridCol w:w="967"/>
        <w:gridCol w:w="319"/>
        <w:gridCol w:w="109"/>
        <w:gridCol w:w="109"/>
        <w:gridCol w:w="109"/>
        <w:gridCol w:w="502"/>
        <w:gridCol w:w="1080"/>
        <w:gridCol w:w="279"/>
        <w:gridCol w:w="109"/>
        <w:gridCol w:w="109"/>
        <w:gridCol w:w="109"/>
        <w:gridCol w:w="484"/>
        <w:gridCol w:w="1041"/>
        <w:gridCol w:w="389"/>
      </w:tblGrid>
      <w:tr>
        <w:trPr/>
        <w:tc>
          <w:tcPr>
            <w:tcW w:w="147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 2023</w:t>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 included in operating cash flows (1)</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liabilities arising from obtaining operating right-of-use assets</w:t>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$13 million, $16 million, and $14 million in variable lease payments not included in “Operating lease liabilities” and “Long-term operating lease liabilities” on the Consolidated Balance Sheet for fiscal years ended January 31, 2025, 2024, and 2023, respectively.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is 5.8 years and 6.2 years at January 31, 2025 and 2024, respectively. The weighted average discount rate was 2.90% and 2.86% at January 31,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were as follows:</w:t>
      </w:r>
    </w:p>
    <w:tbl>
      <w:tblPr>
        <w:tblW w:w="3800" w:type="dxa"/>
        <w:jc w:val="left"/>
        <w:tblInd w:w="0" w:type="dxa"/>
        <w:tblLayout w:type="fixed"/>
        <w:tblCellMar>
          <w:top w:w="28" w:type="dxa"/>
          <w:left w:w="28" w:type="dxa"/>
          <w:bottom w:w="28" w:type="dxa"/>
          <w:right w:w="28" w:type="dxa"/>
        </w:tblCellMar>
      </w:tblPr>
      <w:tblGrid>
        <w:gridCol w:w="1094"/>
        <w:gridCol w:w="963"/>
        <w:gridCol w:w="972"/>
        <w:gridCol w:w="196"/>
        <w:gridCol w:w="421"/>
        <w:gridCol w:w="154"/>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has subleased certain office space to a third party and has classified the sublease as an operating lease. The sublease has a remaining lease term of 7.1 years. Sublease income was $8 million, $8 million, and $5 million during the fiscal years ended January 31, 2025, 2024, and 2023, respectively. Sublease income is recorded as a reduction of lease expense in the Company’s Consolidated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amounts in the table above do not include sublease income payments of $64 million. Autodesk expects to receive sublease income payments of approximately $34 million for fiscal 2026 through fiscal 2030 and $30 million thereafter.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2025, Autodesk had no operating lease minimum lease payments for executed leases that have not yet commenced.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Derivative Instruments</w:t>
      </w:r>
    </w:p>
    <w:p>
      <w:pPr>
        <w:pStyle w:val="TextBody"/>
        <w:bidi w:val="0"/>
        <w:spacing w:before="100" w:after="283"/>
        <w:ind w:left="0" w:right="0" w:firstLine="495"/>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derivatives designated as hedging instruments on Autodesk’s Consolidated Statements of Operations were as follows for the fiscal years ended January 31, 2025, 2024, and 2023, (amounts presented include any income tax effects):</w:t>
      </w:r>
    </w:p>
    <w:tbl>
      <w:tblPr>
        <w:tblW w:w="10205" w:type="dxa"/>
        <w:jc w:val="center"/>
        <w:tblInd w:w="0" w:type="dxa"/>
        <w:tblLayout w:type="fixed"/>
        <w:tblCellMar>
          <w:top w:w="28" w:type="dxa"/>
          <w:left w:w="28" w:type="dxa"/>
          <w:bottom w:w="28" w:type="dxa"/>
          <w:right w:w="28" w:type="dxa"/>
        </w:tblCellMar>
      </w:tblPr>
      <w:tblGrid>
        <w:gridCol w:w="2730"/>
        <w:gridCol w:w="2394"/>
        <w:gridCol w:w="2407"/>
        <w:gridCol w:w="196"/>
        <w:gridCol w:w="331"/>
        <w:gridCol w:w="109"/>
        <w:gridCol w:w="109"/>
        <w:gridCol w:w="109"/>
        <w:gridCol w:w="109"/>
        <w:gridCol w:w="196"/>
        <w:gridCol w:w="395"/>
        <w:gridCol w:w="109"/>
        <w:gridCol w:w="109"/>
        <w:gridCol w:w="109"/>
        <w:gridCol w:w="109"/>
        <w:gridCol w:w="196"/>
        <w:gridCol w:w="331"/>
        <w:gridCol w:w="157"/>
      </w:tblGrid>
      <w:tr>
        <w:trPr/>
        <w:tc>
          <w:tcPr>
            <w:tcW w:w="273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7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gain (loss) recognized in accumulated other comprehensive loss, net of tax, (effective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Amount and location of gain (loss) reclassified from accumulated other comprehensive loss into income (effective portion)</w:t>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 (loss) recognized in net income of derivatives not designated as hedging instruments on Autodesk’s Consolidated Statements of Operations were as follows for the fiscal years ended January 31, 2025, 2024, and 2023, (amounts presented include any income tax effects):</w:t>
      </w:r>
    </w:p>
    <w:tbl>
      <w:tblPr>
        <w:tblW w:w="5367" w:type="dxa"/>
        <w:jc w:val="center"/>
        <w:tblInd w:w="0" w:type="dxa"/>
        <w:tblLayout w:type="fixed"/>
        <w:tblCellMar>
          <w:top w:w="28" w:type="dxa"/>
          <w:left w:w="28" w:type="dxa"/>
          <w:bottom w:w="28" w:type="dxa"/>
          <w:right w:w="28" w:type="dxa"/>
        </w:tblCellMar>
      </w:tblPr>
      <w:tblGrid>
        <w:gridCol w:w="1066"/>
        <w:gridCol w:w="935"/>
        <w:gridCol w:w="939"/>
        <w:gridCol w:w="196"/>
        <w:gridCol w:w="331"/>
        <w:gridCol w:w="109"/>
        <w:gridCol w:w="109"/>
        <w:gridCol w:w="109"/>
        <w:gridCol w:w="109"/>
        <w:gridCol w:w="196"/>
        <w:gridCol w:w="241"/>
        <w:gridCol w:w="109"/>
        <w:gridCol w:w="109"/>
        <w:gridCol w:w="109"/>
        <w:gridCol w:w="109"/>
        <w:gridCol w:w="196"/>
        <w:gridCol w:w="24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791" w:type="dxa"/>
            <w:gridSpan w:val="1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3, “Financial Instruments” for the fair values of derivative instruments in Autodesk’s Consolidated Balance Sheets as of January 31, 2025, and 2024.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Foreign currency contracts designated as cash flow hedges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04" name="Frame1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$1.52 billion at January 31, 2025, and $1.25 billion at January 31, 2024. Outstanding contracts are recognized as either assets or liabilities on the Company’s Consolidated Balance Sheets at fair value. The majority of the net gain of $24 million remaining in “Accumulated other comprehensive loss” as of January 31, 2025, is expected to be recognized into earnings within the next 24 months.</w:t>
      </w:r>
    </w:p>
    <w:p>
      <w:pPr>
        <w:pStyle w:val="TextBody"/>
        <w:bidi w:val="0"/>
        <w:spacing w:before="100" w:after="283"/>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Derivatives not designated as hedging instruments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$1.14 billion at January 31, 2025, and $455 million at January 31, 2024.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Purchase Commitments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Autodesk enters into various purchase commitments for goods or services. Total non-cancellable purchase commitments as of January 31, 2025, were approximately $843 million for periods through fiscal 2033. These purchase commitments primarily result from contracts entered into for the acquisition of cloud services, marketing, and commitments related to our investment agreements with limited liability partnership funds.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$23 million in fiscal 2025, $21 million in fiscal 2024, and $18 million in fiscal 2023.</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Guarantees and Indemnifications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before="0" w:after="0"/>
        <w:ind w:left="0" w:right="0" w:firstLine="54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05" name="Frame1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pStyle w:val="TextBody"/>
        <w:bidi w:val="0"/>
        <w:spacing w:before="0" w:after="0"/>
        <w:ind w:left="0" w:right="0" w:firstLine="45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Stock Repurchase Program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has stock repurchase programs that are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3 million shares in fiscal 2025 at an average repurchase price of $278.86 per share, 4 million shares in fiscal 2024 at an average repurchase price of $201.54 per share, and 5 million shares in fiscal 2023 at an average repurchase price of $198.51 per share.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2025, $3.88 billion and $5 billion remained available for repurchase under the November 2022 and November 2024 repurchase programs approved by the Board of Directors, respectively. The share repurchase programs do not have an expiration date and the pace and timing of repurchases will depend on factors such as cash generation from operations, available surplus, the volume of employee stock plan activity, remaining shares available in the authorized pool, cash requirements for acquisitions, cash requirements to retire outstanding debt, economic and market conditions, stock price, and legal and regulatory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Interest and Other Income (Expense), net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consists of the following:</w:t>
      </w:r>
    </w:p>
    <w:tbl>
      <w:tblPr>
        <w:tblW w:w="6072" w:type="dxa"/>
        <w:jc w:val="left"/>
        <w:tblInd w:w="0" w:type="dxa"/>
        <w:tblLayout w:type="fixed"/>
        <w:tblCellMar>
          <w:top w:w="28" w:type="dxa"/>
          <w:left w:w="28" w:type="dxa"/>
          <w:bottom w:w="28" w:type="dxa"/>
          <w:right w:w="28" w:type="dxa"/>
        </w:tblCellMar>
      </w:tblPr>
      <w:tblGrid>
        <w:gridCol w:w="1228"/>
        <w:gridCol w:w="1079"/>
        <w:gridCol w:w="1083"/>
        <w:gridCol w:w="196"/>
        <w:gridCol w:w="331"/>
        <w:gridCol w:w="109"/>
        <w:gridCol w:w="109"/>
        <w:gridCol w:w="109"/>
        <w:gridCol w:w="109"/>
        <w:gridCol w:w="196"/>
        <w:gridCol w:w="331"/>
        <w:gridCol w:w="109"/>
        <w:gridCol w:w="109"/>
        <w:gridCol w:w="109"/>
        <w:gridCol w:w="109"/>
        <w:gridCol w:w="196"/>
        <w:gridCol w:w="40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and investment income (expense), net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strategic investments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Accumulated Other Comprehensive Loss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06" name="Frame1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taxes, consisted of the following:</w:t>
      </w:r>
    </w:p>
    <w:tbl>
      <w:tblPr>
        <w:tblW w:w="10205" w:type="dxa"/>
        <w:jc w:val="center"/>
        <w:tblInd w:w="0" w:type="dxa"/>
        <w:tblLayout w:type="fixed"/>
        <w:tblCellMar>
          <w:top w:w="28" w:type="dxa"/>
          <w:left w:w="28" w:type="dxa"/>
          <w:bottom w:w="28" w:type="dxa"/>
          <w:right w:w="28" w:type="dxa"/>
        </w:tblCellMar>
      </w:tblPr>
      <w:tblGrid>
        <w:gridCol w:w="992"/>
        <w:gridCol w:w="554"/>
        <w:gridCol w:w="558"/>
        <w:gridCol w:w="491"/>
        <w:gridCol w:w="829"/>
        <w:gridCol w:w="273"/>
        <w:gridCol w:w="109"/>
        <w:gridCol w:w="109"/>
        <w:gridCol w:w="109"/>
        <w:gridCol w:w="495"/>
        <w:gridCol w:w="836"/>
        <w:gridCol w:w="275"/>
        <w:gridCol w:w="109"/>
        <w:gridCol w:w="109"/>
        <w:gridCol w:w="109"/>
        <w:gridCol w:w="404"/>
        <w:gridCol w:w="716"/>
        <w:gridCol w:w="227"/>
        <w:gridCol w:w="109"/>
        <w:gridCol w:w="109"/>
        <w:gridCol w:w="109"/>
        <w:gridCol w:w="381"/>
        <w:gridCol w:w="847"/>
        <w:gridCol w:w="213"/>
        <w:gridCol w:w="109"/>
        <w:gridCol w:w="109"/>
        <w:gridCol w:w="109"/>
        <w:gridCol w:w="196"/>
        <w:gridCol w:w="447"/>
        <w:gridCol w:w="163"/>
      </w:tblGrid>
      <w:tr>
        <w:trPr/>
        <w:tc>
          <w:tcPr>
            <w:tcW w:w="9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Available for 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2023</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(gain) loss reclassified from accumulated other comprehensive income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 period other comprehensive (loss) income</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2024</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(gain) loss reclassified from accumulated other comprehensive income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current period other comprehensive (loss) income </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2025</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Reclassifications related to gains and losses on available-for-sale debt securities are included in “Interest and other income (expense), net.” Refer to Note 10, “Derivative Instruments” for the amount and location of reclassifications related to derivative instruments. Reclassifications of the defined benefit pension components of net periodic benefit cost are included in “Interest and other income (expense), net.”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Net Income Per Share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using the weighted average number of shares of common stock outstanding during the period. Diluted net income per share is computed using the weighted average number of shares of common stock outstanding during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tbl>
      <w:tblPr>
        <w:tblW w:w="7302" w:type="dxa"/>
        <w:jc w:val="center"/>
        <w:tblInd w:w="0" w:type="dxa"/>
        <w:tblLayout w:type="fixed"/>
        <w:tblCellMar>
          <w:top w:w="28" w:type="dxa"/>
          <w:left w:w="28" w:type="dxa"/>
          <w:bottom w:w="28" w:type="dxa"/>
          <w:right w:w="28" w:type="dxa"/>
        </w:tblCellMar>
      </w:tblPr>
      <w:tblGrid>
        <w:gridCol w:w="1519"/>
        <w:gridCol w:w="1335"/>
        <w:gridCol w:w="1346"/>
        <w:gridCol w:w="196"/>
        <w:gridCol w:w="556"/>
        <w:gridCol w:w="109"/>
        <w:gridCol w:w="109"/>
        <w:gridCol w:w="109"/>
        <w:gridCol w:w="109"/>
        <w:gridCol w:w="196"/>
        <w:gridCol w:w="466"/>
        <w:gridCol w:w="109"/>
        <w:gridCol w:w="109"/>
        <w:gridCol w:w="109"/>
        <w:gridCol w:w="109"/>
        <w:gridCol w:w="196"/>
        <w:gridCol w:w="46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for basic net income per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for dilutive net income per share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diluted net income per share does not include shares that are anti-dilutive under the treasury stock method because their exercise prices are higher than the average market value of Autodesk’s stock during the fiscal year. The effect of 92 thousand, 297 thousand, and 962 thousand anti-dilutive shares were excluded from the computation of diluted net income per share for the fiscal years ended January 31, 2025, 2024, and 2023,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07" name="Frame10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Retirement Benefit Plans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Pretax Savings Plan</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$27 million in fiscal 2025, $26 million in fiscal 2024, and $26 million in fiscal 2023. Autodesk does not allow participants to invest in Autodesk common stock through the 401(k) plan.</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Defined Benefit Pension Plans</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provides certain defined benefit pension plans to employees located in countries outside of the United States,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was $78 million and $81 million as of January 31, 2025, and January 31, 2024, respectively. The accumulated benefit obligation was $70 million and $73 million as of January 31, 2025, and January 31, 2024, respectively. The related fair value of plan assets was $74 million and $77 million as of January 31, 2025, and January 31, 2024,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 party.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recognized an aggregate pension liability for the funded status of $9 million and $6 million in “Long-term other liabilities” on the Consolidated Balance Sheet as of January 31, 2025, and January 31, 2024, respectively. Our total net periodic pension plan cost was $3 million, $2 million and $3 million for fiscal years 2025, 2024, and 2023,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expected funding for the plans during fiscal 2026 is approximately $4 million.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Estimated Future Benefit Payments</w:t>
      </w:r>
    </w:p>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Estimated benefit payments over the next 10 fiscal years are as follows:</w:t>
      </w:r>
    </w:p>
    <w:tbl>
      <w:tblPr>
        <w:tblW w:w="2548" w:type="dxa"/>
        <w:jc w:val="center"/>
        <w:tblInd w:w="0" w:type="dxa"/>
        <w:tblLayout w:type="fixed"/>
        <w:tblCellMar>
          <w:top w:w="28" w:type="dxa"/>
          <w:left w:w="28" w:type="dxa"/>
          <w:bottom w:w="28" w:type="dxa"/>
          <w:right w:w="28" w:type="dxa"/>
        </w:tblCellMar>
      </w:tblPr>
      <w:tblGrid>
        <w:gridCol w:w="368"/>
        <w:gridCol w:w="324"/>
        <w:gridCol w:w="327"/>
        <w:gridCol w:w="444"/>
        <w:gridCol w:w="759"/>
        <w:gridCol w:w="326"/>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2031-2035</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Defined Contribution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also provides defined contribution plans in certain foreign countries where required by statute. Autodesk’s funding policy for foreign defined contribution plans is consistent with the local requirements in each country. Autodesk’s contributions to these plans were $47 million in fiscal 2025, $43 million in fiscal 2024, and $39 million in fiscal 2023.</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Balance Plans</w:t>
      </w:r>
    </w:p>
    <w:p>
      <w:pPr>
        <w:pStyle w:val="TextBody"/>
        <w:bidi w:val="0"/>
        <w:spacing w:before="0" w:after="0"/>
        <w:ind w:left="0" w:right="0" w:firstLine="27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provides a cash balance plan that insures the risks of disability, death, and longevity, in which the vested pension capital is reinvested and provides a 100% capital and interest guarantee. The weighted-average guaranteed interest crediting rate for cash balance plans was 1%, 1%, and 1% for mandatory retirement savings and 0.5%, 0.3%, and 0.3% for supplementary retirement savings for fiscal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08"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2026, Autodesk initiated a restructuring plan (“2026 Plan”) to support Autodesk's initiatives to optimize its go-to-market organization and, at the same time, to reallocate resources to Autodesk’s strategic priorities of investments in cloud, platform and artificial intelligence. With this restructuring plan, Autodesk is realigning roles to maximize talent investments and to distribute critical expertise globally.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Plan includes a gross reduction in force that will result in the aggregate termination of approximately 9% of the Company’s workforce, or approximately 1,350 employees, other exit costs and facility reductions. Total pre-tax restructuring charges are estimated to be approximately $135 million to $150 million. Autodesk expects to complete the 2026 Plan by the end of its fourth quarter of fiscal 2026 (ending January 31, 2026). Under the 2026 Plan, Autodesk recorded restructuring charges of $15 million for the fiscal year ended January 31, 2025, in accordance with applicable accounting guidance.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09"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Autodesk,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Autodesk, Inc. (the Company) as of January 31, 2025 and 2024, the related consolidated statements of operations, comprehensive income, stockholders’ equity and cash flows for each of the three years in the period ended January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January 31, 2025 and 2024, and the results of its operations and its cash flows for each of the three years in the period ended January 31, 2025, in conformity with U.S. generally accepted accounting principles.</w:t>
      </w:r>
    </w:p>
    <w:p>
      <w:pPr>
        <w:pStyle w:val="TextBody"/>
        <w:bidi w:val="0"/>
        <w:spacing w:lineRule="auto" w:line="256" w:before="0" w:after="0"/>
        <w:ind w:left="0" w:right="0" w:firstLine="450"/>
        <w:jc w:val="left"/>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January 31, 2025, based on criteria established in Internal Control</w:t>
      </w:r>
      <w:r>
        <w:rPr>
          <w:color w:val="000000"/>
        </w:rPr>
        <w:t>—</w:t>
      </w:r>
      <w:r>
        <w:rPr>
          <w:rFonts w:ascii="Times New Roman;sans-serif" w:hAnsi="Times New Roman;sans-serif"/>
          <w:b w:val="false"/>
          <w:color w:val="000000"/>
          <w:sz w:val="20"/>
        </w:rPr>
        <w:t>Integrated Framework issued by the Committee of Sponsoring Organizations of the Treadway Commission (2013 framework), and our report dated March 6, 2025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450"/>
        <w:jc w:val="left"/>
        <w:rPr/>
      </w:pPr>
      <w:r>
        <w:rPr/>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76"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1945"/>
                <wp:effectExtent l="0" t="0" r="0" b="0"/>
                <wp:wrapNone/>
                <wp:docPr id="110"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1"/>
        <w:gridCol w:w="459"/>
        <w:gridCol w:w="461"/>
        <w:gridCol w:w="2684"/>
        <w:gridCol w:w="2517"/>
        <w:gridCol w:w="3563"/>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76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to the consolidated financial statements, revenue is recognized when the Company's offerings are delivered to its customers, in an amount that reflects the consideration expected in exchange for the products and services. </w:t>
            </w:r>
          </w:p>
          <w:p>
            <w:pPr>
              <w:pStyle w:val="TableContents"/>
              <w:bidi w:val="0"/>
              <w:spacing w:before="0" w:after="0"/>
              <w:jc w:val="left"/>
              <w:rPr/>
            </w:pPr>
            <w:r>
              <w:rPr/>
            </w:r>
          </w:p>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its customers that may include promises to transfer term-based product subscriptions, cloud service offerings, and support services. Auditing the Company’s revenue recognition was challenging and complex due to the effort required to analyze the accounting treatment for the Company’s various product and service offerings in accordance with ASC 606, Revenue from Contracts with Customers. This involved assessing the impact of terms and conditions in contracts with customers to determine whether products and services are considered distinct performance obligations and the related timing of revenue recognition.</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764"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internal controls over the Company's identification and evaluation of distinct performance obligations and the determination of the timing of revenue recognition. </w:t>
            </w:r>
          </w:p>
          <w:p>
            <w:pPr>
              <w:pStyle w:val="TableContents"/>
              <w:bidi w:val="0"/>
              <w:spacing w:before="0" w:after="0"/>
              <w:jc w:val="left"/>
              <w:rPr/>
            </w:pPr>
            <w:r>
              <w:rPr/>
            </w:r>
          </w:p>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procedures, to evaluate management’s identification and evaluation of the distinct performance obligations and timing of revenue recognition, we read executed contracts for a sample of sales transactions to understand the contract, identify the promised products and services in the contract, and identify the distinct performance obligations and related timing of revenue recognition. </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764"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764"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764"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764"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7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40"/>
        <w:jc w:val="left"/>
        <w:rPr>
          <w:color w:val="000000"/>
        </w:rPr>
      </w:pPr>
      <w:r>
        <w:rPr>
          <w:color w:val="000000"/>
        </w:rPr>
        <w:t>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1983.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6, 2025 </w:t>
      </w:r>
    </w:p>
    <w:p>
      <w:pPr>
        <w:pStyle w:val="TextBody"/>
        <w:bidi w:val="0"/>
        <w:spacing w:lineRule="auto" w:line="288" w:before="0" w:after="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Autodesk,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We have audited Autodesk, Inc.’s internal control over financial reporting as of January 31, 2025, based on criteria established in Internal Control</w:t>
      </w:r>
      <w:r>
        <w:rPr>
          <w:color w:val="000000"/>
        </w:rPr>
        <w:t>—</w:t>
      </w:r>
      <w:r>
        <w:rPr>
          <w:rFonts w:ascii="Times New Roman;sans-serif" w:hAnsi="Times New Roman;sans-serif"/>
          <w:b w:val="false"/>
          <w:color w:val="000000"/>
          <w:sz w:val="20"/>
        </w:rPr>
        <w:t>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2025, based on the COSO criteria.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accompanying consolidated balance sheets of the Company as of January 31, 2025 and 2024, the related consolidated statements of operations, comprehensive income, stockholders’ equity and cash flows for each of the three years in the period ended January 31, 2025, and the related notes and financial statement schedule listed in the Index at Item 15(a)(2) and our report dated March 6, 2025, expressed an unqualified opinion thereon.</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2025.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concluded that, as of January 31, 2025,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Part II, Item 8 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Securities Exchange Act of 1934) during the three months ended January 31, 2025, that have materially affected, or are reasonably likely to materially affect, our internal control over financial reporting.</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the following director(s) and officer(s), as defined in Rule 16a-1(f), adopted a “Rule 10b5-1 trading arrangement” as defined in Regulation S-K Item 408, as follows: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4, 2024, Dr. Ayanna Howard, one of our directors, adopted a Rule 10b5-1 trading arrangement providing for the sale from time to time of an aggregate of up to 8,170 shares of our common stock. The trading arrangement is intended to satisfy the affirmative defense in Rule 10b5-1(c). The duration of the trading arrangement is until December 4, 2026, or earlier if all transactions under the trading arrangement are completed.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13"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and/or terminated a “Rule 10b5-1 trading arrangement” or a "non-10b5-1 trading arrangement” or a "non-10b5-1 trading arrangement” as defined in Regulation S-K Item 408, during the last fiscal quarter.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14"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sections entitled “Proposal One: Election of Directors,” “Security Ownership of Certain Beneficial Owners and Management,” “Governance and our Board of Directors,” and “Corporate Governance Guidelines” in our Proxy Statement.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certain information as of March 6, 2025, regarding our executive officers.</w:t>
      </w:r>
    </w:p>
    <w:p>
      <w:pPr>
        <w:pStyle w:val="TextBody"/>
        <w:bidi w:val="0"/>
        <w:spacing w:before="0" w:after="0"/>
        <w:ind w:left="0" w:right="0" w:firstLine="495"/>
        <w:jc w:val="left"/>
        <w:rPr/>
      </w:pPr>
      <w:r>
        <w:rPr/>
      </w:r>
    </w:p>
    <w:tbl>
      <w:tblPr>
        <w:tblW w:w="8532" w:type="dxa"/>
        <w:jc w:val="center"/>
        <w:tblInd w:w="0" w:type="dxa"/>
        <w:tblLayout w:type="fixed"/>
        <w:tblCellMar>
          <w:top w:w="28" w:type="dxa"/>
          <w:left w:w="28" w:type="dxa"/>
          <w:bottom w:w="28" w:type="dxa"/>
          <w:right w:w="28" w:type="dxa"/>
        </w:tblCellMar>
      </w:tblPr>
      <w:tblGrid>
        <w:gridCol w:w="520"/>
        <w:gridCol w:w="456"/>
        <w:gridCol w:w="463"/>
        <w:gridCol w:w="130"/>
        <w:gridCol w:w="130"/>
        <w:gridCol w:w="131"/>
        <w:gridCol w:w="109"/>
        <w:gridCol w:w="109"/>
        <w:gridCol w:w="109"/>
        <w:gridCol w:w="1858"/>
        <w:gridCol w:w="1858"/>
        <w:gridCol w:w="2659"/>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Position</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Anagnost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Janesh Moorjani</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 M. Blum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Operating Officer</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Ruth Ann Keene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Corporate Affairs, Chief Legal Officer &amp; Corporate Secretary</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Rebecca Pearce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People Officer</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Andrew Anagnost</w:t>
      </w:r>
      <w:r>
        <w:rPr>
          <w:color w:val="000000"/>
        </w:rPr>
        <w:t xml:space="preserve"> </w:t>
      </w:r>
      <w:r>
        <w:rPr>
          <w:rFonts w:ascii="Times New Roman;sans-serif" w:hAnsi="Times New Roman;sans-serif"/>
          <w:b w:val="false"/>
          <w:color w:val="000000"/>
          <w:sz w:val="20"/>
        </w:rPr>
        <w:t>joined Autodesk in September 1997 and has served as President and Chief Executive Officer since June 2017. He also served as Interim Chief Financial Officer from January 2021 to March 2021. Dr. Anagnost 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 xml:space="preserve">Janesh Moorjani </w:t>
      </w:r>
      <w:r>
        <w:rPr>
          <w:rFonts w:ascii="Times New Roman;sans-serif" w:hAnsi="Times New Roman;sans-serif"/>
          <w:b w:val="false"/>
          <w:color w:val="000000"/>
          <w:sz w:val="20"/>
        </w:rPr>
        <w:t>joined Autodesk as Executive Vice President and Chief Financial Officer in December 2024. Mr. Moorjani previously served as Chief Financial Officer of Elastic NV (“Elastic”), a software company for search-powered solutions, since August 2017 and assumed the additional responsibilities of Chief Operations Officer in May 2022. Prior to joining Elastic, Mr. Moorjani served in various executive and senior leadership, finance and sales positions at Infoblox, VMware, Cisco, PTC, and Goldman Sachs. Mr. Moorjani holds a Bachelor of Commerce degree from the University of Mumbai and an M.B.A. from the Wharton School of the University of Pennsylvania.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Steven M. Blum</w:t>
      </w:r>
      <w:r>
        <w:rPr>
          <w:color w:val="000000"/>
        </w:rPr>
        <w:t xml:space="preserve"> </w:t>
      </w:r>
      <w:r>
        <w:rPr>
          <w:rFonts w:ascii="Times New Roman;sans-serif" w:hAnsi="Times New Roman;sans-serif"/>
          <w:b w:val="false"/>
          <w:color w:val="000000"/>
          <w:sz w:val="20"/>
        </w:rPr>
        <w:t>joined Autodesk in January 2003 and has served as Executive Vice President and Chief Operating Officer since November 1, 2022. He previously served as Executive Vice President and Chief Revenue Officer from December 2020 through January 2022 and as Vice President and Chief Revenue Officer from August 2020 to December 2020. Mr. Blum served as Executive Vice President, Worldwide Field Operations from December 2020 to November 2021 and as Senior Vice President, Worldwide Field Operations from September 2017 to December 2020. Mr. 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color w:val="000000"/>
          <w:sz w:val="20"/>
        </w:rPr>
        <w:t xml:space="preserve">Ruth Ann Keene </w:t>
      </w:r>
      <w:r>
        <w:rPr>
          <w:rFonts w:ascii="Times New Roman;sans-serif" w:hAnsi="Times New Roman;sans-serif"/>
          <w:b w:val="false"/>
          <w:color w:val="000000"/>
          <w:sz w:val="20"/>
        </w:rPr>
        <w:t xml:space="preserve">joined Autodesk in January 2022 and has served as Executive Vice President, Corporate Affairs, Chief Legal Officer &amp; Corporate Secretary since May 2022. Ms. Keene previously served as Senior Vice President, Chief Legal Officer, General Counsel &amp; Corporate Secretary of Unity Technologies (“Unity”) from September 2016 to January 2022.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15"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joining Unity, Ms. Keene served as Vice President, Assistant General Counsel and Assistant Secretary of Autodesk from 2012 to 2016, and had served in various legal positions at Autodesk since August 2005. Before joining Autodesk, Ms. Keene was a technology transactions attorney at Morrison &amp; Foerster, LLP.</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color w:val="000000"/>
          <w:sz w:val="20"/>
        </w:rPr>
        <w:t xml:space="preserve">Rebecca Pearce </w:t>
      </w:r>
      <w:r>
        <w:rPr>
          <w:rFonts w:ascii="Times New Roman;sans-serif" w:hAnsi="Times New Roman;sans-serif"/>
          <w:b w:val="false"/>
          <w:color w:val="000000"/>
          <w:sz w:val="20"/>
        </w:rPr>
        <w:t>joined Autodesk in October 2015 and has served as Executive Vice President, Chief People Officer since January 2022. Ms. Pearce previously served as Vice President, People &amp; Places from June 2020 to December 2021 and as Senior HR Director - Digital Platforms and Corporate Functions from September 2018 through May 2020. Ms. Pearce served as HR Director Global Territory Sales from February 2018 to September 2018 and as Asia Pacific and Japan HR Director from October 2015 through January 2018. Prior to joining Autodesk, Ms. Pearce was the HR Director Global Operations, R&amp;D and Engineering for Dyson Limited from December 2011 to September 2015. Ms. Pearce also previously held leadership positions at Microsoft Corporation, including most recently as the Asia Pacific HR Leader for Microsoft Consumer and Online.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family relationship among any of our directors or executive officers.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sections entitled “Governance and our Board of Directors” and “Executive Compensation” in our Proxy Statement.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sections entitled “Security Ownership of Certain Beneficial Owners and Management” and “Executive Compensation—Equity Compensation Plan Information” in our Proxy Statement.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sections entitled “Certain Relationships and Related Party Transactions” and “Governance and our Board of Directors —Independence of the Board” in our Proxy Statement.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sections entitled “Proposal Two—Ratification of the Appointment of Independent Registered Public Accounting Firm” in our Proxy Statement.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16"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15.EXHIBITS AND FINANCIAL STATEMENT SCHEDULES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before="0" w:after="0"/>
        <w:ind w:left="0" w:right="0" w:firstLine="360"/>
        <w:jc w:val="left"/>
        <w:rPr/>
      </w:pPr>
      <w:r>
        <w:rPr/>
      </w:r>
    </w:p>
    <w:p>
      <w:pPr>
        <w:pStyle w:val="TextBody"/>
        <w:bidi w:val="0"/>
        <w:spacing w:lineRule="auto" w:line="268" w:before="0" w:after="0"/>
        <w:ind w:left="0" w:right="0" w:hanging="360"/>
        <w:jc w:val="left"/>
        <w:rPr/>
      </w:pPr>
      <w:r>
        <w:rPr>
          <w:rFonts w:ascii="Calibri;sans-serif" w:hAnsi="Calibri;sans-serif"/>
          <w:b w:val="false"/>
          <w:i/>
          <w:color w:val="000000"/>
          <w:sz w:val="22"/>
        </w:rPr>
        <w:t>1.</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information concerning Autodesk’s financial statements, and the Report of Ernst &amp; Young LLP, Independent Registered Public Accounting Firm (PCAOB ID: 42), San Francisco, California, required by this Item is incorporated by reference herein to the section of this Report in Part II, Item 8, entitled “Financial Statements and Supplementary Data.”</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Financial Statement Schedule</w:t>
      </w:r>
      <w:r>
        <w:rPr>
          <w:rFonts w:ascii="Times New Roman;sans-serif" w:hAnsi="Times New Roman;sans-serif"/>
          <w:b w:val="false"/>
          <w:color w:val="000000"/>
          <w:sz w:val="20"/>
        </w:rPr>
        <w:t>: The following financial statement schedule of Autodesk, Inc., for the fiscal years ended January 31, 2025, 2024, and 2023, is filed as part of this Report and should be read in conjunction with the Consolidated Financial Statements of Autodesk, Inc.:</w:t>
      </w:r>
    </w:p>
    <w:p>
      <w:pPr>
        <w:pStyle w:val="TextBody"/>
        <w:bidi w:val="0"/>
        <w:spacing w:before="0" w:after="0"/>
        <w:ind w:left="0" w:right="0" w:firstLine="990"/>
        <w:jc w:val="left"/>
        <w:rPr/>
      </w:pPr>
      <w:r>
        <w:rPr/>
      </w:r>
    </w:p>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Valuation and Qualifying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applicable or are not required or the information required to be set forth therein is included in the Consolidated Financial Statements or Notes thereto.</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i/>
          <w:color w:val="000000"/>
          <w:sz w:val="20"/>
        </w:rPr>
        <w:t>Exhibits</w:t>
      </w:r>
      <w:r>
        <w:rPr>
          <w:rFonts w:ascii="Times New Roman;sans-serif" w:hAnsi="Times New Roman;sans-serif"/>
          <w:b w:val="false"/>
          <w:color w:val="000000"/>
          <w:sz w:val="20"/>
        </w:rPr>
        <w:t>: See Item 15(b) below. We have filed, or incorporated into this Report by reference, the exhibits listed on the accompanying Index to Exhibits immediately prior to the signature page of this Form 10-K.</w:t>
      </w:r>
    </w:p>
    <w:p>
      <w:pPr>
        <w:pStyle w:val="TextBody"/>
        <w:bidi w:val="0"/>
        <w:spacing w:before="0" w:after="0"/>
        <w:ind w:left="0" w:right="0" w:firstLine="99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or incorporated into this Report by reference, the exhibits listed on the accompanying Index to Exhibits immediately prior to the signature page of this Form 10-K.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 See Item 15(a), above.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ITEM 15(A)(2)FINANCIAL STATEMENT SCHEDULE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SCHEDULE II: VALUATION AND QUALIFYING ACCOUNTS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10097" w:type="dxa"/>
        <w:jc w:val="left"/>
        <w:tblInd w:w="0" w:type="dxa"/>
        <w:tblLayout w:type="fixed"/>
        <w:tblCellMar>
          <w:top w:w="28" w:type="dxa"/>
          <w:left w:w="28" w:type="dxa"/>
          <w:bottom w:w="28" w:type="dxa"/>
          <w:right w:w="28" w:type="dxa"/>
        </w:tblCellMar>
      </w:tblPr>
      <w:tblGrid>
        <w:gridCol w:w="1046"/>
        <w:gridCol w:w="921"/>
        <w:gridCol w:w="927"/>
        <w:gridCol w:w="303"/>
        <w:gridCol w:w="652"/>
        <w:gridCol w:w="169"/>
        <w:gridCol w:w="109"/>
        <w:gridCol w:w="109"/>
        <w:gridCol w:w="109"/>
        <w:gridCol w:w="296"/>
        <w:gridCol w:w="500"/>
        <w:gridCol w:w="165"/>
        <w:gridCol w:w="109"/>
        <w:gridCol w:w="109"/>
        <w:gridCol w:w="109"/>
        <w:gridCol w:w="380"/>
        <w:gridCol w:w="816"/>
        <w:gridCol w:w="213"/>
        <w:gridCol w:w="109"/>
        <w:gridCol w:w="109"/>
        <w:gridCol w:w="109"/>
        <w:gridCol w:w="205"/>
        <w:gridCol w:w="581"/>
        <w:gridCol w:w="115"/>
        <w:gridCol w:w="109"/>
        <w:gridCol w:w="109"/>
        <w:gridCol w:w="109"/>
        <w:gridCol w:w="431"/>
        <w:gridCol w:w="728"/>
        <w:gridCol w:w="34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w:t>
              <w:br/>
              <w:t>of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 to</w:t>
              <w:br/>
              <w:t>Costs and</w:t>
              <w:br/>
              <w:t>Expenses or</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 to</w:t>
              <w:b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End of Fiscal Year</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January 31, 2025</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program reserves (1)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January 31, 2024</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program reserves (1)</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Fiscal Year Ended January 31, 2023</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Program reserves (1)</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(1)The partner program reserves balance impacts "Accounts receivable, net" and "Accounts payable" on the accompanying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17"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Index to Exhibits</w:t>
      </w:r>
      <w:r>
        <w:rPr>
          <w:color w:val="000000"/>
        </w:rPr>
        <w:t> </w:t>
      </w:r>
    </w:p>
    <w:tbl>
      <w:tblPr>
        <w:tblW w:w="10205" w:type="dxa"/>
        <w:jc w:val="center"/>
        <w:tblInd w:w="0" w:type="dxa"/>
        <w:tblLayout w:type="fixed"/>
        <w:tblCellMar>
          <w:top w:w="28" w:type="dxa"/>
          <w:left w:w="28" w:type="dxa"/>
          <w:bottom w:w="28" w:type="dxa"/>
          <w:right w:w="28" w:type="dxa"/>
        </w:tblCellMar>
      </w:tblPr>
      <w:tblGrid>
        <w:gridCol w:w="261"/>
        <w:gridCol w:w="229"/>
        <w:gridCol w:w="232"/>
        <w:gridCol w:w="2194"/>
        <w:gridCol w:w="1915"/>
        <w:gridCol w:w="1937"/>
        <w:gridCol w:w="259"/>
        <w:gridCol w:w="259"/>
        <w:gridCol w:w="263"/>
        <w:gridCol w:w="170"/>
        <w:gridCol w:w="170"/>
        <w:gridCol w:w="171"/>
        <w:gridCol w:w="345"/>
        <w:gridCol w:w="250"/>
        <w:gridCol w:w="198"/>
        <w:gridCol w:w="210"/>
        <w:gridCol w:w="210"/>
        <w:gridCol w:w="211"/>
        <w:gridCol w:w="211"/>
        <w:gridCol w:w="211"/>
        <w:gridCol w:w="299"/>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r>
          </w:p>
        </w:tc>
        <w:tc>
          <w:tcPr>
            <w:tcW w:w="26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60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7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5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9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6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6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Certificate of Incorporation of Registrant</w:t>
              </w:r>
            </w:hyperlink>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7/18/2024</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Registrant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7/18/2024</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Indenture dated December 13, 2012, by and between the Registrant and U.S. Bank National Association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12/13/2012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First Supplemental Indenture (including Form of Notes) dated December 13, 2012, by and between the Registrant and U.S. Bank National Association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12/13/2012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Third Supplemental Indenture (including Form of Notes) dated June 8, 2017, by and between the Registrant and U.S. Bank National Association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6/8/2017</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Fourth Supplemental Indenture (including Form of Notes) dated January 14, 2020, by and between the Registrant and U.S. National Bank Association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1/14/2020</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Fifth Supplemental Indenture, dated October 7, 2021, by and between Registrant and U.S. Bank National Association, including Form of Note for Autodesk, Inc.’s 2.400% Notes due 2031</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7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10/7/2021</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604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18"/>
                  <w:u w:val="single"/>
                </w:rPr>
                <w:t>Description of Registrant's Capital Stock</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3/19/2020</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Description of Registrant's Performance Stock Unit Program</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4/15/2020</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8"/>
                  <w:u w:val="single"/>
                </w:rPr>
                <w:t>Registrant's 2012 Employee Stock Plan, as amended and restated effective as of June 12, 2018</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8/30/2018</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Registrant's 2012 Employee Stock Plan Form of Restricted Stock Unit Agreement,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8/30/2016</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Registrant's 2012 Employee Stock Plan Form of Severance Restricted Stock Unit Agreement,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8/30/2016</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Registrant's 2012 Employee Stock Plan Form of Stock Option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3/13/2012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Registrant's 2012 Employee Stock Plan Form of Stock Option Agreement (non-U.S. Employees)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3/13/2012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PlanGrid, Inc. 2012 Equity Incentive Plan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333-228934</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12/21/2018</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Amended and Restated BuildingConnected, Inc. 2013 Stock Plan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333-229346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1/24/2019</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Registrant's 2012 Outside Directors' Stock Plan,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3/21/2017</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Registrant's 2012 Outside Directors' Stock Plan Form of Restricted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3/13/2012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Registrant's 2012 Outside Directors' Stock Plan Form of Restricted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6/4/2019</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Registrant’s Executive Incentive Plan,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3/23/2016</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Registrant’s 2005 Non-Qualified Deferred Compensation Plan, as amended and restated, effective as of January 1, 2010</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12/8/2009</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Executive Change in Control Program,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4/27/2022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Form of Indemnification Agreement executed by the Registrant and each of its officers and directors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3/31/2005</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Form of Qualified Retirement Agreement under the Registrant Amended and Restated Severance Plan and Summary Plan Description dated March 25, 2021</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9/1/2021</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10.17.1*</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Employment Agreement, dated as of June 19, 2017, by and between the Registrant and Andrew Anagnost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6/19/2017</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First Amendment to Andrew Anagnost Employment Agreement, dated as of April 27, 2022, by and between the Registrant and Andrew Anagnost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4/27/2022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Deborah Clifford Offer Letter dated February 12, 2021</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6/3/2021</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Registrant Amended and Restated Severance Plan and Summary Plan Description dated March 25, 2021</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6/3/2021</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Registrant's 2012 Employee Stock Plan Form of Retirement Restricted Stock Unit Agreement, as amended and restated</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3/19/2021</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Amendment No. 1 to Amended and Restated Credit Agreement dated November 21,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12/16/22</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Autodesk, Inc. 2022 Equity Incentive Plan</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06/21/2022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18"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9"/>
        <w:gridCol w:w="262"/>
        <w:gridCol w:w="266"/>
        <w:gridCol w:w="2120"/>
        <w:gridCol w:w="1929"/>
        <w:gridCol w:w="1935"/>
        <w:gridCol w:w="259"/>
        <w:gridCol w:w="259"/>
        <w:gridCol w:w="263"/>
        <w:gridCol w:w="170"/>
        <w:gridCol w:w="170"/>
        <w:gridCol w:w="171"/>
        <w:gridCol w:w="320"/>
        <w:gridCol w:w="222"/>
        <w:gridCol w:w="201"/>
        <w:gridCol w:w="210"/>
        <w:gridCol w:w="210"/>
        <w:gridCol w:w="211"/>
        <w:gridCol w:w="213"/>
        <w:gridCol w:w="213"/>
        <w:gridCol w:w="30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r>
          </w:p>
        </w:tc>
        <w:tc>
          <w:tcPr>
            <w:tcW w:w="261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8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59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7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5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6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2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59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ans-serif" w:hAnsi="Times New Roman;sans-serif"/>
                  <w:b w:val="false"/>
                  <w:color w:val="0000FF"/>
                  <w:sz w:val="18"/>
                  <w:u w:val="single"/>
                </w:rPr>
                <w:t>Autodesk, Inc. 2022 Equity Incentive Plan Form of Global RSU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06/10/2024</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59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ans-serif" w:hAnsi="Times New Roman;sans-serif"/>
                  <w:b w:val="false"/>
                  <w:color w:val="0000FF"/>
                  <w:sz w:val="18"/>
                  <w:u w:val="single"/>
                </w:rPr>
                <w:t>Autodesk, Inc. 2022 Director Compensation Policy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08/23/2022</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598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ans-serif" w:hAnsi="Times New Roman;sans-serif"/>
                  <w:b w:val="false"/>
                  <w:color w:val="0000FF"/>
                  <w:sz w:val="18"/>
                  <w:u w:val="single"/>
                </w:rPr>
                <w:t>Autodesk, Inc. 2022 Equity Incentive Plan Form of Director RSU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08/23/2022</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 xml:space="preserve">Registrant’s 1998 Employee Qualified Stock Purchase Plan, as amended and restated effective as of December 14, 2022, its Forms of Subscription Agreement and International Sub-Plan </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03/14/2023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offerletterfinal-janesh.htm">
              <w:r>
                <w:rPr>
                  <w:rStyle w:val="InternetLink"/>
                  <w:rFonts w:ascii="Times New Roman;sans-serif" w:hAnsi="Times New Roman;sans-serif"/>
                  <w:b w:val="false"/>
                  <w:color w:val="0000FF"/>
                  <w:sz w:val="18"/>
                  <w:u w:val="single"/>
                </w:rPr>
                <w:t>Janesh Moorjani Offer Letter dated November 18, 2024</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etsyrafaelinterimcfooffer.htm">
              <w:r>
                <w:rPr>
                  <w:rStyle w:val="InternetLink"/>
                  <w:rFonts w:ascii="Times New Roman;sans-serif" w:hAnsi="Times New Roman;sans-serif"/>
                  <w:b w:val="false"/>
                  <w:color w:val="0000FF"/>
                  <w:sz w:val="18"/>
                  <w:u w:val="single"/>
                </w:rPr>
                <w:t>Elizabeth Rafael Interim Offer Letter dated May 31, 2024</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etsyrafael-transitionlett.htm">
              <w:r>
                <w:rPr>
                  <w:rStyle w:val="InternetLink"/>
                  <w:rFonts w:ascii="Times New Roman;sans-serif" w:hAnsi="Times New Roman;sans-serif"/>
                  <w:b w:val="false"/>
                  <w:color w:val="0000FF"/>
                  <w:sz w:val="18"/>
                  <w:u w:val="single"/>
                </w:rPr>
                <w:t>Elizabeth Rafael Addendum to Employment Agreement dated December 13, 2024</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Autodesk Insider Trading Policy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06/10/2024</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01312025ex211.htm">
              <w:r>
                <w:rPr>
                  <w:rStyle w:val="InternetLink"/>
                  <w:rFonts w:ascii="Times New Roman;sans-serif" w:hAnsi="Times New Roman;sans-serif"/>
                  <w:b w:val="false"/>
                  <w:color w:val="0000FF"/>
                  <w:sz w:val="18"/>
                  <w:u w:val="single"/>
                </w:rPr>
                <w:t>List of Subsidiaries</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01312025ex231.htm">
              <w:r>
                <w:rPr>
                  <w:rStyle w:val="InternetLink"/>
                  <w:rFonts w:ascii="Times New Roman;sans-serif" w:hAnsi="Times New Roman;sans-serif"/>
                  <w:b w:val="false"/>
                  <w:color w:val="0000FF"/>
                  <w:sz w:val="18"/>
                  <w:u w:val="single"/>
                </w:rPr>
                <w:t>Consent of Independent Registered Public Accounting Firm (Ernst &amp; Young LLP) (filed herewith)</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9c019f9c744bb896c06eb284701691_289">
              <w:r>
                <w:rPr>
                  <w:rStyle w:val="InternetLink"/>
                  <w:rFonts w:ascii="Times New Roman;sans-serif" w:hAnsi="Times New Roman;sans-serif"/>
                  <w:b w:val="false"/>
                  <w:color w:val="0000FF"/>
                  <w:sz w:val="18"/>
                  <w:u w:val="single"/>
                </w:rPr>
                <w:t>Power of Attorney (contained in the signature page to this Annual Report on Form 10-K)</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01312025ex311.htm">
              <w:r>
                <w:rPr>
                  <w:rStyle w:val="InternetLink"/>
                  <w:rFonts w:ascii="Times New Roman;sans-serif" w:hAnsi="Times New Roman;sans-serif"/>
                  <w:b w:val="false"/>
                  <w:color w:val="0000FF"/>
                  <w:sz w:val="18"/>
                  <w:u w:val="single"/>
                </w:rPr>
                <w:t>Certification of Chief Executive Officer pursuant to Rule 13a-14(a) of the Securities Exchange Act of 1934</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01312025ex312.htm">
              <w:r>
                <w:rPr>
                  <w:rStyle w:val="InternetLink"/>
                  <w:rFonts w:ascii="Times New Roman;sans-serif" w:hAnsi="Times New Roman;sans-serif"/>
                  <w:b w:val="false"/>
                  <w:color w:val="0000FF"/>
                  <w:sz w:val="18"/>
                  <w:u w:val="single"/>
                </w:rPr>
                <w:t>Certification of Chief Financial Officer pursuant to Rule 13a-14(a) of the Securities Exchange Act of 1934</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01312025ex321.htm">
              <w:r>
                <w:rPr>
                  <w:rStyle w:val="InternetLink"/>
                  <w:rFonts w:ascii="Times New Roman;sans-serif" w:hAnsi="Times New Roman;sans-serif"/>
                  <w:b w:val="false"/>
                  <w:color w:val="0000FF"/>
                  <w:sz w:val="18"/>
                  <w:u w:val="single"/>
                </w:rPr>
                <w:t>Certification of Chief Executive Officer and Chief Financial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u w:val="single"/>
                </w:rPr>
                <w:t>Autodesk, Inc. Clawback Policy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06/10/2024</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Denotes a management contract or compensatory plan or arrangement.</w:t>
      </w:r>
    </w:p>
    <w:p>
      <w:pPr>
        <w:pStyle w:val="TextBody"/>
        <w:bidi w:val="0"/>
        <w:spacing w:lineRule="auto" w:line="288" w:before="0" w:after="0"/>
        <w:ind w:left="0" w:right="0" w:hanging="450"/>
        <w:jc w:val="left"/>
        <w:rPr>
          <w:color w:val="000000"/>
        </w:rPr>
      </w:pPr>
      <w:r>
        <w:rPr>
          <w:color w:val="000000"/>
        </w:rPr>
        <w:t>†    </w:t>
      </w:r>
      <w:r>
        <w:rPr>
          <w:rFonts w:ascii="Times New Roman;sans-serif" w:hAnsi="Times New Roman;sans-serif"/>
          <w:b w:val="false"/>
          <w:color w:val="000000"/>
          <w:sz w:val="18"/>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pStyle w:val="TextBody"/>
        <w:bidi w:val="0"/>
        <w:spacing w:lineRule="auto" w:line="288" w:before="0" w:after="0"/>
        <w:ind w:left="0" w:right="0" w:hanging="450"/>
        <w:jc w:val="left"/>
        <w:rPr/>
      </w:pPr>
      <w:r>
        <w:rPr>
          <w:color w:val="000000"/>
        </w:rPr>
        <w:t>††     </w:t>
      </w:r>
      <w:r>
        <w:rPr>
          <w:rFonts w:ascii="Times New Roman;sans-serif" w:hAnsi="Times New Roman;sans-serif"/>
          <w:b w:val="false"/>
          <w:color w:val="000000"/>
          <w:sz w:val="18"/>
        </w:rPr>
        <w:t>The financial information contained in these XBRL documents is unaudited.</w:t>
      </w: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19" name="Frame1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473" w:type="dxa"/>
        <w:jc w:val="right"/>
        <w:tblInd w:w="0" w:type="dxa"/>
        <w:tblLayout w:type="fixed"/>
        <w:tblCellMar>
          <w:top w:w="28" w:type="dxa"/>
          <w:left w:w="28" w:type="dxa"/>
          <w:bottom w:w="28" w:type="dxa"/>
          <w:right w:w="28" w:type="dxa"/>
        </w:tblCellMar>
      </w:tblPr>
      <w:tblGrid>
        <w:gridCol w:w="212"/>
        <w:gridCol w:w="186"/>
        <w:gridCol w:w="187"/>
        <w:gridCol w:w="384"/>
        <w:gridCol w:w="384"/>
        <w:gridCol w:w="386"/>
        <w:gridCol w:w="235"/>
        <w:gridCol w:w="235"/>
        <w:gridCol w:w="235"/>
        <w:gridCol w:w="880"/>
        <w:gridCol w:w="880"/>
        <w:gridCol w:w="12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AUTODESK,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ANDREW ANAGNOST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Andrew Anagnost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6, 2025</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20" name="Frame1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80" w:after="283"/>
        <w:ind w:left="0" w:right="0" w:firstLine="495"/>
        <w:jc w:val="left"/>
        <w:rPr/>
      </w:pPr>
      <w:r>
        <w:rPr>
          <w:rFonts w:ascii="Times New Roman;sans-serif" w:hAnsi="Times New Roman;sans-serif"/>
          <w:b/>
          <w:color w:val="000000"/>
          <w:sz w:val="20"/>
        </w:rPr>
        <w:t>KNOW ALL PERSONS BY THESE PRESENTS</w:t>
      </w:r>
      <w:r>
        <w:rPr>
          <w:rFonts w:ascii="Times New Roman;sans-serif" w:hAnsi="Times New Roman;sans-serif"/>
          <w:b w:val="false"/>
          <w:color w:val="000000"/>
          <w:sz w:val="20"/>
        </w:rPr>
        <w:t>, that each person whose signature appears below constitutes and appoints Andrew Anagnost and Janesh Moorjani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88" w:before="18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Pursuant to the requirements of the Securities Exchange Act of 1934, this Report has been signed below by the following persons on behalf of the Registrant and in the capacities as of March 6, 2025.</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21" name="Frame1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269c019f9c744bb896c06eb284701691_7">
        <w:r>
          <w:rPr>
            <w:rStyle w:val="InternetLink"/>
            <w:rFonts w:ascii="Times New Roman;sans-serif" w:hAnsi="Times New Roman;sans-serif"/>
            <w:b w:val="false"/>
            <w:color w:val="0000FF"/>
            <w:sz w:val="20"/>
            <w:u w:val="single"/>
          </w:rPr>
          <w:t xml:space="preserve">Table of Contents </w:t>
        </w:r>
      </w:hyperlink>
    </w:p>
    <w:p>
      <w:pPr>
        <w:pStyle w:val="TextBody"/>
        <w:bidi w:val="0"/>
        <w:spacing w:before="0" w:after="0"/>
        <w:jc w:val="left"/>
        <w:rPr/>
      </w:pPr>
      <w:r>
        <w:rPr/>
      </w:r>
    </w:p>
    <w:tbl>
      <w:tblPr>
        <w:tblW w:w="7210"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1131"/>
        <w:gridCol w:w="1131"/>
        <w:gridCol w:w="1637"/>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ANDREW ANAGNOST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99" w:type="dxa"/>
            <w:gridSpan w:val="3"/>
            <w:tcBorders/>
            <w:tcMar>
              <w:top w:w="0" w:type="dxa"/>
              <w:left w:w="0" w:type="dxa"/>
              <w:bottom w:w="0" w:type="dxa"/>
              <w:right w:w="0" w:type="dxa"/>
            </w:tcMar>
            <w:vAlign w:val="center"/>
          </w:tcPr>
          <w:p>
            <w:pPr>
              <w:pStyle w:val="TableContents"/>
              <w:bidi w:val="0"/>
              <w:spacing w:lineRule="auto" w:line="240" w:before="40" w:after="40"/>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 Director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Andrew Anagnost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JANESH MOORJANI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Janesh Moorjani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STEPHEN W. HOPE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Accounting Officer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Stephen W. Hope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STACY J. SMITH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br/>
              <w:t>(Non-executive Chairman of the Board)</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Stacy J.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KAREN BLASING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Karen Blasing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JOHN T. CAHILL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John T. Cahill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REID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Reid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AYANNA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Ayanna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BLAKE J. IRVING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Blake J. Irving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RAM R. KRISHNAN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Ram R. Krishnan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MARY T. MCDOWELL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 T. McDowell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STEPHEN D. MILLIGAN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Stephen D. Milligan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LORRIE M. NORRINGTON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Lorrie M. Norrington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ELIZABETH RAFAEL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Elizabeth Rafael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RAMI RAHIM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Rami Rahim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133350"/>
            <wp:effectExtent l="0" t="0" r="0" b="0"/>
            <wp:docPr id="1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 descr=""/>
                    <pic:cNvPicPr>
                      <a:picLocks noChangeAspect="1" noChangeArrowheads="1"/>
                    </pic:cNvPicPr>
                  </pic:nvPicPr>
                  <pic:blipFill>
                    <a:blip r:embed="rId40"/>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23"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15,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Janesh Moorjani</w:t>
      </w:r>
    </w:p>
    <w:p>
      <w:pPr>
        <w:pStyle w:val="TextBody"/>
        <w:bidi w:val="0"/>
        <w:spacing w:before="146" w:after="283"/>
        <w:jc w:val="left"/>
        <w:rPr/>
      </w:pPr>
      <w:r>
        <w:rPr/>
      </w:r>
    </w:p>
    <w:p>
      <w:pPr>
        <w:pStyle w:val="TextBody"/>
        <w:bidi w:val="0"/>
        <w:spacing w:lineRule="auto" w:line="734" w:before="0" w:after="0"/>
        <w:ind w:left="0" w:right="0" w:firstLine="5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 Employment at Autodesk </w:t>
      </w:r>
    </w:p>
    <w:p>
      <w:pPr>
        <w:pStyle w:val="TextBody"/>
        <w:bidi w:val="0"/>
        <w:spacing w:lineRule="auto" w:line="73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Janesh,</w:t>
      </w:r>
    </w:p>
    <w:p>
      <w:pPr>
        <w:pStyle w:val="TextBody"/>
        <w:bidi w:val="0"/>
        <w:spacing w:lineRule="auto" w:line="26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Congratulations! We are thrilled to offer you employment with Autodesk, Inc. (“Company”). Details about our offer are in this letter and its attachments. There’s a lot of information included, so, if you have questions about anything, please reach out to us.</w:t>
      </w:r>
    </w:p>
    <w:p>
      <w:pPr>
        <w:pStyle w:val="TextBody"/>
        <w:bidi w:val="0"/>
        <w:spacing w:before="153"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move forward, please sign all documents which require your signature and return them to Leslie Cariani by 5:00 p.m. PST on Monday, November 18, 2024. If we don’t hear from you by then, this offer will expire and become null and void. Copies of this letter and attachments, including those transmitted electronically, are effective as originals.</w:t>
      </w:r>
    </w:p>
    <w:p>
      <w:pPr>
        <w:pStyle w:val="TextBody"/>
        <w:bidi w:val="0"/>
        <w:spacing w:before="148" w:after="283"/>
        <w:jc w:val="left"/>
        <w:rPr/>
      </w:pPr>
      <w:r>
        <w:rPr/>
      </w:r>
    </w:p>
    <w:p>
      <w:pPr>
        <w:pStyle w:val="TextBody"/>
        <w:bidi w:val="0"/>
        <w:spacing w:lineRule="auto" w:line="734" w:before="0" w:after="0"/>
        <w:jc w:val="left"/>
        <w:rPr/>
      </w:pPr>
      <w:r>
        <w:rPr/>
        <w:drawing>
          <wp:inline distT="0" distB="0" distL="0" distR="0">
            <wp:extent cx="1733550" cy="419100"/>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41"/>
                    <a:stretch>
                      <a:fillRect/>
                    </a:stretch>
                  </pic:blipFill>
                  <pic:spPr bwMode="auto">
                    <a:xfrm>
                      <a:off x="0" y="0"/>
                      <a:ext cx="1733550" cy="419100"/>
                    </a:xfrm>
                    <a:prstGeom prst="rect">
                      <a:avLst/>
                    </a:prstGeom>
                  </pic:spPr>
                </pic:pic>
              </a:graphicData>
            </a:graphic>
          </wp:inline>
        </w:drawing>
      </w:r>
      <w:r>
        <w:rPr>
          <w:rFonts w:ascii="Times New Roman;sans-serif" w:hAnsi="Times New Roman;sans-serif"/>
          <w:b w:val="false"/>
          <w:color w:val="000000"/>
          <w:sz w:val="20"/>
        </w:rPr>
        <w:t>We’re excited and hope that you will join us. Warm Regards,</w:t>
      </w:r>
    </w:p>
    <w:p>
      <w:pPr>
        <w:pStyle w:val="TextBody"/>
        <w:bidi w:val="0"/>
        <w:spacing w:before="4" w:after="283"/>
        <w:jc w:val="left"/>
        <w:rPr/>
      </w:pPr>
      <w:r>
        <w:rPr/>
      </w:r>
    </w:p>
    <w:p>
      <w:pPr>
        <w:pStyle w:val="TextBody"/>
        <w:bidi w:val="0"/>
        <w:spacing w:lineRule="auto" w:line="288" w:before="126"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Jinhee Kuhl</w:t>
      </w:r>
    </w:p>
    <w:p>
      <w:pPr>
        <w:pStyle w:val="TextBody"/>
        <w:bidi w:val="0"/>
        <w:spacing w:lineRule="auto" w:line="367" w:before="73"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Talent Acquisition For and on behalf of Autodesk, Inc.</w:t>
      </w:r>
    </w:p>
    <w:p>
      <w:pPr>
        <w:pStyle w:val="TextBody"/>
        <w:bidi w:val="0"/>
        <w:spacing w:before="78"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and accept the offer of employment with Autodesk, Inc. on the terms and conditions set out in this letter and attachments.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5" w:after="283"/>
        <w:jc w:val="left"/>
        <w:rPr/>
      </w:pPr>
      <w:r>
        <w:rPr/>
      </w:r>
    </w:p>
    <w:p>
      <w:pPr>
        <w:pStyle w:val="TextBody"/>
        <w:bidi w:val="0"/>
        <w:spacing w:lineRule="auto" w:line="367" w:before="0" w:after="0"/>
        <w:ind w:left="0" w:right="0" w:firstLine="50"/>
        <w:jc w:val="left"/>
        <w:rPr/>
      </w:pPr>
      <w:r>
        <w:rPr>
          <w:rFonts w:ascii="Times New Roman;sans-serif" w:hAnsi="Times New Roman;sans-serif"/>
          <w:b w:val="false"/>
          <w:color w:val="000000"/>
          <w:sz w:val="20"/>
          <w:u w:val="single"/>
        </w:rPr>
        <w:t>/s/ Janesh Moorjani    </w:t>
      </w:r>
      <w:r>
        <w:rPr>
          <w:rFonts w:ascii="Times New Roman;sans-serif" w:hAnsi="Times New Roman;sans-serif"/>
          <w:b w:val="false"/>
          <w:color w:val="000000"/>
          <w:sz w:val="20"/>
        </w:rPr>
        <w:t>on Janesh Moorjani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90" w:after="283"/>
        <w:jc w:val="left"/>
        <w:rPr/>
      </w:pPr>
      <w:r>
        <w:rPr/>
        <w:drawing>
          <wp:inline distT="0" distB="0" distL="0" distR="0">
            <wp:extent cx="1647825" cy="1460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42"/>
                    <a:stretch>
                      <a:fillRect/>
                    </a:stretch>
                  </pic:blipFill>
                  <pic:spPr bwMode="auto">
                    <a:xfrm>
                      <a:off x="0" y="0"/>
                      <a:ext cx="1647825" cy="14605"/>
                    </a:xfrm>
                    <a:prstGeom prst="rect">
                      <a:avLst/>
                    </a:prstGeom>
                  </pic:spPr>
                </pic:pic>
              </a:graphicData>
            </a:graphic>
          </wp:inline>
        </w:drawing>
      </w:r>
      <w:r>
        <w:rPr>
          <w:color w:val="000000"/>
        </w:rPr>
        <w:t xml:space="preserve"> </w:t>
      </w:r>
      <w:r>
        <w:rPr>
          <w:rFonts w:ascii="Times New Roman;sans-serif" w:hAnsi="Times New Roman;sans-serif"/>
          <w:b w:val="false"/>
          <w:color w:val="000000"/>
          <w:sz w:val="20"/>
        </w:rPr>
        <w:t>11/18/24</w:t>
      </w:r>
    </w:p>
    <w:p>
      <w:pPr>
        <w:pStyle w:val="TextBody"/>
        <w:bidi w:val="0"/>
        <w:spacing w:lineRule="auto" w:line="288" w:before="7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43"/>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592580"/>
                <wp:effectExtent l="0" t="0" r="0" b="0"/>
                <wp:wrapNone/>
                <wp:docPr id="127" name="Frame122"/>
                <a:graphic xmlns:a="http://schemas.openxmlformats.org/drawingml/2006/main">
                  <a:graphicData uri="http://schemas.microsoft.com/office/word/2010/wordprocessingShape">
                    <wps:wsp>
                      <wps:cNvSpPr txBox="1"/>
                      <wps:spPr>
                        <a:xfrm>
                          <a:off x="0" y="0"/>
                          <a:ext cx="6480175" cy="159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6"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60"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 xml:space="preserve">+1 415 507 6338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6"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60"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 xml:space="preserve">+1 415 507 6338 </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39"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Enclosures:</w:t>
      </w:r>
    </w:p>
    <w:p>
      <w:pPr>
        <w:pStyle w:val="TextBody"/>
        <w:bidi w:val="0"/>
        <w:spacing w:lineRule="atLeast" w:line="227" w:before="33" w:after="283"/>
        <w:ind w:left="0" w:right="0" w:hanging="400"/>
        <w:jc w:val="left"/>
        <w:rPr/>
      </w:pPr>
      <w:r>
        <w:rPr>
          <w:color w:val="000000"/>
        </w:rPr>
        <w:t>•</w:t>
      </w:r>
      <w:r>
        <w:rPr>
          <w:rFonts w:ascii="Times New Roman;sans-serif" w:hAnsi="Times New Roman;sans-serif"/>
          <w:b w:val="false"/>
          <w:color w:val="000000"/>
          <w:sz w:val="20"/>
        </w:rPr>
        <w:t>Terms of Employment (sign)</w:t>
      </w:r>
    </w:p>
    <w:p>
      <w:pPr>
        <w:pStyle w:val="TextBody"/>
        <w:bidi w:val="0"/>
        <w:spacing w:lineRule="atLeast" w:line="223" w:before="0" w:after="0"/>
        <w:ind w:left="0" w:right="0" w:hanging="400"/>
        <w:jc w:val="left"/>
        <w:rPr/>
      </w:pPr>
      <w:r>
        <w:rPr>
          <w:color w:val="000000"/>
        </w:rPr>
        <w:t>•</w:t>
      </w:r>
      <w:r>
        <w:rPr>
          <w:rFonts w:ascii="Times New Roman;sans-serif" w:hAnsi="Times New Roman;sans-serif"/>
          <w:b w:val="false"/>
          <w:color w:val="000000"/>
          <w:sz w:val="20"/>
        </w:rPr>
        <w:t>Code of Business Conduct and Acknowledgement (sign)</w:t>
      </w:r>
    </w:p>
    <w:p>
      <w:pPr>
        <w:pStyle w:val="TextBody"/>
        <w:bidi w:val="0"/>
        <w:spacing w:lineRule="atLeast" w:line="223" w:before="0" w:after="0"/>
        <w:ind w:left="0" w:right="0" w:hanging="400"/>
        <w:jc w:val="left"/>
        <w:rPr/>
      </w:pPr>
      <w:r>
        <w:rPr>
          <w:color w:val="000000"/>
        </w:rPr>
        <w:t>•</w:t>
      </w:r>
      <w:r>
        <w:rPr>
          <w:rFonts w:ascii="Times New Roman;sans-serif" w:hAnsi="Times New Roman;sans-serif"/>
          <w:b w:val="false"/>
          <w:color w:val="000000"/>
          <w:sz w:val="20"/>
        </w:rPr>
        <w:t>Mutual Arbitration Agreement (U.S.) (sign)</w:t>
      </w:r>
    </w:p>
    <w:p>
      <w:pPr>
        <w:pStyle w:val="TextBody"/>
        <w:bidi w:val="0"/>
        <w:spacing w:lineRule="atLeast" w:line="223" w:before="0" w:after="0"/>
        <w:ind w:left="0" w:right="0" w:hanging="400"/>
        <w:jc w:val="left"/>
        <w:rPr/>
      </w:pPr>
      <w:r>
        <w:rPr>
          <w:color w:val="000000"/>
        </w:rPr>
        <w:t>•</w:t>
      </w:r>
      <w:r>
        <w:rPr>
          <w:rFonts w:ascii="Times New Roman;sans-serif" w:hAnsi="Times New Roman;sans-serif"/>
          <w:b w:val="false"/>
          <w:color w:val="000000"/>
          <w:sz w:val="20"/>
        </w:rPr>
        <w:t>Arbitration Program Overview and FAQs (U.S.)</w:t>
      </w:r>
    </w:p>
    <w:p>
      <w:pPr>
        <w:pStyle w:val="TextBody"/>
        <w:bidi w:val="0"/>
        <w:spacing w:lineRule="atLeast" w:line="223" w:before="0" w:after="0"/>
        <w:ind w:left="0" w:right="0" w:hanging="400"/>
        <w:jc w:val="left"/>
        <w:rPr/>
      </w:pPr>
      <w:r>
        <w:rPr>
          <w:color w:val="000000"/>
        </w:rPr>
        <w:t>•</w:t>
      </w:r>
      <w:r>
        <w:rPr>
          <w:rFonts w:ascii="Times New Roman;sans-serif" w:hAnsi="Times New Roman;sans-serif"/>
          <w:b w:val="false"/>
          <w:color w:val="000000"/>
          <w:sz w:val="20"/>
        </w:rPr>
        <w:t>Employee Nondisclosure and Assignment Agreement (sign)</w:t>
      </w:r>
    </w:p>
    <w:p>
      <w:pPr>
        <w:pStyle w:val="TextBody"/>
        <w:bidi w:val="0"/>
        <w:spacing w:lineRule="atLeast" w:line="227" w:before="0" w:after="0"/>
        <w:ind w:left="0" w:right="0" w:hanging="400"/>
        <w:jc w:val="left"/>
        <w:rPr/>
      </w:pPr>
      <w:r>
        <w:rPr>
          <w:color w:val="000000"/>
        </w:rPr>
        <w:t>•</w:t>
      </w:r>
      <w:r>
        <w:rPr>
          <w:rFonts w:ascii="Times New Roman;sans-serif" w:hAnsi="Times New Roman;sans-serif"/>
          <w:b w:val="false"/>
          <w:color w:val="000000"/>
          <w:sz w:val="20"/>
        </w:rPr>
        <w:t>Global Worker Data Protection Policy and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592580"/>
                <wp:effectExtent l="0" t="0" r="0" b="0"/>
                <wp:wrapNone/>
                <wp:docPr id="128" name="Frame123"/>
                <a:graphic xmlns:a="http://schemas.openxmlformats.org/drawingml/2006/main">
                  <a:graphicData uri="http://schemas.microsoft.com/office/word/2010/wordprocessingShape">
                    <wps:wsp>
                      <wps:cNvSpPr txBox="1"/>
                      <wps:spPr>
                        <a:xfrm>
                          <a:off x="0" y="0"/>
                          <a:ext cx="6480175" cy="159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6"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60"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 xml:space="preserve">+1 415 507 6338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6"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60"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 xml:space="preserve">+1 415 507 6338 </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 descr=""/>
                    <pic:cNvPicPr>
                      <a:picLocks noChangeAspect="1" noChangeArrowheads="1"/>
                    </pic:cNvPicPr>
                  </pic:nvPicPr>
                  <pic:blipFill>
                    <a:blip r:embed="rId44"/>
                    <a:stretch>
                      <a:fillRect/>
                    </a:stretch>
                  </pic:blipFill>
                  <pic:spPr bwMode="auto">
                    <a:xfrm>
                      <a:off x="0" y="0"/>
                      <a:ext cx="1390650" cy="133350"/>
                    </a:xfrm>
                    <a:prstGeom prst="rect">
                      <a:avLst/>
                    </a:prstGeom>
                  </pic:spPr>
                </pic:pic>
              </a:graphicData>
            </a:graphic>
          </wp:inline>
        </w:drawing>
      </w:r>
    </w:p>
    <w:p>
      <w:pPr>
        <w:pStyle w:val="TextBody"/>
        <w:bidi w:val="0"/>
        <w:spacing w:before="0" w:after="0"/>
        <w:jc w:val="left"/>
        <w:rPr/>
      </w:pPr>
      <w:r>
        <w:rPr/>
      </w:r>
    </w:p>
    <w:p>
      <w:pPr>
        <w:pStyle w:val="TextBody"/>
        <w:bidi w:val="0"/>
        <w:spacing w:before="212"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TERMS OF EMPLOYMENT</w:t>
      </w:r>
    </w:p>
    <w:p>
      <w:pPr>
        <w:pStyle w:val="TextBody"/>
        <w:bidi w:val="0"/>
        <w:spacing w:before="155" w:after="283"/>
        <w:jc w:val="left"/>
        <w:rPr/>
      </w:pPr>
      <w:r>
        <w:rPr/>
      </w:r>
    </w:p>
    <w:p>
      <w:pPr>
        <w:pStyle w:val="TextBody"/>
        <w:bidi w:val="0"/>
        <w:spacing w:lineRule="auto" w:line="288" w:before="0" w:after="0"/>
        <w:ind w:left="0" w:right="0" w:hanging="378"/>
        <w:jc w:val="left"/>
        <w:rPr/>
      </w:pPr>
      <w:r>
        <w:rPr>
          <w:rFonts w:ascii="Times New Roman;sans-serif" w:hAnsi="Times New Roman;sans-serif"/>
          <w:b/>
          <w:color w:val="000000"/>
          <w:sz w:val="20"/>
        </w:rPr>
        <w:t>I.</w:t>
      </w:r>
      <w:r>
        <w:rPr>
          <w:rFonts w:ascii="Times New Roman;sans-serif" w:hAnsi="Times New Roman;sans-serif"/>
          <w:b/>
          <w:color w:val="000000"/>
          <w:sz w:val="20"/>
          <w:u w:val="single"/>
        </w:rPr>
        <w:t>THE BASICS</w:t>
      </w:r>
    </w:p>
    <w:p>
      <w:pPr>
        <w:pStyle w:val="TextBody"/>
        <w:bidi w:val="0"/>
        <w:spacing w:before="155" w:after="283"/>
        <w:jc w:val="left"/>
        <w:rPr/>
      </w:pPr>
      <w:r>
        <w:rPr/>
      </w:r>
    </w:p>
    <w:p>
      <w:pPr>
        <w:pStyle w:val="TextBody"/>
        <w:bidi w:val="0"/>
        <w:spacing w:lineRule="auto" w:line="268" w:before="1" w:after="283"/>
        <w:jc w:val="left"/>
        <w:rPr/>
      </w:pPr>
      <w:r>
        <w:rPr>
          <w:rFonts w:ascii="Times New Roman;sans-serif" w:hAnsi="Times New Roman;sans-serif"/>
          <w:b/>
          <w:color w:val="000000"/>
          <w:sz w:val="20"/>
          <w:u w:val="single"/>
        </w:rPr>
        <w:t>Position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 will be in the position of Executive Vice President and Chief Financial Officer, reporting to Andrew Anagnost, Chief Executive Officer. </w:t>
      </w:r>
    </w:p>
    <w:p>
      <w:pPr>
        <w:pStyle w:val="TextBody"/>
        <w:bidi w:val="0"/>
        <w:spacing w:before="155" w:after="283"/>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Start Date</w:t>
      </w:r>
      <w:r>
        <w:rPr>
          <w:rFonts w:ascii="Times New Roman;sans-serif" w:hAnsi="Times New Roman;sans-serif"/>
          <w:b/>
          <w:color w:val="000000"/>
          <w:sz w:val="20"/>
        </w:rPr>
        <w:t xml:space="preserve">. </w:t>
      </w:r>
      <w:r>
        <w:rPr>
          <w:rFonts w:ascii="Times New Roman;sans-serif" w:hAnsi="Times New Roman;sans-serif"/>
          <w:b w:val="false"/>
          <w:color w:val="000000"/>
          <w:sz w:val="20"/>
        </w:rPr>
        <w:t>Your first date of employment will be December 16, 2024.</w:t>
      </w:r>
    </w:p>
    <w:p>
      <w:pPr>
        <w:pStyle w:val="TextBody"/>
        <w:bidi w:val="0"/>
        <w:spacing w:lineRule="auto" w:line="288" w:before="155" w:after="283"/>
        <w:jc w:val="left"/>
        <w:rPr/>
      </w:pPr>
      <w:r>
        <w:rPr>
          <w:rFonts w:ascii="Times New Roman;sans-serif" w:hAnsi="Times New Roman;sans-serif"/>
          <w:b/>
          <w:color w:val="000000"/>
          <w:sz w:val="20"/>
          <w:u w:val="single"/>
        </w:rPr>
        <w:t>Location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 will report to the Company’s main U.S. office, which is located at One Market Street, Suite 400, San Francisco, CA 94105 and its main phone number is 415-507-5000 (“Place of Employment”). Your position is Hybrid, which means that you will have flexibility to alternate between working remotely and from the office, subject to the terms of applicable Company policies and guidelines. </w:t>
      </w:r>
    </w:p>
    <w:p>
      <w:pPr>
        <w:pStyle w:val="TextBody"/>
        <w:bidi w:val="0"/>
        <w:spacing w:before="0" w:after="0"/>
        <w:jc w:val="left"/>
        <w:rPr/>
      </w:pPr>
      <w:r>
        <w:rPr/>
      </w:r>
    </w:p>
    <w:p>
      <w:pPr>
        <w:pStyle w:val="TextBody"/>
        <w:bidi w:val="0"/>
        <w:spacing w:lineRule="auto" w:line="288" w:before="155" w:after="283"/>
        <w:jc w:val="left"/>
        <w:rPr/>
      </w:pPr>
      <w:r>
        <w:rPr>
          <w:rFonts w:ascii="Times New Roman;sans-serif" w:hAnsi="Times New Roman;sans-serif"/>
          <w:b/>
          <w:color w:val="000000"/>
          <w:sz w:val="20"/>
          <w:u w:val="single"/>
        </w:rPr>
        <w:t>At-Will Employment</w:t>
      </w:r>
      <w:r>
        <w:rPr>
          <w:rFonts w:ascii="Times New Roman;sans-serif" w:hAnsi="Times New Roman;sans-serif"/>
          <w:b/>
          <w:color w:val="000000"/>
          <w:sz w:val="20"/>
        </w:rPr>
        <w:t xml:space="preserve">. </w:t>
      </w:r>
      <w:r>
        <w:rPr>
          <w:rFonts w:ascii="Times New Roman;sans-serif" w:hAnsi="Times New Roman;sans-serif"/>
          <w:b w:val="false"/>
          <w:color w:val="000000"/>
          <w:sz w:val="20"/>
        </w:rPr>
        <w:t>Your employment with Autodesk will be at-will. This means that you or Autodesk may terminate your employment relationship without notice and for any reason at any time.</w:t>
      </w:r>
    </w:p>
    <w:p>
      <w:pPr>
        <w:pStyle w:val="TextBody"/>
        <w:bidi w:val="0"/>
        <w:spacing w:before="155" w:after="283"/>
        <w:jc w:val="left"/>
        <w:rPr/>
      </w:pPr>
      <w:r>
        <w:rPr/>
      </w:r>
    </w:p>
    <w:p>
      <w:pPr>
        <w:pStyle w:val="TextBody"/>
        <w:bidi w:val="0"/>
        <w:spacing w:lineRule="auto" w:line="288" w:before="0" w:after="0"/>
        <w:ind w:left="0" w:right="0" w:hanging="456"/>
        <w:jc w:val="left"/>
        <w:rPr/>
      </w:pPr>
      <w:r>
        <w:rPr>
          <w:rFonts w:ascii="Times New Roman;sans-serif" w:hAnsi="Times New Roman;sans-serif"/>
          <w:b/>
          <w:color w:val="000000"/>
          <w:sz w:val="20"/>
        </w:rPr>
        <w:t>II.</w:t>
      </w:r>
      <w:r>
        <w:rPr>
          <w:rFonts w:ascii="Times New Roman;sans-serif" w:hAnsi="Times New Roman;sans-serif"/>
          <w:b/>
          <w:color w:val="000000"/>
          <w:sz w:val="20"/>
          <w:u w:val="single"/>
        </w:rPr>
        <w:t>COMPENSATION</w:t>
      </w:r>
    </w:p>
    <w:p>
      <w:pPr>
        <w:pStyle w:val="TextBody"/>
        <w:bidi w:val="0"/>
        <w:spacing w:before="155" w:after="283"/>
        <w:jc w:val="left"/>
        <w:rPr/>
      </w:pPr>
      <w:r>
        <w:rPr/>
      </w:r>
    </w:p>
    <w:p>
      <w:pPr>
        <w:pStyle w:val="TextBody"/>
        <w:bidi w:val="0"/>
        <w:spacing w:lineRule="auto" w:line="271" w:before="0" w:after="0"/>
        <w:jc w:val="left"/>
        <w:rPr/>
      </w:pPr>
      <w:r>
        <w:rPr>
          <w:rFonts w:ascii="Times New Roman;sans-serif" w:hAnsi="Times New Roman;sans-serif"/>
          <w:b/>
          <w:color w:val="000000"/>
          <w:sz w:val="20"/>
          <w:u w:val="single"/>
        </w:rPr>
        <w:t>Base Pay.</w:t>
      </w:r>
      <w:r>
        <w:rPr>
          <w:color w:val="000000"/>
        </w:rPr>
        <w:t xml:space="preserve"> </w:t>
      </w:r>
      <w:r>
        <w:rPr>
          <w:rFonts w:ascii="Times New Roman;sans-serif" w:hAnsi="Times New Roman;sans-serif"/>
          <w:b w:val="false"/>
          <w:color w:val="000000"/>
          <w:sz w:val="20"/>
        </w:rPr>
        <w:t>Your starting base salary will be $12,500.00 per week annualized at $650,000.00, minus all legally applicable deductions and withholdings. Autodesk pays employees bi-weekly. To determine pay dates, please go to Autodesk's intranet site when you join us and click on Payroll.</w:t>
      </w:r>
    </w:p>
    <w:p>
      <w:pPr>
        <w:pStyle w:val="TextBody"/>
        <w:bidi w:val="0"/>
        <w:spacing w:before="0" w:after="0"/>
        <w:jc w:val="left"/>
        <w:rPr/>
      </w:pPr>
      <w:r>
        <w:rPr/>
      </w:r>
    </w:p>
    <w:p>
      <w:pPr>
        <w:pStyle w:val="TextBody"/>
        <w:bidi w:val="0"/>
        <w:spacing w:lineRule="auto" w:line="271" w:before="155" w:after="283"/>
        <w:jc w:val="both"/>
        <w:rPr/>
      </w:pPr>
      <w:r>
        <w:rPr>
          <w:rFonts w:ascii="Times New Roman;sans-serif" w:hAnsi="Times New Roman;sans-serif"/>
          <w:b/>
          <w:color w:val="000000"/>
          <w:sz w:val="20"/>
          <w:u w:val="single"/>
        </w:rPr>
        <w:t>Sign-On Bonus</w:t>
      </w:r>
      <w:r>
        <w:rPr>
          <w:rFonts w:ascii="Times New Roman;sans-serif" w:hAnsi="Times New Roman;sans-serif"/>
          <w:b/>
          <w:color w:val="000000"/>
          <w:sz w:val="20"/>
        </w:rPr>
        <w:t xml:space="preserve">. </w:t>
      </w:r>
      <w:r>
        <w:rPr>
          <w:rFonts w:ascii="Times New Roman;sans-serif" w:hAnsi="Times New Roman;sans-serif"/>
          <w:b w:val="false"/>
          <w:color w:val="000000"/>
          <w:sz w:val="20"/>
        </w:rPr>
        <w:t>You will be paid a gross sign-on bonus of $500,000.00, less applicable payroll withholdings, subject to the following terms and conditions (“Sign-On Bonus”). You will receive this on the next regularly scheduled pay date after you begin employment. If you resign from your employment with Autodesk within twelve months of your Start Date, you will repay to Autodesk the net amount of the Sign-On Bonus (what you received after payroll withholdings) on or before your last day of employment with Autodesk.</w:t>
      </w:r>
      <w:r>
        <w:rPr>
          <w:color w:val="000000"/>
        </w:rPr>
        <w:t xml:space="preserve"> </w:t>
      </w:r>
    </w:p>
    <w:p>
      <w:pPr>
        <w:pStyle w:val="TextBody"/>
        <w:bidi w:val="0"/>
        <w:spacing w:before="0" w:after="0"/>
        <w:jc w:val="both"/>
        <w:rPr/>
      </w:pPr>
      <w:r>
        <w:rPr/>
      </w:r>
    </w:p>
    <w:p>
      <w:pPr>
        <w:pStyle w:val="TextBody"/>
        <w:bidi w:val="0"/>
        <w:spacing w:lineRule="auto" w:line="271" w:before="155" w:after="283"/>
        <w:jc w:val="both"/>
        <w:rPr/>
      </w:pPr>
      <w:r>
        <w:rPr>
          <w:rFonts w:ascii="Times New Roman;sans-serif" w:hAnsi="Times New Roman;sans-serif"/>
          <w:b/>
          <w:color w:val="000000"/>
          <w:sz w:val="20"/>
          <w:u w:val="single"/>
        </w:rPr>
        <w:t>Autodesk Executive Incentive Bonus</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You’re eligible to participate in the applicable Autodesk Executive Incentive Plan (“EIP”). Your initial EIP target incentive amount for your position is 90% of your base pay. The decision whether to grant an EIP award to an eligible participant as well as the amount of any award is at the discretion of Autodesk. You can find out details about the EIP when you join the Company.</w:t>
      </w:r>
    </w:p>
    <w:p>
      <w:pPr>
        <w:pStyle w:val="TextBody"/>
        <w:bidi w:val="0"/>
        <w:spacing w:before="0" w:after="0"/>
        <w:jc w:val="left"/>
        <w:rPr/>
      </w:pPr>
      <w:r>
        <w:rPr/>
      </w:r>
    </w:p>
    <w:p>
      <w:pPr>
        <w:pStyle w:val="TextBody"/>
        <w:bidi w:val="0"/>
        <w:spacing w:lineRule="auto" w:line="271" w:before="155" w:after="283"/>
        <w:jc w:val="left"/>
        <w:rPr/>
      </w:pPr>
      <w:r>
        <w:rPr>
          <w:rFonts w:ascii="Times New Roman;sans-serif" w:hAnsi="Times New Roman;sans-serif"/>
          <w:b/>
          <w:color w:val="000000"/>
          <w:sz w:val="20"/>
          <w:u w:val="single"/>
        </w:rPr>
        <w:t>Equity Awards.</w:t>
      </w:r>
      <w:r>
        <w:rPr>
          <w:color w:val="000000"/>
        </w:rPr>
        <w:t xml:space="preserve"> </w:t>
      </w:r>
      <w:r>
        <w:rPr>
          <w:rFonts w:ascii="Times New Roman;sans-serif" w:hAnsi="Times New Roman;sans-serif"/>
          <w:b w:val="false"/>
          <w:color w:val="000000"/>
          <w:sz w:val="20"/>
        </w:rPr>
        <w:t xml:space="preserve">We will recommend to the Compensation Committee of the Autodesk Board of Directors (“Compensation Committee”) that you be granted a mix of restricted stock units (“RSUs”) and performance stock units (“PSUs”) with an aggregate value of $25,000,000 (USD), as set forth below.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first RSU grant, a value of $2,000,000 (USD), will be granted as soon as administratively practical following the commencement of your employment. These RSUs will vest 100% one year after the grant date.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second RSU grant, a value of $2,000,000 (USD), will be granted as soon as administratively practical following the commencement of your employment. These RSUs will vest annually in equal shares over a two-year period.</w:t>
      </w:r>
    </w:p>
    <w:p>
      <w:pPr>
        <w:pStyle w:val="TextBody"/>
        <w:bidi w:val="0"/>
        <w:spacing w:before="0" w:after="0"/>
        <w:ind w:left="0" w:right="0" w:hanging="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592580"/>
                <wp:effectExtent l="0" t="0" r="0" b="0"/>
                <wp:wrapNone/>
                <wp:docPr id="130" name="Frame124"/>
                <a:graphic xmlns:a="http://schemas.openxmlformats.org/drawingml/2006/main">
                  <a:graphicData uri="http://schemas.microsoft.com/office/word/2010/wordprocessingShape">
                    <wps:wsp>
                      <wps:cNvSpPr txBox="1"/>
                      <wps:spPr>
                        <a:xfrm>
                          <a:off x="0" y="0"/>
                          <a:ext cx="6480175" cy="159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3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 descr=""/>
                    <pic:cNvPicPr>
                      <a:picLocks noChangeAspect="1" noChangeArrowheads="1"/>
                    </pic:cNvPicPr>
                  </pic:nvPicPr>
                  <pic:blipFill>
                    <a:blip r:embed="rId45"/>
                    <a:stretch>
                      <a:fillRect/>
                    </a:stretch>
                  </pic:blipFill>
                  <pic:spPr bwMode="auto">
                    <a:xfrm>
                      <a:off x="0" y="0"/>
                      <a:ext cx="1390650" cy="133350"/>
                    </a:xfrm>
                    <a:prstGeom prst="rect">
                      <a:avLst/>
                    </a:prstGeom>
                  </pic:spPr>
                </pic:pic>
              </a:graphicData>
            </a:graphic>
          </wp:inline>
        </w:drawing>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third RSU grant, a value of $6,250,000 (USD), will be granted as soon as administratively practical following the commencement of your employment. These RSUs will vest annually in equal shares over a three-year period.</w:t>
      </w:r>
    </w:p>
    <w:p>
      <w:pPr>
        <w:pStyle w:val="TextBody"/>
        <w:bidi w:val="0"/>
        <w:spacing w:before="0" w:after="0"/>
        <w:ind w:left="0" w:right="0" w:hanging="40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first PSU grant, a value of $11,750,000 (USD), will be granted on our next annual grant date (i.e., FY26 annual grant date) which is usually in April each year. These PSUs will vest annually in equal shares over a three-year period, based on the attainment of performance goals as set by the Compensation Committee.</w:t>
      </w:r>
    </w:p>
    <w:p>
      <w:pPr>
        <w:pStyle w:val="TextBody"/>
        <w:bidi w:val="0"/>
        <w:spacing w:before="0" w:after="0"/>
        <w:ind w:left="0" w:right="0" w:hanging="40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second PSU grant, a value of $3,000,000 (USD), will be granted on our next annual grant date (i.e., FY26 annual grant date) which is usually in April each year. These PSUs will vest 100% three years after the grant date, based on the attainment of performance goals as set by the Compensation Committee. </w:t>
      </w:r>
    </w:p>
    <w:p>
      <w:pPr>
        <w:pStyle w:val="TextBody"/>
        <w:bidi w:val="0"/>
        <w:spacing w:before="0" w:after="0"/>
        <w:jc w:val="both"/>
        <w:rPr/>
      </w:pPr>
      <w:r>
        <w:rPr/>
      </w:r>
    </w:p>
    <w:p>
      <w:pPr>
        <w:pStyle w:val="TextBody"/>
        <w:bidi w:val="0"/>
        <w:spacing w:lineRule="auto" w:line="271" w:before="155" w:after="283"/>
        <w:jc w:val="left"/>
        <w:rPr/>
      </w:pPr>
      <w:r>
        <w:rPr>
          <w:rFonts w:ascii="Times New Roman;sans-serif" w:hAnsi="Times New Roman;sans-serif"/>
          <w:b/>
          <w:color w:val="000000"/>
          <w:sz w:val="20"/>
          <w:u w:val="single"/>
        </w:rPr>
        <w:t>Annual Employee Stock Plan.</w:t>
      </w:r>
      <w:r>
        <w:rPr>
          <w:color w:val="000000"/>
        </w:rPr>
        <w:t xml:space="preserve"> </w:t>
      </w:r>
      <w:r>
        <w:rPr>
          <w:rFonts w:ascii="Times New Roman;sans-serif" w:hAnsi="Times New Roman;sans-serif"/>
          <w:b w:val="false"/>
          <w:color w:val="000000"/>
          <w:sz w:val="20"/>
        </w:rPr>
        <w:t>Following the FY26 annual grant, you will continue to be eligible to participate in the annual Autodesk Employee Stock Plan. The decision whether to grant an annual equity award to an eligible participant as well as the amount of any award is at the discretion of Autodesk and subject to the plan terms. You can find out details about the plan when you join the Company.</w:t>
      </w:r>
    </w:p>
    <w:p>
      <w:pPr>
        <w:pStyle w:val="TextBody"/>
        <w:bidi w:val="0"/>
        <w:spacing w:before="0" w:after="0"/>
        <w:jc w:val="left"/>
        <w:rPr/>
      </w:pPr>
      <w:r>
        <w:rPr/>
      </w:r>
    </w:p>
    <w:p>
      <w:pPr>
        <w:pStyle w:val="TextBody"/>
        <w:bidi w:val="0"/>
        <w:spacing w:lineRule="auto" w:line="271" w:before="155" w:after="283"/>
        <w:jc w:val="left"/>
        <w:rPr/>
      </w:pPr>
      <w:r>
        <w:rPr>
          <w:rFonts w:ascii="Times New Roman;sans-serif" w:hAnsi="Times New Roman;sans-serif"/>
          <w:b/>
          <w:color w:val="000000"/>
          <w:sz w:val="20"/>
          <w:u w:val="single"/>
        </w:rPr>
        <w:t>RSU and PSU Details.</w:t>
      </w:r>
      <w:r>
        <w:rPr>
          <w:color w:val="000000"/>
        </w:rPr>
        <w:t xml:space="preserve"> </w:t>
      </w:r>
      <w:r>
        <w:rPr>
          <w:rFonts w:ascii="Times New Roman;sans-serif" w:hAnsi="Times New Roman;sans-serif"/>
          <w:b w:val="false"/>
          <w:color w:val="000000"/>
          <w:sz w:val="20"/>
        </w:rPr>
        <w:t>At the time of each grant, the total value of each grant will be converted to a specific number of RSUs or PSUs based upon the average stock price over the 20 trading days immediately preceding the date of the grant date.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vesting, the RSUs or PSUs will convert to an equal number of shares of Autodesk common stock, subject to the modifier to the performance based RSU portion in accordance with the applicable plan. The actual value of the shares vesting will be based upon the closing stock price on the vesting date. The RSUs do not have a purchase price but are subject to taxation upon vesting. Any such grant will be subject to the terms and conditions of the applicable Autodesk employee equity plan, restricted stock unit agreement and performance plan, which you will be required to sign as a condition to receiving any RSUs.</w:t>
      </w:r>
    </w:p>
    <w:p>
      <w:pPr>
        <w:pStyle w:val="TextBody"/>
        <w:bidi w:val="0"/>
        <w:spacing w:before="155" w:after="283"/>
        <w:jc w:val="left"/>
        <w:rPr/>
      </w:pPr>
      <w:r>
        <w:rPr/>
      </w:r>
    </w:p>
    <w:p>
      <w:pPr>
        <w:pStyle w:val="TextBody"/>
        <w:bidi w:val="0"/>
        <w:spacing w:lineRule="auto" w:line="288" w:before="0" w:after="0"/>
        <w:ind w:left="0" w:right="0" w:hanging="378"/>
        <w:jc w:val="left"/>
        <w:rPr/>
      </w:pPr>
      <w:r>
        <w:rPr>
          <w:rFonts w:ascii="Times New Roman;sans-serif" w:hAnsi="Times New Roman;sans-serif"/>
          <w:b/>
          <w:color w:val="000000"/>
          <w:sz w:val="20"/>
        </w:rPr>
        <w:t>III.</w:t>
      </w:r>
      <w:r>
        <w:rPr>
          <w:rFonts w:ascii="Times New Roman;sans-serif" w:hAnsi="Times New Roman;sans-serif"/>
          <w:b/>
          <w:color w:val="000000"/>
          <w:sz w:val="20"/>
          <w:u w:val="single"/>
        </w:rPr>
        <w:t>BENEFITS</w:t>
      </w:r>
    </w:p>
    <w:p>
      <w:pPr>
        <w:pStyle w:val="TextBody"/>
        <w:bidi w:val="0"/>
        <w:spacing w:before="0" w:after="0"/>
        <w:jc w:val="left"/>
        <w:rPr/>
      </w:pPr>
      <w:r>
        <w:rPr/>
      </w:r>
    </w:p>
    <w:p>
      <w:pPr>
        <w:pStyle w:val="TextBody"/>
        <w:bidi w:val="0"/>
        <w:spacing w:lineRule="auto" w:line="290" w:before="155" w:after="283"/>
        <w:jc w:val="left"/>
        <w:rPr/>
      </w:pPr>
      <w:r>
        <w:rPr>
          <w:rFonts w:ascii="Times New Roman;sans-serif" w:hAnsi="Times New Roman;sans-serif"/>
          <w:b/>
          <w:color w:val="000000"/>
          <w:sz w:val="20"/>
          <w:u w:val="single"/>
        </w:rPr>
        <w:t>Employee Stock Purchase Plan.</w:t>
      </w:r>
      <w:r>
        <w:rPr>
          <w:color w:val="000000"/>
        </w:rPr>
        <w:t xml:space="preserve"> </w:t>
      </w:r>
      <w:r>
        <w:rPr>
          <w:rFonts w:ascii="Times New Roman;sans-serif" w:hAnsi="Times New Roman;sans-serif"/>
          <w:b w:val="false"/>
          <w:color w:val="000000"/>
          <w:sz w:val="20"/>
        </w:rPr>
        <w:t>You will be eligible to participate in the applicable Autodesk Employee Stock Purchase Plan (“ESPP”). Your participation in the ESPP will be subject to the rules of the plan as well as applicable law. Where tax withholding is required, the Company will withhold the required amounts on your behalf.</w:t>
      </w:r>
    </w:p>
    <w:p>
      <w:pPr>
        <w:pStyle w:val="TextBody"/>
        <w:bidi w:val="0"/>
        <w:spacing w:before="1" w:after="283"/>
        <w:jc w:val="left"/>
        <w:rPr/>
      </w:pPr>
      <w:r>
        <w:rPr/>
      </w:r>
    </w:p>
    <w:p>
      <w:pPr>
        <w:pStyle w:val="TextBody"/>
        <w:bidi w:val="0"/>
        <w:spacing w:lineRule="auto" w:line="290" w:before="155" w:after="283"/>
        <w:jc w:val="left"/>
        <w:rPr/>
      </w:pPr>
      <w:r>
        <w:rPr>
          <w:rFonts w:ascii="Times New Roman;sans-serif" w:hAnsi="Times New Roman;sans-serif"/>
          <w:b/>
          <w:color w:val="000000"/>
          <w:sz w:val="20"/>
          <w:u w:val="single"/>
        </w:rPr>
        <w:t>Other Benefits.</w:t>
      </w:r>
      <w:r>
        <w:rPr>
          <w:color w:val="000000"/>
        </w:rPr>
        <w:t xml:space="preserve"> </w:t>
      </w:r>
      <w:r>
        <w:rPr>
          <w:rFonts w:ascii="Times New Roman;sans-serif" w:hAnsi="Times New Roman;sans-serif"/>
          <w:b w:val="false"/>
          <w:color w:val="000000"/>
          <w:sz w:val="20"/>
        </w:rPr>
        <w:t>If eligible, you can participate in a wide variety of employee benefit programs including health insurance, a 401(k) plan with company match and sabbatical program. A summary of these benefits and other programs will be provided to you in the Total Rewards Overview, and details will be available after you join us.</w:t>
      </w:r>
    </w:p>
    <w:p>
      <w:pPr>
        <w:pStyle w:val="TextBody"/>
        <w:bidi w:val="0"/>
        <w:spacing w:before="0" w:after="0"/>
        <w:jc w:val="left"/>
        <w:rPr/>
      </w:pPr>
      <w:r>
        <w:rPr/>
      </w:r>
    </w:p>
    <w:p>
      <w:pPr>
        <w:pStyle w:val="TextBody"/>
        <w:bidi w:val="0"/>
        <w:spacing w:lineRule="auto" w:line="290" w:before="155" w:after="283"/>
        <w:jc w:val="left"/>
        <w:rPr/>
      </w:pPr>
      <w:r>
        <w:rPr>
          <w:rFonts w:ascii="Times New Roman;sans-serif" w:hAnsi="Times New Roman;sans-serif"/>
          <w:b/>
          <w:color w:val="000000"/>
          <w:sz w:val="20"/>
          <w:u w:val="single"/>
        </w:rPr>
        <w:t>Executive Plans</w:t>
      </w:r>
      <w:r>
        <w:rPr>
          <w:rFonts w:ascii="Times New Roman;sans-serif" w:hAnsi="Times New Roman;sans-serif"/>
          <w:b w:val="false"/>
          <w:color w:val="000000"/>
          <w:sz w:val="20"/>
        </w:rPr>
        <w:t>. As an Executive Vice President (EVP) reporting to the CEO, you will be eligible to participate in Autodesk’s Executive Severance Plan, and Executive Change in Control Plan. You will also be eligible for an Autodesk Indemnification Agreement and coverage under the Company’s Directors &amp; Officers Liability Insurance Policy. You can find details about severance and indemnification in the applicable plan and policy documents.</w:t>
      </w:r>
    </w:p>
    <w:p>
      <w:pPr>
        <w:pStyle w:val="TextBody"/>
        <w:bidi w:val="0"/>
        <w:spacing w:before="0" w:after="0"/>
        <w:jc w:val="left"/>
        <w:rPr/>
      </w:pPr>
      <w:r>
        <w:rPr/>
      </w:r>
    </w:p>
    <w:p>
      <w:pPr>
        <w:pStyle w:val="TextBody"/>
        <w:bidi w:val="0"/>
        <w:spacing w:lineRule="auto" w:line="271" w:before="155" w:after="283"/>
        <w:jc w:val="left"/>
        <w:rPr/>
      </w:pPr>
      <w:r>
        <w:rPr>
          <w:rFonts w:ascii="Times New Roman;sans-serif" w:hAnsi="Times New Roman;sans-serif"/>
          <w:b/>
          <w:color w:val="000000"/>
          <w:sz w:val="20"/>
          <w:u w:val="single"/>
        </w:rPr>
        <w:t>Discretionary Time Off</w:t>
      </w:r>
      <w:r>
        <w:rPr>
          <w:rFonts w:ascii="Times New Roman;sans-serif" w:hAnsi="Times New Roman;sans-serif"/>
          <w:b/>
          <w:color w:val="000000"/>
          <w:sz w:val="20"/>
        </w:rPr>
        <w:t xml:space="preserve">. </w:t>
      </w:r>
      <w:r>
        <w:rPr>
          <w:rFonts w:ascii="Times New Roman;sans-serif" w:hAnsi="Times New Roman;sans-serif"/>
          <w:b w:val="false"/>
          <w:color w:val="000000"/>
          <w:sz w:val="20"/>
        </w:rPr>
        <w:t>When you join Autodesk, you will be eligible for discretionary time off in accordance with the Company’s Discretionary Time Off Policy.</w:t>
      </w:r>
    </w:p>
    <w:p>
      <w:pPr>
        <w:pStyle w:val="TextBody"/>
        <w:bidi w:val="0"/>
        <w:spacing w:before="162" w:after="283"/>
        <w:jc w:val="left"/>
        <w:rPr/>
      </w:pPr>
      <w:r>
        <w:rPr/>
      </w:r>
    </w:p>
    <w:p>
      <w:pPr>
        <w:pStyle w:val="TextBody"/>
        <w:bidi w:val="0"/>
        <w:spacing w:lineRule="auto" w:line="288" w:before="0" w:after="0"/>
        <w:ind w:left="0" w:right="0" w:hanging="378"/>
        <w:jc w:val="left"/>
        <w:rPr/>
      </w:pPr>
      <w:r>
        <w:rPr>
          <w:rFonts w:ascii="Times New Roman;sans-serif" w:hAnsi="Times New Roman;sans-serif"/>
          <w:b/>
          <w:color w:val="000000"/>
          <w:sz w:val="20"/>
        </w:rPr>
        <w:t>IV.</w:t>
      </w:r>
      <w:r>
        <w:rPr>
          <w:rFonts w:ascii="Times New Roman;sans-serif" w:hAnsi="Times New Roman;sans-serif"/>
          <w:b/>
          <w:color w:val="000000"/>
          <w:sz w:val="20"/>
          <w:u w:val="single"/>
        </w:rPr>
        <w:t>CONDITIONS OF YOUR WORK FOR US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592580"/>
                <wp:effectExtent l="0" t="0" r="0" b="0"/>
                <wp:wrapNone/>
                <wp:docPr id="132" name="Frame125"/>
                <a:graphic xmlns:a="http://schemas.openxmlformats.org/drawingml/2006/main">
                  <a:graphicData uri="http://schemas.microsoft.com/office/word/2010/wordprocessingShape">
                    <wps:wsp>
                      <wps:cNvSpPr txBox="1"/>
                      <wps:spPr>
                        <a:xfrm>
                          <a:off x="0" y="0"/>
                          <a:ext cx="6480175" cy="159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 descr=""/>
                    <pic:cNvPicPr>
                      <a:picLocks noChangeAspect="1" noChangeArrowheads="1"/>
                    </pic:cNvPicPr>
                  </pic:nvPicPr>
                  <pic:blipFill>
                    <a:blip r:embed="rId46"/>
                    <a:stretch>
                      <a:fillRect/>
                    </a:stretch>
                  </pic:blipFill>
                  <pic:spPr bwMode="auto">
                    <a:xfrm>
                      <a:off x="0" y="0"/>
                      <a:ext cx="1390650" cy="133350"/>
                    </a:xfrm>
                    <a:prstGeom prst="rect">
                      <a:avLst/>
                    </a:prstGeom>
                  </pic:spPr>
                </pic:pic>
              </a:graphicData>
            </a:graphic>
          </wp:inline>
        </w:drawing>
      </w:r>
    </w:p>
    <w:p>
      <w:pPr>
        <w:pStyle w:val="TextBody"/>
        <w:bidi w:val="0"/>
        <w:spacing w:lineRule="auto" w:line="271" w:before="1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with any new relationship, it is important that we are upfront about expectations. Below is a list of our expectations of the issues this offer is contingent on:</w:t>
      </w:r>
    </w:p>
    <w:p>
      <w:pPr>
        <w:pStyle w:val="TextBody"/>
        <w:bidi w:val="0"/>
        <w:spacing w:lineRule="auto" w:line="268" w:before="100" w:after="283"/>
        <w:ind w:left="0" w:right="0" w:hanging="400"/>
        <w:jc w:val="left"/>
        <w:rPr/>
      </w:pPr>
      <w:r>
        <w:rPr>
          <w:color w:val="000000"/>
        </w:rPr>
        <w:t>•</w:t>
      </w:r>
      <w:r>
        <w:rPr>
          <w:rFonts w:ascii="Times New Roman;sans-serif" w:hAnsi="Times New Roman;sans-serif"/>
          <w:b w:val="false"/>
          <w:color w:val="000000"/>
          <w:sz w:val="20"/>
        </w:rPr>
        <w:t>Your verifying your identity and ability to work for us in the U.S. You will receive an instructional Workday onboarding task prior to your start date enabling completion of the I-9 which must be completed within three business days of your start date.</w:t>
      </w:r>
    </w:p>
    <w:p>
      <w:pPr>
        <w:pStyle w:val="TextBody"/>
        <w:bidi w:val="0"/>
        <w:spacing w:before="73" w:after="283"/>
        <w:jc w:val="left"/>
        <w:rPr/>
      </w:pPr>
      <w:r>
        <w:rPr/>
      </w:r>
    </w:p>
    <w:p>
      <w:pPr>
        <w:pStyle w:val="TextBody"/>
        <w:bidi w:val="0"/>
        <w:spacing w:lineRule="auto" w:line="268" w:before="0" w:after="0"/>
        <w:ind w:left="0" w:right="0" w:hanging="400"/>
        <w:jc w:val="left"/>
        <w:rPr/>
      </w:pPr>
      <w:r>
        <w:rPr>
          <w:color w:val="000000"/>
        </w:rPr>
        <w:t>•</w:t>
      </w:r>
      <w:r>
        <w:rPr>
          <w:rFonts w:ascii="Times New Roman;sans-serif" w:hAnsi="Times New Roman;sans-serif"/>
          <w:b w:val="false"/>
          <w:color w:val="000000"/>
          <w:sz w:val="20"/>
        </w:rPr>
        <w:t xml:space="preserve">Your agreeing to and completing a background check, which will look at your educational, employment and criminal history. For certain jobs, the Company may also require a credit check. These checks are performed by HireRight. Its privacy policies can be found at </w:t>
      </w:r>
      <w:r>
        <w:rPr>
          <w:rFonts w:ascii="Times New Roman;sans-serif" w:hAnsi="Times New Roman;sans-serif"/>
          <w:b w:val="false"/>
          <w:color w:val="0000FF"/>
          <w:sz w:val="20"/>
          <w:u w:val="single"/>
        </w:rPr>
        <w:t>http://www.hireright.com/Privacy-Policy.aspx</w:t>
      </w:r>
      <w:r>
        <w:rPr>
          <w:rFonts w:ascii="Times New Roman;sans-serif" w:hAnsi="Times New Roman;sans-serif"/>
          <w:b w:val="false"/>
          <w:color w:val="000000"/>
          <w:sz w:val="20"/>
        </w:rPr>
        <w:t>. Your employment will depend on the Company’s satisfaction with the results of any such checks. If you are hired before the checks are completed, the Company will proceed with that start date with your understanding and agreement that your continued employment will be subject to the satisfactory results of the background check. If the background check, once completed, reveals disqualifying information, your employment may be terminated. Likewise, if the Company later learns that you provided false information in connection with these checks, it may terminate your employment for this reason.</w:t>
      </w:r>
    </w:p>
    <w:p>
      <w:pPr>
        <w:pStyle w:val="TextBody"/>
        <w:bidi w:val="0"/>
        <w:spacing w:lineRule="auto" w:line="268" w:before="224" w:after="283"/>
        <w:ind w:left="0" w:right="0" w:hanging="400"/>
        <w:jc w:val="left"/>
        <w:rPr/>
      </w:pPr>
      <w:r>
        <w:rPr>
          <w:color w:val="000000"/>
        </w:rPr>
        <w:t>•</w:t>
      </w:r>
      <w:r>
        <w:rPr>
          <w:rFonts w:ascii="Times New Roman;sans-serif" w:hAnsi="Times New Roman;sans-serif"/>
          <w:b w:val="false"/>
          <w:color w:val="000000"/>
          <w:sz w:val="20"/>
        </w:rPr>
        <w:t>Your completing an Export Controls Questionnaire and the Company’s satisfaction that it can obtain all licenses it may need to employ you based on the information you provide.</w:t>
      </w:r>
    </w:p>
    <w:p>
      <w:pPr>
        <w:pStyle w:val="TextBody"/>
        <w:bidi w:val="0"/>
        <w:spacing w:before="73" w:after="283"/>
        <w:jc w:val="left"/>
        <w:rPr/>
      </w:pPr>
      <w:r>
        <w:rPr/>
      </w:r>
    </w:p>
    <w:p>
      <w:pPr>
        <w:pStyle w:val="TextBody"/>
        <w:bidi w:val="0"/>
        <w:spacing w:lineRule="auto" w:line="268" w:before="1" w:after="283"/>
        <w:ind w:left="0" w:right="0" w:hanging="400"/>
        <w:jc w:val="left"/>
        <w:rPr/>
      </w:pPr>
      <w:r>
        <w:rPr>
          <w:color w:val="000000"/>
        </w:rPr>
        <w:t>•</w:t>
      </w:r>
      <w:r>
        <w:rPr>
          <w:rFonts w:ascii="Times New Roman;sans-serif" w:hAnsi="Times New Roman;sans-serif"/>
          <w:b w:val="false"/>
          <w:color w:val="000000"/>
          <w:sz w:val="20"/>
        </w:rPr>
        <w:t>Your disclosing in writing any interest you may have which may create an actual or perceived conflict of interest with your employment by the Company and agreement to relinquish any such interest the Company deems to be a conflict of interest. Generally, a conflict of interest exists when a personal interest or activity interferes or has the potential to interfere with your professional judgment or your responsibility to the Company because it is inconsistent with the Company’s interests. For example, a conflict of interest may exist if, while you are employed by the Company, you are a consultant for, have an affiliation with or a financial interest in an Autodesk customer, reseller, distributor or competitor.</w:t>
      </w:r>
    </w:p>
    <w:p>
      <w:pPr>
        <w:pStyle w:val="TextBody"/>
        <w:bidi w:val="0"/>
        <w:spacing w:before="73" w:after="283"/>
        <w:jc w:val="left"/>
        <w:rPr/>
      </w:pPr>
      <w:r>
        <w:rPr/>
      </w:r>
    </w:p>
    <w:p>
      <w:pPr>
        <w:pStyle w:val="TextBody"/>
        <w:bidi w:val="0"/>
        <w:spacing w:lineRule="auto" w:line="268" w:before="0" w:after="0"/>
        <w:ind w:left="0" w:right="0" w:hanging="400"/>
        <w:jc w:val="left"/>
        <w:rPr/>
      </w:pPr>
      <w:r>
        <w:rPr>
          <w:color w:val="000000"/>
        </w:rPr>
        <w:t>•</w:t>
      </w:r>
      <w:r>
        <w:rPr>
          <w:rFonts w:ascii="Times New Roman;sans-serif" w:hAnsi="Times New Roman;sans-serif"/>
          <w:b w:val="false"/>
          <w:color w:val="000000"/>
          <w:sz w:val="20"/>
        </w:rPr>
        <w:t>Your disclosing to the Company any ongoing legal obligations you have to a prior employer or another party, including obligations not to compete, to solicit customers or to solicit employees, which may prohibit you from working for Autodesk or doing your job fully.</w:t>
      </w:r>
    </w:p>
    <w:p>
      <w:pPr>
        <w:pStyle w:val="TextBody"/>
        <w:bidi w:val="0"/>
        <w:spacing w:before="74" w:after="283"/>
        <w:jc w:val="left"/>
        <w:rPr/>
      </w:pPr>
      <w:r>
        <w:rPr/>
      </w:r>
    </w:p>
    <w:p>
      <w:pPr>
        <w:pStyle w:val="TextBody"/>
        <w:bidi w:val="0"/>
        <w:spacing w:lineRule="auto" w:line="268" w:before="0" w:after="0"/>
        <w:ind w:left="0" w:right="0" w:hanging="400"/>
        <w:jc w:val="left"/>
        <w:rPr/>
      </w:pPr>
      <w:r>
        <w:rPr>
          <w:color w:val="000000"/>
        </w:rPr>
        <w:t>•</w:t>
      </w:r>
      <w:r>
        <w:rPr>
          <w:rFonts w:ascii="Times New Roman;sans-serif" w:hAnsi="Times New Roman;sans-serif"/>
          <w:b w:val="false"/>
          <w:color w:val="000000"/>
          <w:sz w:val="20"/>
        </w:rPr>
        <w:t>Your understanding that this offer letter and its attachments is the only agreement between us about the terms and conditions of your employment with us. These replace all other agreements about these topics and cannot be changed except in writing signed by an authorized representative of Autodesk. Any legal interpretation of this will be governed by the law in the State in which you are employed.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133350"/>
            <wp:effectExtent l="0" t="0" r="0" b="0"/>
            <wp:docPr id="1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 descr=""/>
                    <pic:cNvPicPr>
                      <a:picLocks noChangeAspect="1" noChangeArrowheads="1"/>
                    </pic:cNvPicPr>
                  </pic:nvPicPr>
                  <pic:blipFill>
                    <a:blip r:embed="rId47"/>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592580"/>
                <wp:effectExtent l="0" t="0" r="0" b="0"/>
                <wp:wrapNone/>
                <wp:docPr id="135" name="Frame126"/>
                <a:graphic xmlns:a="http://schemas.openxmlformats.org/drawingml/2006/main">
                  <a:graphicData uri="http://schemas.microsoft.com/office/word/2010/wordprocessingShape">
                    <wps:wsp>
                      <wps:cNvSpPr txBox="1"/>
                      <wps:spPr>
                        <a:xfrm>
                          <a:off x="0" y="0"/>
                          <a:ext cx="6480175" cy="159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bl>
                      <w:tblPr>
                        <w:tblW w:w="4200" w:type="dxa"/>
                        <w:jc w:val="left"/>
                        <w:tblInd w:w="0" w:type="dxa"/>
                        <w:tblLayout w:type="fixed"/>
                        <w:tblCellMar>
                          <w:top w:w="28" w:type="dxa"/>
                          <w:left w:w="28" w:type="dxa"/>
                          <w:bottom w:w="28" w:type="dxa"/>
                          <w:right w:w="28" w:type="dxa"/>
                        </w:tblCellMar>
                      </w:tblPr>
                      <w:tblGrid>
                        <w:gridCol w:w="1345"/>
                        <w:gridCol w:w="1183"/>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color w:val="666666"/>
                                <w:sz w:val="13"/>
                              </w:rPr>
                            </w:pPr>
                            <w:r>
                              <w:rPr>
                                <w:rFonts w:ascii="Times New Roman;sans-serif" w:hAnsi="Times New Roman;sans-serif"/>
                                <w:b/>
                                <w:color w:val="666666"/>
                                <w:sz w:val="13"/>
                              </w:rPr>
                              <w:t>Autodesk, Inc.</w:t>
                            </w:r>
                          </w:p>
                          <w:p>
                            <w:pPr>
                              <w:pStyle w:val="TableContents"/>
                              <w:bidi w:val="0"/>
                              <w:spacing w:lineRule="auto" w:line="288" w:before="58" w:after="283"/>
                              <w:jc w:val="left"/>
                              <w:rPr>
                                <w:rFonts w:ascii="Times New Roman;sans-serif" w:hAnsi="Times New Roman;sans-serif"/>
                                <w:b w:val="false"/>
                                <w:color w:val="666666"/>
                                <w:sz w:val="13"/>
                              </w:rPr>
                            </w:pPr>
                            <w:r>
                              <w:rPr>
                                <w:rFonts w:ascii="Times New Roman;sans-serif" w:hAnsi="Times New Roman;sans-serif"/>
                                <w:b w:val="false"/>
                                <w:color w:val="666666"/>
                                <w:sz w:val="13"/>
                              </w:rPr>
                              <w:t>One Market Street, Suite 400, San Francisco, CA 94105</w:t>
                            </w:r>
                          </w:p>
                          <w:p>
                            <w:pPr>
                              <w:pStyle w:val="TableContents"/>
                              <w:bidi w:val="0"/>
                              <w:spacing w:lineRule="auto" w:line="288" w:before="58" w:after="283"/>
                              <w:jc w:val="left"/>
                              <w:rPr/>
                            </w:pPr>
                            <w:r>
                              <w:rPr>
                                <w:rFonts w:ascii="Times New Roman;sans-serif" w:hAnsi="Times New Roman;sans-serif"/>
                                <w:b/>
                                <w:color w:val="666666"/>
                                <w:sz w:val="13"/>
                              </w:rPr>
                              <w:t xml:space="preserve">PHONE </w:t>
                            </w:r>
                            <w:r>
                              <w:rPr>
                                <w:rFonts w:ascii="Times New Roman;sans-serif" w:hAnsi="Times New Roman;sans-serif"/>
                                <w:b w:val="false"/>
                                <w:color w:val="666666"/>
                                <w:sz w:val="13"/>
                              </w:rPr>
                              <w:t xml:space="preserve">+1 415 507 5000 | </w:t>
                            </w:r>
                            <w:r>
                              <w:rPr>
                                <w:rFonts w:ascii="Times New Roman;sans-serif" w:hAnsi="Times New Roman;sans-serif"/>
                                <w:b/>
                                <w:color w:val="666666"/>
                                <w:sz w:val="13"/>
                              </w:rPr>
                              <w:t xml:space="preserve">FAX </w:t>
                            </w:r>
                            <w:r>
                              <w:rPr>
                                <w:rFonts w:ascii="Times New Roman;sans-serif" w:hAnsi="Times New Roman;sans-serif"/>
                                <w:b w:val="false"/>
                                <w:color w:val="666666"/>
                                <w:sz w:val="13"/>
                              </w:rPr>
                              <w:t>+1 415 507 6338 | www.autodesk.com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781675" cy="885825"/>
            <wp:effectExtent l="0" t="0" r="0" b="0"/>
            <wp:docPr id="1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 descr=""/>
                    <pic:cNvPicPr>
                      <a:picLocks noChangeAspect="1" noChangeArrowheads="1"/>
                    </pic:cNvPicPr>
                  </pic:nvPicPr>
                  <pic:blipFill>
                    <a:blip r:embed="rId48"/>
                    <a:stretch>
                      <a:fillRect/>
                    </a:stretch>
                  </pic:blipFill>
                  <pic:spPr bwMode="auto">
                    <a:xfrm>
                      <a:off x="0" y="0"/>
                      <a:ext cx="5781675" cy="8858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May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Elizabeth (Betsy) Rafael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Re: Employment at Autodesk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Betsy,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are thrilled to offer you interim employment as Interim Chief Financial Officer with Autodesk, Inc. (“Company”). Details about our offer are in this letter and its attachments. There’s a lot of information included, so, if you have questions about anything, please reach out to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To move forward, please sign all documents which require your signature and return them to Rebecca Pearce by 5:00 p.m. PST on May 31, 2024. Copies of this letter and attachments, including those transmitted electronically, are effective as originals.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We’re excited and hope that you will join us.</w:t>
      </w:r>
    </w:p>
    <w:p>
      <w:pPr>
        <w:pStyle w:val="TextBody"/>
        <w:bidi w:val="0"/>
        <w:spacing w:before="0" w:after="0"/>
        <w:jc w:val="left"/>
        <w:rPr/>
      </w:pPr>
      <w:r>
        <w:rPr/>
      </w:r>
    </w:p>
    <w:p>
      <w:pPr>
        <w:pStyle w:val="TextBody"/>
        <w:bidi w:val="0"/>
        <w:spacing w:before="0" w:after="0"/>
        <w:jc w:val="left"/>
        <w:rPr/>
      </w:pPr>
      <w:r>
        <w:rPr/>
        <w:drawing>
          <wp:inline distT="0" distB="0" distL="0" distR="0">
            <wp:extent cx="2647950" cy="1885950"/>
            <wp:effectExtent l="0" t="0" r="0" b="0"/>
            <wp:docPr id="13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 descr=""/>
                    <pic:cNvPicPr>
                      <a:picLocks noChangeAspect="1" noChangeArrowheads="1"/>
                    </pic:cNvPicPr>
                  </pic:nvPicPr>
                  <pic:blipFill>
                    <a:blip r:embed="rId49"/>
                    <a:stretch>
                      <a:fillRect/>
                    </a:stretch>
                  </pic:blipFill>
                  <pic:spPr bwMode="auto">
                    <a:xfrm>
                      <a:off x="0" y="0"/>
                      <a:ext cx="2647950" cy="1885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 have reviewed and accept the offer of employment with Autodesk, Inc. on the terms and conditions set out in this letter and attachments.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____31 May 2024__________________ by ____/s/_Betsy Rafael______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Betsy Rafael</w:t>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 descr=""/>
                    <pic:cNvPicPr>
                      <a:picLocks noChangeAspect="1" noChangeArrowheads="1"/>
                    </pic:cNvPicPr>
                  </pic:nvPicPr>
                  <pic:blipFill>
                    <a:blip r:embed="rId50"/>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482850"/>
                <wp:effectExtent l="0" t="0" r="0" b="0"/>
                <wp:wrapNone/>
                <wp:docPr id="139" name="Frame127"/>
                <a:graphic xmlns:a="http://schemas.openxmlformats.org/drawingml/2006/main">
                  <a:graphicData uri="http://schemas.microsoft.com/office/word/2010/wordprocessingShape">
                    <wps:wsp>
                      <wps:cNvSpPr txBox="1"/>
                      <wps:spPr>
                        <a:xfrm>
                          <a:off x="0" y="0"/>
                          <a:ext cx="6480175" cy="2482850"/>
                        </a:xfrm>
                        <a:prstGeom prst="rect"/>
                        <a:solidFill>
                          <a:srgbClr val="FFFFFF"/>
                        </a:solidFill>
                      </wps:spPr>
                      <wps:txb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r>
                                    <w:br w:type="page"/>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Enclosures:    Terms of Employment (sign)</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Code of Business Conduct and Acknowledgement (sign)</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Mutual Arbitration Agreement (U.S.) (sign)</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Arbitration Program Overview and FAQs (U.S.)</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Employee Nondisclosure and Assignment Agreement (sign)</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Export Controls Compliance Questionnaire (sign)</w:t>
      </w:r>
    </w:p>
    <w:p>
      <w:pPr>
        <w:pStyle w:val="TextBody"/>
        <w:bidi w:val="0"/>
        <w:spacing w:lineRule="auto" w:line="304" w:before="0" w:after="0"/>
        <w:ind w:left="0" w:right="0" w:firstLine="720"/>
        <w:jc w:val="left"/>
        <w:rPr>
          <w:rFonts w:ascii="Arial;sans-serif" w:hAnsi="Arial;sans-serif"/>
          <w:b w:val="false"/>
          <w:color w:val="000000"/>
          <w:sz w:val="22"/>
        </w:rPr>
      </w:pPr>
      <w:r>
        <w:rPr>
          <w:rFonts w:ascii="Arial;sans-serif" w:hAnsi="Arial;sans-serif"/>
          <w:b w:val="false"/>
          <w:color w:val="000000"/>
          <w:sz w:val="22"/>
        </w:rPr>
        <w:t>Global Worker Data Protection Policy and Notice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390650" cy="133350"/>
            <wp:effectExtent l="0" t="0" r="0" b="0"/>
            <wp:docPr id="1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 descr=""/>
                    <pic:cNvPicPr>
                      <a:picLocks noChangeAspect="1" noChangeArrowheads="1"/>
                    </pic:cNvPicPr>
                  </pic:nvPicPr>
                  <pic:blipFill>
                    <a:blip r:embed="rId51"/>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482850"/>
                <wp:effectExtent l="0" t="0" r="0" b="0"/>
                <wp:wrapNone/>
                <wp:docPr id="141" name="Frame128"/>
                <a:graphic xmlns:a="http://schemas.openxmlformats.org/drawingml/2006/main">
                  <a:graphicData uri="http://schemas.microsoft.com/office/word/2010/wordprocessingShape">
                    <wps:wsp>
                      <wps:cNvSpPr txBox="1"/>
                      <wps:spPr>
                        <a:xfrm>
                          <a:off x="0" y="0"/>
                          <a:ext cx="6480175" cy="2482850"/>
                        </a:xfrm>
                        <a:prstGeom prst="rect"/>
                        <a:solidFill>
                          <a:srgbClr val="FFFFFF"/>
                        </a:solidFill>
                      </wps:spPr>
                      <wps:txb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r>
                                    <w:br w:type="page"/>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2" w:after="283"/>
        <w:jc w:val="left"/>
        <w:rPr>
          <w:rFonts w:ascii="Arial;sans-serif" w:hAnsi="Arial;sans-serif"/>
          <w:b/>
          <w:color w:val="000000"/>
          <w:sz w:val="22"/>
        </w:rPr>
      </w:pPr>
      <w:r>
        <w:rPr>
          <w:rFonts w:ascii="Arial;sans-serif" w:hAnsi="Arial;sans-serif"/>
          <w:b/>
          <w:color w:val="000000"/>
          <w:sz w:val="22"/>
        </w:rPr>
        <w:t>TERMS OF EMPLOYMENT</w:t>
      </w:r>
    </w:p>
    <w:p>
      <w:pPr>
        <w:pStyle w:val="TextBody"/>
        <w:bidi w:val="0"/>
        <w:spacing w:before="0" w:after="0"/>
        <w:jc w:val="left"/>
        <w:rPr/>
      </w:pPr>
      <w:r>
        <w:rPr/>
      </w:r>
    </w:p>
    <w:p>
      <w:pPr>
        <w:pStyle w:val="TextBody"/>
        <w:bidi w:val="0"/>
        <w:spacing w:lineRule="auto" w:line="288" w:before="131" w:after="283"/>
        <w:ind w:left="0" w:right="0" w:hanging="379"/>
        <w:jc w:val="left"/>
        <w:rPr/>
      </w:pPr>
      <w:r>
        <w:rPr>
          <w:rFonts w:ascii="Times New Roman;sans-serif" w:hAnsi="Times New Roman;sans-serif"/>
          <w:b/>
          <w:color w:val="000000"/>
          <w:sz w:val="20"/>
        </w:rPr>
        <w:t>I.</w:t>
      </w:r>
      <w:r>
        <w:rPr>
          <w:rFonts w:ascii="Arial;sans-serif" w:hAnsi="Arial;sans-serif"/>
          <w:b/>
          <w:color w:val="000000"/>
          <w:sz w:val="22"/>
          <w:u w:val="single"/>
        </w:rPr>
        <w:t>THE BASICS</w:t>
      </w:r>
    </w:p>
    <w:p>
      <w:pPr>
        <w:pStyle w:val="TextBody"/>
        <w:bidi w:val="0"/>
        <w:spacing w:before="4" w:after="283"/>
        <w:jc w:val="left"/>
        <w:rPr/>
      </w:pPr>
      <w:r>
        <w:rPr/>
      </w:r>
    </w:p>
    <w:p>
      <w:pPr>
        <w:pStyle w:val="TextBody"/>
        <w:bidi w:val="0"/>
        <w:spacing w:lineRule="auto" w:line="268" w:before="98" w:after="283"/>
        <w:jc w:val="left"/>
        <w:rPr/>
      </w:pPr>
      <w:r>
        <w:rPr>
          <w:rFonts w:ascii="Arial;sans-serif" w:hAnsi="Arial;sans-serif"/>
          <w:b/>
          <w:color w:val="000000"/>
          <w:sz w:val="22"/>
          <w:u w:val="single"/>
        </w:rPr>
        <w:t>Position</w:t>
      </w:r>
      <w:r>
        <w:rPr>
          <w:rFonts w:ascii="Arial;sans-serif" w:hAnsi="Arial;sans-serif"/>
          <w:b/>
          <w:color w:val="000000"/>
          <w:sz w:val="22"/>
        </w:rPr>
        <w:t xml:space="preserve">. </w:t>
      </w:r>
      <w:r>
        <w:rPr>
          <w:rFonts w:ascii="Arial;sans-serif" w:hAnsi="Arial;sans-serif"/>
          <w:b w:val="false"/>
          <w:color w:val="000000"/>
          <w:sz w:val="22"/>
        </w:rPr>
        <w:t xml:space="preserve">You will be in the position of Interim Chief Financial Officer. </w:t>
      </w:r>
    </w:p>
    <w:p>
      <w:pPr>
        <w:pStyle w:val="TextBody"/>
        <w:bidi w:val="0"/>
        <w:spacing w:before="0" w:after="0"/>
        <w:jc w:val="left"/>
        <w:rPr/>
      </w:pPr>
      <w:r>
        <w:rPr/>
      </w:r>
    </w:p>
    <w:p>
      <w:pPr>
        <w:pStyle w:val="TextBody"/>
        <w:bidi w:val="0"/>
        <w:spacing w:lineRule="auto" w:line="288" w:before="132" w:after="283"/>
        <w:jc w:val="left"/>
        <w:rPr/>
      </w:pPr>
      <w:r>
        <w:rPr>
          <w:rFonts w:ascii="Arial;sans-serif" w:hAnsi="Arial;sans-serif"/>
          <w:b/>
          <w:color w:val="000000"/>
          <w:sz w:val="22"/>
          <w:u w:val="single"/>
        </w:rPr>
        <w:t>Start Date</w:t>
      </w:r>
      <w:r>
        <w:rPr>
          <w:rFonts w:ascii="Arial;sans-serif" w:hAnsi="Arial;sans-serif"/>
          <w:b/>
          <w:color w:val="000000"/>
          <w:sz w:val="22"/>
        </w:rPr>
        <w:t xml:space="preserve">. </w:t>
      </w:r>
      <w:r>
        <w:rPr>
          <w:rFonts w:ascii="Arial;sans-serif" w:hAnsi="Arial;sans-serif"/>
          <w:b w:val="false"/>
          <w:color w:val="000000"/>
          <w:sz w:val="22"/>
        </w:rPr>
        <w:t>Your first date of employment will be May 31, 2024.</w:t>
      </w:r>
    </w:p>
    <w:p>
      <w:pPr>
        <w:pStyle w:val="TextBody"/>
        <w:bidi w:val="0"/>
        <w:spacing w:before="0" w:after="0"/>
        <w:jc w:val="left"/>
        <w:rPr/>
      </w:pPr>
      <w:r>
        <w:rPr/>
      </w:r>
    </w:p>
    <w:p>
      <w:pPr>
        <w:pStyle w:val="TextBody"/>
        <w:bidi w:val="0"/>
        <w:spacing w:lineRule="auto" w:line="268" w:before="136" w:after="283"/>
        <w:jc w:val="left"/>
        <w:rPr/>
      </w:pPr>
      <w:r>
        <w:rPr>
          <w:rFonts w:ascii="Arial;sans-serif" w:hAnsi="Arial;sans-serif"/>
          <w:b/>
          <w:color w:val="000000"/>
          <w:sz w:val="22"/>
          <w:u w:val="single"/>
        </w:rPr>
        <w:t>Location</w:t>
      </w:r>
      <w:r>
        <w:rPr>
          <w:rFonts w:ascii="Arial;sans-serif" w:hAnsi="Arial;sans-serif"/>
          <w:b w:val="false"/>
          <w:color w:val="000000"/>
          <w:sz w:val="22"/>
        </w:rPr>
        <w:t>. You will report to the Company’s headquarters at The Landmark, One Market Street, Floor 4 (suite 400), San Francisco, California, 94105 (“Place of Employment”). Your position is Hybrid, which means that you will have flexibility to alternate between working remotely and from the office, subject to the terms of applicable policies and guidelines. Your Place of Employment may vary from time to time as required by the Company. The Company may relocate your job at its discretion.</w:t>
      </w:r>
    </w:p>
    <w:p>
      <w:pPr>
        <w:pStyle w:val="TextBody"/>
        <w:bidi w:val="0"/>
        <w:spacing w:before="0" w:after="0"/>
        <w:jc w:val="left"/>
        <w:rPr/>
      </w:pPr>
      <w:r>
        <w:rPr/>
      </w:r>
    </w:p>
    <w:p>
      <w:pPr>
        <w:pStyle w:val="TextBody"/>
        <w:bidi w:val="0"/>
        <w:spacing w:lineRule="auto" w:line="288" w:before="133" w:after="283"/>
        <w:jc w:val="left"/>
        <w:rPr/>
      </w:pPr>
      <w:r>
        <w:rPr>
          <w:rFonts w:ascii="Arial;sans-serif" w:hAnsi="Arial;sans-serif"/>
          <w:b/>
          <w:color w:val="000000"/>
          <w:sz w:val="22"/>
          <w:u w:val="single"/>
        </w:rPr>
        <w:t>At-Will Employment</w:t>
      </w:r>
      <w:r>
        <w:rPr>
          <w:rFonts w:ascii="Arial;sans-serif" w:hAnsi="Arial;sans-serif"/>
          <w:b/>
          <w:color w:val="000000"/>
          <w:sz w:val="22"/>
        </w:rPr>
        <w:t xml:space="preserve">. </w:t>
      </w:r>
      <w:r>
        <w:rPr>
          <w:rFonts w:ascii="Arial;sans-serif" w:hAnsi="Arial;sans-serif"/>
          <w:b w:val="false"/>
          <w:color w:val="000000"/>
          <w:sz w:val="22"/>
        </w:rPr>
        <w:t>Your interim employment with Autodesk will be at-will. This means that you or Autodesk may terminate your employment relationship without notice and for any reason at any time.</w:t>
      </w:r>
    </w:p>
    <w:p>
      <w:pPr>
        <w:pStyle w:val="TextBody"/>
        <w:bidi w:val="0"/>
        <w:spacing w:before="0" w:after="0"/>
        <w:jc w:val="left"/>
        <w:rPr/>
      </w:pPr>
      <w:r>
        <w:rPr/>
      </w:r>
    </w:p>
    <w:p>
      <w:pPr>
        <w:pStyle w:val="TextBody"/>
        <w:bidi w:val="0"/>
        <w:spacing w:lineRule="auto" w:line="288" w:before="131" w:after="283"/>
        <w:ind w:left="0" w:right="0" w:hanging="456"/>
        <w:jc w:val="left"/>
        <w:rPr/>
      </w:pPr>
      <w:r>
        <w:rPr>
          <w:rFonts w:ascii="Times New Roman;sans-serif" w:hAnsi="Times New Roman;sans-serif"/>
          <w:b/>
          <w:color w:val="000000"/>
          <w:sz w:val="20"/>
        </w:rPr>
        <w:t>II.</w:t>
      </w:r>
      <w:r>
        <w:rPr>
          <w:rFonts w:ascii="Arial;sans-serif" w:hAnsi="Arial;sans-serif"/>
          <w:b/>
          <w:color w:val="000000"/>
          <w:sz w:val="22"/>
          <w:u w:val="single"/>
        </w:rPr>
        <w:t>COMPENSATION</w:t>
      </w:r>
    </w:p>
    <w:p>
      <w:pPr>
        <w:pStyle w:val="TextBody"/>
        <w:bidi w:val="0"/>
        <w:spacing w:before="0" w:after="0"/>
        <w:jc w:val="left"/>
        <w:rPr/>
      </w:pPr>
      <w:r>
        <w:rPr/>
      </w:r>
    </w:p>
    <w:p>
      <w:pPr>
        <w:pStyle w:val="TextBody"/>
        <w:bidi w:val="0"/>
        <w:spacing w:lineRule="auto" w:line="268" w:before="137" w:after="283"/>
        <w:jc w:val="left"/>
        <w:rPr/>
      </w:pPr>
      <w:r>
        <w:rPr>
          <w:rFonts w:ascii="Arial;sans-serif" w:hAnsi="Arial;sans-serif"/>
          <w:b/>
          <w:color w:val="000000"/>
          <w:sz w:val="22"/>
          <w:u w:val="single"/>
        </w:rPr>
        <w:t>Base Pay.</w:t>
      </w:r>
      <w:r>
        <w:rPr>
          <w:color w:val="000000"/>
        </w:rPr>
        <w:t xml:space="preserve"> </w:t>
      </w:r>
      <w:r>
        <w:rPr>
          <w:rFonts w:ascii="Arial;sans-serif" w:hAnsi="Arial;sans-serif"/>
          <w:b w:val="false"/>
          <w:color w:val="000000"/>
          <w:sz w:val="22"/>
        </w:rPr>
        <w:t>You will be paid a base salary of $300,000 per month, minus all legally applicable deductions and withholdings. Autodesk pays employees bi-weekly. To determine pay dates, please go to Autodesk's intranet site when you join us and click on Payroll.</w:t>
      </w:r>
    </w:p>
    <w:p>
      <w:pPr>
        <w:pStyle w:val="TextBody"/>
        <w:bidi w:val="0"/>
        <w:spacing w:before="0" w:after="0"/>
        <w:jc w:val="left"/>
        <w:rPr/>
      </w:pPr>
      <w:r>
        <w:rPr/>
      </w:r>
    </w:p>
    <w:p>
      <w:pPr>
        <w:pStyle w:val="TextBody"/>
        <w:bidi w:val="0"/>
        <w:spacing w:lineRule="auto" w:line="288" w:before="140" w:after="283"/>
        <w:ind w:left="0" w:right="0" w:hanging="534"/>
        <w:jc w:val="left"/>
        <w:rPr/>
      </w:pPr>
      <w:r>
        <w:rPr>
          <w:rFonts w:ascii="Times New Roman;sans-serif" w:hAnsi="Times New Roman;sans-serif"/>
          <w:b/>
          <w:color w:val="000000"/>
          <w:sz w:val="20"/>
        </w:rPr>
        <w:t>III.</w:t>
      </w:r>
      <w:r>
        <w:rPr>
          <w:rFonts w:ascii="Arial;sans-serif" w:hAnsi="Arial;sans-serif"/>
          <w:b/>
          <w:color w:val="000000"/>
          <w:sz w:val="22"/>
          <w:u w:val="single"/>
        </w:rPr>
        <w:t>BENEFITS</w:t>
      </w:r>
    </w:p>
    <w:p>
      <w:pPr>
        <w:pStyle w:val="TextBody"/>
        <w:bidi w:val="0"/>
        <w:spacing w:before="5" w:after="283"/>
        <w:jc w:val="left"/>
        <w:rPr/>
      </w:pPr>
      <w:r>
        <w:rPr/>
      </w:r>
    </w:p>
    <w:p>
      <w:pPr>
        <w:pStyle w:val="TextBody"/>
        <w:bidi w:val="0"/>
        <w:spacing w:lineRule="auto" w:line="288" w:before="0" w:after="0"/>
        <w:jc w:val="left"/>
        <w:rPr/>
      </w:pPr>
      <w:r>
        <w:rPr>
          <w:rFonts w:ascii="Arial;sans-serif" w:hAnsi="Arial;sans-serif"/>
          <w:b/>
          <w:color w:val="000000"/>
          <w:sz w:val="22"/>
          <w:u w:val="single"/>
        </w:rPr>
        <w:t>Restricted Stock Units</w:t>
      </w:r>
      <w:r>
        <w:rPr>
          <w:rFonts w:ascii="Arial;sans-serif" w:hAnsi="Arial;sans-serif"/>
          <w:b/>
          <w:color w:val="000000"/>
          <w:sz w:val="22"/>
        </w:rPr>
        <w:t xml:space="preserve">. </w:t>
      </w:r>
      <w:r>
        <w:rPr>
          <w:rFonts w:ascii="Arial;sans-serif" w:hAnsi="Arial;sans-serif"/>
          <w:b w:val="false"/>
          <w:color w:val="000000"/>
          <w:sz w:val="22"/>
        </w:rPr>
        <w:t>The Company will recommend to the Compensation Committee of the Autodesk Board of Directors that following commencement of your employment, subject to applicable law and the rules of the applicable Autodesk equity plan, you be granted an award of restricted stock units (“RSUs”) consistent with awards under the Director Compensation Policy. Such recommended grant to be effective on the date of the 2024 Annual Meeting for that number of shares as determined by dividing $250,000 by the fair market value of a share on the date of grant, rounded down to the nearest whole share, provided that the grant of RSUs shall be subject to your continued service and will vest on the earlier of the date of the 2025 Annual Meeting or one year from date of grant.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u w:val="single"/>
        </w:rPr>
        <w:t>RSU Details</w:t>
      </w:r>
      <w:r>
        <w:rPr>
          <w:rFonts w:ascii="Arial;sans-serif" w:hAnsi="Arial;sans-serif"/>
          <w:b w:val="false"/>
          <w:color w:val="000000"/>
          <w:sz w:val="22"/>
        </w:rPr>
        <w:t>. Upon vesting, the RSUs will convert to an equal number of shares of Autodesk common stock. The actual value of the shares vesting will be based upon the closing stock price on the vesting date. The RSUs do not have a purchase price but are subject to taxation. Any such grant will be subject to the terms and conditions of the applicable Autodesk equity plan and restricted stock unit agreement, which you will be required to sign as a condition to receiving any RSUs.</w:t>
      </w:r>
    </w:p>
    <w:p>
      <w:pPr>
        <w:pStyle w:val="TextBody"/>
        <w:bidi w:val="0"/>
        <w:spacing w:before="0" w:after="0"/>
        <w:jc w:val="left"/>
        <w:rPr/>
      </w:pPr>
      <w:r>
        <w:rPr/>
      </w:r>
    </w:p>
    <w:p>
      <w:pPr>
        <w:pStyle w:val="TextBody"/>
        <w:bidi w:val="0"/>
        <w:spacing w:lineRule="auto" w:line="268" w:before="137" w:after="283"/>
        <w:jc w:val="left"/>
        <w:rPr/>
      </w:pPr>
      <w:r>
        <w:rPr>
          <w:rFonts w:ascii="Arial;sans-serif" w:hAnsi="Arial;sans-serif"/>
          <w:b/>
          <w:color w:val="000000"/>
          <w:sz w:val="22"/>
          <w:u w:val="single"/>
        </w:rPr>
        <w:t>Other Benefits</w:t>
      </w:r>
      <w:r>
        <w:rPr>
          <w:rFonts w:ascii="Arial;sans-serif" w:hAnsi="Arial;sans-serif"/>
          <w:b w:val="false"/>
          <w:color w:val="000000"/>
          <w:sz w:val="22"/>
        </w:rPr>
        <w:t xml:space="preserve">. If eligible, you can participate in a wide variety of employee benefit programs including health insurance, a 401(k) plan with company match and sabbatical program. A summary </w:t>
      </w:r>
    </w:p>
    <w:p>
      <w:pPr>
        <w:pStyle w:val="TextBody"/>
        <w:bidi w:val="0"/>
        <w:spacing w:before="0" w:after="0"/>
        <w:jc w:val="left"/>
        <w:rPr/>
      </w:pPr>
      <w:r>
        <w:rPr/>
        <w:drawing>
          <wp:inline distT="0" distB="0" distL="0" distR="0">
            <wp:extent cx="1390650" cy="133350"/>
            <wp:effectExtent l="0" t="0" r="0" b="0"/>
            <wp:docPr id="1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 descr=""/>
                    <pic:cNvPicPr>
                      <a:picLocks noChangeAspect="1" noChangeArrowheads="1"/>
                    </pic:cNvPicPr>
                  </pic:nvPicPr>
                  <pic:blipFill>
                    <a:blip r:embed="rId52"/>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482850"/>
                <wp:effectExtent l="0" t="0" r="0" b="0"/>
                <wp:wrapNone/>
                <wp:docPr id="143" name="Frame129"/>
                <a:graphic xmlns:a="http://schemas.openxmlformats.org/drawingml/2006/main">
                  <a:graphicData uri="http://schemas.microsoft.com/office/word/2010/wordprocessingShape">
                    <wps:wsp>
                      <wps:cNvSpPr txBox="1"/>
                      <wps:spPr>
                        <a:xfrm>
                          <a:off x="0" y="0"/>
                          <a:ext cx="6480175" cy="2482850"/>
                        </a:xfrm>
                        <a:prstGeom prst="rect"/>
                        <a:solidFill>
                          <a:srgbClr val="FFFFFF"/>
                        </a:solidFill>
                      </wps:spPr>
                      <wps:txb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r>
                                    <w:br w:type="page"/>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137" w:after="283"/>
        <w:jc w:val="left"/>
        <w:rPr>
          <w:rFonts w:ascii="Arial;sans-serif" w:hAnsi="Arial;sans-serif"/>
          <w:b w:val="false"/>
          <w:color w:val="000000"/>
          <w:sz w:val="22"/>
        </w:rPr>
      </w:pPr>
      <w:r>
        <w:rPr>
          <w:rFonts w:ascii="Arial;sans-serif" w:hAnsi="Arial;sans-serif"/>
          <w:b w:val="false"/>
          <w:color w:val="000000"/>
          <w:sz w:val="22"/>
        </w:rPr>
        <w:t>of these benefits and other programs will be provided to you in the Total Rewards Overview, and details will be available after you join us. As an interim Chief Financial Officer, you will not be eligible to participate in the Amended and Restated Severance Plan or the Executive Change in Control Program.</w:t>
      </w:r>
    </w:p>
    <w:p>
      <w:pPr>
        <w:pStyle w:val="TextBody"/>
        <w:bidi w:val="0"/>
        <w:spacing w:before="0" w:after="0"/>
        <w:jc w:val="left"/>
        <w:rPr/>
      </w:pPr>
      <w:r>
        <w:rPr/>
      </w:r>
    </w:p>
    <w:p>
      <w:pPr>
        <w:pStyle w:val="TextBody"/>
        <w:bidi w:val="0"/>
        <w:spacing w:lineRule="auto" w:line="268" w:before="138" w:after="283"/>
        <w:jc w:val="left"/>
        <w:rPr/>
      </w:pPr>
      <w:r>
        <w:rPr>
          <w:rFonts w:ascii="Arial;sans-serif" w:hAnsi="Arial;sans-serif"/>
          <w:b/>
          <w:color w:val="000000"/>
          <w:sz w:val="22"/>
          <w:u w:val="single"/>
        </w:rPr>
        <w:t>Discretionary Time Off</w:t>
      </w:r>
      <w:r>
        <w:rPr>
          <w:rFonts w:ascii="Arial;sans-serif" w:hAnsi="Arial;sans-serif"/>
          <w:b/>
          <w:color w:val="000000"/>
          <w:sz w:val="22"/>
        </w:rPr>
        <w:t xml:space="preserve">. </w:t>
      </w:r>
      <w:r>
        <w:rPr>
          <w:rFonts w:ascii="Arial;sans-serif" w:hAnsi="Arial;sans-serif"/>
          <w:b w:val="false"/>
          <w:color w:val="000000"/>
          <w:sz w:val="22"/>
        </w:rPr>
        <w:t>When you join Autodesk, you will be eligible for discretionary time off in accordance with the Company’s Discretionary Time Off Policy.</w:t>
      </w:r>
    </w:p>
    <w:p>
      <w:pPr>
        <w:pStyle w:val="TextBody"/>
        <w:bidi w:val="0"/>
        <w:spacing w:before="0" w:after="0"/>
        <w:jc w:val="left"/>
        <w:rPr/>
      </w:pPr>
      <w:r>
        <w:rPr/>
      </w:r>
    </w:p>
    <w:p>
      <w:pPr>
        <w:pStyle w:val="TextBody"/>
        <w:bidi w:val="0"/>
        <w:spacing w:lineRule="auto" w:line="288" w:before="139" w:after="283"/>
        <w:ind w:left="0" w:right="0" w:hanging="540"/>
        <w:jc w:val="left"/>
        <w:rPr/>
      </w:pPr>
      <w:r>
        <w:rPr>
          <w:rFonts w:ascii="Times New Roman;sans-serif" w:hAnsi="Times New Roman;sans-serif"/>
          <w:b/>
          <w:color w:val="000000"/>
          <w:sz w:val="20"/>
        </w:rPr>
        <w:t>IV.</w:t>
      </w:r>
      <w:r>
        <w:rPr>
          <w:rFonts w:ascii="Arial;sans-serif" w:hAnsi="Arial;sans-serif"/>
          <w:b/>
          <w:color w:val="000000"/>
          <w:sz w:val="22"/>
          <w:u w:val="single"/>
        </w:rPr>
        <w:t>CONDITIONS OF YOUR WORK FOR US</w:t>
      </w:r>
    </w:p>
    <w:p>
      <w:pPr>
        <w:pStyle w:val="TextBody"/>
        <w:bidi w:val="0"/>
        <w:spacing w:before="9" w:after="283"/>
        <w:jc w:val="left"/>
        <w:rPr/>
      </w:pPr>
      <w:r>
        <w:rPr/>
      </w:r>
    </w:p>
    <w:p>
      <w:pPr>
        <w:pStyle w:val="TextBody"/>
        <w:bidi w:val="0"/>
        <w:spacing w:lineRule="auto" w:line="268" w:before="97" w:after="283"/>
        <w:jc w:val="left"/>
        <w:rPr>
          <w:rFonts w:ascii="Arial;sans-serif" w:hAnsi="Arial;sans-serif"/>
          <w:b w:val="false"/>
          <w:color w:val="000000"/>
          <w:sz w:val="22"/>
        </w:rPr>
      </w:pPr>
      <w:r>
        <w:rPr>
          <w:rFonts w:ascii="Arial;sans-serif" w:hAnsi="Arial;sans-serif"/>
          <w:b w:val="false"/>
          <w:color w:val="000000"/>
          <w:sz w:val="22"/>
        </w:rPr>
        <w:t>As with any new relationship, it is important that we are upfront about expectations. Below is a list of our expectations of the issues this offer is contingent on:</w:t>
      </w:r>
    </w:p>
    <w:p>
      <w:pPr>
        <w:pStyle w:val="TextBody"/>
        <w:bidi w:val="0"/>
        <w:spacing w:before="10" w:after="283"/>
        <w:jc w:val="left"/>
        <w:rPr/>
      </w:pPr>
      <w:r>
        <w:rPr/>
      </w:r>
    </w:p>
    <w:p>
      <w:pPr>
        <w:pStyle w:val="TextBody"/>
        <w:bidi w:val="0"/>
        <w:spacing w:lineRule="auto" w:line="268" w:before="0" w:after="0"/>
        <w:ind w:left="0" w:right="0" w:hanging="400"/>
        <w:jc w:val="left"/>
        <w:rPr/>
      </w:pPr>
      <w:r>
        <w:rPr>
          <w:color w:val="000000"/>
        </w:rPr>
        <w:t>•</w:t>
      </w:r>
      <w:r>
        <w:rPr>
          <w:rFonts w:ascii="Arial;sans-serif" w:hAnsi="Arial;sans-serif"/>
          <w:b w:val="false"/>
          <w:color w:val="000000"/>
          <w:sz w:val="22"/>
        </w:rPr>
        <w:t xml:space="preserve">Your verifying your identity and ability to work for us in the U.S. To do so, before your Start Date, please log onto </w:t>
      </w:r>
      <w:r>
        <w:rPr>
          <w:rFonts w:ascii="Arial;sans-serif" w:hAnsi="Arial;sans-serif"/>
          <w:b w:val="false"/>
          <w:color w:val="0000FF"/>
          <w:sz w:val="22"/>
          <w:u w:val="single"/>
        </w:rPr>
        <w:t>http://</w:t>
      </w:r>
      <w:r>
        <w:rPr>
          <w:color w:val="0000FF"/>
        </w:rPr>
        <w:t xml:space="preserve"> </w:t>
      </w:r>
      <w:r>
        <w:rPr>
          <w:rFonts w:ascii="Arial;sans-serif" w:hAnsi="Arial;sans-serif"/>
          <w:b w:val="false"/>
          <w:color w:val="0000FF"/>
          <w:sz w:val="22"/>
          <w:u w:val="single"/>
        </w:rPr>
        <w:t>autodesk.i9servicecenter.com/login.asp</w:t>
      </w:r>
      <w:r>
        <w:rPr>
          <w:color w:val="0000FF"/>
        </w:rPr>
        <w:t xml:space="preserve"> </w:t>
      </w:r>
      <w:r>
        <w:rPr>
          <w:rFonts w:ascii="Arial;sans-serif" w:hAnsi="Arial;sans-serif"/>
          <w:b w:val="false"/>
          <w:color w:val="000000"/>
          <w:sz w:val="22"/>
        </w:rPr>
        <w:t>and complete Section 1 of the I-9 form with the requisition number provided. Within three business days of your Start Date, please give the Company documents it needs from you to complete Section 2 of the form. We will share with you in separate documentation a list of documents you can provide.</w:t>
      </w:r>
    </w:p>
    <w:p>
      <w:pPr>
        <w:pStyle w:val="TextBody"/>
        <w:bidi w:val="0"/>
        <w:spacing w:before="5" w:after="283"/>
        <w:jc w:val="left"/>
        <w:rPr/>
      </w:pPr>
      <w:r>
        <w:rPr/>
      </w:r>
    </w:p>
    <w:p>
      <w:pPr>
        <w:pStyle w:val="TextBody"/>
        <w:bidi w:val="0"/>
        <w:spacing w:lineRule="auto" w:line="268" w:before="0" w:after="0"/>
        <w:ind w:left="0" w:right="0" w:hanging="400"/>
        <w:jc w:val="left"/>
        <w:rPr/>
      </w:pPr>
      <w:r>
        <w:rPr>
          <w:color w:val="000000"/>
        </w:rPr>
        <w:t>•</w:t>
      </w:r>
      <w:r>
        <w:rPr>
          <w:rFonts w:ascii="Arial;sans-serif" w:hAnsi="Arial;sans-serif"/>
          <w:b w:val="false"/>
          <w:color w:val="000000"/>
          <w:sz w:val="22"/>
        </w:rPr>
        <w:t xml:space="preserve">Your agreeing to and completing a background check, which will look at your educational, employment and criminal history. For certain jobs, the Company may also require a credit check. These checks are performed by HireRight. Its privacy policies can be found at </w:t>
      </w:r>
      <w:r>
        <w:rPr>
          <w:rFonts w:ascii="Arial;sans-serif" w:hAnsi="Arial;sans-serif"/>
          <w:b w:val="false"/>
          <w:color w:val="0000FF"/>
          <w:sz w:val="22"/>
          <w:u w:val="single"/>
        </w:rPr>
        <w:t>http://www.hireright.com/Privacy-Policy.aspx</w:t>
      </w:r>
      <w:r>
        <w:rPr>
          <w:rFonts w:ascii="Arial;sans-serif" w:hAnsi="Arial;sans-serif"/>
          <w:b w:val="false"/>
          <w:color w:val="000000"/>
          <w:sz w:val="22"/>
        </w:rPr>
        <w:t>. Your employment will depend on the Company’s satisfaction with the results of any such checks. If you are hired before the checks are completed, the Company will proceed with that start date with your understanding and agreement that your continued employment will be subject to the satisfactory results of the background check. If the background check, once completed, reveals disqualifying information, your employment may be terminated. Likewise, if the Company later learns that you provided false information in connection with these checks, it may terminate your employment for this reason.</w:t>
      </w:r>
    </w:p>
    <w:p>
      <w:pPr>
        <w:pStyle w:val="TextBody"/>
        <w:bidi w:val="0"/>
        <w:spacing w:before="5" w:after="283"/>
        <w:jc w:val="left"/>
        <w:rPr/>
      </w:pPr>
      <w:r>
        <w:rPr/>
      </w:r>
    </w:p>
    <w:p>
      <w:pPr>
        <w:pStyle w:val="TextBody"/>
        <w:bidi w:val="0"/>
        <w:spacing w:lineRule="auto" w:line="268" w:before="1" w:after="283"/>
        <w:ind w:left="0" w:right="0" w:hanging="400"/>
        <w:jc w:val="left"/>
        <w:rPr/>
      </w:pPr>
      <w:r>
        <w:rPr>
          <w:color w:val="000000"/>
        </w:rPr>
        <w:t>•</w:t>
      </w:r>
      <w:r>
        <w:rPr>
          <w:rFonts w:ascii="Arial;sans-serif" w:hAnsi="Arial;sans-serif"/>
          <w:b w:val="false"/>
          <w:color w:val="000000"/>
          <w:sz w:val="22"/>
        </w:rPr>
        <w:t>Your completing an Export Controls Questionnaire and the Company’s satisfaction that it can obtain all licenses it may need to employ you based on the information you provide.</w:t>
      </w:r>
    </w:p>
    <w:p>
      <w:pPr>
        <w:pStyle w:val="TextBody"/>
        <w:bidi w:val="0"/>
        <w:spacing w:before="4" w:after="283"/>
        <w:jc w:val="left"/>
        <w:rPr/>
      </w:pPr>
      <w:r>
        <w:rPr/>
      </w:r>
    </w:p>
    <w:p>
      <w:pPr>
        <w:pStyle w:val="TextBody"/>
        <w:bidi w:val="0"/>
        <w:spacing w:lineRule="auto" w:line="268" w:before="0" w:after="0"/>
        <w:ind w:left="0" w:right="0" w:hanging="400"/>
        <w:jc w:val="left"/>
        <w:rPr/>
      </w:pPr>
      <w:r>
        <w:rPr>
          <w:color w:val="000000"/>
        </w:rPr>
        <w:t>•</w:t>
      </w:r>
      <w:r>
        <w:rPr>
          <w:rFonts w:ascii="Arial;sans-serif" w:hAnsi="Arial;sans-serif"/>
          <w:b w:val="false"/>
          <w:color w:val="000000"/>
          <w:sz w:val="22"/>
        </w:rPr>
        <w:t>Your disclosing in writing any interest you may have which may create an actual or perceived conflict of interest with your employment by the Company. Generally, a conflict of interest exists when a personal interest or activity interferes or has the potential to interfere with your professional judgment or your responsibility to the Company because it is inconsistent with the Company’s interests. For example, a conflict of interest may exist if, while you are employed by the Company, you are a consultant for, have an affiliation with or a financial interest in an Autodesk customer, reseller, distributor or competitor.</w:t>
      </w:r>
    </w:p>
    <w:p>
      <w:pPr>
        <w:pStyle w:val="TextBody"/>
        <w:bidi w:val="0"/>
        <w:spacing w:before="5" w:after="283"/>
        <w:jc w:val="left"/>
        <w:rPr/>
      </w:pPr>
      <w:r>
        <w:rPr/>
      </w:r>
    </w:p>
    <w:p>
      <w:pPr>
        <w:pStyle w:val="TextBody"/>
        <w:bidi w:val="0"/>
        <w:spacing w:lineRule="auto" w:line="268" w:before="0" w:after="0"/>
        <w:ind w:left="0" w:right="0" w:hanging="400"/>
        <w:jc w:val="left"/>
        <w:rPr/>
      </w:pPr>
      <w:r>
        <w:rPr>
          <w:color w:val="000000"/>
        </w:rPr>
        <w:t>•</w:t>
      </w:r>
      <w:r>
        <w:rPr>
          <w:rFonts w:ascii="Arial;sans-serif" w:hAnsi="Arial;sans-serif"/>
          <w:b w:val="false"/>
          <w:color w:val="000000"/>
          <w:sz w:val="22"/>
        </w:rPr>
        <w:t>Your disclosing to the Company any ongoing legal obligations you have to a prior employer or another party, including obligations not to compete, to solicit customers or to solicit employees, which may prohibit you from working for Autodesk or doing your job fully.</w:t>
      </w:r>
    </w:p>
    <w:p>
      <w:pPr>
        <w:pStyle w:val="TextBody"/>
        <w:bidi w:val="0"/>
        <w:spacing w:before="4" w:after="283"/>
        <w:jc w:val="left"/>
        <w:rPr/>
      </w:pPr>
      <w:r>
        <w:rPr/>
      </w:r>
    </w:p>
    <w:p>
      <w:pPr>
        <w:pStyle w:val="TextBody"/>
        <w:bidi w:val="0"/>
        <w:spacing w:lineRule="auto" w:line="268" w:before="1" w:after="283"/>
        <w:ind w:left="0" w:right="0" w:hanging="400"/>
        <w:jc w:val="left"/>
        <w:rPr/>
      </w:pPr>
      <w:r>
        <w:rPr>
          <w:color w:val="000000"/>
        </w:rPr>
        <w:t>•</w:t>
      </w:r>
      <w:r>
        <w:rPr>
          <w:rFonts w:ascii="Arial;sans-serif" w:hAnsi="Arial;sans-serif"/>
          <w:b w:val="false"/>
          <w:color w:val="000000"/>
          <w:sz w:val="22"/>
        </w:rPr>
        <w:t xml:space="preserve">Your understanding that this offer letter and its attachments is the only agreement between us about the terms and conditions of your employment with us. These replace all other agreements about these topics and cannot be changed except in writing signed by an authorized </w:t>
      </w:r>
    </w:p>
    <w:p>
      <w:pPr>
        <w:pStyle w:val="TextBody"/>
        <w:bidi w:val="0"/>
        <w:spacing w:before="0" w:after="0"/>
        <w:jc w:val="left"/>
        <w:rPr/>
      </w:pPr>
      <w:r>
        <w:rPr/>
        <w:drawing>
          <wp:inline distT="0" distB="0" distL="0" distR="0">
            <wp:extent cx="1390650" cy="133350"/>
            <wp:effectExtent l="0" t="0" r="0" b="0"/>
            <wp:docPr id="1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5" descr=""/>
                    <pic:cNvPicPr>
                      <a:picLocks noChangeAspect="1" noChangeArrowheads="1"/>
                    </pic:cNvPicPr>
                  </pic:nvPicPr>
                  <pic:blipFill>
                    <a:blip r:embed="rId53"/>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482850"/>
                <wp:effectExtent l="0" t="0" r="0" b="0"/>
                <wp:wrapNone/>
                <wp:docPr id="145" name="Frame130"/>
                <a:graphic xmlns:a="http://schemas.openxmlformats.org/drawingml/2006/main">
                  <a:graphicData uri="http://schemas.microsoft.com/office/word/2010/wordprocessingShape">
                    <wps:wsp>
                      <wps:cNvSpPr txBox="1"/>
                      <wps:spPr>
                        <a:xfrm>
                          <a:off x="0" y="0"/>
                          <a:ext cx="6480175" cy="2482850"/>
                        </a:xfrm>
                        <a:prstGeom prst="rect"/>
                        <a:solidFill>
                          <a:srgbClr val="FFFFFF"/>
                        </a:solidFill>
                      </wps:spPr>
                      <wps:txb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r>
                                    <w:br w:type="page"/>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1" w:after="283"/>
        <w:jc w:val="left"/>
        <w:rPr>
          <w:rFonts w:ascii="Arial;sans-serif" w:hAnsi="Arial;sans-serif"/>
          <w:b w:val="false"/>
          <w:color w:val="000000"/>
          <w:sz w:val="22"/>
        </w:rPr>
      </w:pPr>
      <w:r>
        <w:rPr>
          <w:rFonts w:ascii="Arial;sans-serif" w:hAnsi="Arial;sans-serif"/>
          <w:b w:val="false"/>
          <w:color w:val="000000"/>
          <w:sz w:val="22"/>
        </w:rPr>
        <w:t>representative of Autodesk. Any legal interpretation of this will be governed by the law in the State in which you are employed.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133350"/>
            <wp:effectExtent l="0" t="0" r="0" b="0"/>
            <wp:docPr id="1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6" descr=""/>
                    <pic:cNvPicPr>
                      <a:picLocks noChangeAspect="1" noChangeArrowheads="1"/>
                    </pic:cNvPicPr>
                  </pic:nvPicPr>
                  <pic:blipFill>
                    <a:blip r:embed="rId54"/>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482850"/>
                <wp:effectExtent l="0" t="0" r="0" b="0"/>
                <wp:wrapNone/>
                <wp:docPr id="147" name="Frame131"/>
                <a:graphic xmlns:a="http://schemas.openxmlformats.org/drawingml/2006/main">
                  <a:graphicData uri="http://schemas.microsoft.com/office/word/2010/wordprocessingShape">
                    <wps:wsp>
                      <wps:cNvSpPr txBox="1"/>
                      <wps:spPr>
                        <a:xfrm>
                          <a:off x="0" y="0"/>
                          <a:ext cx="6480175" cy="2482850"/>
                        </a:xfrm>
                        <a:prstGeom prst="rect"/>
                        <a:solidFill>
                          <a:srgbClr val="FFFFFF"/>
                        </a:solidFill>
                      </wps:spPr>
                      <wps:txb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tbl>
                      <w:tblPr>
                        <w:tblW w:w="3975" w:type="dxa"/>
                        <w:jc w:val="left"/>
                        <w:tblInd w:w="0" w:type="dxa"/>
                        <w:tblLayout w:type="fixed"/>
                        <w:tblCellMar>
                          <w:top w:w="28" w:type="dxa"/>
                          <w:left w:w="28" w:type="dxa"/>
                          <w:bottom w:w="28" w:type="dxa"/>
                          <w:right w:w="28" w:type="dxa"/>
                        </w:tblCellMar>
                      </w:tblPr>
                      <w:tblGrid>
                        <w:gridCol w:w="1272"/>
                        <w:gridCol w:w="1117"/>
                        <w:gridCol w:w="1586"/>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 </w:t>
                            </w:r>
                            <w:r>
                              <w:rPr>
                                <w:rFonts w:ascii="Corbel;sans-serif" w:hAnsi="Corbel;sans-serif"/>
                                <w:b/>
                                <w:color w:val="5F5F5E"/>
                                <w:sz w:val="14"/>
                              </w:rPr>
                              <w:t>www.autodesk.com</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December 13,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Elizabeth (Betsy) Rafael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Re:     </w:t>
      </w:r>
      <w:r>
        <w:rPr>
          <w:rFonts w:ascii="Arial;sans-serif" w:hAnsi="Arial;sans-serif"/>
          <w:b/>
          <w:color w:val="000000"/>
          <w:sz w:val="22"/>
          <w:u w:val="single"/>
        </w:rPr>
        <w:t xml:space="preserve">Addendum to Employment Agreement for Advisor Role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Betsy,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is an addendum to the Terms of Employment (“Offer Letter”) which you previously signed on May 31,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Addendum confirms the following changes to your Offer Letter.</w:t>
      </w:r>
    </w:p>
    <w:p>
      <w:pPr>
        <w:pStyle w:val="TextBody"/>
        <w:bidi w:val="0"/>
        <w:spacing w:lineRule="auto" w:line="268" w:before="98" w:after="283"/>
        <w:jc w:val="left"/>
        <w:rPr/>
      </w:pPr>
      <w:r>
        <w:rPr>
          <w:rFonts w:ascii="Arial;sans-serif" w:hAnsi="Arial;sans-serif"/>
          <w:b/>
          <w:color w:val="000000"/>
          <w:sz w:val="22"/>
          <w:u w:val="single"/>
        </w:rPr>
        <w:t>Position</w:t>
      </w:r>
      <w:r>
        <w:rPr>
          <w:rFonts w:ascii="Arial;sans-serif" w:hAnsi="Arial;sans-serif"/>
          <w:b/>
          <w:color w:val="000000"/>
          <w:sz w:val="22"/>
        </w:rPr>
        <w:t xml:space="preserve">. </w:t>
      </w:r>
      <w:r>
        <w:rPr>
          <w:rFonts w:ascii="Arial;sans-serif" w:hAnsi="Arial;sans-serif"/>
          <w:b w:val="false"/>
          <w:color w:val="000000"/>
          <w:sz w:val="22"/>
        </w:rPr>
        <w:t xml:space="preserve">You will transition to the role of Advisor, reporting to the Chief Executive Officer. In this role, you will assist with transitional tasks related to the onboarding of the Company’s Chief Financial Officer. </w:t>
      </w:r>
    </w:p>
    <w:p>
      <w:pPr>
        <w:pStyle w:val="TextBody"/>
        <w:bidi w:val="0"/>
        <w:spacing w:before="0" w:after="0"/>
        <w:jc w:val="left"/>
        <w:rPr/>
      </w:pPr>
      <w:r>
        <w:rPr/>
      </w:r>
    </w:p>
    <w:p>
      <w:pPr>
        <w:pStyle w:val="TextBody"/>
        <w:bidi w:val="0"/>
        <w:spacing w:lineRule="auto" w:line="288" w:before="132" w:after="283"/>
        <w:jc w:val="left"/>
        <w:rPr/>
      </w:pPr>
      <w:r>
        <w:rPr>
          <w:rFonts w:ascii="Arial;sans-serif" w:hAnsi="Arial;sans-serif"/>
          <w:b/>
          <w:color w:val="000000"/>
          <w:sz w:val="22"/>
          <w:u w:val="single"/>
        </w:rPr>
        <w:t>Start Date</w:t>
      </w:r>
      <w:r>
        <w:rPr>
          <w:rFonts w:ascii="Arial;sans-serif" w:hAnsi="Arial;sans-serif"/>
          <w:b/>
          <w:color w:val="000000"/>
          <w:sz w:val="22"/>
        </w:rPr>
        <w:t xml:space="preserve">. </w:t>
      </w:r>
      <w:r>
        <w:rPr>
          <w:rFonts w:ascii="Arial;sans-serif" w:hAnsi="Arial;sans-serif"/>
          <w:b w:val="false"/>
          <w:color w:val="000000"/>
          <w:sz w:val="22"/>
        </w:rPr>
        <w:t>You will commence this new role of Advisor on December 16, 2024.</w:t>
      </w:r>
    </w:p>
    <w:p>
      <w:pPr>
        <w:pStyle w:val="TextBody"/>
        <w:bidi w:val="0"/>
        <w:spacing w:before="0" w:after="0"/>
        <w:jc w:val="left"/>
        <w:rPr/>
      </w:pPr>
      <w:r>
        <w:rPr/>
      </w:r>
    </w:p>
    <w:p>
      <w:pPr>
        <w:pStyle w:val="TextBody"/>
        <w:bidi w:val="0"/>
        <w:spacing w:lineRule="auto" w:line="288" w:before="133" w:after="283"/>
        <w:jc w:val="left"/>
        <w:rPr/>
      </w:pPr>
      <w:r>
        <w:rPr>
          <w:rFonts w:ascii="Arial;sans-serif" w:hAnsi="Arial;sans-serif"/>
          <w:b/>
          <w:color w:val="000000"/>
          <w:sz w:val="22"/>
          <w:u w:val="single"/>
        </w:rPr>
        <w:t>End Date.</w:t>
      </w:r>
      <w:r>
        <w:rPr>
          <w:color w:val="000000"/>
        </w:rPr>
        <w:t xml:space="preserve"> </w:t>
      </w:r>
      <w:r>
        <w:rPr>
          <w:rFonts w:ascii="Arial;sans-serif" w:hAnsi="Arial;sans-serif"/>
          <w:b w:val="false"/>
          <w:color w:val="000000"/>
          <w:sz w:val="22"/>
        </w:rPr>
        <w:t>You will remain in this role until April 30, 2025.</w:t>
      </w:r>
    </w:p>
    <w:p>
      <w:pPr>
        <w:pStyle w:val="TextBody"/>
        <w:bidi w:val="0"/>
        <w:spacing w:before="137" w:after="283"/>
        <w:jc w:val="left"/>
        <w:rPr/>
      </w:pPr>
      <w:r>
        <w:rPr/>
      </w:r>
    </w:p>
    <w:p>
      <w:pPr>
        <w:pStyle w:val="TextBody"/>
        <w:bidi w:val="0"/>
        <w:spacing w:lineRule="auto" w:line="268" w:before="137" w:after="283"/>
        <w:jc w:val="left"/>
        <w:rPr/>
      </w:pPr>
      <w:r>
        <w:rPr>
          <w:rFonts w:ascii="Arial;sans-serif" w:hAnsi="Arial;sans-serif"/>
          <w:b/>
          <w:color w:val="000000"/>
          <w:sz w:val="22"/>
          <w:u w:val="single"/>
        </w:rPr>
        <w:t>Base Pay.</w:t>
      </w:r>
      <w:r>
        <w:rPr>
          <w:color w:val="000000"/>
        </w:rPr>
        <w:t xml:space="preserve"> </w:t>
      </w:r>
      <w:r>
        <w:rPr>
          <w:rFonts w:ascii="Arial;sans-serif" w:hAnsi="Arial;sans-serif"/>
          <w:b w:val="false"/>
          <w:color w:val="000000"/>
          <w:sz w:val="22"/>
        </w:rPr>
        <w:t xml:space="preserve">You will continue to be paid a base salary of $300,000 per month, minus all legally applicable deductions and withholdings. </w:t>
      </w:r>
    </w:p>
    <w:p>
      <w:pPr>
        <w:pStyle w:val="TextBody"/>
        <w:bidi w:val="0"/>
        <w:spacing w:before="133" w:after="283"/>
        <w:jc w:val="left"/>
        <w:rPr/>
      </w:pPr>
      <w:r>
        <w:rPr/>
      </w:r>
    </w:p>
    <w:p>
      <w:pPr>
        <w:pStyle w:val="TextBody"/>
        <w:bidi w:val="0"/>
        <w:spacing w:lineRule="auto" w:line="288" w:before="133" w:after="283"/>
        <w:jc w:val="left"/>
        <w:rPr>
          <w:rFonts w:ascii="Arial;sans-serif" w:hAnsi="Arial;sans-serif"/>
          <w:b w:val="false"/>
          <w:color w:val="000000"/>
          <w:sz w:val="22"/>
        </w:rPr>
      </w:pPr>
      <w:r>
        <w:rPr>
          <w:rFonts w:ascii="Arial;sans-serif" w:hAnsi="Arial;sans-serif"/>
          <w:b w:val="false"/>
          <w:color w:val="000000"/>
          <w:sz w:val="22"/>
        </w:rPr>
        <w:t xml:space="preserve">Except as modified in this Addendum, all terms of your Offer Letter remain in full force and effect, including the at-will nature of your employment. </w:t>
      </w:r>
    </w:p>
    <w:p>
      <w:pPr>
        <w:pStyle w:val="TextBody"/>
        <w:bidi w:val="0"/>
        <w:spacing w:lineRule="auto" w:line="288" w:before="133" w:after="283"/>
        <w:jc w:val="left"/>
        <w:rPr>
          <w:rFonts w:ascii="Arial;sans-serif" w:hAnsi="Arial;sans-serif"/>
          <w:b w:val="false"/>
          <w:color w:val="000000"/>
          <w:sz w:val="22"/>
        </w:rPr>
      </w:pPr>
      <w:r>
        <w:rPr>
          <w:rFonts w:ascii="Arial;sans-serif" w:hAnsi="Arial;sans-serif"/>
          <w:b w:val="false"/>
          <w:color w:val="000000"/>
          <w:sz w:val="22"/>
        </w:rPr>
        <w:t>To confirm your understanding to this change to your Offer Letter, please sign and date this Addendum in the spaces provided below and return this Chief People Officer, Rebecca Pearce.</w:t>
      </w:r>
    </w:p>
    <w:p>
      <w:pPr>
        <w:pStyle w:val="TextBody"/>
        <w:bidi w:val="0"/>
        <w:spacing w:before="133" w:after="283"/>
        <w:jc w:val="left"/>
        <w:rPr/>
      </w:pPr>
      <w:r>
        <w:rPr/>
      </w:r>
    </w:p>
    <w:p>
      <w:pPr>
        <w:pStyle w:val="TextBody"/>
        <w:bidi w:val="0"/>
        <w:spacing w:lineRule="auto" w:line="288" w:before="133" w:after="283"/>
        <w:jc w:val="left"/>
        <w:rPr>
          <w:rFonts w:ascii="Arial;sans-serif" w:hAnsi="Arial;sans-serif"/>
          <w:b w:val="false"/>
          <w:color w:val="000000"/>
          <w:sz w:val="22"/>
        </w:rPr>
      </w:pPr>
      <w:r>
        <w:rPr>
          <w:rFonts w:ascii="Arial;sans-serif" w:hAnsi="Arial;sans-serif"/>
          <w:b w:val="false"/>
          <w:color w:val="000000"/>
          <w:sz w:val="22"/>
        </w:rPr>
        <w:t>Warm Regards,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AUTODESK, INC.</w:t>
      </w:r>
    </w:p>
    <w:p>
      <w:pPr>
        <w:pStyle w:val="TextBody"/>
        <w:bidi w:val="0"/>
        <w:spacing w:before="0" w:after="0"/>
        <w:jc w:val="both"/>
        <w:rPr/>
      </w:pPr>
      <w:r>
        <w:rPr/>
      </w:r>
    </w:p>
    <w:p>
      <w:pPr>
        <w:pStyle w:val="TextBody"/>
        <w:bidi w:val="0"/>
        <w:spacing w:before="0" w:after="0"/>
        <w:jc w:val="both"/>
        <w:rPr/>
      </w:pPr>
      <w:r>
        <w:rPr/>
        <w:drawing>
          <wp:inline distT="0" distB="0" distL="0" distR="0">
            <wp:extent cx="2867025" cy="914400"/>
            <wp:effectExtent l="0" t="0" r="0" b="0"/>
            <wp:docPr id="1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7" descr=""/>
                    <pic:cNvPicPr>
                      <a:picLocks noChangeAspect="1" noChangeArrowheads="1"/>
                    </pic:cNvPicPr>
                  </pic:nvPicPr>
                  <pic:blipFill>
                    <a:blip r:embed="rId55"/>
                    <a:stretch>
                      <a:fillRect/>
                    </a:stretch>
                  </pic:blipFill>
                  <pic:spPr bwMode="auto">
                    <a:xfrm>
                      <a:off x="0" y="0"/>
                      <a:ext cx="2867025" cy="914400"/>
                    </a:xfrm>
                    <a:prstGeom prst="rect">
                      <a:avLst/>
                    </a:prstGeom>
                  </pic:spPr>
                </pic:pic>
              </a:graphicData>
            </a:graphic>
          </wp:inline>
        </w:drawing>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By signing below, I accept and agree to the terms of this Addendum.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22"/>
          <w:u w:val="single"/>
        </w:rPr>
        <w:t>/s/ Elizabeth (Betsy) Rafael    </w:t>
      </w:r>
      <w:r>
        <w:rPr>
          <w:color w:val="000000"/>
        </w:rPr>
        <w:t>    </w:t>
      </w:r>
      <w:r>
        <w:rPr>
          <w:rFonts w:ascii="Arial;sans-serif" w:hAnsi="Arial;sans-serif"/>
          <w:b w:val="false"/>
          <w:color w:val="000000"/>
          <w:sz w:val="22"/>
          <w:u w:val="single"/>
        </w:rPr>
        <w:t>12/16/24            </w:t>
      </w:r>
    </w:p>
    <w:p>
      <w:pPr>
        <w:pStyle w:val="TextBody"/>
        <w:bidi w:val="0"/>
        <w:spacing w:lineRule="auto" w:line="288" w:before="0" w:after="0"/>
        <w:jc w:val="left"/>
        <w:rPr/>
      </w:pPr>
      <w:r>
        <w:rPr>
          <w:rFonts w:ascii="Arial;sans-serif" w:hAnsi="Arial;sans-serif"/>
          <w:b w:val="false"/>
          <w:color w:val="000000"/>
          <w:sz w:val="22"/>
        </w:rPr>
        <w:t>Elizabeth (Betsy) Rafael</w:t>
      </w:r>
      <w:r>
        <w:rPr>
          <w:color w:val="000000"/>
        </w:rPr>
        <w:t xml:space="preserve">         </w:t>
      </w:r>
      <w:r>
        <w:rPr>
          <w:rFonts w:ascii="Arial;sans-serif" w:hAnsi="Arial;sans-serif"/>
          <w:b w:val="false"/>
          <w:color w:val="000000"/>
          <w:sz w:val="22"/>
        </w:rPr>
        <w:t>Date</w:t>
      </w:r>
    </w:p>
    <w:p>
      <w:pPr>
        <w:pStyle w:val="TextBody"/>
        <w:bidi w:val="0"/>
        <w:spacing w:before="0" w:after="0"/>
        <w:jc w:val="left"/>
        <w:rPr/>
      </w:pPr>
      <w:r>
        <w:rPr/>
        <w:drawing>
          <wp:inline distT="0" distB="0" distL="0" distR="0">
            <wp:extent cx="1390650" cy="133350"/>
            <wp:effectExtent l="0" t="0" r="0" b="0"/>
            <wp:docPr id="1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8" descr=""/>
                    <pic:cNvPicPr>
                      <a:picLocks noChangeAspect="1" noChangeArrowheads="1"/>
                    </pic:cNvPicPr>
                  </pic:nvPicPr>
                  <pic:blipFill>
                    <a:blip r:embed="rId56"/>
                    <a:stretch>
                      <a:fillRect/>
                    </a:stretch>
                  </pic:blipFill>
                  <pic:spPr bwMode="auto">
                    <a:xfrm>
                      <a:off x="0" y="0"/>
                      <a:ext cx="1390650" cy="133350"/>
                    </a:xfrm>
                    <a:prstGeom prst="rect">
                      <a:avLst/>
                    </a:prstGeom>
                  </pic:spPr>
                </pic:pic>
              </a:graphicData>
            </a:graphic>
          </wp:inline>
        </w:drawing>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564765"/>
                <wp:effectExtent l="0" t="0" r="0" b="0"/>
                <wp:wrapNone/>
                <wp:docPr id="150" name="Frame132"/>
                <a:graphic xmlns:a="http://schemas.openxmlformats.org/drawingml/2006/main">
                  <a:graphicData uri="http://schemas.microsoft.com/office/word/2010/wordprocessingShape">
                    <wps:wsp>
                      <wps:cNvSpPr txBox="1"/>
                      <wps:spPr>
                        <a:xfrm>
                          <a:off x="0" y="0"/>
                          <a:ext cx="6480175" cy="2564765"/>
                        </a:xfrm>
                        <a:prstGeom prst="rect"/>
                        <a:solidFill>
                          <a:srgbClr val="FFFFFF"/>
                        </a:solidFill>
                      </wps:spPr>
                      <wps:txbx>
                        <w:txbxContent>
                          <w:tbl>
                            <w:tblPr>
                              <w:tblW w:w="3914" w:type="dxa"/>
                              <w:jc w:val="left"/>
                              <w:tblInd w:w="0" w:type="dxa"/>
                              <w:tblLayout w:type="fixed"/>
                              <w:tblCellMar>
                                <w:top w:w="28" w:type="dxa"/>
                                <w:left w:w="28" w:type="dxa"/>
                                <w:bottom w:w="28" w:type="dxa"/>
                                <w:right w:w="28" w:type="dxa"/>
                              </w:tblCellMar>
                            </w:tblPr>
                            <w:tblGrid>
                              <w:gridCol w:w="1253"/>
                              <w:gridCol w:w="1102"/>
                              <w:gridCol w:w="1559"/>
                            </w:tblGrid>
                            <w:tr>
                              <w:trPr/>
                              <w:tc>
                                <w:tcPr>
                                  <w:tcW w:w="1253" w:type="dxa"/>
                                  <w:tcBorders/>
                                  <w:vAlign w:val="center"/>
                                </w:tcPr>
                                <w:p>
                                  <w:pPr>
                                    <w:pStyle w:val="TableContents"/>
                                    <w:bidi w:val="0"/>
                                    <w:spacing w:before="0" w:after="283"/>
                                    <w:jc w:val="left"/>
                                    <w:rPr>
                                      <w:sz w:val="4"/>
                                      <w:szCs w:val="4"/>
                                    </w:rPr>
                                  </w:pPr>
                                  <w:r>
                                    <w:rPr>
                                      <w:sz w:val="4"/>
                                      <w:szCs w:val="4"/>
                                    </w:rPr>
                                  </w:r>
                                  <w:r>
                                    <w:br w:type="page"/>
                                  </w:r>
                                </w:p>
                              </w:tc>
                              <w:tc>
                                <w:tcPr>
                                  <w:tcW w:w="110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w:t>
                                  </w:r>
                                  <w:r>
                                    <w:rPr>
                                      <w:rFonts w:ascii="Times New Roman;sans-serif" w:hAnsi="Times New Roman;sans-serif"/>
                                      <w:b w:val="false"/>
                                      <w:color w:val="666666"/>
                                      <w:sz w:val="13"/>
                                    </w:rPr>
                                    <w:t>| www.autodesk.com</w:t>
                                  </w:r>
                                  <w:r>
                                    <w:rPr>
                                      <w:color w:val="000000"/>
                                    </w:rPr>
                                    <w:t xml:space="preserve"> </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1.95pt;mso-wrap-distance-left:0pt;mso-wrap-distance-right:0pt;mso-wrap-distance-top:0pt;mso-wrap-distance-bottom:0pt;margin-top:0pt;mso-position-vertical:top;mso-position-vertical-relative:text;margin-left:0pt;mso-position-horizontal:left;mso-position-horizontal-relative:text">
                <v:textbox>
                  <w:txbxContent>
                    <w:tbl>
                      <w:tblPr>
                        <w:tblW w:w="3914" w:type="dxa"/>
                        <w:jc w:val="left"/>
                        <w:tblInd w:w="0" w:type="dxa"/>
                        <w:tblLayout w:type="fixed"/>
                        <w:tblCellMar>
                          <w:top w:w="28" w:type="dxa"/>
                          <w:left w:w="28" w:type="dxa"/>
                          <w:bottom w:w="28" w:type="dxa"/>
                          <w:right w:w="28" w:type="dxa"/>
                        </w:tblCellMar>
                      </w:tblPr>
                      <w:tblGrid>
                        <w:gridCol w:w="1253"/>
                        <w:gridCol w:w="1102"/>
                        <w:gridCol w:w="1559"/>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w:t>
                            </w:r>
                            <w:r>
                              <w:rPr>
                                <w:rFonts w:ascii="Times New Roman;sans-serif" w:hAnsi="Times New Roman;sans-serif"/>
                                <w:b w:val="false"/>
                                <w:color w:val="666666"/>
                                <w:sz w:val="13"/>
                              </w:rPr>
                              <w:t>| www.autodesk.com</w:t>
                            </w:r>
                            <w:r>
                              <w:rPr>
                                <w:color w:val="000000"/>
                              </w:rPr>
                              <w:t xml:space="preserve"> </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33"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564765"/>
                <wp:effectExtent l="0" t="0" r="0" b="0"/>
                <wp:wrapNone/>
                <wp:docPr id="151" name="Frame133"/>
                <a:graphic xmlns:a="http://schemas.openxmlformats.org/drawingml/2006/main">
                  <a:graphicData uri="http://schemas.microsoft.com/office/word/2010/wordprocessingShape">
                    <wps:wsp>
                      <wps:cNvSpPr txBox="1"/>
                      <wps:spPr>
                        <a:xfrm>
                          <a:off x="0" y="0"/>
                          <a:ext cx="6480175" cy="2564765"/>
                        </a:xfrm>
                        <a:prstGeom prst="rect"/>
                        <a:solidFill>
                          <a:srgbClr val="FFFFFF"/>
                        </a:solidFill>
                      </wps:spPr>
                      <wps:txbx>
                        <w:txbxContent>
                          <w:tbl>
                            <w:tblPr>
                              <w:tblW w:w="3914" w:type="dxa"/>
                              <w:jc w:val="left"/>
                              <w:tblInd w:w="0" w:type="dxa"/>
                              <w:tblLayout w:type="fixed"/>
                              <w:tblCellMar>
                                <w:top w:w="28" w:type="dxa"/>
                                <w:left w:w="28" w:type="dxa"/>
                                <w:bottom w:w="28" w:type="dxa"/>
                                <w:right w:w="28" w:type="dxa"/>
                              </w:tblCellMar>
                            </w:tblPr>
                            <w:tblGrid>
                              <w:gridCol w:w="1253"/>
                              <w:gridCol w:w="1102"/>
                              <w:gridCol w:w="1559"/>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w:t>
                                  </w:r>
                                  <w:r>
                                    <w:rPr>
                                      <w:rFonts w:ascii="Times New Roman;sans-serif" w:hAnsi="Times New Roman;sans-serif"/>
                                      <w:b w:val="false"/>
                                      <w:color w:val="666666"/>
                                      <w:sz w:val="13"/>
                                    </w:rPr>
                                    <w:t>| www.autodesk.com</w:t>
                                  </w:r>
                                  <w:r>
                                    <w:rPr>
                                      <w:color w:val="000000"/>
                                    </w:rPr>
                                    <w:t xml:space="preserve"> </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1.95pt;mso-wrap-distance-left:0pt;mso-wrap-distance-right:0pt;mso-wrap-distance-top:0pt;mso-wrap-distance-bottom:0pt;margin-top:0pt;mso-position-vertical:top;mso-position-vertical-relative:text;margin-left:0pt;mso-position-horizontal:left;mso-position-horizontal-relative:text">
                <v:textbox>
                  <w:txbxContent>
                    <w:tbl>
                      <w:tblPr>
                        <w:tblW w:w="3914" w:type="dxa"/>
                        <w:jc w:val="left"/>
                        <w:tblInd w:w="0" w:type="dxa"/>
                        <w:tblLayout w:type="fixed"/>
                        <w:tblCellMar>
                          <w:top w:w="28" w:type="dxa"/>
                          <w:left w:w="28" w:type="dxa"/>
                          <w:bottom w:w="28" w:type="dxa"/>
                          <w:right w:w="28" w:type="dxa"/>
                        </w:tblCellMar>
                      </w:tblPr>
                      <w:tblGrid>
                        <w:gridCol w:w="1253"/>
                        <w:gridCol w:w="1102"/>
                        <w:gridCol w:w="1559"/>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tLeast" w:line="162" w:before="0" w:after="0"/>
                              <w:jc w:val="left"/>
                              <w:rPr>
                                <w:rFonts w:ascii="Corbel;sans-serif" w:hAnsi="Corbel;sans-serif"/>
                                <w:b/>
                                <w:color w:val="5F5F5E"/>
                                <w:sz w:val="14"/>
                              </w:rPr>
                            </w:pPr>
                            <w:r>
                              <w:rPr>
                                <w:rFonts w:ascii="Corbel;sans-serif" w:hAnsi="Corbel;sans-serif"/>
                                <w:b/>
                                <w:color w:val="5F5F5E"/>
                                <w:sz w:val="14"/>
                              </w:rPr>
                              <w:t>Autodesk, Inc.</w:t>
                            </w:r>
                          </w:p>
                          <w:p>
                            <w:pPr>
                              <w:pStyle w:val="TableContents"/>
                              <w:bidi w:val="0"/>
                              <w:spacing w:lineRule="auto" w:line="288" w:before="79" w:after="283"/>
                              <w:jc w:val="left"/>
                              <w:rPr>
                                <w:rFonts w:ascii="Corbel;sans-serif" w:hAnsi="Corbel;sans-serif"/>
                                <w:b w:val="false"/>
                                <w:color w:val="5F5F5E"/>
                                <w:sz w:val="14"/>
                              </w:rPr>
                            </w:pPr>
                            <w:r>
                              <w:rPr>
                                <w:rFonts w:ascii="Corbel;sans-serif" w:hAnsi="Corbel;sans-serif"/>
                                <w:b w:val="false"/>
                                <w:color w:val="5F5F5E"/>
                                <w:sz w:val="14"/>
                              </w:rPr>
                              <w:t>One Market Street, Suite 400, San Francisco, CA 94105</w:t>
                            </w:r>
                          </w:p>
                          <w:p>
                            <w:pPr>
                              <w:pStyle w:val="TableContents"/>
                              <w:bidi w:val="0"/>
                              <w:spacing w:lineRule="auto" w:line="288" w:before="79" w:after="283"/>
                              <w:jc w:val="left"/>
                              <w:rPr/>
                            </w:pPr>
                            <w:r>
                              <w:rPr>
                                <w:rFonts w:ascii="Corbel;sans-serif" w:hAnsi="Corbel;sans-serif"/>
                                <w:b/>
                                <w:color w:val="5F5F5E"/>
                                <w:sz w:val="11"/>
                              </w:rPr>
                              <w:t xml:space="preserve">PHONE </w:t>
                            </w:r>
                            <w:r>
                              <w:rPr>
                                <w:rFonts w:ascii="Corbel;sans-serif" w:hAnsi="Corbel;sans-serif"/>
                                <w:b w:val="false"/>
                                <w:color w:val="5F5F5E"/>
                                <w:sz w:val="14"/>
                              </w:rPr>
                              <w:t xml:space="preserve">+1 415 507 5000 | FAX +1 415 507 6338 </w:t>
                            </w:r>
                            <w:r>
                              <w:rPr>
                                <w:rFonts w:ascii="Times New Roman;sans-serif" w:hAnsi="Times New Roman;sans-serif"/>
                                <w:b w:val="false"/>
                                <w:color w:val="666666"/>
                                <w:sz w:val="13"/>
                              </w:rPr>
                              <w:t>| www.autodesk.com</w:t>
                            </w:r>
                            <w:r>
                              <w:rPr>
                                <w:color w:val="000000"/>
                              </w:rPr>
                              <w:t xml:space="preserve"> </w:t>
                            </w:r>
                          </w:p>
                          <w:p>
                            <w:pPr>
                              <w:pStyle w:val="TableContents"/>
                              <w:bidi w:val="0"/>
                              <w:spacing w:before="60" w:after="283"/>
                              <w:jc w:val="left"/>
                              <w:rPr/>
                            </w:pPr>
                            <w:r>
                              <w:rPr/>
                            </w:r>
                          </w:p>
                          <w:p>
                            <w:pPr>
                              <w:pStyle w:val="TableContents"/>
                              <w:bidi w:val="0"/>
                              <w:spacing w:before="60" w:after="283"/>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AUTODESK, INC.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 Delaware Corporation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as of January 31, 2025</w:t>
      </w:r>
    </w:p>
    <w:p>
      <w:pPr>
        <w:pStyle w:val="TextBody"/>
        <w:bidi w:val="0"/>
        <w:spacing w:before="0" w:after="0"/>
        <w:jc w:val="center"/>
        <w:rPr/>
      </w:pPr>
      <w:r>
        <w:rPr/>
      </w:r>
    </w:p>
    <w:tbl>
      <w:tblPr>
        <w:tblW w:w="8276" w:type="dxa"/>
        <w:jc w:val="center"/>
        <w:tblInd w:w="0" w:type="dxa"/>
        <w:tblLayout w:type="fixed"/>
        <w:tblCellMar>
          <w:top w:w="28" w:type="dxa"/>
          <w:left w:w="28" w:type="dxa"/>
          <w:bottom w:w="28" w:type="dxa"/>
          <w:right w:w="28" w:type="dxa"/>
        </w:tblCellMar>
      </w:tblPr>
      <w:tblGrid>
        <w:gridCol w:w="1927"/>
        <w:gridCol w:w="1697"/>
        <w:gridCol w:w="1701"/>
        <w:gridCol w:w="109"/>
        <w:gridCol w:w="109"/>
        <w:gridCol w:w="109"/>
        <w:gridCol w:w="767"/>
        <w:gridCol w:w="767"/>
        <w:gridCol w:w="1090"/>
      </w:tblGrid>
      <w:tr>
        <w:trPr/>
        <w:tc>
          <w:tcPr>
            <w:tcW w:w="192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ADSK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ADSK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ADSK Norway Holdings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(China) Software Research and Development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(EMEA) Sárl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Asia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Australia Holding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Canada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Colombia,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Croatia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de Argentina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de Costa Rica,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de Mexico,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de Venezuela,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Venezuela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Development S.á.r.l.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Direct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do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doo Novi Sad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Serbia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Far East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Finance Holdings Limited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Ges.mbH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Global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Hungary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India Store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International Holding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Ireland Operations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Israel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715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682"/>
        <w:gridCol w:w="682"/>
        <w:gridCol w:w="975"/>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Korea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Ltd. 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Netherlands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Norway Operations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Software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spol.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Taiwan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 Republic of China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Yazilim Hizmetleri Ticaret Limited Sirketi</w:t>
              <w:br/>
              <w:t>(Autodesk Limited Sirketi)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Jordan 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Jordan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BuildingConnected,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CadSoft Computer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Datum360 Holdco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Datum360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Datum360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Delcam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Delcam Consulting and Technology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Delcam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Delcam Software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Flexsim Software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Graitec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Hart Business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(U.S.)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HD Solutions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Innovyze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Innovyze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Innovyze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Moxion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Navasto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netfabb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Payapps.com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Payapps.com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Payapps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Payapps (NZ)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Payapps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PlanGrid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4600"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438"/>
        <w:gridCol w:w="438"/>
        <w:gridCol w:w="638"/>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PlanGrid,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Prodsmart,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ProEst,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Pype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Shotgun Software,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Spacemaker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Spacemaker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Angle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Storm Australia Holdco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TradeTapp,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Unifi Labs,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Webcontractor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Webcontractor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Wild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X2X,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 Software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9"/>
        <w:gridCol w:w="267"/>
        <w:gridCol w:w="269"/>
        <w:gridCol w:w="299"/>
        <w:gridCol w:w="299"/>
        <w:gridCol w:w="300"/>
        <w:gridCol w:w="2753"/>
        <w:gridCol w:w="2364"/>
        <w:gridCol w:w="3315"/>
      </w:tblGrid>
      <w:tr>
        <w:trPr/>
        <w:tc>
          <w:tcPr>
            <w:tcW w:w="33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333-265742</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2022 Equity Incentive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S-3ASR</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333-248557</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Securities</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333-229346</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BuildingConnected, Inc. 2013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333-228934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PlanGrid 2012 Equity Incentive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333-223861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2012 Employee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333-213701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333-205038</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 and Autodesk, Inc. 2012 Employee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333-194463</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 and Autodesk, Inc. 2012 Employee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333-187338</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333-179514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 Autodesk, Inc. 2012 Employee Stock Plan and Autodesk, Inc. 2012 Outside Directors'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333-172936</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333-165561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 and Autodesk, Inc. 2010 Outside Directors' Stock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333-158131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333-149964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2008 Employee Stock Plan, Autodesk, Inc.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333-133015</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 2006 Employee Stock Plan, Autodesk, Inc. 2000 Directors' Option Plan, Autodesk, Inc. 1998 Employee Qualified Stock Purchase Plan, and Alias Systems Holdings Inc. 2004 Stock Option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333-116203</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and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333-106556</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and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333-88682</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Revit Technology Corporation 1998 Stock Plan, 1996 Stock Plan and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333-67974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1998 Employee Qualified Stock Purchase Plan and Nonstatutory Stock Option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333-45928</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2000 Directors' Option Plan and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333-81207</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1998 Employee Qualified Stock Purchase Plan and Nonstatutory Stock Option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333-62655</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and 1998 Employee Qualified Stock Purchase Plan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333-08693</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1996 Stock Plan, 1990 Directors' Option Plan, 1998 Employee Qualified Stock Purchase Plan and Teleos Research 1996 Stock Plan</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March 6, 2025, with respect to the consolidated financial statements and schedule of Autodesk, Inc., and the effectiveness of internal control over financial reporting of Autodesk, Inc., included in this Annual Report (Form 10-K) of Autodesk, Inc. for the year ended January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 E</w:t>
      </w:r>
      <w:r>
        <w:rPr>
          <w:rFonts w:ascii="Times New Roman;sans-serif" w:hAnsi="Times New Roman;sans-serif"/>
          <w:b w:val="false"/>
          <w:color w:val="000000"/>
          <w:sz w:val="16"/>
        </w:rPr>
        <w:t>RNST</w:t>
      </w:r>
      <w:r>
        <w:rPr>
          <w:color w:val="000000"/>
        </w:rPr>
        <w:t xml:space="preserve"> </w:t>
      </w:r>
      <w:r>
        <w:rPr>
          <w:rFonts w:ascii="Times New Roman;sans-serif" w:hAnsi="Times New Roman;sans-serif"/>
          <w:b w:val="false"/>
          <w:color w:val="000000"/>
          <w:sz w:val="20"/>
        </w:rPr>
        <w:t>&amp; Y</w:t>
      </w:r>
      <w:r>
        <w:rPr>
          <w:rFonts w:ascii="Times New Roman;sans-serif" w:hAnsi="Times New Roman;sans-serif"/>
          <w:b w:val="false"/>
          <w:color w:val="000000"/>
          <w:sz w:val="16"/>
        </w:rPr>
        <w:t>OUNG</w:t>
      </w:r>
      <w:r>
        <w:rPr>
          <w:color w:val="000000"/>
        </w:rPr>
        <w:t xml:space="preserve"> </w:t>
      </w:r>
      <w:r>
        <w:rPr>
          <w:rFonts w:ascii="Times New Roman;sans-serif" w:hAnsi="Times New Roman;sans-serif"/>
          <w:b w:val="false"/>
          <w:color w:val="000000"/>
          <w:sz w:val="20"/>
        </w:rPr>
        <w:t>LLP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Anagnost, certify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10-K of Autodesk,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br/>
              <w:t>(Principal Executive Officer)</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Janesh Moorjani, certify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10-K of Autodesk,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tbl>
      <w:tblPr>
        <w:tblW w:w="4946" w:type="dxa"/>
        <w:jc w:val="right"/>
        <w:tblInd w:w="0" w:type="dxa"/>
        <w:tblLayout w:type="fixed"/>
        <w:tblCellMar>
          <w:top w:w="28" w:type="dxa"/>
          <w:left w:w="28" w:type="dxa"/>
          <w:bottom w:w="28" w:type="dxa"/>
          <w:right w:w="28" w:type="dxa"/>
        </w:tblCellMar>
      </w:tblPr>
      <w:tblGrid>
        <w:gridCol w:w="124"/>
        <w:gridCol w:w="109"/>
        <w:gridCol w:w="109"/>
        <w:gridCol w:w="1347"/>
        <w:gridCol w:w="1347"/>
        <w:gridCol w:w="1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br/>
              <w:t>(Principal Financial Officer)</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I, Andrew Anagnost, certify, pursuant to 18 U.S.C. Section 1350, as adopted pursuant to Section 906 of the Sarbanes-Oxley Act of 2002, that the Annual Report of Autodesk, Inc. on Form 10-K for the annual period ended January 31, 2025 fully complies with the requirements of Section 13(a) or 15(d) of the Securities Exchange Act of 1934 and that information contained in such Form 10-K fairly presents in all material respects the financial condition and results of operations of Autodesk, Inc.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br/>
              <w:t>(Principal Executive Officer)</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6, 2025 </w:t>
      </w:r>
    </w:p>
    <w:p>
      <w:pPr>
        <w:pStyle w:val="TextBody"/>
        <w:bidi w:val="0"/>
        <w:spacing w:before="100" w:after="100"/>
        <w:ind w:left="0" w:right="0" w:firstLine="360"/>
        <w:jc w:val="left"/>
        <w:rPr/>
      </w:pPr>
      <w:r>
        <w:rPr/>
      </w:r>
    </w:p>
    <w:p>
      <w:pPr>
        <w:pStyle w:val="TextBody"/>
        <w:bidi w:val="0"/>
        <w:spacing w:before="100" w:after="100"/>
        <w:ind w:left="0" w:right="0" w:firstLine="360"/>
        <w:jc w:val="left"/>
        <w:rPr/>
      </w:pPr>
      <w:r>
        <w:rPr/>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I, Janesh Moorjani, certify, pursuant to 18 U.S.C. Section 1350, as adopted pursuant to Section 906 of the Sarbanes-Oxley Act of 2002, that the Annual Report of Autodesk, Inc. on Form 10-K for the annual period ended January 31, 2025 fully complies with the requirements of Section 13(a) or 15(d) of the Securities Exchange Act of 1934 and that information contained in such Form 10-K fairly presents in all material respects the financial condition and results of operations of Autodesk, Inc.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8"/>
              </w:rPr>
            </w:pPr>
            <w:r>
              <w:rPr>
                <w:rFonts w:ascii="Times New Roman;sans-serif" w:hAnsi="Times New Roman;sans-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Financial Officer)</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6, 2025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 w:name="Corbe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69397/000121390024062270/ea020958401ex3-1_autodesk.htm" TargetMode="External"/><Relationship Id="rId4" Type="http://schemas.openxmlformats.org/officeDocument/2006/relationships/hyperlink" Target="https://www.sec.gov/Archives/edgar/data/769397/000121390024062270/ea020958401ex3-2_autodesk.htm" TargetMode="External"/><Relationship Id="rId5" Type="http://schemas.openxmlformats.org/officeDocument/2006/relationships/hyperlink" Target="https://www.sec.gov/Archives/edgar/data/769397/000119312512501656/d452709dex41.htm" TargetMode="External"/><Relationship Id="rId6" Type="http://schemas.openxmlformats.org/officeDocument/2006/relationships/hyperlink" Target="https://www.sec.gov/Archives/edgar/data/769397/000119312512501656/d452709dex42.htm" TargetMode="External"/><Relationship Id="rId7" Type="http://schemas.openxmlformats.org/officeDocument/2006/relationships/hyperlink" Target="https://www.sec.gov/Archives/edgar/data/769397/000119312517198513/d399645dex41.htm" TargetMode="External"/><Relationship Id="rId8" Type="http://schemas.openxmlformats.org/officeDocument/2006/relationships/hyperlink" Target="https://www.sec.gov/Archives/edgar/data/769397/000119312520006887/d817406dex41.htm" TargetMode="External"/><Relationship Id="rId9" Type="http://schemas.openxmlformats.org/officeDocument/2006/relationships/hyperlink" Target="https://www.sec.gov/Archives/edgar/data/769397/000119312521294288/d221160dex41.htm" TargetMode="External"/><Relationship Id="rId10" Type="http://schemas.openxmlformats.org/officeDocument/2006/relationships/hyperlink" Target="https://www.sec.gov/Archives/edgar/data/769397/000076939720000013/ex46autodesk-descripti.htm" TargetMode="External"/><Relationship Id="rId11" Type="http://schemas.openxmlformats.org/officeDocument/2006/relationships/hyperlink" Target="https://www.sec.gov/ix?doc=/Archives/edgar/data/769397/000119312520108139/d907969d8k.htm" TargetMode="External"/><Relationship Id="rId12" Type="http://schemas.openxmlformats.org/officeDocument/2006/relationships/hyperlink" Target="https://www.sec.gov/Archives/edgar/data/769397/000076939718000042/ex102-2012employeestoc.htm" TargetMode="External"/><Relationship Id="rId13" Type="http://schemas.openxmlformats.org/officeDocument/2006/relationships/hyperlink" Target="https://www.sec.gov/Archives/edgar/data/769397/000076939716000087/adsk07312016ex102.htm" TargetMode="External"/><Relationship Id="rId14" Type="http://schemas.openxmlformats.org/officeDocument/2006/relationships/hyperlink" Target="https://www.sec.gov/Archives/edgar/data/769397/000076939716000087/adsk07312016ex103.htm" TargetMode="External"/><Relationship Id="rId15" Type="http://schemas.openxmlformats.org/officeDocument/2006/relationships/hyperlink" Target="https://www.sec.gov/Archives/edgar/data/769397/000119312512112024/d314351dex102.htm" TargetMode="External"/><Relationship Id="rId16" Type="http://schemas.openxmlformats.org/officeDocument/2006/relationships/hyperlink" Target="https://www.sec.gov/Archives/edgar/data/769397/000119312512112024/d314351dex104.htm" TargetMode="External"/><Relationship Id="rId17" Type="http://schemas.openxmlformats.org/officeDocument/2006/relationships/hyperlink" Target="https://www.sec.gov/Archives/edgar/data/769397/000076939718000057/plangrid2012equityincentiv.htm" TargetMode="External"/><Relationship Id="rId18" Type="http://schemas.openxmlformats.org/officeDocument/2006/relationships/hyperlink" Target="https://www.sec.gov/Archives/edgar/data/769397/000076939719000002/ex991buildingconnected2013.htm" TargetMode="External"/><Relationship Id="rId19" Type="http://schemas.openxmlformats.org/officeDocument/2006/relationships/hyperlink" Target="https://www.sec.gov/Archives/edgar/data/769397/000076939717000014/adsk01312017ex1018.htm" TargetMode="External"/><Relationship Id="rId20" Type="http://schemas.openxmlformats.org/officeDocument/2006/relationships/hyperlink" Target="https://www.sec.gov/Archives/edgar/data/769397/000119312512112024/d314351dex105.htm" TargetMode="External"/><Relationship Id="rId21" Type="http://schemas.openxmlformats.org/officeDocument/2006/relationships/hyperlink" Target="https://www.sec.gov/Archives/edgar/data/769397/000076939719000030/exhibit101-directordef.htm" TargetMode="External"/><Relationship Id="rId22" Type="http://schemas.openxmlformats.org/officeDocument/2006/relationships/hyperlink" Target="https://www.sec.gov/Archives/edgar/data/769397/000076939716000067/adsk01312016ex1023.htm" TargetMode="External"/><Relationship Id="rId23" Type="http://schemas.openxmlformats.org/officeDocument/2006/relationships/hyperlink" Target="https://www.sec.gov/Archives/edgar/data/769397/000119312509249297/dex101.htm" TargetMode="External"/><Relationship Id="rId24" Type="http://schemas.openxmlformats.org/officeDocument/2006/relationships/hyperlink" Target="https://www.sec.gov/Archives/edgar/data/769397/000076939722000051/exhibit101amendedandrestat.htm" TargetMode="External"/><Relationship Id="rId25" Type="http://schemas.openxmlformats.org/officeDocument/2006/relationships/hyperlink" Target="https://www.sec.gov/Archives/edgar/data/769397/000119312505067261/dex108.htm" TargetMode="External"/><Relationship Id="rId26" Type="http://schemas.openxmlformats.org/officeDocument/2006/relationships/hyperlink" Target="https://www.sec.gov/Archives/edgar/data/769397/000076939721000075/exh101formofqualifiedretir.htm" TargetMode="External"/><Relationship Id="rId27" Type="http://schemas.openxmlformats.org/officeDocument/2006/relationships/hyperlink" Target="https://www.sec.gov/Archives/edgar/data/769397/000119312517207116/d372890dex101.htm" TargetMode="External"/><Relationship Id="rId28" Type="http://schemas.openxmlformats.org/officeDocument/2006/relationships/hyperlink" Target="https://www.sec.gov/Archives/edgar/data/769397/000076939722000051/exhibit102firstamendmentto.htm" TargetMode="External"/><Relationship Id="rId29" Type="http://schemas.openxmlformats.org/officeDocument/2006/relationships/hyperlink" Target="https://www.sec.gov/Archives/edgar/data/769397/000076939721000034/exh101cfoofferletterfinal.htm" TargetMode="External"/><Relationship Id="rId30" Type="http://schemas.openxmlformats.org/officeDocument/2006/relationships/hyperlink" Target="https://www.sec.gov/Archives/edgar/data/769397/000076939721000017/exh991severanceplan.htm" TargetMode="External"/><Relationship Id="rId31" Type="http://schemas.openxmlformats.org/officeDocument/2006/relationships/hyperlink" Target="https://www.sec.gov/Archives/edgar/data/769397/000076939721000014/adsk01312021ex1021.htm" TargetMode="External"/><Relationship Id="rId32" Type="http://schemas.openxmlformats.org/officeDocument/2006/relationships/hyperlink" Target="https://www.sec.gov/Archives/edgar/data/769397/000076939722000148/amendmentno1tothecredita.htm" TargetMode="External"/><Relationship Id="rId33" Type="http://schemas.openxmlformats.org/officeDocument/2006/relationships/hyperlink" Target="https://www.sec.gov/Archives/edgar/data/769397/000076939722000079/exhibit101autodeskinc2022e.htm" TargetMode="External"/><Relationship Id="rId34" Type="http://schemas.openxmlformats.org/officeDocument/2006/relationships/hyperlink" Target="https://www.sec.gov/Archives/edgar/data/769397/000076939724000090/autodesk-globalrsuagreemen.htm" TargetMode="External"/><Relationship Id="rId35" Type="http://schemas.openxmlformats.org/officeDocument/2006/relationships/hyperlink" Target="https://www.sec.gov/Archives/edgar/data/769397/000076939722000110/directorcompensationpolicy.htm" TargetMode="External"/><Relationship Id="rId36" Type="http://schemas.openxmlformats.org/officeDocument/2006/relationships/hyperlink" Target="https://www.sec.gov/Archives/edgar/data/769397/000076939722000110/formofdirectorrsu.htm" TargetMode="External"/><Relationship Id="rId37" Type="http://schemas.openxmlformats.org/officeDocument/2006/relationships/hyperlink" Target="https://www.sec.gov/Archives/edgar/data/769397/000076939723000036/registrant1998esppasamende.htm" TargetMode="External"/><Relationship Id="rId38" Type="http://schemas.openxmlformats.org/officeDocument/2006/relationships/hyperlink" Target="https://www.sec.gov/Archives/edgar/data/769397/000076939724000090/adskinsidertradingpolicy.htm" TargetMode="External"/><Relationship Id="rId39" Type="http://schemas.openxmlformats.org/officeDocument/2006/relationships/hyperlink" Target="https://www.sec.gov/Archives/edgar/data/769397/000076939724000090/clawbackpolicyupdated.htm" TargetMode="External"/><Relationship Id="rId40" Type="http://schemas.openxmlformats.org/officeDocument/2006/relationships/image" Target="media/image2.png"/><Relationship Id="rId41" Type="http://schemas.openxmlformats.org/officeDocument/2006/relationships/image" Target="media/image3.jpeg"/><Relationship Id="rId42" Type="http://schemas.openxmlformats.org/officeDocument/2006/relationships/image" Target="media/image4.png"/><Relationship Id="rId43" Type="http://schemas.openxmlformats.org/officeDocument/2006/relationships/image" Target="media/image2.png"/><Relationship Id="rId44" Type="http://schemas.openxmlformats.org/officeDocument/2006/relationships/image" Target="media/image2.png"/><Relationship Id="rId45" Type="http://schemas.openxmlformats.org/officeDocument/2006/relationships/image" Target="media/image2.png"/><Relationship Id="rId46" Type="http://schemas.openxmlformats.org/officeDocument/2006/relationships/image" Target="media/image2.png"/><Relationship Id="rId47" Type="http://schemas.openxmlformats.org/officeDocument/2006/relationships/image" Target="media/image2.png"/><Relationship Id="rId48" Type="http://schemas.openxmlformats.org/officeDocument/2006/relationships/image" Target="media/image5.png"/><Relationship Id="rId49" Type="http://schemas.openxmlformats.org/officeDocument/2006/relationships/image" Target="media/image6.png"/><Relationship Id="rId50" Type="http://schemas.openxmlformats.org/officeDocument/2006/relationships/image" Target="media/image2.png"/><Relationship Id="rId51" Type="http://schemas.openxmlformats.org/officeDocument/2006/relationships/image" Target="media/image2.png"/><Relationship Id="rId52" Type="http://schemas.openxmlformats.org/officeDocument/2006/relationships/image" Target="media/image2.png"/><Relationship Id="rId53" Type="http://schemas.openxmlformats.org/officeDocument/2006/relationships/image" Target="media/image2.png"/><Relationship Id="rId54" Type="http://schemas.openxmlformats.org/officeDocument/2006/relationships/image" Target="media/image2.png"/><Relationship Id="rId55" Type="http://schemas.openxmlformats.org/officeDocument/2006/relationships/image" Target="media/image7.png"/><Relationship Id="rId56" Type="http://schemas.openxmlformats.org/officeDocument/2006/relationships/image" Target="media/image2.pn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69648</Words>
  <Characters>396838</Characters>
  <CharactersWithSpaces>463726</CharactersWithSpaces>
  <Paragraphs>5831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