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231140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4"/>
          <w:szCs w:val="24"/>
          <w:color w:val="auto"/>
        </w:rPr>
      </w:pPr>
    </w:p>
    <w:p>
      <w:pPr>
        <w:spacing w:after="0" w:line="279"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UNITED STATES</w:t>
      </w:r>
    </w:p>
    <w:p>
      <w:pPr>
        <w:spacing w:after="0" w:line="31"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114"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10-Q</w:t>
      </w:r>
    </w:p>
    <w:p>
      <w:pPr>
        <w:spacing w:after="0" w:line="184" w:lineRule="exact"/>
        <w:rPr>
          <w:sz w:val="24"/>
          <w:szCs w:val="24"/>
          <w:color w:val="auto"/>
        </w:rPr>
      </w:pPr>
    </w:p>
    <w:p>
      <w:pPr>
        <w:spacing w:after="0"/>
        <w:rPr>
          <w:sz w:val="20"/>
          <w:szCs w:val="20"/>
          <w:color w:val="auto"/>
        </w:rPr>
      </w:pPr>
      <w:r>
        <w:rPr>
          <w:rFonts w:ascii="Arial" w:cs="Arial" w:eastAsia="Arial" w:hAnsi="Arial"/>
          <w:sz w:val="14"/>
          <w:szCs w:val="14"/>
          <w:color w:val="auto"/>
        </w:rPr>
        <w:t>(Mark One)</w:t>
      </w:r>
    </w:p>
    <w:p>
      <w:pPr>
        <w:ind w:left="460" w:right="460" w:hanging="452"/>
        <w:spacing w:after="0" w:line="237" w:lineRule="auto"/>
        <w:tabs>
          <w:tab w:leader="none" w:pos="460" w:val="left"/>
        </w:tabs>
        <w:numPr>
          <w:ilvl w:val="0"/>
          <w:numId w:val="1"/>
        </w:numPr>
        <w:rPr>
          <w:rFonts w:ascii="MS PGothic" w:cs="MS PGothic" w:eastAsia="MS PGothic" w:hAnsi="MS PGothic"/>
          <w:sz w:val="22"/>
          <w:szCs w:val="22"/>
          <w:color w:val="auto"/>
          <w:highlight w:val="black"/>
        </w:rPr>
      </w:pPr>
      <w:r>
        <w:rPr>
          <w:rFonts w:ascii="Arial" w:cs="Arial" w:eastAsia="Arial" w:hAnsi="Arial"/>
          <w:sz w:val="22"/>
          <w:szCs w:val="22"/>
          <w:b w:val="1"/>
          <w:bCs w:val="1"/>
          <w:color w:val="auto"/>
        </w:rPr>
        <w:t>QUARTERLY REPORT PURSUANT TO SECTION 13 OR 15(d) OF THE SECURITIES EXCHANGE ACT OF 1934</w:t>
      </w:r>
    </w:p>
    <w:p>
      <w:pPr>
        <w:spacing w:after="0" w:line="144"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For the quarterly period ended October 31, 2009</w:t>
      </w:r>
    </w:p>
    <w:p>
      <w:pPr>
        <w:spacing w:after="0" w:line="171"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OR</w:t>
      </w:r>
    </w:p>
    <w:p>
      <w:pPr>
        <w:spacing w:after="0" w:line="193" w:lineRule="exact"/>
        <w:rPr>
          <w:sz w:val="24"/>
          <w:szCs w:val="24"/>
          <w:color w:val="auto"/>
        </w:rPr>
      </w:pPr>
    </w:p>
    <w:p>
      <w:pPr>
        <w:ind w:left="460" w:right="460" w:hanging="452"/>
        <w:spacing w:after="0" w:line="256" w:lineRule="auto"/>
        <w:tabs>
          <w:tab w:leader="none" w:pos="460" w:val="left"/>
        </w:tabs>
        <w:numPr>
          <w:ilvl w:val="0"/>
          <w:numId w:val="2"/>
        </w:numPr>
        <w:rPr>
          <w:rFonts w:ascii="MS PGothic" w:cs="MS PGothic" w:eastAsia="MS PGothic" w:hAnsi="MS PGothic"/>
          <w:sz w:val="22"/>
          <w:szCs w:val="22"/>
          <w:color w:val="auto"/>
          <w:highlight w:val="black"/>
        </w:rPr>
      </w:pPr>
      <w:r>
        <w:rPr>
          <w:rFonts w:ascii="Arial" w:cs="Arial" w:eastAsia="Arial" w:hAnsi="Arial"/>
          <w:sz w:val="22"/>
          <w:szCs w:val="22"/>
          <w:b w:val="1"/>
          <w:bCs w:val="1"/>
          <w:color w:val="auto"/>
        </w:rPr>
        <w:t>TRANSITION REPORT PURSUANT TO SECTION 13 OR 15(d) OF THE SECURITIES EXCHANGE ACT OF 1934</w:t>
      </w:r>
    </w:p>
    <w:p>
      <w:pPr>
        <w:spacing w:after="0" w:line="128" w:lineRule="exact"/>
        <w:rPr>
          <w:sz w:val="24"/>
          <w:szCs w:val="24"/>
          <w:color w:val="auto"/>
        </w:rPr>
      </w:pPr>
    </w:p>
    <w:tbl>
      <w:tblPr>
        <w:tblLayout w:type="fixed"/>
        <w:tblInd w:w="1740" w:type="dxa"/>
        <w:tblCellMar>
          <w:top w:w="0" w:type="dxa"/>
          <w:left w:w="0" w:type="dxa"/>
          <w:bottom w:w="0" w:type="dxa"/>
          <w:right w:w="0" w:type="dxa"/>
        </w:tblCellMar>
      </w:tblPr>
      <w:tr>
        <w:trPr>
          <w:trHeight w:val="222"/>
        </w:trPr>
        <w:tc>
          <w:tcPr>
            <w:tcW w:w="6080" w:type="dxa"/>
            <w:vAlign w:val="bottom"/>
          </w:tcPr>
          <w:p>
            <w:pPr>
              <w:jc w:val="center"/>
              <w:ind w:left="1770"/>
              <w:spacing w:after="0"/>
              <w:rPr>
                <w:sz w:val="20"/>
                <w:szCs w:val="20"/>
                <w:color w:val="auto"/>
              </w:rPr>
            </w:pPr>
            <w:r>
              <w:rPr>
                <w:rFonts w:ascii="Arial" w:cs="Arial" w:eastAsia="Arial" w:hAnsi="Arial"/>
                <w:sz w:val="18"/>
                <w:szCs w:val="18"/>
                <w:color w:val="auto"/>
                <w:w w:val="89"/>
              </w:rPr>
              <w:t>Commission File Number: 0-14338</w:t>
            </w:r>
          </w:p>
        </w:tc>
        <w:tc>
          <w:tcPr>
            <w:tcW w:w="1400" w:type="dxa"/>
            <w:vAlign w:val="bottom"/>
          </w:tcPr>
          <w:p>
            <w:pPr>
              <w:spacing w:after="0"/>
              <w:rPr>
                <w:sz w:val="19"/>
                <w:szCs w:val="19"/>
                <w:color w:val="auto"/>
              </w:rPr>
            </w:pPr>
          </w:p>
        </w:tc>
      </w:tr>
      <w:tr>
        <w:trPr>
          <w:trHeight w:val="651"/>
        </w:trPr>
        <w:tc>
          <w:tcPr>
            <w:tcW w:w="6080" w:type="dxa"/>
            <w:vAlign w:val="bottom"/>
          </w:tcPr>
          <w:p>
            <w:pPr>
              <w:jc w:val="center"/>
              <w:ind w:left="1770"/>
              <w:spacing w:after="0"/>
              <w:rPr>
                <w:sz w:val="20"/>
                <w:szCs w:val="20"/>
                <w:color w:val="auto"/>
              </w:rPr>
            </w:pPr>
            <w:r>
              <w:rPr>
                <w:rFonts w:ascii="Arial" w:cs="Arial" w:eastAsia="Arial" w:hAnsi="Arial"/>
                <w:sz w:val="43"/>
                <w:szCs w:val="43"/>
                <w:b w:val="1"/>
                <w:bCs w:val="1"/>
                <w:color w:val="auto"/>
              </w:rPr>
              <w:t>AUTODESK, INC.</w:t>
            </w:r>
          </w:p>
        </w:tc>
        <w:tc>
          <w:tcPr>
            <w:tcW w:w="1400" w:type="dxa"/>
            <w:vAlign w:val="bottom"/>
          </w:tcPr>
          <w:p>
            <w:pPr>
              <w:spacing w:after="0"/>
              <w:rPr>
                <w:sz w:val="24"/>
                <w:szCs w:val="24"/>
                <w:color w:val="auto"/>
              </w:rPr>
            </w:pPr>
          </w:p>
        </w:tc>
      </w:tr>
      <w:tr>
        <w:trPr>
          <w:trHeight w:val="174"/>
        </w:trPr>
        <w:tc>
          <w:tcPr>
            <w:tcW w:w="6080" w:type="dxa"/>
            <w:vAlign w:val="bottom"/>
          </w:tcPr>
          <w:p>
            <w:pPr>
              <w:jc w:val="center"/>
              <w:ind w:left="1770"/>
              <w:spacing w:after="0"/>
              <w:rPr>
                <w:sz w:val="20"/>
                <w:szCs w:val="20"/>
                <w:color w:val="auto"/>
              </w:rPr>
            </w:pPr>
            <w:r>
              <w:rPr>
                <w:rFonts w:ascii="Arial" w:cs="Arial" w:eastAsia="Arial" w:hAnsi="Arial"/>
                <w:sz w:val="14"/>
                <w:szCs w:val="14"/>
                <w:b w:val="1"/>
                <w:bCs w:val="1"/>
                <w:color w:val="auto"/>
                <w:w w:val="86"/>
              </w:rPr>
              <w:t>(Exact name of registrant as specified in its charter)</w:t>
            </w:r>
          </w:p>
        </w:tc>
        <w:tc>
          <w:tcPr>
            <w:tcW w:w="1400" w:type="dxa"/>
            <w:vAlign w:val="bottom"/>
          </w:tcPr>
          <w:p>
            <w:pPr>
              <w:spacing w:after="0"/>
              <w:rPr>
                <w:sz w:val="15"/>
                <w:szCs w:val="15"/>
                <w:color w:val="auto"/>
              </w:rPr>
            </w:pPr>
          </w:p>
        </w:tc>
      </w:tr>
      <w:tr>
        <w:trPr>
          <w:trHeight w:val="393"/>
        </w:trPr>
        <w:tc>
          <w:tcPr>
            <w:tcW w:w="6080" w:type="dxa"/>
            <w:vAlign w:val="bottom"/>
          </w:tcPr>
          <w:p>
            <w:pPr>
              <w:jc w:val="center"/>
              <w:ind w:right="3730"/>
              <w:spacing w:after="0"/>
              <w:rPr>
                <w:sz w:val="20"/>
                <w:szCs w:val="20"/>
                <w:color w:val="auto"/>
              </w:rPr>
            </w:pPr>
            <w:r>
              <w:rPr>
                <w:rFonts w:ascii="Arial" w:cs="Arial" w:eastAsia="Arial" w:hAnsi="Arial"/>
                <w:sz w:val="18"/>
                <w:szCs w:val="18"/>
                <w:b w:val="1"/>
                <w:bCs w:val="1"/>
                <w:color w:val="auto"/>
                <w:w w:val="88"/>
              </w:rPr>
              <w:t>Delaware</w:t>
            </w:r>
          </w:p>
        </w:tc>
        <w:tc>
          <w:tcPr>
            <w:tcW w:w="1400" w:type="dxa"/>
            <w:vAlign w:val="bottom"/>
          </w:tcPr>
          <w:p>
            <w:pPr>
              <w:jc w:val="right"/>
              <w:ind w:right="44"/>
              <w:spacing w:after="0"/>
              <w:rPr>
                <w:sz w:val="20"/>
                <w:szCs w:val="20"/>
                <w:color w:val="auto"/>
              </w:rPr>
            </w:pPr>
            <w:r>
              <w:rPr>
                <w:rFonts w:ascii="Arial" w:cs="Arial" w:eastAsia="Arial" w:hAnsi="Arial"/>
                <w:sz w:val="18"/>
                <w:szCs w:val="18"/>
                <w:b w:val="1"/>
                <w:bCs w:val="1"/>
                <w:color w:val="auto"/>
              </w:rPr>
              <w:t>94-2819853</w:t>
            </w:r>
          </w:p>
        </w:tc>
      </w:tr>
      <w:tr>
        <w:trPr>
          <w:trHeight w:val="149"/>
        </w:trPr>
        <w:tc>
          <w:tcPr>
            <w:tcW w:w="6080" w:type="dxa"/>
            <w:vAlign w:val="bottom"/>
          </w:tcPr>
          <w:p>
            <w:pPr>
              <w:jc w:val="center"/>
              <w:ind w:right="3750"/>
              <w:spacing w:after="0" w:line="149" w:lineRule="exact"/>
              <w:rPr>
                <w:sz w:val="20"/>
                <w:szCs w:val="20"/>
                <w:color w:val="auto"/>
              </w:rPr>
            </w:pPr>
            <w:r>
              <w:rPr>
                <w:rFonts w:ascii="Arial" w:cs="Arial" w:eastAsia="Arial" w:hAnsi="Arial"/>
                <w:sz w:val="14"/>
                <w:szCs w:val="14"/>
                <w:b w:val="1"/>
                <w:bCs w:val="1"/>
                <w:color w:val="auto"/>
                <w:w w:val="87"/>
              </w:rPr>
              <w:t>(State or other jurisdiction of</w:t>
            </w:r>
          </w:p>
        </w:tc>
        <w:tc>
          <w:tcPr>
            <w:tcW w:w="1400" w:type="dxa"/>
            <w:vAlign w:val="bottom"/>
          </w:tcPr>
          <w:p>
            <w:pPr>
              <w:jc w:val="center"/>
              <w:ind w:left="264"/>
              <w:spacing w:after="0" w:line="149" w:lineRule="exact"/>
              <w:rPr>
                <w:sz w:val="20"/>
                <w:szCs w:val="20"/>
                <w:color w:val="auto"/>
              </w:rPr>
            </w:pPr>
            <w:r>
              <w:rPr>
                <w:rFonts w:ascii="Arial" w:cs="Arial" w:eastAsia="Arial" w:hAnsi="Arial"/>
                <w:sz w:val="14"/>
                <w:szCs w:val="14"/>
                <w:b w:val="1"/>
                <w:bCs w:val="1"/>
                <w:color w:val="auto"/>
                <w:w w:val="91"/>
              </w:rPr>
              <w:t>(I.R.S. Employer</w:t>
            </w:r>
          </w:p>
        </w:tc>
      </w:tr>
      <w:tr>
        <w:trPr>
          <w:trHeight w:val="174"/>
        </w:trPr>
        <w:tc>
          <w:tcPr>
            <w:tcW w:w="6080" w:type="dxa"/>
            <w:vAlign w:val="bottom"/>
          </w:tcPr>
          <w:p>
            <w:pPr>
              <w:jc w:val="center"/>
              <w:ind w:right="3750"/>
              <w:spacing w:after="0"/>
              <w:rPr>
                <w:sz w:val="20"/>
                <w:szCs w:val="20"/>
                <w:color w:val="auto"/>
              </w:rPr>
            </w:pPr>
            <w:r>
              <w:rPr>
                <w:rFonts w:ascii="Arial" w:cs="Arial" w:eastAsia="Arial" w:hAnsi="Arial"/>
                <w:sz w:val="14"/>
                <w:szCs w:val="14"/>
                <w:b w:val="1"/>
                <w:bCs w:val="1"/>
                <w:color w:val="auto"/>
                <w:w w:val="88"/>
              </w:rPr>
              <w:t>incorporation or organization)</w:t>
            </w:r>
          </w:p>
        </w:tc>
        <w:tc>
          <w:tcPr>
            <w:tcW w:w="1400" w:type="dxa"/>
            <w:vAlign w:val="bottom"/>
          </w:tcPr>
          <w:p>
            <w:pPr>
              <w:jc w:val="center"/>
              <w:ind w:left="264"/>
              <w:spacing w:after="0"/>
              <w:rPr>
                <w:sz w:val="20"/>
                <w:szCs w:val="20"/>
                <w:color w:val="auto"/>
              </w:rPr>
            </w:pPr>
            <w:r>
              <w:rPr>
                <w:rFonts w:ascii="Arial" w:cs="Arial" w:eastAsia="Arial" w:hAnsi="Arial"/>
                <w:sz w:val="14"/>
                <w:szCs w:val="14"/>
                <w:b w:val="1"/>
                <w:bCs w:val="1"/>
                <w:color w:val="auto"/>
                <w:w w:val="89"/>
              </w:rPr>
              <w:t>Identification No.)</w:t>
            </w:r>
          </w:p>
        </w:tc>
      </w:tr>
      <w:tr>
        <w:trPr>
          <w:trHeight w:val="405"/>
        </w:trPr>
        <w:tc>
          <w:tcPr>
            <w:tcW w:w="6080" w:type="dxa"/>
            <w:vAlign w:val="bottom"/>
          </w:tcPr>
          <w:p>
            <w:pPr>
              <w:jc w:val="center"/>
              <w:ind w:right="3750"/>
              <w:spacing w:after="0"/>
              <w:rPr>
                <w:sz w:val="20"/>
                <w:szCs w:val="20"/>
                <w:color w:val="auto"/>
              </w:rPr>
            </w:pPr>
            <w:r>
              <w:rPr>
                <w:rFonts w:ascii="Arial" w:cs="Arial" w:eastAsia="Arial" w:hAnsi="Arial"/>
                <w:sz w:val="18"/>
                <w:szCs w:val="18"/>
                <w:b w:val="1"/>
                <w:bCs w:val="1"/>
                <w:color w:val="auto"/>
                <w:w w:val="91"/>
              </w:rPr>
              <w:t>111 McInnis Parkway</w:t>
            </w:r>
          </w:p>
        </w:tc>
        <w:tc>
          <w:tcPr>
            <w:tcW w:w="1400" w:type="dxa"/>
            <w:vAlign w:val="bottom"/>
          </w:tcPr>
          <w:p>
            <w:pPr>
              <w:spacing w:after="0"/>
              <w:rPr>
                <w:sz w:val="24"/>
                <w:szCs w:val="24"/>
                <w:color w:val="auto"/>
              </w:rPr>
            </w:pPr>
          </w:p>
        </w:tc>
      </w:tr>
      <w:tr>
        <w:trPr>
          <w:trHeight w:val="231"/>
        </w:trPr>
        <w:tc>
          <w:tcPr>
            <w:tcW w:w="6080" w:type="dxa"/>
            <w:vAlign w:val="bottom"/>
          </w:tcPr>
          <w:p>
            <w:pPr>
              <w:jc w:val="center"/>
              <w:ind w:right="3750"/>
              <w:spacing w:after="0"/>
              <w:rPr>
                <w:sz w:val="20"/>
                <w:szCs w:val="20"/>
                <w:color w:val="auto"/>
              </w:rPr>
            </w:pPr>
            <w:r>
              <w:rPr>
                <w:rFonts w:ascii="Arial" w:cs="Arial" w:eastAsia="Arial" w:hAnsi="Arial"/>
                <w:sz w:val="18"/>
                <w:szCs w:val="18"/>
                <w:b w:val="1"/>
                <w:bCs w:val="1"/>
                <w:color w:val="auto"/>
                <w:w w:val="90"/>
              </w:rPr>
              <w:t>San Rafael, California</w:t>
            </w:r>
          </w:p>
        </w:tc>
        <w:tc>
          <w:tcPr>
            <w:tcW w:w="1400" w:type="dxa"/>
            <w:vAlign w:val="bottom"/>
          </w:tcPr>
          <w:p>
            <w:pPr>
              <w:jc w:val="right"/>
              <w:ind w:right="244"/>
              <w:spacing w:after="0"/>
              <w:rPr>
                <w:sz w:val="20"/>
                <w:szCs w:val="20"/>
                <w:color w:val="auto"/>
              </w:rPr>
            </w:pPr>
            <w:r>
              <w:rPr>
                <w:rFonts w:ascii="Arial" w:cs="Arial" w:eastAsia="Arial" w:hAnsi="Arial"/>
                <w:sz w:val="18"/>
                <w:szCs w:val="18"/>
                <w:b w:val="1"/>
                <w:bCs w:val="1"/>
                <w:color w:val="auto"/>
              </w:rPr>
              <w:t>94903</w:t>
            </w:r>
          </w:p>
        </w:tc>
      </w:tr>
      <w:tr>
        <w:trPr>
          <w:trHeight w:val="174"/>
        </w:trPr>
        <w:tc>
          <w:tcPr>
            <w:tcW w:w="6080" w:type="dxa"/>
            <w:vAlign w:val="bottom"/>
          </w:tcPr>
          <w:p>
            <w:pPr>
              <w:jc w:val="center"/>
              <w:ind w:right="3750"/>
              <w:spacing w:after="0"/>
              <w:rPr>
                <w:sz w:val="20"/>
                <w:szCs w:val="20"/>
                <w:color w:val="auto"/>
              </w:rPr>
            </w:pPr>
            <w:r>
              <w:rPr>
                <w:rFonts w:ascii="Arial" w:cs="Arial" w:eastAsia="Arial" w:hAnsi="Arial"/>
                <w:sz w:val="14"/>
                <w:szCs w:val="14"/>
                <w:b w:val="1"/>
                <w:bCs w:val="1"/>
                <w:color w:val="auto"/>
                <w:w w:val="85"/>
              </w:rPr>
              <w:t>(Address of principal executive offices)</w:t>
            </w:r>
          </w:p>
        </w:tc>
        <w:tc>
          <w:tcPr>
            <w:tcW w:w="1400" w:type="dxa"/>
            <w:vAlign w:val="bottom"/>
          </w:tcPr>
          <w:p>
            <w:pPr>
              <w:jc w:val="center"/>
              <w:ind w:left="264"/>
              <w:spacing w:after="0"/>
              <w:rPr>
                <w:sz w:val="20"/>
                <w:szCs w:val="20"/>
                <w:color w:val="auto"/>
              </w:rPr>
            </w:pPr>
            <w:r>
              <w:rPr>
                <w:rFonts w:ascii="Arial" w:cs="Arial" w:eastAsia="Arial" w:hAnsi="Arial"/>
                <w:sz w:val="14"/>
                <w:szCs w:val="14"/>
                <w:b w:val="1"/>
                <w:bCs w:val="1"/>
                <w:color w:val="auto"/>
                <w:w w:val="89"/>
              </w:rPr>
              <w:t>(Zip Code)</w:t>
            </w:r>
          </w:p>
        </w:tc>
      </w:tr>
      <w:tr>
        <w:trPr>
          <w:trHeight w:val="352"/>
        </w:trPr>
        <w:tc>
          <w:tcPr>
            <w:tcW w:w="6080" w:type="dxa"/>
            <w:vAlign w:val="bottom"/>
          </w:tcPr>
          <w:p>
            <w:pPr>
              <w:jc w:val="center"/>
              <w:ind w:left="1770"/>
              <w:spacing w:after="0"/>
              <w:rPr>
                <w:sz w:val="20"/>
                <w:szCs w:val="20"/>
                <w:color w:val="auto"/>
              </w:rPr>
            </w:pPr>
            <w:r>
              <w:rPr>
                <w:rFonts w:ascii="Arial" w:cs="Arial" w:eastAsia="Arial" w:hAnsi="Arial"/>
                <w:sz w:val="18"/>
                <w:szCs w:val="18"/>
                <w:b w:val="1"/>
                <w:bCs w:val="1"/>
                <w:color w:val="auto"/>
                <w:w w:val="89"/>
              </w:rPr>
              <w:t>(415) 507-5000</w:t>
            </w:r>
          </w:p>
        </w:tc>
        <w:tc>
          <w:tcPr>
            <w:tcW w:w="1400" w:type="dxa"/>
            <w:vAlign w:val="bottom"/>
          </w:tcPr>
          <w:p>
            <w:pPr>
              <w:spacing w:after="0"/>
              <w:rPr>
                <w:sz w:val="24"/>
                <w:szCs w:val="24"/>
                <w:color w:val="auto"/>
              </w:rPr>
            </w:pPr>
          </w:p>
        </w:tc>
      </w:tr>
      <w:tr>
        <w:trPr>
          <w:trHeight w:val="174"/>
        </w:trPr>
        <w:tc>
          <w:tcPr>
            <w:tcW w:w="6080" w:type="dxa"/>
            <w:vAlign w:val="bottom"/>
          </w:tcPr>
          <w:p>
            <w:pPr>
              <w:jc w:val="center"/>
              <w:ind w:left="1770"/>
              <w:spacing w:after="0"/>
              <w:rPr>
                <w:sz w:val="20"/>
                <w:szCs w:val="20"/>
                <w:color w:val="auto"/>
              </w:rPr>
            </w:pPr>
            <w:r>
              <w:rPr>
                <w:rFonts w:ascii="Arial" w:cs="Arial" w:eastAsia="Arial" w:hAnsi="Arial"/>
                <w:sz w:val="14"/>
                <w:szCs w:val="14"/>
                <w:b w:val="1"/>
                <w:bCs w:val="1"/>
                <w:color w:val="auto"/>
                <w:w w:val="86"/>
              </w:rPr>
              <w:t>(Registrant’s telephone number, including area code)</w:t>
            </w:r>
          </w:p>
        </w:tc>
        <w:tc>
          <w:tcPr>
            <w:tcW w:w="1400" w:type="dxa"/>
            <w:vAlign w:val="bottom"/>
          </w:tcPr>
          <w:p>
            <w:pPr>
              <w:spacing w:after="0"/>
              <w:rPr>
                <w:sz w:val="15"/>
                <w:szCs w:val="15"/>
                <w:color w:val="auto"/>
              </w:rPr>
            </w:pPr>
          </w:p>
        </w:tc>
      </w:tr>
    </w:tbl>
    <w:p>
      <w:pPr>
        <w:spacing w:after="0" w:line="141" w:lineRule="exact"/>
        <w:rPr>
          <w:sz w:val="24"/>
          <w:szCs w:val="24"/>
          <w:color w:val="auto"/>
        </w:rPr>
      </w:pPr>
    </w:p>
    <w:p>
      <w:pPr>
        <w:ind w:right="20" w:firstLine="456"/>
        <w:spacing w:after="0" w:line="225"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(“Exchange Act”)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38" w:lineRule="exact"/>
        <w:rPr>
          <w:sz w:val="24"/>
          <w:szCs w:val="24"/>
          <w:color w:val="auto"/>
        </w:rPr>
      </w:pPr>
    </w:p>
    <w:p>
      <w:pPr>
        <w:jc w:val="both"/>
        <w:ind w:right="60" w:firstLine="456"/>
        <w:spacing w:after="0" w:line="225" w:lineRule="exact"/>
        <w:rPr>
          <w:sz w:val="20"/>
          <w:szCs w:val="20"/>
          <w:color w:val="auto"/>
        </w:rPr>
      </w:pPr>
      <w:r>
        <w:rPr>
          <w:rFonts w:ascii="Arial" w:cs="Arial" w:eastAsia="Arial" w:hAnsi="Arial"/>
          <w:sz w:val="18"/>
          <w:szCs w:val="18"/>
          <w:color w:val="auto"/>
        </w:rPr>
        <w:t xml:space="preserve">Indicate by check mark whether the registrant has submitted electronically and posted on its corporate Web site, if any, every Interactive Data File required to be submitted and posted pursuant to Rule 405 of Regulation S-T during the preceding 12 months (or for such shorter period that the registrant was required to submit and post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38" w:lineRule="exact"/>
        <w:rPr>
          <w:sz w:val="24"/>
          <w:szCs w:val="24"/>
          <w:color w:val="auto"/>
        </w:rPr>
      </w:pPr>
    </w:p>
    <w:p>
      <w:pPr>
        <w:ind w:right="260" w:firstLine="447"/>
        <w:spacing w:after="0" w:line="332"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w:t>
      </w:r>
    </w:p>
    <w:p>
      <w:pPr>
        <w:spacing w:after="0" w:line="93" w:lineRule="exact"/>
        <w:rPr>
          <w:sz w:val="24"/>
          <w:szCs w:val="24"/>
          <w:color w:val="auto"/>
        </w:rPr>
      </w:pPr>
    </w:p>
    <w:tbl>
      <w:tblPr>
        <w:tblLayout w:type="fixed"/>
        <w:tblInd w:w="0" w:type="dxa"/>
        <w:tblCellMar>
          <w:top w:w="0" w:type="dxa"/>
          <w:left w:w="0" w:type="dxa"/>
          <w:bottom w:w="0" w:type="dxa"/>
          <w:right w:w="0" w:type="dxa"/>
        </w:tblCellMar>
      </w:tblPr>
      <w:tr>
        <w:trPr>
          <w:trHeight w:val="216"/>
        </w:trPr>
        <w:tc>
          <w:tcPr>
            <w:tcW w:w="1800" w:type="dxa"/>
            <w:vAlign w:val="bottom"/>
          </w:tcPr>
          <w:p>
            <w:pPr>
              <w:spacing w:after="0"/>
              <w:rPr>
                <w:sz w:val="20"/>
                <w:szCs w:val="20"/>
                <w:color w:val="auto"/>
              </w:rPr>
            </w:pPr>
            <w:r>
              <w:rPr>
                <w:rFonts w:ascii="Arial" w:cs="Arial" w:eastAsia="Arial" w:hAnsi="Arial"/>
                <w:sz w:val="18"/>
                <w:szCs w:val="18"/>
                <w:color w:val="auto"/>
                <w:w w:val="99"/>
              </w:rPr>
              <w:t>Large accelerated filer</w:t>
            </w:r>
          </w:p>
        </w:tc>
        <w:tc>
          <w:tcPr>
            <w:tcW w:w="6720" w:type="dxa"/>
            <w:vAlign w:val="bottom"/>
          </w:tcPr>
          <w:p>
            <w:pPr>
              <w:ind w:left="240"/>
              <w:spacing w:after="0" w:line="181" w:lineRule="exact"/>
              <w:rPr>
                <w:sz w:val="20"/>
                <w:szCs w:val="20"/>
                <w:color w:val="auto"/>
              </w:rPr>
            </w:pPr>
            <w:r>
              <w:rPr>
                <w:rFonts w:ascii="MS PGothic" w:cs="MS PGothic" w:eastAsia="MS PGothic" w:hAnsi="MS PGothic"/>
                <w:sz w:val="18"/>
                <w:szCs w:val="18"/>
                <w:color w:val="auto"/>
              </w:rPr>
              <w:t>☒</w:t>
            </w:r>
          </w:p>
        </w:tc>
        <w:tc>
          <w:tcPr>
            <w:tcW w:w="2680" w:type="dxa"/>
            <w:vAlign w:val="bottom"/>
          </w:tcPr>
          <w:p>
            <w:pPr>
              <w:jc w:val="right"/>
              <w:spacing w:after="0"/>
              <w:rPr>
                <w:sz w:val="20"/>
                <w:szCs w:val="20"/>
                <w:color w:val="auto"/>
              </w:rPr>
            </w:pPr>
            <w:r>
              <w:rPr>
                <w:rFonts w:ascii="Arial" w:cs="Arial" w:eastAsia="Arial" w:hAnsi="Arial"/>
                <w:sz w:val="18"/>
                <w:szCs w:val="18"/>
                <w:color w:val="auto"/>
              </w:rPr>
              <w:t>Accelerated filer</w:t>
            </w:r>
          </w:p>
        </w:tc>
        <w:tc>
          <w:tcPr>
            <w:tcW w:w="220" w:type="dxa"/>
            <w:vAlign w:val="bottom"/>
          </w:tcPr>
          <w:p>
            <w:pPr>
              <w:ind w:left="6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75"/>
        </w:trPr>
        <w:tc>
          <w:tcPr>
            <w:tcW w:w="1800" w:type="dxa"/>
            <w:vAlign w:val="bottom"/>
          </w:tcPr>
          <w:p>
            <w:pPr>
              <w:spacing w:after="0"/>
              <w:rPr>
                <w:sz w:val="20"/>
                <w:szCs w:val="20"/>
                <w:color w:val="auto"/>
              </w:rPr>
            </w:pPr>
            <w:r>
              <w:rPr>
                <w:rFonts w:ascii="Arial" w:cs="Arial" w:eastAsia="Arial" w:hAnsi="Arial"/>
                <w:sz w:val="18"/>
                <w:szCs w:val="18"/>
                <w:color w:val="auto"/>
              </w:rPr>
              <w:t>Non-accelerated filer</w:t>
            </w:r>
          </w:p>
        </w:tc>
        <w:tc>
          <w:tcPr>
            <w:tcW w:w="6720" w:type="dxa"/>
            <w:vAlign w:val="bottom"/>
          </w:tcPr>
          <w:p>
            <w:pPr>
              <w:ind w:left="240"/>
              <w:spacing w:after="0" w:line="207" w:lineRule="exact"/>
              <w:rPr>
                <w:sz w:val="20"/>
                <w:szCs w:val="20"/>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(Do not check if a smaller reporting company)</w:t>
            </w:r>
          </w:p>
        </w:tc>
        <w:tc>
          <w:tcPr>
            <w:tcW w:w="2680" w:type="dxa"/>
            <w:vAlign w:val="bottom"/>
          </w:tcPr>
          <w:p>
            <w:pPr>
              <w:jc w:val="right"/>
              <w:spacing w:after="0"/>
              <w:rPr>
                <w:sz w:val="20"/>
                <w:szCs w:val="20"/>
                <w:color w:val="auto"/>
              </w:rPr>
            </w:pPr>
            <w:r>
              <w:rPr>
                <w:rFonts w:ascii="Arial" w:cs="Arial" w:eastAsia="Arial" w:hAnsi="Arial"/>
                <w:sz w:val="18"/>
                <w:szCs w:val="18"/>
                <w:color w:val="auto"/>
              </w:rPr>
              <w:t>Smaller reporting company</w:t>
            </w:r>
          </w:p>
        </w:tc>
        <w:tc>
          <w:tcPr>
            <w:tcW w:w="220" w:type="dxa"/>
            <w:vAlign w:val="bottom"/>
          </w:tcPr>
          <w:p>
            <w:pPr>
              <w:ind w:left="6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78"/>
        </w:trPr>
        <w:tc>
          <w:tcPr>
            <w:tcW w:w="8520" w:type="dxa"/>
            <w:vAlign w:val="bottom"/>
            <w:gridSpan w:val="2"/>
          </w:tcPr>
          <w:p>
            <w:pPr>
              <w:ind w:left="460"/>
              <w:spacing w:after="0"/>
              <w:rPr>
                <w:sz w:val="20"/>
                <w:szCs w:val="20"/>
                <w:color w:val="auto"/>
              </w:rPr>
            </w:pPr>
            <w:r>
              <w:rPr>
                <w:rFonts w:ascii="Arial" w:cs="Arial" w:eastAsia="Arial" w:hAnsi="Arial"/>
                <w:sz w:val="18"/>
                <w:szCs w:val="18"/>
                <w:color w:val="auto"/>
                <w:w w:val="89"/>
              </w:rPr>
              <w:t>Indicate by check mark whether the registrant is a shell company (as defined in Rule 12b-2 of the Exchange Act).</w:t>
            </w:r>
          </w:p>
        </w:tc>
        <w:tc>
          <w:tcPr>
            <w:tcW w:w="2680" w:type="dxa"/>
            <w:vAlign w:val="bottom"/>
          </w:tcPr>
          <w:p>
            <w:pPr>
              <w:jc w:val="right"/>
              <w:ind w:right="1372"/>
              <w:spacing w:after="0" w:line="207" w:lineRule="exact"/>
              <w:rPr>
                <w:sz w:val="20"/>
                <w:szCs w:val="20"/>
                <w:color w:val="auto"/>
              </w:rPr>
            </w:pPr>
            <w:r>
              <w:rPr>
                <w:rFonts w:ascii="Arial" w:cs="Arial" w:eastAsia="Arial" w:hAnsi="Arial"/>
                <w:sz w:val="18"/>
                <w:szCs w:val="18"/>
                <w:color w:val="auto"/>
              </w:rPr>
              <w:t xml:space="preserve">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tc>
        <w:tc>
          <w:tcPr>
            <w:tcW w:w="220" w:type="dxa"/>
            <w:vAlign w:val="bottom"/>
          </w:tcPr>
          <w:p>
            <w:pPr>
              <w:spacing w:after="0"/>
              <w:rPr>
                <w:sz w:val="24"/>
                <w:szCs w:val="24"/>
                <w:color w:val="auto"/>
              </w:rPr>
            </w:pPr>
          </w:p>
        </w:tc>
      </w:tr>
      <w:tr>
        <w:trPr>
          <w:trHeight w:val="358"/>
        </w:trPr>
        <w:tc>
          <w:tcPr>
            <w:tcW w:w="8520" w:type="dxa"/>
            <w:vAlign w:val="bottom"/>
            <w:gridSpan w:val="2"/>
          </w:tcPr>
          <w:p>
            <w:pPr>
              <w:ind w:left="460"/>
              <w:spacing w:after="0"/>
              <w:rPr>
                <w:sz w:val="20"/>
                <w:szCs w:val="20"/>
                <w:color w:val="auto"/>
              </w:rPr>
            </w:pPr>
            <w:r>
              <w:rPr>
                <w:rFonts w:ascii="Arial" w:cs="Arial" w:eastAsia="Arial" w:hAnsi="Arial"/>
                <w:sz w:val="18"/>
                <w:szCs w:val="18"/>
                <w:color w:val="auto"/>
                <w:w w:val="96"/>
              </w:rPr>
              <w:t>As of November 30, 2009, there were 229,719,532 shares of the registrant’s Common Stock outstanding.</w:t>
            </w:r>
          </w:p>
        </w:tc>
        <w:tc>
          <w:tcPr>
            <w:tcW w:w="2680" w:type="dxa"/>
            <w:vAlign w:val="bottom"/>
          </w:tcPr>
          <w:p>
            <w:pPr>
              <w:spacing w:after="0"/>
              <w:rPr>
                <w:sz w:val="24"/>
                <w:szCs w:val="24"/>
                <w:color w:val="auto"/>
              </w:rPr>
            </w:pPr>
          </w:p>
        </w:tc>
        <w:tc>
          <w:tcPr>
            <w:tcW w:w="220" w:type="dxa"/>
            <w:vAlign w:val="bottom"/>
          </w:tcPr>
          <w:p>
            <w:pPr>
              <w:spacing w:after="0"/>
              <w:rPr>
                <w:sz w:val="24"/>
                <w:szCs w:val="24"/>
                <w:color w:val="auto"/>
              </w:rPr>
            </w:pPr>
          </w:p>
        </w:tc>
      </w:tr>
      <w:tr>
        <w:trPr>
          <w:trHeight w:val="205"/>
        </w:trPr>
        <w:tc>
          <w:tcPr>
            <w:tcW w:w="1800" w:type="dxa"/>
            <w:vAlign w:val="bottom"/>
            <w:tcBorders>
              <w:bottom w:val="single" w:sz="8" w:color="auto"/>
            </w:tcBorders>
          </w:tcPr>
          <w:p>
            <w:pPr>
              <w:spacing w:after="0"/>
              <w:rPr>
                <w:sz w:val="17"/>
                <w:szCs w:val="17"/>
                <w:color w:val="auto"/>
              </w:rPr>
            </w:pPr>
          </w:p>
        </w:tc>
        <w:tc>
          <w:tcPr>
            <w:tcW w:w="6720" w:type="dxa"/>
            <w:vAlign w:val="bottom"/>
            <w:tcBorders>
              <w:bottom w:val="single" w:sz="8" w:color="auto"/>
            </w:tcBorders>
          </w:tcPr>
          <w:p>
            <w:pPr>
              <w:spacing w:after="0"/>
              <w:rPr>
                <w:sz w:val="17"/>
                <w:szCs w:val="17"/>
                <w:color w:val="auto"/>
              </w:rPr>
            </w:pPr>
          </w:p>
        </w:tc>
        <w:tc>
          <w:tcPr>
            <w:tcW w:w="268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r>
      <w:tr>
        <w:trPr>
          <w:trHeight w:val="34"/>
        </w:trPr>
        <w:tc>
          <w:tcPr>
            <w:tcW w:w="1800" w:type="dxa"/>
            <w:vAlign w:val="bottom"/>
            <w:tcBorders>
              <w:bottom w:val="single" w:sz="8" w:color="auto"/>
            </w:tcBorders>
          </w:tcPr>
          <w:p>
            <w:pPr>
              <w:spacing w:after="0"/>
              <w:rPr>
                <w:sz w:val="2"/>
                <w:szCs w:val="2"/>
                <w:color w:val="auto"/>
              </w:rPr>
            </w:pPr>
          </w:p>
        </w:tc>
        <w:tc>
          <w:tcPr>
            <w:tcW w:w="6720" w:type="dxa"/>
            <w:vAlign w:val="bottom"/>
            <w:tcBorders>
              <w:bottom w:val="single" w:sz="8" w:color="auto"/>
            </w:tcBorders>
          </w:tcPr>
          <w:p>
            <w:pPr>
              <w:spacing w:after="0"/>
              <w:rPr>
                <w:sz w:val="2"/>
                <w:szCs w:val="2"/>
                <w:color w:val="auto"/>
              </w:rPr>
            </w:pPr>
          </w:p>
        </w:tc>
        <w:tc>
          <w:tcPr>
            <w:tcW w:w="26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r>
    </w:tbl>
    <w:p>
      <w:pPr>
        <w:sectPr>
          <w:pgSz w:w="11900" w:h="16838" w:orient="portrait"/>
          <w:cols w:equalWidth="0" w:num="1">
            <w:col w:w="11420"/>
          </w:cols>
          <w:pgMar w:left="240" w:top="230" w:right="239" w:bottom="1440" w:gutter="0" w:footer="0" w:header="0"/>
        </w:sectPr>
      </w:pPr>
    </w:p>
    <w:bookmarkStart w:id="1" w:name="page2"/>
    <w:bookmarkEnd w:id="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AUTODESK, INC.</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INDEX</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2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0" w:type="dxa"/>
            <w:vAlign w:val="bottom"/>
            <w:gridSpan w:val="13"/>
            <w:vMerge w:val="restart"/>
          </w:tcPr>
          <w:p>
            <w:pPr>
              <w:jc w:val="center"/>
              <w:ind w:right="3620"/>
              <w:spacing w:after="0"/>
              <w:rPr>
                <w:rFonts w:ascii="Arial" w:cs="Arial" w:eastAsia="Arial" w:hAnsi="Arial"/>
                <w:sz w:val="18"/>
                <w:szCs w:val="18"/>
                <w:b w:val="1"/>
                <w:bCs w:val="1"/>
                <w:color w:val="0000EE"/>
                <w:w w:val="99"/>
              </w:rPr>
            </w:pPr>
            <w:hyperlink w:anchor="page3">
              <w:r>
                <w:rPr>
                  <w:rFonts w:ascii="Arial" w:cs="Arial" w:eastAsia="Arial" w:hAnsi="Arial"/>
                  <w:sz w:val="18"/>
                  <w:szCs w:val="18"/>
                  <w:b w:val="1"/>
                  <w:bCs w:val="1"/>
                  <w:color w:val="0000EE"/>
                  <w:w w:val="99"/>
                </w:rPr>
                <w:t>PART I. FINANCIAL INFORMATION</w:t>
              </w:r>
            </w:hyperlink>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83"/>
              </w:rPr>
              <w:t>Page No.</w:t>
            </w:r>
          </w:p>
        </w:tc>
        <w:tc>
          <w:tcPr>
            <w:tcW w:w="0" w:type="dxa"/>
            <w:vAlign w:val="bottom"/>
          </w:tcPr>
          <w:p>
            <w:pPr>
              <w:spacing w:after="0"/>
              <w:rPr>
                <w:sz w:val="1"/>
                <w:szCs w:val="1"/>
                <w:color w:val="auto"/>
              </w:rPr>
            </w:pPr>
          </w:p>
        </w:tc>
      </w:tr>
      <w:tr>
        <w:trPr>
          <w:trHeight w:val="169"/>
        </w:trPr>
        <w:tc>
          <w:tcPr>
            <w:tcW w:w="12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0" w:type="dxa"/>
            <w:vAlign w:val="bottom"/>
            <w:gridSpan w:val="13"/>
            <w:vMerge w:val="continue"/>
          </w:tcPr>
          <w:p>
            <w:pPr>
              <w:spacing w:after="0"/>
              <w:rPr>
                <w:sz w:val="14"/>
                <w:szCs w:val="14"/>
                <w:color w:val="auto"/>
              </w:rPr>
            </w:pPr>
          </w:p>
        </w:tc>
        <w:tc>
          <w:tcPr>
            <w:tcW w:w="5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12"/>
        </w:trPr>
        <w:tc>
          <w:tcPr>
            <w:tcW w:w="1220" w:type="dxa"/>
            <w:vAlign w:val="bottom"/>
          </w:tcPr>
          <w:p>
            <w:pPr>
              <w:spacing w:after="0"/>
              <w:rPr>
                <w:sz w:val="20"/>
                <w:szCs w:val="20"/>
                <w:color w:val="auto"/>
              </w:rPr>
            </w:pPr>
            <w:r>
              <w:rPr>
                <w:rFonts w:ascii="Arial" w:cs="Arial" w:eastAsia="Arial" w:hAnsi="Arial"/>
                <w:sz w:val="18"/>
                <w:szCs w:val="18"/>
                <w:b w:val="1"/>
                <w:bCs w:val="1"/>
                <w:color w:val="auto"/>
              </w:rPr>
              <w:t>Item 1.</w:t>
            </w:r>
          </w:p>
        </w:tc>
        <w:tc>
          <w:tcPr>
            <w:tcW w:w="1640" w:type="dxa"/>
            <w:vAlign w:val="bottom"/>
            <w:tcBorders>
              <w:bottom w:val="single" w:sz="8" w:color="0000EE"/>
            </w:tcBorders>
            <w:gridSpan w:val="7"/>
          </w:tcPr>
          <w:p>
            <w:pPr>
              <w:spacing w:after="0"/>
              <w:rPr>
                <w:rFonts w:ascii="Arial" w:cs="Arial" w:eastAsia="Arial" w:hAnsi="Arial"/>
                <w:sz w:val="18"/>
                <w:szCs w:val="18"/>
                <w:b w:val="1"/>
                <w:bCs w:val="1"/>
                <w:color w:val="0000EE"/>
                <w:w w:val="87"/>
              </w:rPr>
            </w:pPr>
            <w:hyperlink w:anchor="page3">
              <w:r>
                <w:rPr>
                  <w:rFonts w:ascii="Arial" w:cs="Arial" w:eastAsia="Arial" w:hAnsi="Arial"/>
                  <w:sz w:val="18"/>
                  <w:szCs w:val="18"/>
                  <w:b w:val="1"/>
                  <w:bCs w:val="1"/>
                  <w:color w:val="0000EE"/>
                  <w:w w:val="87"/>
                </w:rPr>
                <w:t>Financial Statements:</w:t>
              </w:r>
            </w:hyperlink>
          </w:p>
        </w:tc>
        <w:tc>
          <w:tcPr>
            <w:tcW w:w="1440" w:type="dxa"/>
            <w:vAlign w:val="bottom"/>
            <w:gridSpan w:val="5"/>
          </w:tcPr>
          <w:p>
            <w:pPr>
              <w:spacing w:after="0"/>
              <w:rPr>
                <w:sz w:val="24"/>
                <w:szCs w:val="24"/>
                <w:color w:val="auto"/>
              </w:rPr>
            </w:pPr>
          </w:p>
        </w:tc>
        <w:tc>
          <w:tcPr>
            <w:tcW w:w="2980" w:type="dxa"/>
            <w:vAlign w:val="bottom"/>
            <w:tcBorders>
              <w:top w:val="single" w:sz="8" w:color="0000EE"/>
            </w:tcBorders>
            <w:gridSpan w:val="11"/>
          </w:tcPr>
          <w:p>
            <w:pPr>
              <w:spacing w:after="0"/>
              <w:rPr>
                <w:sz w:val="24"/>
                <w:szCs w:val="24"/>
                <w:color w:val="auto"/>
              </w:rPr>
            </w:pPr>
          </w:p>
        </w:tc>
        <w:tc>
          <w:tcPr>
            <w:tcW w:w="3620" w:type="dxa"/>
            <w:vAlign w:val="bottom"/>
            <w:gridSpan w:val="2"/>
          </w:tcPr>
          <w:p>
            <w:pPr>
              <w:spacing w:after="0"/>
              <w:rPr>
                <w:sz w:val="24"/>
                <w:szCs w:val="24"/>
                <w:color w:val="auto"/>
              </w:rPr>
            </w:pPr>
          </w:p>
        </w:tc>
        <w:tc>
          <w:tcPr>
            <w:tcW w:w="5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4"/>
        </w:trPr>
        <w:tc>
          <w:tcPr>
            <w:tcW w:w="1220" w:type="dxa"/>
            <w:vAlign w:val="bottom"/>
          </w:tcPr>
          <w:p>
            <w:pPr>
              <w:spacing w:after="0"/>
              <w:rPr>
                <w:sz w:val="24"/>
                <w:szCs w:val="24"/>
                <w:color w:val="auto"/>
              </w:rPr>
            </w:pPr>
          </w:p>
        </w:tc>
        <w:tc>
          <w:tcPr>
            <w:tcW w:w="3580" w:type="dxa"/>
            <w:vAlign w:val="bottom"/>
            <w:tcBorders>
              <w:bottom w:val="single" w:sz="8" w:color="0000EE"/>
            </w:tcBorders>
            <w:gridSpan w:val="14"/>
          </w:tcPr>
          <w:p>
            <w:pPr>
              <w:spacing w:after="0"/>
              <w:rPr>
                <w:rFonts w:ascii="Arial" w:cs="Arial" w:eastAsia="Arial" w:hAnsi="Arial"/>
                <w:sz w:val="18"/>
                <w:szCs w:val="18"/>
                <w:color w:val="0000EE"/>
                <w:w w:val="86"/>
              </w:rPr>
            </w:pPr>
            <w:hyperlink w:anchor="page3">
              <w:r>
                <w:rPr>
                  <w:rFonts w:ascii="Arial" w:cs="Arial" w:eastAsia="Arial" w:hAnsi="Arial"/>
                  <w:sz w:val="18"/>
                  <w:szCs w:val="18"/>
                  <w:color w:val="0000EE"/>
                  <w:w w:val="86"/>
                </w:rPr>
                <w:t>Condensed Consolidated Statements of Operations</w:t>
              </w:r>
            </w:hyperlink>
          </w:p>
        </w:tc>
        <w:tc>
          <w:tcPr>
            <w:tcW w:w="6100" w:type="dxa"/>
            <w:vAlign w:val="bottom"/>
            <w:gridSpan w:val="11"/>
          </w:tcPr>
          <w:p>
            <w:pPr>
              <w:spacing w:after="0"/>
              <w:rPr>
                <w:sz w:val="24"/>
                <w:szCs w:val="24"/>
                <w:color w:val="auto"/>
              </w:rPr>
            </w:pPr>
          </w:p>
        </w:tc>
        <w:tc>
          <w:tcPr>
            <w:tcW w:w="5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460" w:type="dxa"/>
            <w:vAlign w:val="bottom"/>
            <w:gridSpan w:val="24"/>
          </w:tcPr>
          <w:p>
            <w:pPr>
              <w:spacing w:after="0" w:line="196" w:lineRule="exact"/>
              <w:rPr>
                <w:rFonts w:ascii="Arial" w:cs="Arial" w:eastAsia="Arial" w:hAnsi="Arial"/>
                <w:sz w:val="18"/>
                <w:szCs w:val="18"/>
                <w:color w:val="0000EE"/>
              </w:rPr>
            </w:pPr>
            <w:hyperlink w:anchor="page3">
              <w:r>
                <w:rPr>
                  <w:rFonts w:ascii="Arial" w:cs="Arial" w:eastAsia="Arial" w:hAnsi="Arial"/>
                  <w:sz w:val="18"/>
                  <w:szCs w:val="18"/>
                  <w:color w:val="0000EE"/>
                </w:rPr>
                <w:t>Three and Nine Months Ended October 31, 2009 and 2008</w:t>
              </w:r>
            </w:hyperlink>
          </w:p>
        </w:tc>
        <w:tc>
          <w:tcPr>
            <w:tcW w:w="520" w:type="dxa"/>
            <w:vAlign w:val="bottom"/>
          </w:tcPr>
          <w:p>
            <w:pPr>
              <w:jc w:val="right"/>
              <w:spacing w:after="0" w:line="196" w:lineRule="exact"/>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0"/>
        </w:trPr>
        <w:tc>
          <w:tcPr>
            <w:tcW w:w="1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40" w:type="dxa"/>
            <w:vAlign w:val="bottom"/>
            <w:gridSpan w:val="2"/>
            <w:shd w:val="clear" w:color="auto" w:fill="0000EE"/>
          </w:tcPr>
          <w:p>
            <w:pPr>
              <w:spacing w:after="0" w:line="20" w:lineRule="exact"/>
              <w:rPr>
                <w:sz w:val="1"/>
                <w:szCs w:val="1"/>
                <w:color w:val="auto"/>
              </w:rPr>
            </w:pPr>
          </w:p>
        </w:tc>
        <w:tc>
          <w:tcPr>
            <w:tcW w:w="38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740" w:type="dxa"/>
            <w:vAlign w:val="bottom"/>
            <w:gridSpan w:val="2"/>
          </w:tcPr>
          <w:p>
            <w:pPr>
              <w:spacing w:after="0" w:line="20" w:lineRule="exact"/>
              <w:rPr>
                <w:sz w:val="1"/>
                <w:szCs w:val="1"/>
                <w:color w:val="auto"/>
              </w:rPr>
            </w:pPr>
          </w:p>
        </w:tc>
        <w:tc>
          <w:tcPr>
            <w:tcW w:w="30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1220" w:type="dxa"/>
            <w:vAlign w:val="bottom"/>
          </w:tcPr>
          <w:p>
            <w:pPr>
              <w:spacing w:after="0"/>
              <w:rPr>
                <w:sz w:val="24"/>
                <w:szCs w:val="24"/>
                <w:color w:val="auto"/>
              </w:rPr>
            </w:pPr>
          </w:p>
        </w:tc>
        <w:tc>
          <w:tcPr>
            <w:tcW w:w="9680" w:type="dxa"/>
            <w:vAlign w:val="bottom"/>
            <w:gridSpan w:val="25"/>
          </w:tcPr>
          <w:p>
            <w:pPr>
              <w:spacing w:after="0"/>
              <w:rPr>
                <w:rFonts w:ascii="Arial" w:cs="Arial" w:eastAsia="Arial" w:hAnsi="Arial"/>
                <w:sz w:val="18"/>
                <w:szCs w:val="18"/>
                <w:color w:val="0000EE"/>
              </w:rPr>
            </w:pPr>
            <w:hyperlink w:anchor="page4">
              <w:r>
                <w:rPr>
                  <w:rFonts w:ascii="Arial" w:cs="Arial" w:eastAsia="Arial" w:hAnsi="Arial"/>
                  <w:sz w:val="18"/>
                  <w:szCs w:val="18"/>
                  <w:color w:val="0000EE"/>
                </w:rPr>
                <w:t>Condensed Consolidated Balance Sheets</w:t>
              </w:r>
            </w:hyperlink>
          </w:p>
        </w:tc>
        <w:tc>
          <w:tcPr>
            <w:tcW w:w="5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220" w:type="dxa"/>
            <w:vAlign w:val="bottom"/>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740" w:type="dxa"/>
            <w:vAlign w:val="bottom"/>
            <w:gridSpan w:val="2"/>
          </w:tcPr>
          <w:p>
            <w:pPr>
              <w:spacing w:after="0" w:line="20" w:lineRule="exact"/>
              <w:rPr>
                <w:sz w:val="1"/>
                <w:szCs w:val="1"/>
                <w:color w:val="auto"/>
              </w:rPr>
            </w:pPr>
          </w:p>
        </w:tc>
        <w:tc>
          <w:tcPr>
            <w:tcW w:w="30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460" w:type="dxa"/>
            <w:vAlign w:val="bottom"/>
            <w:gridSpan w:val="24"/>
          </w:tcPr>
          <w:p>
            <w:pPr>
              <w:spacing w:after="0" w:line="196" w:lineRule="exact"/>
              <w:rPr>
                <w:rFonts w:ascii="Arial" w:cs="Arial" w:eastAsia="Arial" w:hAnsi="Arial"/>
                <w:sz w:val="18"/>
                <w:szCs w:val="18"/>
                <w:color w:val="0000EE"/>
              </w:rPr>
            </w:pPr>
            <w:hyperlink w:anchor="page4">
              <w:r>
                <w:rPr>
                  <w:rFonts w:ascii="Arial" w:cs="Arial" w:eastAsia="Arial" w:hAnsi="Arial"/>
                  <w:sz w:val="18"/>
                  <w:szCs w:val="18"/>
                  <w:color w:val="0000EE"/>
                </w:rPr>
                <w:t>October 31, 2009 and January 31, 2009</w:t>
              </w:r>
            </w:hyperlink>
          </w:p>
        </w:tc>
        <w:tc>
          <w:tcPr>
            <w:tcW w:w="520" w:type="dxa"/>
            <w:vAlign w:val="bottom"/>
          </w:tcPr>
          <w:p>
            <w:pPr>
              <w:jc w:val="right"/>
              <w:spacing w:after="0" w:line="196" w:lineRule="exact"/>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0"/>
        </w:trPr>
        <w:tc>
          <w:tcPr>
            <w:tcW w:w="1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740" w:type="dxa"/>
            <w:vAlign w:val="bottom"/>
            <w:gridSpan w:val="2"/>
          </w:tcPr>
          <w:p>
            <w:pPr>
              <w:spacing w:after="0" w:line="20" w:lineRule="exact"/>
              <w:rPr>
                <w:sz w:val="1"/>
                <w:szCs w:val="1"/>
                <w:color w:val="auto"/>
              </w:rPr>
            </w:pPr>
          </w:p>
        </w:tc>
        <w:tc>
          <w:tcPr>
            <w:tcW w:w="30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1220" w:type="dxa"/>
            <w:vAlign w:val="bottom"/>
          </w:tcPr>
          <w:p>
            <w:pPr>
              <w:spacing w:after="0"/>
              <w:rPr>
                <w:sz w:val="24"/>
                <w:szCs w:val="24"/>
                <w:color w:val="auto"/>
              </w:rPr>
            </w:pPr>
          </w:p>
        </w:tc>
        <w:tc>
          <w:tcPr>
            <w:tcW w:w="9680" w:type="dxa"/>
            <w:vAlign w:val="bottom"/>
            <w:gridSpan w:val="25"/>
          </w:tcPr>
          <w:p>
            <w:pPr>
              <w:spacing w:after="0"/>
              <w:rPr>
                <w:rFonts w:ascii="Arial" w:cs="Arial" w:eastAsia="Arial" w:hAnsi="Arial"/>
                <w:sz w:val="18"/>
                <w:szCs w:val="18"/>
                <w:color w:val="0000EE"/>
              </w:rPr>
            </w:pPr>
            <w:hyperlink w:anchor="page5">
              <w:r>
                <w:rPr>
                  <w:rFonts w:ascii="Arial" w:cs="Arial" w:eastAsia="Arial" w:hAnsi="Arial"/>
                  <w:sz w:val="18"/>
                  <w:szCs w:val="18"/>
                  <w:color w:val="0000EE"/>
                </w:rPr>
                <w:t>Condensed Consolidated Statements of Cash Flows</w:t>
              </w:r>
            </w:hyperlink>
          </w:p>
        </w:tc>
        <w:tc>
          <w:tcPr>
            <w:tcW w:w="5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220" w:type="dxa"/>
            <w:vAlign w:val="bottom"/>
          </w:tcPr>
          <w:p>
            <w:pPr>
              <w:spacing w:after="0"/>
              <w:rPr>
                <w:sz w:val="17"/>
                <w:szCs w:val="17"/>
                <w:color w:val="auto"/>
              </w:rPr>
            </w:pPr>
          </w:p>
        </w:tc>
        <w:tc>
          <w:tcPr>
            <w:tcW w:w="220" w:type="dxa"/>
            <w:vAlign w:val="bottom"/>
            <w:tcBorders>
              <w:top w:val="single" w:sz="8" w:color="0000EE"/>
            </w:tcBorders>
          </w:tcPr>
          <w:p>
            <w:pPr>
              <w:spacing w:after="0"/>
              <w:rPr>
                <w:sz w:val="17"/>
                <w:szCs w:val="17"/>
                <w:color w:val="auto"/>
              </w:rPr>
            </w:pPr>
          </w:p>
        </w:tc>
        <w:tc>
          <w:tcPr>
            <w:tcW w:w="3380" w:type="dxa"/>
            <w:vAlign w:val="bottom"/>
            <w:tcBorders>
              <w:top w:val="single" w:sz="8" w:color="0000EE"/>
              <w:bottom w:val="single" w:sz="8" w:color="0000EE"/>
            </w:tcBorders>
            <w:gridSpan w:val="14"/>
          </w:tcPr>
          <w:p>
            <w:pPr>
              <w:spacing w:after="0" w:line="196" w:lineRule="exact"/>
              <w:rPr>
                <w:rFonts w:ascii="Arial" w:cs="Arial" w:eastAsia="Arial" w:hAnsi="Arial"/>
                <w:sz w:val="18"/>
                <w:szCs w:val="18"/>
                <w:color w:val="0000EE"/>
                <w:w w:val="87"/>
              </w:rPr>
            </w:pPr>
            <w:hyperlink w:anchor="page5">
              <w:r>
                <w:rPr>
                  <w:rFonts w:ascii="Arial" w:cs="Arial" w:eastAsia="Arial" w:hAnsi="Arial"/>
                  <w:sz w:val="18"/>
                  <w:szCs w:val="18"/>
                  <w:color w:val="0000EE"/>
                  <w:w w:val="87"/>
                </w:rPr>
                <w:t>Nine Months Ended October 31, 2009 and 2008</w:t>
              </w:r>
            </w:hyperlink>
          </w:p>
        </w:tc>
        <w:tc>
          <w:tcPr>
            <w:tcW w:w="20" w:type="dxa"/>
            <w:vAlign w:val="bottom"/>
            <w:tcBorders>
              <w:top w:val="single" w:sz="8" w:color="0000EE"/>
            </w:tcBorders>
          </w:tcPr>
          <w:p>
            <w:pPr>
              <w:spacing w:after="0"/>
              <w:rPr>
                <w:sz w:val="17"/>
                <w:szCs w:val="17"/>
                <w:color w:val="auto"/>
              </w:rPr>
            </w:pPr>
          </w:p>
        </w:tc>
        <w:tc>
          <w:tcPr>
            <w:tcW w:w="6060" w:type="dxa"/>
            <w:vAlign w:val="bottom"/>
            <w:gridSpan w:val="9"/>
          </w:tcPr>
          <w:p>
            <w:pPr>
              <w:spacing w:after="0"/>
              <w:rPr>
                <w:sz w:val="17"/>
                <w:szCs w:val="17"/>
                <w:color w:val="auto"/>
              </w:rPr>
            </w:pPr>
          </w:p>
        </w:tc>
        <w:tc>
          <w:tcPr>
            <w:tcW w:w="520" w:type="dxa"/>
            <w:vAlign w:val="bottom"/>
          </w:tcPr>
          <w:p>
            <w:pPr>
              <w:jc w:val="right"/>
              <w:spacing w:after="0" w:line="196" w:lineRule="exact"/>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304"/>
        </w:trPr>
        <w:tc>
          <w:tcPr>
            <w:tcW w:w="1220" w:type="dxa"/>
            <w:vAlign w:val="bottom"/>
          </w:tcPr>
          <w:p>
            <w:pPr>
              <w:spacing w:after="0"/>
              <w:rPr>
                <w:sz w:val="24"/>
                <w:szCs w:val="24"/>
                <w:color w:val="auto"/>
              </w:rPr>
            </w:pPr>
          </w:p>
        </w:tc>
        <w:tc>
          <w:tcPr>
            <w:tcW w:w="3900" w:type="dxa"/>
            <w:vAlign w:val="bottom"/>
            <w:tcBorders>
              <w:bottom w:val="single" w:sz="8" w:color="0000EE"/>
            </w:tcBorders>
            <w:gridSpan w:val="18"/>
          </w:tcPr>
          <w:p>
            <w:pPr>
              <w:spacing w:after="0"/>
              <w:rPr>
                <w:rFonts w:ascii="Arial" w:cs="Arial" w:eastAsia="Arial" w:hAnsi="Arial"/>
                <w:sz w:val="18"/>
                <w:szCs w:val="18"/>
                <w:color w:val="0000EE"/>
                <w:w w:val="86"/>
              </w:rPr>
            </w:pPr>
            <w:hyperlink w:anchor="page6">
              <w:r>
                <w:rPr>
                  <w:rFonts w:ascii="Arial" w:cs="Arial" w:eastAsia="Arial" w:hAnsi="Arial"/>
                  <w:sz w:val="18"/>
                  <w:szCs w:val="18"/>
                  <w:color w:val="0000EE"/>
                  <w:w w:val="86"/>
                </w:rPr>
                <w:t>Notes to Condensed Consolidated Financial Statements</w:t>
              </w:r>
            </w:hyperlink>
          </w:p>
        </w:tc>
        <w:tc>
          <w:tcPr>
            <w:tcW w:w="5780" w:type="dxa"/>
            <w:vAlign w:val="bottom"/>
            <w:gridSpan w:val="7"/>
          </w:tcPr>
          <w:p>
            <w:pPr>
              <w:spacing w:after="0"/>
              <w:rPr>
                <w:sz w:val="24"/>
                <w:szCs w:val="24"/>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304"/>
        </w:trPr>
        <w:tc>
          <w:tcPr>
            <w:tcW w:w="1220" w:type="dxa"/>
            <w:vAlign w:val="bottom"/>
          </w:tcPr>
          <w:p>
            <w:pPr>
              <w:spacing w:after="0"/>
              <w:rPr>
                <w:sz w:val="20"/>
                <w:szCs w:val="20"/>
                <w:color w:val="auto"/>
              </w:rPr>
            </w:pPr>
            <w:r>
              <w:rPr>
                <w:rFonts w:ascii="Arial" w:cs="Arial" w:eastAsia="Arial" w:hAnsi="Arial"/>
                <w:sz w:val="18"/>
                <w:szCs w:val="18"/>
                <w:b w:val="1"/>
                <w:bCs w:val="1"/>
                <w:color w:val="auto"/>
              </w:rPr>
              <w:t>Item 2.</w:t>
            </w:r>
          </w:p>
        </w:tc>
        <w:tc>
          <w:tcPr>
            <w:tcW w:w="9680" w:type="dxa"/>
            <w:vAlign w:val="bottom"/>
            <w:gridSpan w:val="25"/>
          </w:tcPr>
          <w:p>
            <w:pPr>
              <w:spacing w:after="0"/>
              <w:rPr>
                <w:rFonts w:ascii="Arial" w:cs="Arial" w:eastAsia="Arial" w:hAnsi="Arial"/>
                <w:sz w:val="18"/>
                <w:szCs w:val="18"/>
                <w:b w:val="1"/>
                <w:bCs w:val="1"/>
                <w:color w:val="0000EE"/>
              </w:rPr>
            </w:pPr>
            <w:hyperlink w:anchor="page26">
              <w:r>
                <w:rPr>
                  <w:rFonts w:ascii="Arial" w:cs="Arial" w:eastAsia="Arial" w:hAnsi="Arial"/>
                  <w:sz w:val="18"/>
                  <w:szCs w:val="18"/>
                  <w:b w:val="1"/>
                  <w:bCs w:val="1"/>
                  <w:color w:val="0000EE"/>
                </w:rPr>
                <w:t>Management’s Discussion and Analysis of Financial Condition and Results of Operations</w:t>
              </w:r>
            </w:hyperlink>
          </w:p>
        </w:tc>
        <w:tc>
          <w:tcPr>
            <w:tcW w:w="520" w:type="dxa"/>
            <w:vAlign w:val="bottom"/>
          </w:tcPr>
          <w:p>
            <w:pPr>
              <w:jc w:val="right"/>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304"/>
        </w:trPr>
        <w:tc>
          <w:tcPr>
            <w:tcW w:w="1220" w:type="dxa"/>
            <w:vAlign w:val="bottom"/>
          </w:tcPr>
          <w:p>
            <w:pPr>
              <w:spacing w:after="0"/>
              <w:rPr>
                <w:sz w:val="20"/>
                <w:szCs w:val="20"/>
                <w:color w:val="auto"/>
              </w:rPr>
            </w:pPr>
            <w:r>
              <w:rPr>
                <w:rFonts w:ascii="Arial" w:cs="Arial" w:eastAsia="Arial" w:hAnsi="Arial"/>
                <w:sz w:val="18"/>
                <w:szCs w:val="18"/>
                <w:b w:val="1"/>
                <w:bCs w:val="1"/>
                <w:color w:val="auto"/>
              </w:rPr>
              <w:t>Item 3.</w:t>
            </w:r>
          </w:p>
        </w:tc>
        <w:tc>
          <w:tcPr>
            <w:tcW w:w="4560" w:type="dxa"/>
            <w:vAlign w:val="bottom"/>
            <w:tcBorders>
              <w:top w:val="single" w:sz="8" w:color="0000EE"/>
              <w:bottom w:val="single" w:sz="8" w:color="0000EE"/>
            </w:tcBorders>
            <w:gridSpan w:val="21"/>
          </w:tcPr>
          <w:p>
            <w:pPr>
              <w:spacing w:after="0"/>
              <w:rPr>
                <w:rFonts w:ascii="Arial" w:cs="Arial" w:eastAsia="Arial" w:hAnsi="Arial"/>
                <w:sz w:val="18"/>
                <w:szCs w:val="18"/>
                <w:b w:val="1"/>
                <w:bCs w:val="1"/>
                <w:color w:val="0000EE"/>
                <w:w w:val="89"/>
              </w:rPr>
            </w:pPr>
            <w:hyperlink w:anchor="page40">
              <w:r>
                <w:rPr>
                  <w:rFonts w:ascii="Arial" w:cs="Arial" w:eastAsia="Arial" w:hAnsi="Arial"/>
                  <w:sz w:val="18"/>
                  <w:szCs w:val="18"/>
                  <w:b w:val="1"/>
                  <w:bCs w:val="1"/>
                  <w:color w:val="0000EE"/>
                  <w:w w:val="89"/>
                </w:rPr>
                <w:t>Quantitative and Qualitative Disclosures About Market Risk</w:t>
              </w:r>
            </w:hyperlink>
          </w:p>
        </w:tc>
        <w:tc>
          <w:tcPr>
            <w:tcW w:w="2100" w:type="dxa"/>
            <w:vAlign w:val="bottom"/>
            <w:tcBorders>
              <w:top w:val="single" w:sz="8" w:color="0000EE"/>
            </w:tcBorders>
            <w:gridSpan w:val="3"/>
          </w:tcPr>
          <w:p>
            <w:pPr>
              <w:spacing w:after="0"/>
              <w:rPr>
                <w:sz w:val="24"/>
                <w:szCs w:val="24"/>
                <w:color w:val="auto"/>
              </w:rPr>
            </w:pPr>
          </w:p>
        </w:tc>
        <w:tc>
          <w:tcPr>
            <w:tcW w:w="3020" w:type="dxa"/>
            <w:vAlign w:val="bottom"/>
          </w:tcPr>
          <w:p>
            <w:pPr>
              <w:spacing w:after="0"/>
              <w:rPr>
                <w:sz w:val="24"/>
                <w:szCs w:val="24"/>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40</w:t>
            </w:r>
          </w:p>
        </w:tc>
        <w:tc>
          <w:tcPr>
            <w:tcW w:w="0" w:type="dxa"/>
            <w:vAlign w:val="bottom"/>
          </w:tcPr>
          <w:p>
            <w:pPr>
              <w:spacing w:after="0"/>
              <w:rPr>
                <w:sz w:val="1"/>
                <w:szCs w:val="1"/>
                <w:color w:val="auto"/>
              </w:rPr>
            </w:pPr>
          </w:p>
        </w:tc>
      </w:tr>
      <w:tr>
        <w:trPr>
          <w:trHeight w:val="304"/>
        </w:trPr>
        <w:tc>
          <w:tcPr>
            <w:tcW w:w="1220" w:type="dxa"/>
            <w:vAlign w:val="bottom"/>
          </w:tcPr>
          <w:p>
            <w:pPr>
              <w:spacing w:after="0"/>
              <w:rPr>
                <w:sz w:val="20"/>
                <w:szCs w:val="20"/>
                <w:color w:val="auto"/>
              </w:rPr>
            </w:pPr>
            <w:r>
              <w:rPr>
                <w:rFonts w:ascii="Arial" w:cs="Arial" w:eastAsia="Arial" w:hAnsi="Arial"/>
                <w:sz w:val="18"/>
                <w:szCs w:val="18"/>
                <w:b w:val="1"/>
                <w:bCs w:val="1"/>
                <w:color w:val="auto"/>
              </w:rPr>
              <w:t>Item 4.</w:t>
            </w:r>
          </w:p>
        </w:tc>
        <w:tc>
          <w:tcPr>
            <w:tcW w:w="9680" w:type="dxa"/>
            <w:vAlign w:val="bottom"/>
            <w:gridSpan w:val="25"/>
          </w:tcPr>
          <w:p>
            <w:pPr>
              <w:spacing w:after="0"/>
              <w:rPr>
                <w:rFonts w:ascii="Arial" w:cs="Arial" w:eastAsia="Arial" w:hAnsi="Arial"/>
                <w:sz w:val="18"/>
                <w:szCs w:val="18"/>
                <w:b w:val="1"/>
                <w:bCs w:val="1"/>
                <w:color w:val="0000EE"/>
              </w:rPr>
            </w:pPr>
            <w:hyperlink w:anchor="page41">
              <w:r>
                <w:rPr>
                  <w:rFonts w:ascii="Arial" w:cs="Arial" w:eastAsia="Arial" w:hAnsi="Arial"/>
                  <w:sz w:val="18"/>
                  <w:szCs w:val="18"/>
                  <w:b w:val="1"/>
                  <w:bCs w:val="1"/>
                  <w:color w:val="0000EE"/>
                </w:rPr>
                <w:t>Controls and Procedures</w:t>
              </w:r>
            </w:hyperlink>
          </w:p>
        </w:tc>
        <w:tc>
          <w:tcPr>
            <w:tcW w:w="520" w:type="dxa"/>
            <w:vAlign w:val="bottom"/>
          </w:tcPr>
          <w:p>
            <w:pPr>
              <w:jc w:val="right"/>
              <w:spacing w:after="0"/>
              <w:rPr>
                <w:sz w:val="20"/>
                <w:szCs w:val="20"/>
                <w:color w:val="auto"/>
              </w:rPr>
            </w:pPr>
            <w:r>
              <w:rPr>
                <w:rFonts w:ascii="Arial" w:cs="Arial" w:eastAsia="Arial" w:hAnsi="Arial"/>
                <w:sz w:val="18"/>
                <w:szCs w:val="18"/>
                <w:color w:val="auto"/>
              </w:rPr>
              <w:t>41</w:t>
            </w:r>
          </w:p>
        </w:tc>
        <w:tc>
          <w:tcPr>
            <w:tcW w:w="0" w:type="dxa"/>
            <w:vAlign w:val="bottom"/>
          </w:tcPr>
          <w:p>
            <w:pPr>
              <w:spacing w:after="0"/>
              <w:rPr>
                <w:sz w:val="1"/>
                <w:szCs w:val="1"/>
                <w:color w:val="auto"/>
              </w:rPr>
            </w:pPr>
          </w:p>
        </w:tc>
      </w:tr>
      <w:tr>
        <w:trPr>
          <w:trHeight w:val="412"/>
        </w:trPr>
        <w:tc>
          <w:tcPr>
            <w:tcW w:w="1220" w:type="dxa"/>
            <w:vAlign w:val="bottom"/>
          </w:tcPr>
          <w:p>
            <w:pPr>
              <w:spacing w:after="0"/>
              <w:rPr>
                <w:sz w:val="24"/>
                <w:szCs w:val="24"/>
                <w:color w:val="auto"/>
              </w:rPr>
            </w:pPr>
          </w:p>
        </w:tc>
        <w:tc>
          <w:tcPr>
            <w:tcW w:w="220" w:type="dxa"/>
            <w:vAlign w:val="bottom"/>
            <w:tcBorders>
              <w:top w:val="single" w:sz="8" w:color="0000EE"/>
            </w:tcBorders>
          </w:tcPr>
          <w:p>
            <w:pPr>
              <w:spacing w:after="0"/>
              <w:rPr>
                <w:sz w:val="24"/>
                <w:szCs w:val="24"/>
                <w:color w:val="auto"/>
              </w:rPr>
            </w:pPr>
          </w:p>
        </w:tc>
        <w:tc>
          <w:tcPr>
            <w:tcW w:w="40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42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220" w:type="dxa"/>
            <w:vAlign w:val="bottom"/>
            <w:tcBorders>
              <w:top w:val="single" w:sz="8" w:color="0000EE"/>
            </w:tcBorders>
          </w:tcPr>
          <w:p>
            <w:pPr>
              <w:spacing w:after="0"/>
              <w:rPr>
                <w:sz w:val="24"/>
                <w:szCs w:val="24"/>
                <w:color w:val="auto"/>
              </w:rPr>
            </w:pPr>
          </w:p>
        </w:tc>
        <w:tc>
          <w:tcPr>
            <w:tcW w:w="220" w:type="dxa"/>
            <w:vAlign w:val="bottom"/>
            <w:tcBorders>
              <w:top w:val="single" w:sz="8" w:color="0000EE"/>
            </w:tcBorders>
          </w:tcPr>
          <w:p>
            <w:pPr>
              <w:spacing w:after="0"/>
              <w:rPr>
                <w:sz w:val="24"/>
                <w:szCs w:val="24"/>
                <w:color w:val="auto"/>
              </w:rPr>
            </w:pPr>
          </w:p>
        </w:tc>
        <w:tc>
          <w:tcPr>
            <w:tcW w:w="5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0" w:type="dxa"/>
            <w:vAlign w:val="bottom"/>
            <w:gridSpan w:val="13"/>
          </w:tcPr>
          <w:p>
            <w:pPr>
              <w:jc w:val="center"/>
              <w:ind w:right="3620"/>
              <w:spacing w:after="0"/>
              <w:rPr>
                <w:rFonts w:ascii="Arial" w:cs="Arial" w:eastAsia="Arial" w:hAnsi="Arial"/>
                <w:sz w:val="18"/>
                <w:szCs w:val="18"/>
                <w:b w:val="1"/>
                <w:bCs w:val="1"/>
                <w:color w:val="0000EE"/>
              </w:rPr>
            </w:pPr>
            <w:hyperlink w:anchor="page42">
              <w:r>
                <w:rPr>
                  <w:rFonts w:ascii="Arial" w:cs="Arial" w:eastAsia="Arial" w:hAnsi="Arial"/>
                  <w:sz w:val="18"/>
                  <w:szCs w:val="18"/>
                  <w:b w:val="1"/>
                  <w:bCs w:val="1"/>
                  <w:color w:val="0000EE"/>
                </w:rPr>
                <w:t>PART II. OTHER INFORMATION</w:t>
              </w:r>
            </w:hyperlink>
          </w:p>
        </w:tc>
        <w:tc>
          <w:tcPr>
            <w:tcW w:w="5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2"/>
        </w:trPr>
        <w:tc>
          <w:tcPr>
            <w:tcW w:w="1220" w:type="dxa"/>
            <w:vAlign w:val="bottom"/>
          </w:tcPr>
          <w:p>
            <w:pPr>
              <w:spacing w:after="0"/>
              <w:rPr>
                <w:sz w:val="20"/>
                <w:szCs w:val="20"/>
                <w:color w:val="auto"/>
              </w:rPr>
            </w:pPr>
            <w:r>
              <w:rPr>
                <w:rFonts w:ascii="Arial" w:cs="Arial" w:eastAsia="Arial" w:hAnsi="Arial"/>
                <w:sz w:val="18"/>
                <w:szCs w:val="18"/>
                <w:b w:val="1"/>
                <w:bCs w:val="1"/>
                <w:color w:val="auto"/>
              </w:rPr>
              <w:t>Item 1.</w:t>
            </w:r>
          </w:p>
        </w:tc>
        <w:tc>
          <w:tcPr>
            <w:tcW w:w="1380" w:type="dxa"/>
            <w:vAlign w:val="bottom"/>
            <w:tcBorders>
              <w:bottom w:val="single" w:sz="8" w:color="0000EE"/>
            </w:tcBorders>
            <w:gridSpan w:val="5"/>
          </w:tcPr>
          <w:p>
            <w:pPr>
              <w:spacing w:after="0"/>
              <w:rPr>
                <w:rFonts w:ascii="Arial" w:cs="Arial" w:eastAsia="Arial" w:hAnsi="Arial"/>
                <w:sz w:val="18"/>
                <w:szCs w:val="18"/>
                <w:b w:val="1"/>
                <w:bCs w:val="1"/>
                <w:color w:val="0000EE"/>
                <w:w w:val="84"/>
              </w:rPr>
            </w:pPr>
            <w:hyperlink w:anchor="page42">
              <w:r>
                <w:rPr>
                  <w:rFonts w:ascii="Arial" w:cs="Arial" w:eastAsia="Arial" w:hAnsi="Arial"/>
                  <w:sz w:val="18"/>
                  <w:szCs w:val="18"/>
                  <w:b w:val="1"/>
                  <w:bCs w:val="1"/>
                  <w:color w:val="0000EE"/>
                  <w:w w:val="84"/>
                </w:rPr>
                <w:t>Legal Proceedings</w:t>
              </w:r>
            </w:hyperlink>
          </w:p>
        </w:tc>
        <w:tc>
          <w:tcPr>
            <w:tcW w:w="1840" w:type="dxa"/>
            <w:vAlign w:val="bottom"/>
            <w:gridSpan w:val="8"/>
          </w:tcPr>
          <w:p>
            <w:pPr>
              <w:spacing w:after="0"/>
              <w:rPr>
                <w:sz w:val="24"/>
                <w:szCs w:val="24"/>
                <w:color w:val="auto"/>
              </w:rPr>
            </w:pPr>
          </w:p>
        </w:tc>
        <w:tc>
          <w:tcPr>
            <w:tcW w:w="2700" w:type="dxa"/>
            <w:vAlign w:val="bottom"/>
            <w:tcBorders>
              <w:top w:val="single" w:sz="8" w:color="0000EE"/>
            </w:tcBorders>
            <w:gridSpan w:val="9"/>
          </w:tcPr>
          <w:p>
            <w:pPr>
              <w:spacing w:after="0"/>
              <w:rPr>
                <w:sz w:val="24"/>
                <w:szCs w:val="24"/>
                <w:color w:val="auto"/>
              </w:rPr>
            </w:pPr>
          </w:p>
        </w:tc>
        <w:tc>
          <w:tcPr>
            <w:tcW w:w="3760" w:type="dxa"/>
            <w:vAlign w:val="bottom"/>
            <w:gridSpan w:val="3"/>
          </w:tcPr>
          <w:p>
            <w:pPr>
              <w:spacing w:after="0"/>
              <w:rPr>
                <w:sz w:val="24"/>
                <w:szCs w:val="24"/>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42</w:t>
            </w:r>
          </w:p>
        </w:tc>
        <w:tc>
          <w:tcPr>
            <w:tcW w:w="0" w:type="dxa"/>
            <w:vAlign w:val="bottom"/>
          </w:tcPr>
          <w:p>
            <w:pPr>
              <w:spacing w:after="0"/>
              <w:rPr>
                <w:sz w:val="1"/>
                <w:szCs w:val="1"/>
                <w:color w:val="auto"/>
              </w:rPr>
            </w:pPr>
          </w:p>
        </w:tc>
      </w:tr>
      <w:tr>
        <w:trPr>
          <w:trHeight w:val="304"/>
        </w:trPr>
        <w:tc>
          <w:tcPr>
            <w:tcW w:w="1220" w:type="dxa"/>
            <w:vAlign w:val="bottom"/>
          </w:tcPr>
          <w:p>
            <w:pPr>
              <w:spacing w:after="0"/>
              <w:rPr>
                <w:sz w:val="20"/>
                <w:szCs w:val="20"/>
                <w:color w:val="auto"/>
              </w:rPr>
            </w:pPr>
            <w:r>
              <w:rPr>
                <w:rFonts w:ascii="Arial" w:cs="Arial" w:eastAsia="Arial" w:hAnsi="Arial"/>
                <w:sz w:val="18"/>
                <w:szCs w:val="18"/>
                <w:b w:val="1"/>
                <w:bCs w:val="1"/>
                <w:color w:val="auto"/>
              </w:rPr>
              <w:t>Item 1A.</w:t>
            </w:r>
          </w:p>
        </w:tc>
        <w:tc>
          <w:tcPr>
            <w:tcW w:w="960" w:type="dxa"/>
            <w:vAlign w:val="bottom"/>
            <w:tcBorders>
              <w:bottom w:val="single" w:sz="8" w:color="0000EE"/>
            </w:tcBorders>
            <w:gridSpan w:val="4"/>
          </w:tcPr>
          <w:p>
            <w:pPr>
              <w:spacing w:after="0"/>
              <w:rPr>
                <w:rFonts w:ascii="Arial" w:cs="Arial" w:eastAsia="Arial" w:hAnsi="Arial"/>
                <w:sz w:val="18"/>
                <w:szCs w:val="18"/>
                <w:b w:val="1"/>
                <w:bCs w:val="1"/>
                <w:color w:val="0000EE"/>
                <w:w w:val="86"/>
              </w:rPr>
            </w:pPr>
            <w:hyperlink w:anchor="page42">
              <w:r>
                <w:rPr>
                  <w:rFonts w:ascii="Arial" w:cs="Arial" w:eastAsia="Arial" w:hAnsi="Arial"/>
                  <w:sz w:val="18"/>
                  <w:szCs w:val="18"/>
                  <w:b w:val="1"/>
                  <w:bCs w:val="1"/>
                  <w:color w:val="0000EE"/>
                  <w:w w:val="86"/>
                </w:rPr>
                <w:t>Risk Factors</w:t>
              </w:r>
            </w:hyperlink>
          </w:p>
        </w:tc>
        <w:tc>
          <w:tcPr>
            <w:tcW w:w="8720" w:type="dxa"/>
            <w:vAlign w:val="bottom"/>
            <w:gridSpan w:val="21"/>
          </w:tcPr>
          <w:p>
            <w:pPr>
              <w:spacing w:after="0"/>
              <w:rPr>
                <w:sz w:val="24"/>
                <w:szCs w:val="24"/>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42</w:t>
            </w:r>
          </w:p>
        </w:tc>
        <w:tc>
          <w:tcPr>
            <w:tcW w:w="0" w:type="dxa"/>
            <w:vAlign w:val="bottom"/>
          </w:tcPr>
          <w:p>
            <w:pPr>
              <w:spacing w:after="0"/>
              <w:rPr>
                <w:sz w:val="1"/>
                <w:szCs w:val="1"/>
                <w:color w:val="auto"/>
              </w:rPr>
            </w:pPr>
          </w:p>
        </w:tc>
      </w:tr>
      <w:tr>
        <w:trPr>
          <w:trHeight w:val="304"/>
        </w:trPr>
        <w:tc>
          <w:tcPr>
            <w:tcW w:w="1220" w:type="dxa"/>
            <w:vAlign w:val="bottom"/>
          </w:tcPr>
          <w:p>
            <w:pPr>
              <w:spacing w:after="0"/>
              <w:rPr>
                <w:sz w:val="20"/>
                <w:szCs w:val="20"/>
                <w:color w:val="auto"/>
              </w:rPr>
            </w:pPr>
            <w:r>
              <w:rPr>
                <w:rFonts w:ascii="Arial" w:cs="Arial" w:eastAsia="Arial" w:hAnsi="Arial"/>
                <w:sz w:val="18"/>
                <w:szCs w:val="18"/>
                <w:b w:val="1"/>
                <w:bCs w:val="1"/>
                <w:color w:val="auto"/>
              </w:rPr>
              <w:t>Item 2.</w:t>
            </w:r>
          </w:p>
        </w:tc>
        <w:tc>
          <w:tcPr>
            <w:tcW w:w="9680" w:type="dxa"/>
            <w:vAlign w:val="bottom"/>
            <w:gridSpan w:val="25"/>
          </w:tcPr>
          <w:p>
            <w:pPr>
              <w:spacing w:after="0"/>
              <w:rPr>
                <w:rFonts w:ascii="Arial" w:cs="Arial" w:eastAsia="Arial" w:hAnsi="Arial"/>
                <w:sz w:val="18"/>
                <w:szCs w:val="18"/>
                <w:b w:val="1"/>
                <w:bCs w:val="1"/>
                <w:color w:val="0000EE"/>
              </w:rPr>
            </w:pPr>
            <w:hyperlink w:anchor="page49">
              <w:r>
                <w:rPr>
                  <w:rFonts w:ascii="Arial" w:cs="Arial" w:eastAsia="Arial" w:hAnsi="Arial"/>
                  <w:sz w:val="18"/>
                  <w:szCs w:val="18"/>
                  <w:b w:val="1"/>
                  <w:bCs w:val="1"/>
                  <w:color w:val="0000EE"/>
                </w:rPr>
                <w:t>Unregistered Sales of Equity Securities and Use of Proceeds</w:t>
              </w:r>
            </w:hyperlink>
          </w:p>
        </w:tc>
        <w:tc>
          <w:tcPr>
            <w:tcW w:w="520" w:type="dxa"/>
            <w:vAlign w:val="bottom"/>
          </w:tcPr>
          <w:p>
            <w:pPr>
              <w:jc w:val="right"/>
              <w:spacing w:after="0"/>
              <w:rPr>
                <w:sz w:val="20"/>
                <w:szCs w:val="20"/>
                <w:color w:val="auto"/>
              </w:rPr>
            </w:pPr>
            <w:r>
              <w:rPr>
                <w:rFonts w:ascii="Arial" w:cs="Arial" w:eastAsia="Arial" w:hAnsi="Arial"/>
                <w:sz w:val="18"/>
                <w:szCs w:val="18"/>
                <w:color w:val="auto"/>
              </w:rPr>
              <w:t>49</w:t>
            </w:r>
          </w:p>
        </w:tc>
        <w:tc>
          <w:tcPr>
            <w:tcW w:w="0" w:type="dxa"/>
            <w:vAlign w:val="bottom"/>
          </w:tcPr>
          <w:p>
            <w:pPr>
              <w:spacing w:after="0"/>
              <w:rPr>
                <w:sz w:val="1"/>
                <w:szCs w:val="1"/>
                <w:color w:val="auto"/>
              </w:rPr>
            </w:pPr>
          </w:p>
        </w:tc>
      </w:tr>
      <w:tr>
        <w:trPr>
          <w:trHeight w:val="304"/>
        </w:trPr>
        <w:tc>
          <w:tcPr>
            <w:tcW w:w="1220" w:type="dxa"/>
            <w:vAlign w:val="bottom"/>
          </w:tcPr>
          <w:p>
            <w:pPr>
              <w:spacing w:after="0"/>
              <w:rPr>
                <w:sz w:val="20"/>
                <w:szCs w:val="20"/>
                <w:color w:val="auto"/>
              </w:rPr>
            </w:pPr>
            <w:r>
              <w:rPr>
                <w:rFonts w:ascii="Arial" w:cs="Arial" w:eastAsia="Arial" w:hAnsi="Arial"/>
                <w:sz w:val="18"/>
                <w:szCs w:val="18"/>
                <w:b w:val="1"/>
                <w:bCs w:val="1"/>
                <w:color w:val="auto"/>
              </w:rPr>
              <w:t>Item 3.</w:t>
            </w:r>
          </w:p>
        </w:tc>
        <w:tc>
          <w:tcPr>
            <w:tcW w:w="4460" w:type="dxa"/>
            <w:vAlign w:val="bottom"/>
            <w:tcBorders>
              <w:top w:val="single" w:sz="8" w:color="0000EE"/>
            </w:tcBorders>
            <w:gridSpan w:val="20"/>
          </w:tcPr>
          <w:p>
            <w:pPr>
              <w:spacing w:after="0"/>
              <w:rPr>
                <w:rFonts w:ascii="Arial" w:cs="Arial" w:eastAsia="Arial" w:hAnsi="Arial"/>
                <w:sz w:val="18"/>
                <w:szCs w:val="18"/>
                <w:b w:val="1"/>
                <w:bCs w:val="1"/>
                <w:color w:val="0000EE"/>
              </w:rPr>
            </w:pPr>
            <w:hyperlink w:anchor="page49">
              <w:r>
                <w:rPr>
                  <w:rFonts w:ascii="Arial" w:cs="Arial" w:eastAsia="Arial" w:hAnsi="Arial"/>
                  <w:sz w:val="18"/>
                  <w:szCs w:val="18"/>
                  <w:b w:val="1"/>
                  <w:bCs w:val="1"/>
                  <w:color w:val="0000EE"/>
                </w:rPr>
                <w:t>Defaults Upon Senior Securities</w:t>
              </w:r>
            </w:hyperlink>
          </w:p>
        </w:tc>
        <w:tc>
          <w:tcPr>
            <w:tcW w:w="5220" w:type="dxa"/>
            <w:vAlign w:val="bottom"/>
            <w:gridSpan w:val="5"/>
          </w:tcPr>
          <w:p>
            <w:pPr>
              <w:spacing w:after="0"/>
              <w:rPr>
                <w:sz w:val="24"/>
                <w:szCs w:val="24"/>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49</w:t>
            </w:r>
          </w:p>
        </w:tc>
        <w:tc>
          <w:tcPr>
            <w:tcW w:w="0" w:type="dxa"/>
            <w:vAlign w:val="bottom"/>
          </w:tcPr>
          <w:p>
            <w:pPr>
              <w:spacing w:after="0"/>
              <w:rPr>
                <w:sz w:val="1"/>
                <w:szCs w:val="1"/>
                <w:color w:val="auto"/>
              </w:rPr>
            </w:pPr>
          </w:p>
        </w:tc>
      </w:tr>
      <w:tr>
        <w:trPr>
          <w:trHeight w:val="20"/>
        </w:trPr>
        <w:tc>
          <w:tcPr>
            <w:tcW w:w="1220" w:type="dxa"/>
            <w:vAlign w:val="bottom"/>
          </w:tcPr>
          <w:p>
            <w:pPr>
              <w:spacing w:after="0" w:line="20" w:lineRule="exact"/>
              <w:rPr>
                <w:sz w:val="1"/>
                <w:szCs w:val="1"/>
                <w:color w:val="auto"/>
              </w:rPr>
            </w:pPr>
          </w:p>
        </w:tc>
        <w:tc>
          <w:tcPr>
            <w:tcW w:w="620" w:type="dxa"/>
            <w:vAlign w:val="bottom"/>
            <w:gridSpan w:val="2"/>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620" w:type="dxa"/>
            <w:vAlign w:val="bottom"/>
            <w:gridSpan w:val="3"/>
            <w:shd w:val="clear" w:color="auto" w:fill="0000EE"/>
          </w:tcPr>
          <w:p>
            <w:pPr>
              <w:spacing w:after="0" w:line="20" w:lineRule="exact"/>
              <w:rPr>
                <w:sz w:val="1"/>
                <w:szCs w:val="1"/>
                <w:color w:val="auto"/>
              </w:rPr>
            </w:pPr>
          </w:p>
        </w:tc>
        <w:tc>
          <w:tcPr>
            <w:tcW w:w="960" w:type="dxa"/>
            <w:vAlign w:val="bottom"/>
            <w:gridSpan w:val="3"/>
            <w:shd w:val="clear" w:color="auto" w:fill="0000EE"/>
          </w:tcPr>
          <w:p>
            <w:pPr>
              <w:spacing w:after="0" w:line="20" w:lineRule="exact"/>
              <w:rPr>
                <w:sz w:val="1"/>
                <w:szCs w:val="1"/>
                <w:color w:val="auto"/>
              </w:rPr>
            </w:pPr>
          </w:p>
        </w:tc>
        <w:tc>
          <w:tcPr>
            <w:tcW w:w="1500" w:type="dxa"/>
            <w:vAlign w:val="bottom"/>
            <w:gridSpan w:val="8"/>
          </w:tcPr>
          <w:p>
            <w:pPr>
              <w:spacing w:after="0" w:line="20" w:lineRule="exact"/>
              <w:rPr>
                <w:sz w:val="1"/>
                <w:szCs w:val="1"/>
                <w:color w:val="auto"/>
              </w:rPr>
            </w:pPr>
          </w:p>
        </w:tc>
        <w:tc>
          <w:tcPr>
            <w:tcW w:w="5800" w:type="dxa"/>
            <w:vAlign w:val="bottom"/>
            <w:gridSpan w:val="8"/>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1220" w:type="dxa"/>
            <w:vAlign w:val="bottom"/>
          </w:tcPr>
          <w:p>
            <w:pPr>
              <w:spacing w:after="0"/>
              <w:rPr>
                <w:sz w:val="20"/>
                <w:szCs w:val="20"/>
                <w:color w:val="auto"/>
              </w:rPr>
            </w:pPr>
            <w:r>
              <w:rPr>
                <w:rFonts w:ascii="Arial" w:cs="Arial" w:eastAsia="Arial" w:hAnsi="Arial"/>
                <w:sz w:val="18"/>
                <w:szCs w:val="18"/>
                <w:b w:val="1"/>
                <w:bCs w:val="1"/>
                <w:color w:val="auto"/>
              </w:rPr>
              <w:t>Item 4.</w:t>
            </w:r>
          </w:p>
        </w:tc>
        <w:tc>
          <w:tcPr>
            <w:tcW w:w="9680" w:type="dxa"/>
            <w:vAlign w:val="bottom"/>
            <w:gridSpan w:val="25"/>
          </w:tcPr>
          <w:p>
            <w:pPr>
              <w:spacing w:after="0"/>
              <w:rPr>
                <w:rFonts w:ascii="Arial" w:cs="Arial" w:eastAsia="Arial" w:hAnsi="Arial"/>
                <w:sz w:val="18"/>
                <w:szCs w:val="18"/>
                <w:b w:val="1"/>
                <w:bCs w:val="1"/>
                <w:color w:val="0000EE"/>
              </w:rPr>
            </w:pPr>
            <w:hyperlink w:anchor="page49">
              <w:r>
                <w:rPr>
                  <w:rFonts w:ascii="Arial" w:cs="Arial" w:eastAsia="Arial" w:hAnsi="Arial"/>
                  <w:sz w:val="18"/>
                  <w:szCs w:val="18"/>
                  <w:b w:val="1"/>
                  <w:bCs w:val="1"/>
                  <w:color w:val="0000EE"/>
                </w:rPr>
                <w:t>Submission of Matters to a Vote of Security Holders</w:t>
              </w:r>
            </w:hyperlink>
          </w:p>
        </w:tc>
        <w:tc>
          <w:tcPr>
            <w:tcW w:w="520" w:type="dxa"/>
            <w:vAlign w:val="bottom"/>
          </w:tcPr>
          <w:p>
            <w:pPr>
              <w:jc w:val="right"/>
              <w:spacing w:after="0"/>
              <w:rPr>
                <w:sz w:val="20"/>
                <w:szCs w:val="20"/>
                <w:color w:val="auto"/>
              </w:rPr>
            </w:pPr>
            <w:r>
              <w:rPr>
                <w:rFonts w:ascii="Arial" w:cs="Arial" w:eastAsia="Arial" w:hAnsi="Arial"/>
                <w:sz w:val="18"/>
                <w:szCs w:val="18"/>
                <w:color w:val="auto"/>
              </w:rPr>
              <w:t>49</w:t>
            </w:r>
          </w:p>
        </w:tc>
        <w:tc>
          <w:tcPr>
            <w:tcW w:w="0" w:type="dxa"/>
            <w:vAlign w:val="bottom"/>
          </w:tcPr>
          <w:p>
            <w:pPr>
              <w:spacing w:after="0"/>
              <w:rPr>
                <w:sz w:val="1"/>
                <w:szCs w:val="1"/>
                <w:color w:val="auto"/>
              </w:rPr>
            </w:pPr>
          </w:p>
        </w:tc>
      </w:tr>
      <w:tr>
        <w:trPr>
          <w:trHeight w:val="304"/>
        </w:trPr>
        <w:tc>
          <w:tcPr>
            <w:tcW w:w="1220" w:type="dxa"/>
            <w:vAlign w:val="bottom"/>
          </w:tcPr>
          <w:p>
            <w:pPr>
              <w:spacing w:after="0"/>
              <w:rPr>
                <w:sz w:val="20"/>
                <w:szCs w:val="20"/>
                <w:color w:val="auto"/>
              </w:rPr>
            </w:pPr>
            <w:r>
              <w:rPr>
                <w:rFonts w:ascii="Arial" w:cs="Arial" w:eastAsia="Arial" w:hAnsi="Arial"/>
                <w:sz w:val="18"/>
                <w:szCs w:val="18"/>
                <w:b w:val="1"/>
                <w:bCs w:val="1"/>
                <w:color w:val="auto"/>
              </w:rPr>
              <w:t>Item 5.</w:t>
            </w:r>
          </w:p>
        </w:tc>
        <w:tc>
          <w:tcPr>
            <w:tcW w:w="1420" w:type="dxa"/>
            <w:vAlign w:val="bottom"/>
            <w:tcBorders>
              <w:top w:val="single" w:sz="8" w:color="0000EE"/>
              <w:bottom w:val="single" w:sz="8" w:color="0000EE"/>
            </w:tcBorders>
            <w:gridSpan w:val="6"/>
          </w:tcPr>
          <w:p>
            <w:pPr>
              <w:spacing w:after="0"/>
              <w:rPr>
                <w:rFonts w:ascii="Arial" w:cs="Arial" w:eastAsia="Arial" w:hAnsi="Arial"/>
                <w:sz w:val="18"/>
                <w:szCs w:val="18"/>
                <w:b w:val="1"/>
                <w:bCs w:val="1"/>
                <w:color w:val="0000EE"/>
                <w:w w:val="92"/>
              </w:rPr>
            </w:pPr>
            <w:hyperlink w:anchor="page49">
              <w:r>
                <w:rPr>
                  <w:rFonts w:ascii="Arial" w:cs="Arial" w:eastAsia="Arial" w:hAnsi="Arial"/>
                  <w:sz w:val="18"/>
                  <w:szCs w:val="18"/>
                  <w:b w:val="1"/>
                  <w:bCs w:val="1"/>
                  <w:color w:val="0000EE"/>
                  <w:w w:val="92"/>
                </w:rPr>
                <w:t>Other Information</w:t>
              </w:r>
            </w:hyperlink>
          </w:p>
        </w:tc>
        <w:tc>
          <w:tcPr>
            <w:tcW w:w="2460" w:type="dxa"/>
            <w:vAlign w:val="bottom"/>
            <w:tcBorders>
              <w:top w:val="single" w:sz="8" w:color="0000EE"/>
            </w:tcBorders>
            <w:gridSpan w:val="11"/>
          </w:tcPr>
          <w:p>
            <w:pPr>
              <w:spacing w:after="0"/>
              <w:rPr>
                <w:sz w:val="24"/>
                <w:szCs w:val="24"/>
                <w:color w:val="auto"/>
              </w:rPr>
            </w:pPr>
          </w:p>
        </w:tc>
        <w:tc>
          <w:tcPr>
            <w:tcW w:w="5800" w:type="dxa"/>
            <w:vAlign w:val="bottom"/>
            <w:gridSpan w:val="8"/>
          </w:tcPr>
          <w:p>
            <w:pPr>
              <w:spacing w:after="0"/>
              <w:rPr>
                <w:sz w:val="24"/>
                <w:szCs w:val="24"/>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49</w:t>
            </w:r>
          </w:p>
        </w:tc>
        <w:tc>
          <w:tcPr>
            <w:tcW w:w="0" w:type="dxa"/>
            <w:vAlign w:val="bottom"/>
          </w:tcPr>
          <w:p>
            <w:pPr>
              <w:spacing w:after="0"/>
              <w:rPr>
                <w:sz w:val="1"/>
                <w:szCs w:val="1"/>
                <w:color w:val="auto"/>
              </w:rPr>
            </w:pPr>
          </w:p>
        </w:tc>
      </w:tr>
      <w:tr>
        <w:trPr>
          <w:trHeight w:val="304"/>
        </w:trPr>
        <w:tc>
          <w:tcPr>
            <w:tcW w:w="1220" w:type="dxa"/>
            <w:vAlign w:val="bottom"/>
          </w:tcPr>
          <w:p>
            <w:pPr>
              <w:spacing w:after="0"/>
              <w:rPr>
                <w:sz w:val="20"/>
                <w:szCs w:val="20"/>
                <w:color w:val="auto"/>
              </w:rPr>
            </w:pPr>
            <w:r>
              <w:rPr>
                <w:rFonts w:ascii="Arial" w:cs="Arial" w:eastAsia="Arial" w:hAnsi="Arial"/>
                <w:sz w:val="18"/>
                <w:szCs w:val="18"/>
                <w:b w:val="1"/>
                <w:bCs w:val="1"/>
                <w:color w:val="auto"/>
              </w:rPr>
              <w:t>Item 6.</w:t>
            </w:r>
          </w:p>
        </w:tc>
        <w:tc>
          <w:tcPr>
            <w:tcW w:w="9680" w:type="dxa"/>
            <w:vAlign w:val="bottom"/>
            <w:gridSpan w:val="25"/>
          </w:tcPr>
          <w:p>
            <w:pPr>
              <w:spacing w:after="0"/>
              <w:rPr>
                <w:rFonts w:ascii="Arial" w:cs="Arial" w:eastAsia="Arial" w:hAnsi="Arial"/>
                <w:sz w:val="18"/>
                <w:szCs w:val="18"/>
                <w:b w:val="1"/>
                <w:bCs w:val="1"/>
                <w:color w:val="0000EE"/>
              </w:rPr>
            </w:pPr>
            <w:hyperlink w:anchor="page50">
              <w:r>
                <w:rPr>
                  <w:rFonts w:ascii="Arial" w:cs="Arial" w:eastAsia="Arial" w:hAnsi="Arial"/>
                  <w:sz w:val="18"/>
                  <w:szCs w:val="18"/>
                  <w:b w:val="1"/>
                  <w:bCs w:val="1"/>
                  <w:color w:val="0000EE"/>
                </w:rPr>
                <w:t>Exhibits</w:t>
              </w:r>
            </w:hyperlink>
          </w:p>
        </w:tc>
        <w:tc>
          <w:tcPr>
            <w:tcW w:w="520" w:type="dxa"/>
            <w:vAlign w:val="bottom"/>
          </w:tcPr>
          <w:p>
            <w:pPr>
              <w:jc w:val="right"/>
              <w:spacing w:after="0"/>
              <w:rPr>
                <w:sz w:val="20"/>
                <w:szCs w:val="20"/>
                <w:color w:val="auto"/>
              </w:rPr>
            </w:pPr>
            <w:r>
              <w:rPr>
                <w:rFonts w:ascii="Arial" w:cs="Arial" w:eastAsia="Arial" w:hAnsi="Arial"/>
                <w:sz w:val="18"/>
                <w:szCs w:val="18"/>
                <w:color w:val="auto"/>
              </w:rPr>
              <w:t>50</w:t>
            </w:r>
          </w:p>
        </w:tc>
        <w:tc>
          <w:tcPr>
            <w:tcW w:w="0" w:type="dxa"/>
            <w:vAlign w:val="bottom"/>
          </w:tcPr>
          <w:p>
            <w:pPr>
              <w:spacing w:after="0"/>
              <w:rPr>
                <w:sz w:val="1"/>
                <w:szCs w:val="1"/>
                <w:color w:val="auto"/>
              </w:rPr>
            </w:pPr>
          </w:p>
        </w:tc>
      </w:tr>
      <w:tr>
        <w:trPr>
          <w:trHeight w:val="20"/>
        </w:trPr>
        <w:tc>
          <w:tcPr>
            <w:tcW w:w="1220" w:type="dxa"/>
            <w:vAlign w:val="bottom"/>
          </w:tcPr>
          <w:p>
            <w:pPr>
              <w:spacing w:after="0" w:line="20" w:lineRule="exact"/>
              <w:rPr>
                <w:sz w:val="1"/>
                <w:szCs w:val="1"/>
                <w:color w:val="auto"/>
              </w:rPr>
            </w:pPr>
          </w:p>
        </w:tc>
        <w:tc>
          <w:tcPr>
            <w:tcW w:w="620" w:type="dxa"/>
            <w:vAlign w:val="bottom"/>
            <w:gridSpan w:val="2"/>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880" w:type="dxa"/>
            <w:vAlign w:val="bottom"/>
            <w:gridSpan w:val="22"/>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1220" w:type="dxa"/>
            <w:vAlign w:val="bottom"/>
          </w:tcPr>
          <w:p>
            <w:pPr>
              <w:spacing w:after="0"/>
              <w:rPr>
                <w:sz w:val="24"/>
                <w:szCs w:val="24"/>
                <w:color w:val="auto"/>
              </w:rPr>
            </w:pPr>
          </w:p>
        </w:tc>
        <w:tc>
          <w:tcPr>
            <w:tcW w:w="9680" w:type="dxa"/>
            <w:vAlign w:val="bottom"/>
            <w:gridSpan w:val="25"/>
          </w:tcPr>
          <w:p>
            <w:pPr>
              <w:spacing w:after="0"/>
              <w:rPr>
                <w:rFonts w:ascii="Arial" w:cs="Arial" w:eastAsia="Arial" w:hAnsi="Arial"/>
                <w:sz w:val="18"/>
                <w:szCs w:val="18"/>
                <w:b w:val="1"/>
                <w:bCs w:val="1"/>
                <w:color w:val="0000EE"/>
              </w:rPr>
            </w:pPr>
            <w:hyperlink w:anchor="page51">
              <w:r>
                <w:rPr>
                  <w:rFonts w:ascii="Arial" w:cs="Arial" w:eastAsia="Arial" w:hAnsi="Arial"/>
                  <w:sz w:val="18"/>
                  <w:szCs w:val="18"/>
                  <w:b w:val="1"/>
                  <w:bCs w:val="1"/>
                  <w:color w:val="0000EE"/>
                </w:rPr>
                <w:t>Signatures</w:t>
              </w:r>
            </w:hyperlink>
          </w:p>
        </w:tc>
        <w:tc>
          <w:tcPr>
            <w:tcW w:w="520" w:type="dxa"/>
            <w:vAlign w:val="bottom"/>
          </w:tcPr>
          <w:p>
            <w:pPr>
              <w:jc w:val="right"/>
              <w:spacing w:after="0"/>
              <w:rPr>
                <w:sz w:val="20"/>
                <w:szCs w:val="20"/>
                <w:color w:val="auto"/>
              </w:rPr>
            </w:pPr>
            <w:r>
              <w:rPr>
                <w:rFonts w:ascii="Arial" w:cs="Arial" w:eastAsia="Arial" w:hAnsi="Arial"/>
                <w:sz w:val="18"/>
                <w:szCs w:val="18"/>
                <w:color w:val="auto"/>
              </w:rPr>
              <w:t>51</w:t>
            </w:r>
          </w:p>
        </w:tc>
        <w:tc>
          <w:tcPr>
            <w:tcW w:w="0" w:type="dxa"/>
            <w:vAlign w:val="bottom"/>
          </w:tcPr>
          <w:p>
            <w:pPr>
              <w:spacing w:after="0"/>
              <w:rPr>
                <w:sz w:val="1"/>
                <w:szCs w:val="1"/>
                <w:color w:val="auto"/>
              </w:rPr>
            </w:pPr>
          </w:p>
        </w:tc>
      </w:tr>
      <w:tr>
        <w:trPr>
          <w:trHeight w:val="383"/>
        </w:trPr>
        <w:tc>
          <w:tcPr>
            <w:tcW w:w="1220" w:type="dxa"/>
            <w:vAlign w:val="bottom"/>
          </w:tcPr>
          <w:p>
            <w:pPr>
              <w:spacing w:after="0"/>
              <w:rPr>
                <w:sz w:val="24"/>
                <w:szCs w:val="24"/>
                <w:color w:val="auto"/>
              </w:rPr>
            </w:pPr>
          </w:p>
        </w:tc>
        <w:tc>
          <w:tcPr>
            <w:tcW w:w="800" w:type="dxa"/>
            <w:vAlign w:val="bottom"/>
            <w:tcBorders>
              <w:top w:val="single" w:sz="8" w:color="0000EE"/>
            </w:tcBorders>
            <w:gridSpan w:val="3"/>
          </w:tcPr>
          <w:p>
            <w:pPr>
              <w:spacing w:after="0"/>
              <w:rPr>
                <w:sz w:val="24"/>
                <w:szCs w:val="24"/>
                <w:color w:val="auto"/>
              </w:rPr>
            </w:pPr>
          </w:p>
        </w:tc>
        <w:tc>
          <w:tcPr>
            <w:tcW w:w="3760" w:type="dxa"/>
            <w:vAlign w:val="bottom"/>
            <w:gridSpan w:val="18"/>
          </w:tcPr>
          <w:p>
            <w:pPr>
              <w:jc w:val="right"/>
              <w:ind w:right="20"/>
              <w:spacing w:after="0"/>
              <w:rPr>
                <w:sz w:val="20"/>
                <w:szCs w:val="20"/>
                <w:color w:val="auto"/>
              </w:rPr>
            </w:pPr>
            <w:r>
              <w:rPr>
                <w:rFonts w:ascii="Arial" w:cs="Arial" w:eastAsia="Arial" w:hAnsi="Arial"/>
                <w:sz w:val="18"/>
                <w:szCs w:val="18"/>
                <w:color w:val="auto"/>
              </w:rPr>
              <w:t>2</w:t>
            </w:r>
          </w:p>
        </w:tc>
        <w:tc>
          <w:tcPr>
            <w:tcW w:w="13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0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2" w:name="page3"/>
    <w:bookmarkEnd w:id="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 FINANCIAL INFORMATION</w:t>
      </w:r>
    </w:p>
    <w:p>
      <w:pPr>
        <w:spacing w:after="0" w:line="212"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6"/>
          <w:szCs w:val="16"/>
          <w:b w:val="1"/>
          <w:bCs w:val="1"/>
          <w:color w:val="auto"/>
        </w:rPr>
        <w:t>FINANCIAL STATEMENTS</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AUTODESK,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OPERATIONS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millions, except per share data)</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960" w:type="dxa"/>
            <w:vAlign w:val="bottom"/>
          </w:tcPr>
          <w:p>
            <w:pPr>
              <w:spacing w:after="0"/>
              <w:rPr>
                <w:sz w:val="14"/>
                <w:szCs w:val="14"/>
                <w:color w:val="auto"/>
              </w:rPr>
            </w:pPr>
          </w:p>
        </w:tc>
        <w:tc>
          <w:tcPr>
            <w:tcW w:w="2120" w:type="dxa"/>
            <w:vAlign w:val="bottom"/>
          </w:tcPr>
          <w:p>
            <w:pPr>
              <w:spacing w:after="0"/>
              <w:rPr>
                <w:sz w:val="14"/>
                <w:szCs w:val="14"/>
                <w:color w:val="auto"/>
              </w:rPr>
            </w:pPr>
          </w:p>
        </w:tc>
        <w:tc>
          <w:tcPr>
            <w:tcW w:w="1540" w:type="dxa"/>
            <w:vAlign w:val="bottom"/>
            <w:gridSpan w:val="7"/>
          </w:tcPr>
          <w:p>
            <w:pPr>
              <w:jc w:val="right"/>
              <w:ind w:right="280"/>
              <w:spacing w:after="0"/>
              <w:rPr>
                <w:sz w:val="20"/>
                <w:szCs w:val="20"/>
                <w:color w:val="auto"/>
              </w:rPr>
            </w:pPr>
            <w:r>
              <w:rPr>
                <w:rFonts w:ascii="Arial" w:cs="Arial" w:eastAsia="Arial" w:hAnsi="Arial"/>
                <w:sz w:val="14"/>
                <w:szCs w:val="14"/>
                <w:b w:val="1"/>
                <w:bCs w:val="1"/>
                <w:color w:val="auto"/>
                <w:w w:val="90"/>
              </w:rPr>
              <w:t>Three months ended</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60" w:type="dxa"/>
            <w:vAlign w:val="bottom"/>
            <w:gridSpan w:val="6"/>
          </w:tcPr>
          <w:p>
            <w:pPr>
              <w:jc w:val="right"/>
              <w:ind w:right="320"/>
              <w:spacing w:after="0"/>
              <w:rPr>
                <w:sz w:val="20"/>
                <w:szCs w:val="20"/>
                <w:color w:val="auto"/>
              </w:rPr>
            </w:pPr>
            <w:r>
              <w:rPr>
                <w:rFonts w:ascii="Arial" w:cs="Arial" w:eastAsia="Arial" w:hAnsi="Arial"/>
                <w:sz w:val="14"/>
                <w:szCs w:val="14"/>
                <w:b w:val="1"/>
                <w:bCs w:val="1"/>
                <w:color w:val="auto"/>
                <w:w w:val="93"/>
              </w:rPr>
              <w:t>Nine months ended</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5960" w:type="dxa"/>
            <w:vAlign w:val="bottom"/>
          </w:tcPr>
          <w:p>
            <w:pPr>
              <w:spacing w:after="0"/>
              <w:rPr>
                <w:sz w:val="14"/>
                <w:szCs w:val="14"/>
                <w:color w:val="auto"/>
              </w:rPr>
            </w:pPr>
          </w:p>
        </w:tc>
        <w:tc>
          <w:tcPr>
            <w:tcW w:w="2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40" w:type="dxa"/>
            <w:vAlign w:val="bottom"/>
            <w:gridSpan w:val="6"/>
          </w:tcPr>
          <w:p>
            <w:pPr>
              <w:jc w:val="right"/>
              <w:ind w:right="540"/>
              <w:spacing w:after="0"/>
              <w:rPr>
                <w:sz w:val="20"/>
                <w:szCs w:val="20"/>
                <w:color w:val="auto"/>
              </w:rPr>
            </w:pPr>
            <w:r>
              <w:rPr>
                <w:rFonts w:ascii="Arial" w:cs="Arial" w:eastAsia="Arial" w:hAnsi="Arial"/>
                <w:sz w:val="14"/>
                <w:szCs w:val="14"/>
                <w:b w:val="1"/>
                <w:bCs w:val="1"/>
                <w:color w:val="auto"/>
              </w:rPr>
              <w:t>October 31,</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60" w:type="dxa"/>
            <w:vAlign w:val="bottom"/>
            <w:gridSpan w:val="6"/>
          </w:tcPr>
          <w:p>
            <w:pPr>
              <w:jc w:val="right"/>
              <w:ind w:right="540"/>
              <w:spacing w:after="0"/>
              <w:rPr>
                <w:sz w:val="20"/>
                <w:szCs w:val="20"/>
                <w:color w:val="auto"/>
              </w:rPr>
            </w:pPr>
            <w:r>
              <w:rPr>
                <w:rFonts w:ascii="Arial" w:cs="Arial" w:eastAsia="Arial" w:hAnsi="Arial"/>
                <w:sz w:val="14"/>
                <w:szCs w:val="14"/>
                <w:b w:val="1"/>
                <w:bCs w:val="1"/>
                <w:color w:val="auto"/>
              </w:rPr>
              <w:t>October 31,</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960" w:type="dxa"/>
            <w:vAlign w:val="bottom"/>
          </w:tcPr>
          <w:p>
            <w:pPr>
              <w:spacing w:after="0"/>
              <w:rPr>
                <w:sz w:val="12"/>
                <w:szCs w:val="12"/>
                <w:color w:val="auto"/>
              </w:rPr>
            </w:pPr>
          </w:p>
        </w:tc>
        <w:tc>
          <w:tcPr>
            <w:tcW w:w="2120" w:type="dxa"/>
            <w:vAlign w:val="bottom"/>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420" w:type="dxa"/>
            <w:vAlign w:val="bottom"/>
            <w:tcBorders>
              <w:top w:val="single" w:sz="8" w:color="auto"/>
              <w:bottom w:val="single" w:sz="8" w:color="auto"/>
            </w:tcBorders>
          </w:tcPr>
          <w:p>
            <w:pPr>
              <w:jc w:val="right"/>
              <w:ind w:right="54"/>
              <w:spacing w:after="0" w:line="142" w:lineRule="exact"/>
              <w:rPr>
                <w:sz w:val="20"/>
                <w:szCs w:val="20"/>
                <w:color w:val="auto"/>
              </w:rPr>
            </w:pPr>
            <w:r>
              <w:rPr>
                <w:rFonts w:ascii="Arial" w:cs="Arial" w:eastAsia="Arial" w:hAnsi="Arial"/>
                <w:sz w:val="14"/>
                <w:szCs w:val="14"/>
                <w:b w:val="1"/>
                <w:bCs w:val="1"/>
                <w:color w:val="auto"/>
                <w:w w:val="83"/>
              </w:rPr>
              <w:t>2009</w:t>
            </w:r>
          </w:p>
        </w:tc>
        <w:tc>
          <w:tcPr>
            <w:tcW w:w="18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420" w:type="dxa"/>
            <w:vAlign w:val="bottom"/>
            <w:tcBorders>
              <w:top w:val="single" w:sz="8" w:color="auto"/>
              <w:bottom w:val="single" w:sz="8" w:color="auto"/>
            </w:tcBorders>
          </w:tcPr>
          <w:p>
            <w:pPr>
              <w:jc w:val="right"/>
              <w:ind w:right="33"/>
              <w:spacing w:after="0" w:line="142" w:lineRule="exact"/>
              <w:rPr>
                <w:sz w:val="20"/>
                <w:szCs w:val="20"/>
                <w:color w:val="auto"/>
              </w:rPr>
            </w:pPr>
            <w:r>
              <w:rPr>
                <w:rFonts w:ascii="Arial" w:cs="Arial" w:eastAsia="Arial" w:hAnsi="Arial"/>
                <w:sz w:val="14"/>
                <w:szCs w:val="14"/>
                <w:b w:val="1"/>
                <w:bCs w:val="1"/>
                <w:color w:val="auto"/>
                <w:w w:val="89"/>
              </w:rPr>
              <w:t>2008</w:t>
            </w: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20" w:type="dxa"/>
            <w:vAlign w:val="bottom"/>
            <w:tcBorders>
              <w:top w:val="single" w:sz="8" w:color="auto"/>
              <w:bottom w:val="single" w:sz="8" w:color="auto"/>
            </w:tcBorders>
          </w:tcPr>
          <w:p>
            <w:pPr>
              <w:jc w:val="right"/>
              <w:ind w:right="95"/>
              <w:spacing w:after="0" w:line="142" w:lineRule="exact"/>
              <w:rPr>
                <w:sz w:val="20"/>
                <w:szCs w:val="20"/>
                <w:color w:val="auto"/>
              </w:rPr>
            </w:pPr>
            <w:r>
              <w:rPr>
                <w:rFonts w:ascii="Arial" w:cs="Arial" w:eastAsia="Arial" w:hAnsi="Arial"/>
                <w:sz w:val="14"/>
                <w:szCs w:val="14"/>
                <w:b w:val="1"/>
                <w:bCs w:val="1"/>
                <w:color w:val="auto"/>
              </w:rPr>
              <w:t>2009</w:t>
            </w:r>
          </w:p>
        </w:tc>
        <w:tc>
          <w:tcPr>
            <w:tcW w:w="18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540" w:type="dxa"/>
            <w:vAlign w:val="bottom"/>
            <w:tcBorders>
              <w:top w:val="single" w:sz="8" w:color="auto"/>
              <w:bottom w:val="single" w:sz="8" w:color="auto"/>
            </w:tcBorders>
          </w:tcPr>
          <w:p>
            <w:pPr>
              <w:jc w:val="right"/>
              <w:ind w:right="93"/>
              <w:spacing w:after="0" w:line="142" w:lineRule="exact"/>
              <w:rPr>
                <w:sz w:val="20"/>
                <w:szCs w:val="20"/>
                <w:color w:val="auto"/>
              </w:rPr>
            </w:pPr>
            <w:r>
              <w:rPr>
                <w:rFonts w:ascii="Arial" w:cs="Arial" w:eastAsia="Arial" w:hAnsi="Arial"/>
                <w:sz w:val="14"/>
                <w:szCs w:val="14"/>
                <w:b w:val="1"/>
                <w:bCs w:val="1"/>
                <w:color w:val="auto"/>
              </w:rPr>
              <w:t>2008</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960" w:type="dxa"/>
            <w:vAlign w:val="bottom"/>
            <w:shd w:val="clear" w:color="auto" w:fill="CCEEFF"/>
          </w:tcPr>
          <w:p>
            <w:pPr>
              <w:spacing w:after="0"/>
              <w:rPr>
                <w:sz w:val="20"/>
                <w:szCs w:val="20"/>
                <w:color w:val="auto"/>
              </w:rPr>
            </w:pPr>
            <w:r>
              <w:rPr>
                <w:rFonts w:ascii="Arial" w:cs="Arial" w:eastAsia="Arial" w:hAnsi="Arial"/>
                <w:sz w:val="18"/>
                <w:szCs w:val="18"/>
                <w:color w:val="auto"/>
              </w:rPr>
              <w:t>Net revenue:</w:t>
            </w:r>
          </w:p>
        </w:tc>
        <w:tc>
          <w:tcPr>
            <w:tcW w:w="2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60" w:type="dxa"/>
            <w:vAlign w:val="bottom"/>
          </w:tcPr>
          <w:p>
            <w:pPr>
              <w:ind w:left="420"/>
              <w:spacing w:after="0"/>
              <w:rPr>
                <w:sz w:val="20"/>
                <w:szCs w:val="20"/>
                <w:color w:val="auto"/>
              </w:rPr>
            </w:pPr>
            <w:r>
              <w:rPr>
                <w:rFonts w:ascii="Arial" w:cs="Arial" w:eastAsia="Arial" w:hAnsi="Arial"/>
                <w:sz w:val="18"/>
                <w:szCs w:val="18"/>
                <w:color w:val="auto"/>
              </w:rPr>
              <w:t>License and other</w:t>
            </w:r>
          </w:p>
        </w:tc>
        <w:tc>
          <w:tcPr>
            <w:tcW w:w="2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20" w:type="dxa"/>
            <w:vAlign w:val="bottom"/>
          </w:tcPr>
          <w:p>
            <w:pPr>
              <w:jc w:val="right"/>
              <w:spacing w:after="0"/>
              <w:rPr>
                <w:sz w:val="20"/>
                <w:szCs w:val="20"/>
                <w:color w:val="auto"/>
              </w:rPr>
            </w:pPr>
            <w:r>
              <w:rPr>
                <w:rFonts w:ascii="Arial" w:cs="Arial" w:eastAsia="Arial" w:hAnsi="Arial"/>
                <w:sz w:val="18"/>
                <w:szCs w:val="18"/>
                <w:color w:val="auto"/>
                <w:w w:val="88"/>
              </w:rPr>
              <w:t>236.1</w:t>
            </w:r>
          </w:p>
        </w:tc>
        <w:tc>
          <w:tcPr>
            <w:tcW w:w="180" w:type="dxa"/>
            <w:vAlign w:val="bottom"/>
          </w:tcPr>
          <w:p>
            <w:pPr>
              <w:spacing w:after="0"/>
              <w:rPr>
                <w:sz w:val="18"/>
                <w:szCs w:val="18"/>
                <w:color w:val="auto"/>
              </w:rPr>
            </w:pPr>
          </w:p>
        </w:tc>
        <w:tc>
          <w:tcPr>
            <w:tcW w:w="2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620" w:type="dxa"/>
            <w:vAlign w:val="bottom"/>
            <w:gridSpan w:val="2"/>
          </w:tcPr>
          <w:p>
            <w:pPr>
              <w:jc w:val="right"/>
              <w:ind w:right="200"/>
              <w:spacing w:after="0"/>
              <w:rPr>
                <w:sz w:val="20"/>
                <w:szCs w:val="20"/>
                <w:color w:val="auto"/>
              </w:rPr>
            </w:pPr>
            <w:r>
              <w:rPr>
                <w:rFonts w:ascii="Arial" w:cs="Arial" w:eastAsia="Arial" w:hAnsi="Arial"/>
                <w:sz w:val="18"/>
                <w:szCs w:val="18"/>
                <w:color w:val="auto"/>
                <w:w w:val="88"/>
              </w:rPr>
              <w:t>421.0</w:t>
            </w:r>
          </w:p>
        </w:tc>
        <w:tc>
          <w:tcPr>
            <w:tcW w:w="2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520" w:type="dxa"/>
            <w:vAlign w:val="bottom"/>
          </w:tcPr>
          <w:p>
            <w:pPr>
              <w:jc w:val="right"/>
              <w:spacing w:after="0"/>
              <w:rPr>
                <w:sz w:val="20"/>
                <w:szCs w:val="20"/>
                <w:color w:val="auto"/>
              </w:rPr>
            </w:pPr>
            <w:r>
              <w:rPr>
                <w:rFonts w:ascii="Arial" w:cs="Arial" w:eastAsia="Arial" w:hAnsi="Arial"/>
                <w:sz w:val="18"/>
                <w:szCs w:val="18"/>
                <w:color w:val="auto"/>
              </w:rPr>
              <w:t>710.7</w:t>
            </w:r>
          </w:p>
        </w:tc>
        <w:tc>
          <w:tcPr>
            <w:tcW w:w="180" w:type="dxa"/>
            <w:vAlign w:val="bottom"/>
          </w:tcPr>
          <w:p>
            <w:pPr>
              <w:spacing w:after="0"/>
              <w:rPr>
                <w:sz w:val="18"/>
                <w:szCs w:val="18"/>
                <w:color w:val="auto"/>
              </w:rPr>
            </w:pP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w w:val="86"/>
              </w:rPr>
              <w:t>1,293.4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Maintenance</w:t>
            </w:r>
          </w:p>
        </w:tc>
        <w:tc>
          <w:tcPr>
            <w:tcW w:w="2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180.8</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88"/>
              </w:rPr>
              <w:t>186.1</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546.9</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532.0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960" w:type="dxa"/>
            <w:vAlign w:val="bottom"/>
            <w:vMerge w:val="restart"/>
          </w:tcPr>
          <w:p>
            <w:pPr>
              <w:ind w:left="860"/>
              <w:spacing w:after="0"/>
              <w:rPr>
                <w:sz w:val="20"/>
                <w:szCs w:val="20"/>
                <w:color w:val="auto"/>
              </w:rPr>
            </w:pPr>
            <w:r>
              <w:rPr>
                <w:rFonts w:ascii="Arial" w:cs="Arial" w:eastAsia="Arial" w:hAnsi="Arial"/>
                <w:sz w:val="18"/>
                <w:szCs w:val="18"/>
                <w:color w:val="auto"/>
              </w:rPr>
              <w:t>Total net revenue</w:t>
            </w:r>
          </w:p>
        </w:tc>
        <w:tc>
          <w:tcPr>
            <w:tcW w:w="21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20" w:type="dxa"/>
            <w:vAlign w:val="bottom"/>
          </w:tcPr>
          <w:p>
            <w:pPr>
              <w:spacing w:after="0"/>
              <w:rPr>
                <w:sz w:val="20"/>
                <w:szCs w:val="20"/>
                <w:color w:val="auto"/>
              </w:rPr>
            </w:pPr>
          </w:p>
        </w:tc>
        <w:tc>
          <w:tcPr>
            <w:tcW w:w="5960" w:type="dxa"/>
            <w:vAlign w:val="bottom"/>
            <w:vMerge w:val="continue"/>
          </w:tcPr>
          <w:p>
            <w:pPr>
              <w:spacing w:after="0"/>
              <w:rPr>
                <w:sz w:val="20"/>
                <w:szCs w:val="20"/>
                <w:color w:val="auto"/>
              </w:rPr>
            </w:pPr>
          </w:p>
        </w:tc>
        <w:tc>
          <w:tcPr>
            <w:tcW w:w="2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w w:val="88"/>
              </w:rPr>
              <w:t>416.9</w:t>
            </w: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gridSpan w:val="2"/>
          </w:tcPr>
          <w:p>
            <w:pPr>
              <w:jc w:val="right"/>
              <w:ind w:right="200"/>
              <w:spacing w:after="0"/>
              <w:rPr>
                <w:sz w:val="20"/>
                <w:szCs w:val="20"/>
                <w:color w:val="auto"/>
              </w:rPr>
            </w:pPr>
            <w:r>
              <w:rPr>
                <w:rFonts w:ascii="Arial" w:cs="Arial" w:eastAsia="Arial" w:hAnsi="Arial"/>
                <w:sz w:val="18"/>
                <w:szCs w:val="18"/>
                <w:color w:val="auto"/>
                <w:w w:val="88"/>
              </w:rPr>
              <w:t>607.1</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w w:val="83"/>
              </w:rPr>
              <w:t>1,257.6</w:t>
            </w: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w w:val="86"/>
              </w:rPr>
              <w:t>1,825.4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60" w:type="dxa"/>
            <w:vAlign w:val="bottom"/>
            <w:shd w:val="clear" w:color="auto" w:fill="CCEEFF"/>
          </w:tcPr>
          <w:p>
            <w:pPr>
              <w:spacing w:after="0"/>
              <w:rPr>
                <w:sz w:val="20"/>
                <w:szCs w:val="20"/>
                <w:color w:val="auto"/>
              </w:rPr>
            </w:pPr>
            <w:r>
              <w:rPr>
                <w:rFonts w:ascii="Arial" w:cs="Arial" w:eastAsia="Arial" w:hAnsi="Arial"/>
                <w:sz w:val="18"/>
                <w:szCs w:val="18"/>
                <w:color w:val="auto"/>
              </w:rPr>
              <w:t>Cost of revenue:</w:t>
            </w:r>
          </w:p>
        </w:tc>
        <w:tc>
          <w:tcPr>
            <w:tcW w:w="212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60" w:type="dxa"/>
            <w:vAlign w:val="bottom"/>
          </w:tcPr>
          <w:p>
            <w:pPr>
              <w:ind w:left="420"/>
              <w:spacing w:after="0"/>
              <w:rPr>
                <w:sz w:val="20"/>
                <w:szCs w:val="20"/>
                <w:color w:val="auto"/>
              </w:rPr>
            </w:pPr>
            <w:r>
              <w:rPr>
                <w:rFonts w:ascii="Arial" w:cs="Arial" w:eastAsia="Arial" w:hAnsi="Arial"/>
                <w:sz w:val="18"/>
                <w:szCs w:val="18"/>
                <w:color w:val="auto"/>
              </w:rPr>
              <w:t>Cost of license and other revenue</w:t>
            </w:r>
          </w:p>
        </w:tc>
        <w:tc>
          <w:tcPr>
            <w:tcW w:w="2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42.0</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gridSpan w:val="2"/>
          </w:tcPr>
          <w:p>
            <w:pPr>
              <w:jc w:val="right"/>
              <w:ind w:right="200"/>
              <w:spacing w:after="0"/>
              <w:rPr>
                <w:sz w:val="20"/>
                <w:szCs w:val="20"/>
                <w:color w:val="auto"/>
              </w:rPr>
            </w:pPr>
            <w:r>
              <w:rPr>
                <w:rFonts w:ascii="Arial" w:cs="Arial" w:eastAsia="Arial" w:hAnsi="Arial"/>
                <w:sz w:val="18"/>
                <w:szCs w:val="18"/>
                <w:color w:val="auto"/>
              </w:rPr>
              <w:t>50.5</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138.6</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164.1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Cost of maintenance revenue</w:t>
            </w:r>
          </w:p>
        </w:tc>
        <w:tc>
          <w:tcPr>
            <w:tcW w:w="2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2.4</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960" w:type="dxa"/>
            <w:vAlign w:val="bottom"/>
            <w:vMerge w:val="restart"/>
          </w:tcPr>
          <w:p>
            <w:pPr>
              <w:ind w:left="860"/>
              <w:spacing w:after="0"/>
              <w:rPr>
                <w:sz w:val="20"/>
                <w:szCs w:val="20"/>
                <w:color w:val="auto"/>
              </w:rPr>
            </w:pPr>
            <w:r>
              <w:rPr>
                <w:rFonts w:ascii="Arial" w:cs="Arial" w:eastAsia="Arial" w:hAnsi="Arial"/>
                <w:sz w:val="18"/>
                <w:szCs w:val="18"/>
                <w:color w:val="auto"/>
              </w:rPr>
              <w:t>Total cost of revenue</w:t>
            </w:r>
          </w:p>
        </w:tc>
        <w:tc>
          <w:tcPr>
            <w:tcW w:w="21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20" w:type="dxa"/>
            <w:vAlign w:val="bottom"/>
          </w:tcPr>
          <w:p>
            <w:pPr>
              <w:spacing w:after="0"/>
              <w:rPr>
                <w:sz w:val="19"/>
                <w:szCs w:val="19"/>
                <w:color w:val="auto"/>
              </w:rPr>
            </w:pPr>
          </w:p>
        </w:tc>
        <w:tc>
          <w:tcPr>
            <w:tcW w:w="5960" w:type="dxa"/>
            <w:vAlign w:val="bottom"/>
            <w:vMerge w:val="continue"/>
          </w:tcPr>
          <w:p>
            <w:pPr>
              <w:spacing w:after="0"/>
              <w:rPr>
                <w:sz w:val="19"/>
                <w:szCs w:val="19"/>
                <w:color w:val="auto"/>
              </w:rPr>
            </w:pPr>
          </w:p>
        </w:tc>
        <w:tc>
          <w:tcPr>
            <w:tcW w:w="2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45.0</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gridSpan w:val="2"/>
          </w:tcPr>
          <w:p>
            <w:pPr>
              <w:jc w:val="right"/>
              <w:ind w:right="200"/>
              <w:spacing w:after="0"/>
              <w:rPr>
                <w:sz w:val="20"/>
                <w:szCs w:val="20"/>
                <w:color w:val="auto"/>
              </w:rPr>
            </w:pPr>
            <w:r>
              <w:rPr>
                <w:rFonts w:ascii="Arial" w:cs="Arial" w:eastAsia="Arial" w:hAnsi="Arial"/>
                <w:sz w:val="18"/>
                <w:szCs w:val="18"/>
                <w:color w:val="auto"/>
              </w:rPr>
              <w:t>52.9</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147.4</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170.6</w:t>
            </w:r>
          </w:p>
        </w:tc>
        <w:tc>
          <w:tcPr>
            <w:tcW w:w="0" w:type="dxa"/>
            <w:vAlign w:val="bottom"/>
          </w:tcPr>
          <w:p>
            <w:pPr>
              <w:spacing w:after="0"/>
              <w:rPr>
                <w:sz w:val="1"/>
                <w:szCs w:val="1"/>
                <w:color w:val="auto"/>
              </w:rPr>
            </w:pPr>
          </w:p>
        </w:tc>
      </w:tr>
      <w:tr>
        <w:trPr>
          <w:trHeight w:val="28"/>
        </w:trPr>
        <w:tc>
          <w:tcPr>
            <w:tcW w:w="20" w:type="dxa"/>
            <w:vAlign w:val="bottom"/>
            <w:vMerge w:val="restart"/>
          </w:tcPr>
          <w:p>
            <w:pPr>
              <w:spacing w:after="0"/>
              <w:rPr>
                <w:sz w:val="2"/>
                <w:szCs w:val="2"/>
                <w:color w:val="auto"/>
              </w:rPr>
            </w:pPr>
          </w:p>
        </w:tc>
        <w:tc>
          <w:tcPr>
            <w:tcW w:w="5960" w:type="dxa"/>
            <w:vAlign w:val="bottom"/>
          </w:tcPr>
          <w:p>
            <w:pPr>
              <w:spacing w:after="0"/>
              <w:rPr>
                <w:sz w:val="2"/>
                <w:szCs w:val="2"/>
                <w:color w:val="auto"/>
              </w:rPr>
            </w:pPr>
          </w:p>
        </w:tc>
        <w:tc>
          <w:tcPr>
            <w:tcW w:w="21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960" w:type="dxa"/>
            <w:vAlign w:val="bottom"/>
            <w:shd w:val="clear" w:color="auto" w:fill="CCEEFF"/>
          </w:tcPr>
          <w:p>
            <w:pPr>
              <w:spacing w:after="0"/>
              <w:rPr>
                <w:sz w:val="20"/>
                <w:szCs w:val="20"/>
                <w:color w:val="auto"/>
              </w:rPr>
            </w:pPr>
            <w:r>
              <w:rPr>
                <w:rFonts w:ascii="Arial" w:cs="Arial" w:eastAsia="Arial" w:hAnsi="Arial"/>
                <w:sz w:val="18"/>
                <w:szCs w:val="18"/>
                <w:color w:val="auto"/>
              </w:rPr>
              <w:t>Gross profit</w:t>
            </w:r>
          </w:p>
        </w:tc>
        <w:tc>
          <w:tcPr>
            <w:tcW w:w="2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371.9</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88"/>
              </w:rPr>
              <w:t>554.2</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rPr>
              <w:t>1,110.2</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6"/>
              </w:rPr>
              <w:t>1,654.8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60" w:type="dxa"/>
            <w:vAlign w:val="bottom"/>
          </w:tcPr>
          <w:p>
            <w:pPr>
              <w:spacing w:after="0"/>
              <w:rPr>
                <w:sz w:val="20"/>
                <w:szCs w:val="20"/>
                <w:color w:val="auto"/>
              </w:rPr>
            </w:pPr>
            <w:r>
              <w:rPr>
                <w:rFonts w:ascii="Arial" w:cs="Arial" w:eastAsia="Arial" w:hAnsi="Arial"/>
                <w:sz w:val="18"/>
                <w:szCs w:val="18"/>
                <w:color w:val="auto"/>
              </w:rPr>
              <w:t>Operating expenses:</w:t>
            </w:r>
          </w:p>
        </w:tc>
        <w:tc>
          <w:tcPr>
            <w:tcW w:w="2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Marketing and sales</w:t>
            </w:r>
          </w:p>
        </w:tc>
        <w:tc>
          <w:tcPr>
            <w:tcW w:w="2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180.3</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88"/>
              </w:rPr>
              <w:t>227.0</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540.6</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682.7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60" w:type="dxa"/>
            <w:vAlign w:val="bottom"/>
          </w:tcPr>
          <w:p>
            <w:pPr>
              <w:ind w:left="420"/>
              <w:spacing w:after="0"/>
              <w:rPr>
                <w:sz w:val="20"/>
                <w:szCs w:val="20"/>
                <w:color w:val="auto"/>
              </w:rPr>
            </w:pPr>
            <w:r>
              <w:rPr>
                <w:rFonts w:ascii="Arial" w:cs="Arial" w:eastAsia="Arial" w:hAnsi="Arial"/>
                <w:sz w:val="18"/>
                <w:szCs w:val="18"/>
                <w:color w:val="auto"/>
              </w:rPr>
              <w:t>Research and development</w:t>
            </w:r>
          </w:p>
        </w:tc>
        <w:tc>
          <w:tcPr>
            <w:tcW w:w="2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w w:val="88"/>
              </w:rPr>
              <w:t>109.3</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gridSpan w:val="2"/>
          </w:tcPr>
          <w:p>
            <w:pPr>
              <w:jc w:val="right"/>
              <w:ind w:right="200"/>
              <w:spacing w:after="0"/>
              <w:rPr>
                <w:sz w:val="20"/>
                <w:szCs w:val="20"/>
                <w:color w:val="auto"/>
              </w:rPr>
            </w:pPr>
            <w:r>
              <w:rPr>
                <w:rFonts w:ascii="Arial" w:cs="Arial" w:eastAsia="Arial" w:hAnsi="Arial"/>
                <w:sz w:val="18"/>
                <w:szCs w:val="18"/>
                <w:color w:val="auto"/>
                <w:w w:val="88"/>
              </w:rPr>
              <w:t>137.0</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340.7</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437.4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General and administrative</w:t>
            </w:r>
          </w:p>
        </w:tc>
        <w:tc>
          <w:tcPr>
            <w:tcW w:w="2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51.1</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50.6</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150.6</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156.4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60" w:type="dxa"/>
            <w:vAlign w:val="bottom"/>
          </w:tcPr>
          <w:p>
            <w:pPr>
              <w:ind w:left="420"/>
              <w:spacing w:after="0"/>
              <w:rPr>
                <w:sz w:val="20"/>
                <w:szCs w:val="20"/>
                <w:color w:val="auto"/>
              </w:rPr>
            </w:pPr>
            <w:r>
              <w:rPr>
                <w:rFonts w:ascii="Arial" w:cs="Arial" w:eastAsia="Arial" w:hAnsi="Arial"/>
                <w:sz w:val="18"/>
                <w:szCs w:val="18"/>
                <w:color w:val="auto"/>
              </w:rPr>
              <w:t>Restructuring charges</w:t>
            </w:r>
          </w:p>
        </w:tc>
        <w:tc>
          <w:tcPr>
            <w:tcW w:w="2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4.9</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47.8</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Impairment of goodwill</w:t>
            </w:r>
          </w:p>
        </w:tc>
        <w:tc>
          <w:tcPr>
            <w:tcW w:w="21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21.0</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960" w:type="dxa"/>
            <w:vAlign w:val="bottom"/>
          </w:tcPr>
          <w:p>
            <w:pPr>
              <w:ind w:left="860"/>
              <w:spacing w:after="0"/>
              <w:rPr>
                <w:sz w:val="20"/>
                <w:szCs w:val="20"/>
                <w:color w:val="auto"/>
              </w:rPr>
            </w:pPr>
            <w:r>
              <w:rPr>
                <w:rFonts w:ascii="Arial" w:cs="Arial" w:eastAsia="Arial" w:hAnsi="Arial"/>
                <w:sz w:val="18"/>
                <w:szCs w:val="18"/>
                <w:color w:val="auto"/>
              </w:rPr>
              <w:t>Total operating expenses</w:t>
            </w:r>
          </w:p>
        </w:tc>
        <w:tc>
          <w:tcPr>
            <w:tcW w:w="2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w w:val="88"/>
              </w:rPr>
              <w:t>345.6</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gridSpan w:val="2"/>
          </w:tcPr>
          <w:p>
            <w:pPr>
              <w:jc w:val="right"/>
              <w:ind w:right="200"/>
              <w:spacing w:after="0"/>
              <w:rPr>
                <w:sz w:val="20"/>
                <w:szCs w:val="20"/>
                <w:color w:val="auto"/>
              </w:rPr>
            </w:pPr>
            <w:r>
              <w:rPr>
                <w:rFonts w:ascii="Arial" w:cs="Arial" w:eastAsia="Arial" w:hAnsi="Arial"/>
                <w:sz w:val="18"/>
                <w:szCs w:val="18"/>
                <w:color w:val="auto"/>
                <w:w w:val="88"/>
              </w:rPr>
              <w:t>414.6</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w w:val="83"/>
              </w:rPr>
              <w:t>1,100.7</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w w:val="86"/>
              </w:rPr>
              <w:t>1,276.5</w:t>
            </w:r>
          </w:p>
        </w:tc>
        <w:tc>
          <w:tcPr>
            <w:tcW w:w="0" w:type="dxa"/>
            <w:vAlign w:val="bottom"/>
          </w:tcPr>
          <w:p>
            <w:pPr>
              <w:spacing w:after="0"/>
              <w:rPr>
                <w:sz w:val="1"/>
                <w:szCs w:val="1"/>
                <w:color w:val="auto"/>
              </w:rPr>
            </w:pPr>
          </w:p>
        </w:tc>
      </w:tr>
      <w:tr>
        <w:trPr>
          <w:trHeight w:val="28"/>
        </w:trPr>
        <w:tc>
          <w:tcPr>
            <w:tcW w:w="20" w:type="dxa"/>
            <w:vAlign w:val="bottom"/>
            <w:vMerge w:val="restart"/>
          </w:tcPr>
          <w:p>
            <w:pPr>
              <w:spacing w:after="0"/>
              <w:rPr>
                <w:sz w:val="2"/>
                <w:szCs w:val="2"/>
                <w:color w:val="auto"/>
              </w:rPr>
            </w:pPr>
          </w:p>
        </w:tc>
        <w:tc>
          <w:tcPr>
            <w:tcW w:w="5960" w:type="dxa"/>
            <w:vAlign w:val="bottom"/>
          </w:tcPr>
          <w:p>
            <w:pPr>
              <w:spacing w:after="0"/>
              <w:rPr>
                <w:sz w:val="2"/>
                <w:szCs w:val="2"/>
                <w:color w:val="auto"/>
              </w:rPr>
            </w:pPr>
          </w:p>
        </w:tc>
        <w:tc>
          <w:tcPr>
            <w:tcW w:w="21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960" w:type="dxa"/>
            <w:vAlign w:val="bottom"/>
            <w:shd w:val="clear" w:color="auto" w:fill="CCEEFF"/>
          </w:tcPr>
          <w:p>
            <w:pPr>
              <w:spacing w:after="0"/>
              <w:rPr>
                <w:sz w:val="20"/>
                <w:szCs w:val="20"/>
                <w:color w:val="auto"/>
              </w:rPr>
            </w:pPr>
            <w:r>
              <w:rPr>
                <w:rFonts w:ascii="Arial" w:cs="Arial" w:eastAsia="Arial" w:hAnsi="Arial"/>
                <w:sz w:val="18"/>
                <w:szCs w:val="18"/>
                <w:color w:val="auto"/>
              </w:rPr>
              <w:t>Income from operations</w:t>
            </w:r>
          </w:p>
        </w:tc>
        <w:tc>
          <w:tcPr>
            <w:tcW w:w="2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26.3</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88"/>
              </w:rPr>
              <w:t>139.6</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378.3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60" w:type="dxa"/>
            <w:vAlign w:val="bottom"/>
          </w:tcPr>
          <w:p>
            <w:pPr>
              <w:spacing w:after="0"/>
              <w:rPr>
                <w:sz w:val="20"/>
                <w:szCs w:val="20"/>
                <w:color w:val="auto"/>
              </w:rPr>
            </w:pPr>
            <w:r>
              <w:rPr>
                <w:rFonts w:ascii="Arial" w:cs="Arial" w:eastAsia="Arial" w:hAnsi="Arial"/>
                <w:sz w:val="18"/>
                <w:szCs w:val="18"/>
                <w:color w:val="auto"/>
              </w:rPr>
              <w:t>Interest and other income (expense), net</w:t>
            </w:r>
          </w:p>
        </w:tc>
        <w:tc>
          <w:tcPr>
            <w:tcW w:w="2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5.7</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gridSpan w:val="2"/>
          </w:tcPr>
          <w:p>
            <w:pPr>
              <w:jc w:val="right"/>
              <w:ind w:right="140"/>
              <w:spacing w:after="0"/>
              <w:rPr>
                <w:sz w:val="20"/>
                <w:szCs w:val="20"/>
                <w:color w:val="auto"/>
              </w:rPr>
            </w:pPr>
            <w:r>
              <w:rPr>
                <w:rFonts w:ascii="Arial" w:cs="Arial" w:eastAsia="Arial" w:hAnsi="Arial"/>
                <w:sz w:val="18"/>
                <w:szCs w:val="18"/>
                <w:color w:val="auto"/>
              </w:rPr>
              <w:t>(3.4)</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16.5</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9.9</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960" w:type="dxa"/>
            <w:vAlign w:val="bottom"/>
          </w:tcPr>
          <w:p>
            <w:pPr>
              <w:spacing w:after="0"/>
              <w:rPr>
                <w:sz w:val="2"/>
                <w:szCs w:val="2"/>
                <w:color w:val="auto"/>
              </w:rPr>
            </w:pPr>
          </w:p>
        </w:tc>
        <w:tc>
          <w:tcPr>
            <w:tcW w:w="21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960" w:type="dxa"/>
            <w:vAlign w:val="bottom"/>
            <w:shd w:val="clear" w:color="auto" w:fill="CCEEFF"/>
          </w:tcPr>
          <w:p>
            <w:pPr>
              <w:spacing w:after="0"/>
              <w:rPr>
                <w:sz w:val="20"/>
                <w:szCs w:val="20"/>
                <w:color w:val="auto"/>
              </w:rPr>
            </w:pPr>
            <w:r>
              <w:rPr>
                <w:rFonts w:ascii="Arial" w:cs="Arial" w:eastAsia="Arial" w:hAnsi="Arial"/>
                <w:sz w:val="18"/>
                <w:szCs w:val="18"/>
                <w:color w:val="auto"/>
              </w:rPr>
              <w:t>Income before income taxes</w:t>
            </w:r>
          </w:p>
        </w:tc>
        <w:tc>
          <w:tcPr>
            <w:tcW w:w="2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32.0</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88"/>
              </w:rPr>
              <w:t>136.2</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26.0</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388.2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60" w:type="dxa"/>
            <w:vAlign w:val="bottom"/>
          </w:tcPr>
          <w:p>
            <w:pPr>
              <w:spacing w:after="0"/>
              <w:rPr>
                <w:sz w:val="20"/>
                <w:szCs w:val="20"/>
                <w:color w:val="auto"/>
              </w:rPr>
            </w:pPr>
            <w:r>
              <w:rPr>
                <w:rFonts w:ascii="Arial" w:cs="Arial" w:eastAsia="Arial" w:hAnsi="Arial"/>
                <w:sz w:val="18"/>
                <w:szCs w:val="18"/>
                <w:color w:val="auto"/>
              </w:rPr>
              <w:t>Provision for income taxes</w:t>
            </w:r>
          </w:p>
        </w:tc>
        <w:tc>
          <w:tcPr>
            <w:tcW w:w="2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gridSpan w:val="2"/>
          </w:tcPr>
          <w:p>
            <w:pPr>
              <w:jc w:val="right"/>
              <w:ind w:right="140"/>
              <w:spacing w:after="0"/>
              <w:rPr>
                <w:sz w:val="20"/>
                <w:szCs w:val="20"/>
                <w:color w:val="auto"/>
              </w:rPr>
            </w:pPr>
            <w:r>
              <w:rPr>
                <w:rFonts w:ascii="Arial" w:cs="Arial" w:eastAsia="Arial" w:hAnsi="Arial"/>
                <w:sz w:val="18"/>
                <w:szCs w:val="18"/>
                <w:color w:val="auto"/>
              </w:rPr>
              <w:t>(2.5)</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gridSpan w:val="2"/>
          </w:tcPr>
          <w:p>
            <w:pPr>
              <w:jc w:val="right"/>
              <w:ind w:right="140"/>
              <w:spacing w:after="0"/>
              <w:rPr>
                <w:sz w:val="20"/>
                <w:szCs w:val="20"/>
                <w:color w:val="auto"/>
              </w:rPr>
            </w:pPr>
            <w:r>
              <w:rPr>
                <w:rFonts w:ascii="Arial" w:cs="Arial" w:eastAsia="Arial" w:hAnsi="Arial"/>
                <w:sz w:val="18"/>
                <w:szCs w:val="18"/>
                <w:color w:val="auto"/>
                <w:w w:val="97"/>
              </w:rPr>
              <w:t>(31.7)</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ind w:right="120"/>
              <w:spacing w:after="0"/>
              <w:rPr>
                <w:sz w:val="20"/>
                <w:szCs w:val="20"/>
                <w:color w:val="auto"/>
              </w:rPr>
            </w:pPr>
            <w:r>
              <w:rPr>
                <w:rFonts w:ascii="Arial" w:cs="Arial" w:eastAsia="Arial" w:hAnsi="Arial"/>
                <w:sz w:val="18"/>
                <w:szCs w:val="18"/>
                <w:color w:val="auto"/>
              </w:rPr>
              <w:t>(18.1)</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gridSpan w:val="2"/>
          </w:tcPr>
          <w:p>
            <w:pPr>
              <w:jc w:val="right"/>
              <w:ind w:right="40"/>
              <w:spacing w:after="0"/>
              <w:rPr>
                <w:sz w:val="20"/>
                <w:szCs w:val="20"/>
                <w:color w:val="auto"/>
              </w:rPr>
            </w:pPr>
            <w:r>
              <w:rPr>
                <w:rFonts w:ascii="Arial" w:cs="Arial" w:eastAsia="Arial" w:hAnsi="Arial"/>
                <w:sz w:val="18"/>
                <w:szCs w:val="18"/>
                <w:color w:val="auto"/>
              </w:rPr>
              <w:t>(99.2)</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960" w:type="dxa"/>
            <w:vAlign w:val="bottom"/>
          </w:tcPr>
          <w:p>
            <w:pPr>
              <w:spacing w:after="0"/>
              <w:rPr>
                <w:sz w:val="2"/>
                <w:szCs w:val="2"/>
                <w:color w:val="auto"/>
              </w:rPr>
            </w:pPr>
          </w:p>
        </w:tc>
        <w:tc>
          <w:tcPr>
            <w:tcW w:w="21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96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2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29.5</w:t>
            </w:r>
          </w:p>
        </w:tc>
        <w:tc>
          <w:tcPr>
            <w:tcW w:w="180" w:type="dxa"/>
            <w:vAlign w:val="bottom"/>
            <w:shd w:val="clear" w:color="auto" w:fill="CCEEFF"/>
          </w:tcPr>
          <w:p>
            <w:pPr>
              <w:spacing w:after="0"/>
              <w:rPr>
                <w:sz w:val="18"/>
                <w:szCs w:val="18"/>
                <w:color w:val="auto"/>
              </w:rPr>
            </w:pPr>
          </w:p>
        </w:tc>
        <w:tc>
          <w:tcPr>
            <w:tcW w:w="2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6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88"/>
              </w:rPr>
              <w:t>104.5</w:t>
            </w:r>
          </w:p>
        </w:tc>
        <w:tc>
          <w:tcPr>
            <w:tcW w:w="2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w:t>
            </w:r>
          </w:p>
        </w:tc>
        <w:tc>
          <w:tcPr>
            <w:tcW w:w="180" w:type="dxa"/>
            <w:vAlign w:val="bottom"/>
            <w:shd w:val="clear" w:color="auto" w:fill="CCEEFF"/>
          </w:tcPr>
          <w:p>
            <w:pPr>
              <w:spacing w:after="0"/>
              <w:rPr>
                <w:sz w:val="18"/>
                <w:szCs w:val="18"/>
                <w:color w:val="auto"/>
              </w:rPr>
            </w:pP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289.0</w:t>
            </w:r>
          </w:p>
        </w:tc>
        <w:tc>
          <w:tcPr>
            <w:tcW w:w="0" w:type="dxa"/>
            <w:vAlign w:val="bottom"/>
          </w:tcPr>
          <w:p>
            <w:pPr>
              <w:spacing w:after="0"/>
              <w:rPr>
                <w:sz w:val="1"/>
                <w:szCs w:val="1"/>
                <w:color w:val="auto"/>
              </w:rPr>
            </w:pPr>
          </w:p>
        </w:tc>
      </w:tr>
      <w:tr>
        <w:trPr>
          <w:trHeight w:val="20"/>
        </w:trPr>
        <w:tc>
          <w:tcPr>
            <w:tcW w:w="5980" w:type="dxa"/>
            <w:vAlign w:val="bottom"/>
            <w:gridSpan w:val="2"/>
            <w:vMerge w:val="restart"/>
          </w:tcPr>
          <w:p>
            <w:pPr>
              <w:spacing w:after="0"/>
              <w:rPr>
                <w:sz w:val="20"/>
                <w:szCs w:val="20"/>
                <w:color w:val="auto"/>
              </w:rPr>
            </w:pPr>
            <w:r>
              <w:rPr>
                <w:rFonts w:ascii="Arial" w:cs="Arial" w:eastAsia="Arial" w:hAnsi="Arial"/>
                <w:sz w:val="18"/>
                <w:szCs w:val="18"/>
                <w:color w:val="auto"/>
              </w:rPr>
              <w:t>Basic net income per share</w:t>
            </w:r>
          </w:p>
        </w:tc>
        <w:tc>
          <w:tcPr>
            <w:tcW w:w="2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5980" w:type="dxa"/>
            <w:vAlign w:val="bottom"/>
            <w:gridSpan w:val="2"/>
            <w:vMerge w:val="continue"/>
          </w:tcPr>
          <w:p>
            <w:pPr>
              <w:spacing w:after="0"/>
              <w:rPr>
                <w:sz w:val="18"/>
                <w:szCs w:val="18"/>
                <w:color w:val="auto"/>
              </w:rPr>
            </w:pPr>
          </w:p>
        </w:tc>
        <w:tc>
          <w:tcPr>
            <w:tcW w:w="2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20" w:type="dxa"/>
            <w:vAlign w:val="bottom"/>
          </w:tcPr>
          <w:p>
            <w:pPr>
              <w:jc w:val="right"/>
              <w:spacing w:after="0"/>
              <w:rPr>
                <w:sz w:val="20"/>
                <w:szCs w:val="20"/>
                <w:color w:val="auto"/>
              </w:rPr>
            </w:pPr>
            <w:r>
              <w:rPr>
                <w:rFonts w:ascii="Arial" w:cs="Arial" w:eastAsia="Arial" w:hAnsi="Arial"/>
                <w:sz w:val="18"/>
                <w:szCs w:val="18"/>
                <w:color w:val="auto"/>
              </w:rPr>
              <w:t>0.13</w:t>
            </w:r>
          </w:p>
        </w:tc>
        <w:tc>
          <w:tcPr>
            <w:tcW w:w="180" w:type="dxa"/>
            <w:vAlign w:val="bottom"/>
          </w:tcPr>
          <w:p>
            <w:pPr>
              <w:spacing w:after="0"/>
              <w:rPr>
                <w:sz w:val="18"/>
                <w:szCs w:val="18"/>
                <w:color w:val="auto"/>
              </w:rPr>
            </w:pPr>
          </w:p>
        </w:tc>
        <w:tc>
          <w:tcPr>
            <w:tcW w:w="2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620" w:type="dxa"/>
            <w:vAlign w:val="bottom"/>
            <w:gridSpan w:val="2"/>
          </w:tcPr>
          <w:p>
            <w:pPr>
              <w:jc w:val="right"/>
              <w:ind w:right="200"/>
              <w:spacing w:after="0"/>
              <w:rPr>
                <w:sz w:val="20"/>
                <w:szCs w:val="20"/>
                <w:color w:val="auto"/>
              </w:rPr>
            </w:pPr>
            <w:r>
              <w:rPr>
                <w:rFonts w:ascii="Arial" w:cs="Arial" w:eastAsia="Arial" w:hAnsi="Arial"/>
                <w:sz w:val="18"/>
                <w:szCs w:val="18"/>
                <w:color w:val="auto"/>
              </w:rPr>
              <w:t>0.46</w:t>
            </w:r>
          </w:p>
        </w:tc>
        <w:tc>
          <w:tcPr>
            <w:tcW w:w="2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520" w:type="dxa"/>
            <w:vAlign w:val="bottom"/>
          </w:tcPr>
          <w:p>
            <w:pPr>
              <w:jc w:val="right"/>
              <w:spacing w:after="0"/>
              <w:rPr>
                <w:sz w:val="20"/>
                <w:szCs w:val="20"/>
                <w:color w:val="auto"/>
              </w:rPr>
            </w:pPr>
            <w:r>
              <w:rPr>
                <w:rFonts w:ascii="Arial" w:cs="Arial" w:eastAsia="Arial" w:hAnsi="Arial"/>
                <w:sz w:val="18"/>
                <w:szCs w:val="18"/>
                <w:color w:val="auto"/>
              </w:rPr>
              <w:t>0.03</w:t>
            </w:r>
          </w:p>
        </w:tc>
        <w:tc>
          <w:tcPr>
            <w:tcW w:w="180" w:type="dxa"/>
            <w:vAlign w:val="bottom"/>
          </w:tcPr>
          <w:p>
            <w:pPr>
              <w:spacing w:after="0"/>
              <w:rPr>
                <w:sz w:val="18"/>
                <w:szCs w:val="18"/>
                <w:color w:val="auto"/>
              </w:rPr>
            </w:pP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1.28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96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20" w:type="dxa"/>
            <w:vAlign w:val="bottom"/>
          </w:tcPr>
          <w:p>
            <w:pPr>
              <w:spacing w:after="0"/>
              <w:rPr>
                <w:sz w:val="18"/>
                <w:szCs w:val="18"/>
                <w:color w:val="auto"/>
              </w:rPr>
            </w:pPr>
          </w:p>
        </w:tc>
        <w:tc>
          <w:tcPr>
            <w:tcW w:w="5960" w:type="dxa"/>
            <w:vAlign w:val="bottom"/>
            <w:shd w:val="clear" w:color="auto" w:fill="CCEEFF"/>
          </w:tcPr>
          <w:p>
            <w:pPr>
              <w:spacing w:after="0"/>
              <w:rPr>
                <w:sz w:val="20"/>
                <w:szCs w:val="20"/>
                <w:color w:val="auto"/>
              </w:rPr>
            </w:pPr>
            <w:r>
              <w:rPr>
                <w:rFonts w:ascii="Arial" w:cs="Arial" w:eastAsia="Arial" w:hAnsi="Arial"/>
                <w:sz w:val="18"/>
                <w:szCs w:val="18"/>
                <w:color w:val="auto"/>
              </w:rPr>
              <w:t>Diluted net income per share</w:t>
            </w:r>
          </w:p>
        </w:tc>
        <w:tc>
          <w:tcPr>
            <w:tcW w:w="2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0.13</w:t>
            </w:r>
          </w:p>
        </w:tc>
        <w:tc>
          <w:tcPr>
            <w:tcW w:w="180" w:type="dxa"/>
            <w:vAlign w:val="bottom"/>
            <w:shd w:val="clear" w:color="auto" w:fill="CCEEFF"/>
          </w:tcPr>
          <w:p>
            <w:pPr>
              <w:spacing w:after="0"/>
              <w:rPr>
                <w:sz w:val="18"/>
                <w:szCs w:val="18"/>
                <w:color w:val="auto"/>
              </w:rPr>
            </w:pPr>
          </w:p>
        </w:tc>
        <w:tc>
          <w:tcPr>
            <w:tcW w:w="2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6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0.45</w:t>
            </w:r>
          </w:p>
        </w:tc>
        <w:tc>
          <w:tcPr>
            <w:tcW w:w="2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0.03</w:t>
            </w:r>
          </w:p>
        </w:tc>
        <w:tc>
          <w:tcPr>
            <w:tcW w:w="180" w:type="dxa"/>
            <w:vAlign w:val="bottom"/>
            <w:shd w:val="clear" w:color="auto" w:fill="CCEEFF"/>
          </w:tcPr>
          <w:p>
            <w:pPr>
              <w:spacing w:after="0"/>
              <w:rPr>
                <w:sz w:val="18"/>
                <w:szCs w:val="18"/>
                <w:color w:val="auto"/>
              </w:rPr>
            </w:pP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1.25</w:t>
            </w:r>
          </w:p>
        </w:tc>
        <w:tc>
          <w:tcPr>
            <w:tcW w:w="0" w:type="dxa"/>
            <w:vAlign w:val="bottom"/>
          </w:tcPr>
          <w:p>
            <w:pPr>
              <w:spacing w:after="0"/>
              <w:rPr>
                <w:sz w:val="1"/>
                <w:szCs w:val="1"/>
                <w:color w:val="auto"/>
              </w:rPr>
            </w:pPr>
          </w:p>
        </w:tc>
      </w:tr>
      <w:tr>
        <w:trPr>
          <w:trHeight w:val="20"/>
        </w:trPr>
        <w:tc>
          <w:tcPr>
            <w:tcW w:w="5980" w:type="dxa"/>
            <w:vAlign w:val="bottom"/>
            <w:gridSpan w:val="2"/>
            <w:vMerge w:val="restart"/>
          </w:tcPr>
          <w:p>
            <w:pPr>
              <w:spacing w:after="0"/>
              <w:rPr>
                <w:sz w:val="20"/>
                <w:szCs w:val="20"/>
                <w:color w:val="auto"/>
              </w:rPr>
            </w:pPr>
            <w:r>
              <w:rPr>
                <w:rFonts w:ascii="Arial" w:cs="Arial" w:eastAsia="Arial" w:hAnsi="Arial"/>
                <w:sz w:val="18"/>
                <w:szCs w:val="18"/>
                <w:color w:val="auto"/>
              </w:rPr>
              <w:t>Shares used in computing basic net income per share</w:t>
            </w:r>
          </w:p>
        </w:tc>
        <w:tc>
          <w:tcPr>
            <w:tcW w:w="2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5980" w:type="dxa"/>
            <w:vAlign w:val="bottom"/>
            <w:gridSpan w:val="2"/>
            <w:vMerge w:val="continue"/>
          </w:tcPr>
          <w:p>
            <w:pPr>
              <w:spacing w:after="0"/>
              <w:rPr>
                <w:sz w:val="18"/>
                <w:szCs w:val="18"/>
                <w:color w:val="auto"/>
              </w:rPr>
            </w:pPr>
          </w:p>
        </w:tc>
        <w:tc>
          <w:tcPr>
            <w:tcW w:w="2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w w:val="88"/>
              </w:rPr>
              <w:t>229.6</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gridSpan w:val="2"/>
          </w:tcPr>
          <w:p>
            <w:pPr>
              <w:jc w:val="right"/>
              <w:ind w:right="200"/>
              <w:spacing w:after="0"/>
              <w:rPr>
                <w:sz w:val="20"/>
                <w:szCs w:val="20"/>
                <w:color w:val="auto"/>
              </w:rPr>
            </w:pPr>
            <w:r>
              <w:rPr>
                <w:rFonts w:ascii="Arial" w:cs="Arial" w:eastAsia="Arial" w:hAnsi="Arial"/>
                <w:sz w:val="18"/>
                <w:szCs w:val="18"/>
                <w:color w:val="auto"/>
                <w:w w:val="88"/>
              </w:rPr>
              <w:t>225.3</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228.5</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225.2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96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20" w:type="dxa"/>
            <w:vAlign w:val="bottom"/>
          </w:tcPr>
          <w:p>
            <w:pPr>
              <w:spacing w:after="0"/>
              <w:rPr>
                <w:sz w:val="18"/>
                <w:szCs w:val="18"/>
                <w:color w:val="auto"/>
              </w:rPr>
            </w:pPr>
          </w:p>
        </w:tc>
        <w:tc>
          <w:tcPr>
            <w:tcW w:w="5960" w:type="dxa"/>
            <w:vAlign w:val="bottom"/>
            <w:shd w:val="clear" w:color="auto" w:fill="CCEEFF"/>
          </w:tcPr>
          <w:p>
            <w:pPr>
              <w:spacing w:after="0"/>
              <w:rPr>
                <w:sz w:val="20"/>
                <w:szCs w:val="20"/>
                <w:color w:val="auto"/>
              </w:rPr>
            </w:pPr>
            <w:r>
              <w:rPr>
                <w:rFonts w:ascii="Arial" w:cs="Arial" w:eastAsia="Arial" w:hAnsi="Arial"/>
                <w:sz w:val="18"/>
                <w:szCs w:val="18"/>
                <w:color w:val="auto"/>
              </w:rPr>
              <w:t>Shares used in computing diluted net income per share</w:t>
            </w:r>
          </w:p>
        </w:tc>
        <w:tc>
          <w:tcPr>
            <w:tcW w:w="2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232.9</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88"/>
              </w:rPr>
              <w:t>230.4</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231.1</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231.2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96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Condensed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459" w:right="239"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AUTODESK,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millions)</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9560" w:type="dxa"/>
            <w:vAlign w:val="bottom"/>
          </w:tcPr>
          <w:p>
            <w:pPr>
              <w:spacing w:after="0"/>
              <w:rPr>
                <w:sz w:val="14"/>
                <w:szCs w:val="14"/>
                <w:color w:val="auto"/>
              </w:rPr>
            </w:pPr>
          </w:p>
        </w:tc>
        <w:tc>
          <w:tcPr>
            <w:tcW w:w="1040" w:type="dxa"/>
            <w:vAlign w:val="bottom"/>
            <w:gridSpan w:val="4"/>
          </w:tcPr>
          <w:p>
            <w:pPr>
              <w:ind w:left="20"/>
              <w:spacing w:after="0"/>
              <w:rPr>
                <w:sz w:val="20"/>
                <w:szCs w:val="20"/>
                <w:color w:val="auto"/>
              </w:rPr>
            </w:pPr>
            <w:r>
              <w:rPr>
                <w:rFonts w:ascii="Arial" w:cs="Arial" w:eastAsia="Arial" w:hAnsi="Arial"/>
                <w:sz w:val="14"/>
                <w:szCs w:val="14"/>
                <w:b w:val="1"/>
                <w:bCs w:val="1"/>
                <w:color w:val="auto"/>
              </w:rPr>
              <w:t>October 31,</w:t>
            </w:r>
          </w:p>
        </w:tc>
        <w:tc>
          <w:tcPr>
            <w:tcW w:w="800" w:type="dxa"/>
            <w:vAlign w:val="bottom"/>
            <w:gridSpan w:val="3"/>
          </w:tcPr>
          <w:p>
            <w:pPr>
              <w:spacing w:after="0"/>
              <w:rPr>
                <w:sz w:val="20"/>
                <w:szCs w:val="20"/>
                <w:color w:val="auto"/>
              </w:rPr>
            </w:pPr>
            <w:r>
              <w:rPr>
                <w:rFonts w:ascii="Arial" w:cs="Arial" w:eastAsia="Arial" w:hAnsi="Arial"/>
                <w:sz w:val="14"/>
                <w:szCs w:val="14"/>
                <w:b w:val="1"/>
                <w:bCs w:val="1"/>
                <w:color w:val="auto"/>
              </w:rPr>
              <w:t>January 31,</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956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jc w:val="right"/>
              <w:ind w:right="133"/>
              <w:spacing w:after="0"/>
              <w:rPr>
                <w:sz w:val="20"/>
                <w:szCs w:val="20"/>
                <w:color w:val="auto"/>
              </w:rPr>
            </w:pPr>
            <w:r>
              <w:rPr>
                <w:rFonts w:ascii="Arial" w:cs="Arial" w:eastAsia="Arial" w:hAnsi="Arial"/>
                <w:sz w:val="14"/>
                <w:szCs w:val="14"/>
                <w:b w:val="1"/>
                <w:bCs w:val="1"/>
                <w:color w:val="auto"/>
              </w:rPr>
              <w:t>2009</w:t>
            </w:r>
          </w:p>
        </w:tc>
        <w:tc>
          <w:tcPr>
            <w:tcW w:w="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ind w:right="133"/>
              <w:spacing w:after="0"/>
              <w:rPr>
                <w:sz w:val="20"/>
                <w:szCs w:val="20"/>
                <w:color w:val="auto"/>
              </w:rPr>
            </w:pPr>
            <w:r>
              <w:rPr>
                <w:rFonts w:ascii="Arial" w:cs="Arial" w:eastAsia="Arial" w:hAnsi="Arial"/>
                <w:sz w:val="14"/>
                <w:szCs w:val="14"/>
                <w:b w:val="1"/>
                <w:bCs w:val="1"/>
                <w:color w:val="auto"/>
              </w:rPr>
              <w:t>2009</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9560" w:type="dxa"/>
            <w:vAlign w:val="bottom"/>
          </w:tcPr>
          <w:p>
            <w:pPr>
              <w:spacing w:after="0"/>
              <w:rPr>
                <w:sz w:val="12"/>
                <w:szCs w:val="12"/>
                <w:color w:val="auto"/>
              </w:rPr>
            </w:pPr>
          </w:p>
        </w:tc>
        <w:tc>
          <w:tcPr>
            <w:tcW w:w="700" w:type="dxa"/>
            <w:vAlign w:val="bottom"/>
            <w:gridSpan w:val="2"/>
          </w:tcPr>
          <w:p>
            <w:pPr>
              <w:spacing w:after="0" w:line="142" w:lineRule="exact"/>
              <w:rPr>
                <w:sz w:val="20"/>
                <w:szCs w:val="20"/>
                <w:color w:val="auto"/>
              </w:rPr>
            </w:pPr>
            <w:r>
              <w:rPr>
                <w:rFonts w:ascii="Arial" w:cs="Arial" w:eastAsia="Arial" w:hAnsi="Arial"/>
                <w:sz w:val="14"/>
                <w:szCs w:val="14"/>
                <w:b w:val="1"/>
                <w:bCs w:val="1"/>
                <w:color w:val="auto"/>
                <w:w w:val="87"/>
              </w:rPr>
              <w:t>(Unaudited)</w:t>
            </w:r>
          </w:p>
        </w:tc>
        <w:tc>
          <w:tcPr>
            <w:tcW w:w="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60" w:type="dxa"/>
            <w:vAlign w:val="bottom"/>
            <w:shd w:val="clear" w:color="auto" w:fill="CCEEFF"/>
          </w:tcPr>
          <w:p>
            <w:pPr>
              <w:ind w:left="4280"/>
              <w:spacing w:after="0"/>
              <w:rPr>
                <w:sz w:val="20"/>
                <w:szCs w:val="20"/>
                <w:color w:val="auto"/>
              </w:rPr>
            </w:pPr>
            <w:r>
              <w:rPr>
                <w:rFonts w:ascii="Arial" w:cs="Arial" w:eastAsia="Arial" w:hAnsi="Arial"/>
                <w:sz w:val="18"/>
                <w:szCs w:val="18"/>
                <w:b w:val="1"/>
                <w:bCs w:val="1"/>
                <w:color w:val="auto"/>
              </w:rPr>
              <w:t>ASSETS</w:t>
            </w: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60" w:type="dxa"/>
            <w:vAlign w:val="bottom"/>
          </w:tcPr>
          <w:p>
            <w:pPr>
              <w:spacing w:after="0"/>
              <w:rPr>
                <w:sz w:val="20"/>
                <w:szCs w:val="20"/>
                <w:color w:val="auto"/>
              </w:rPr>
            </w:pPr>
            <w:r>
              <w:rPr>
                <w:rFonts w:ascii="Arial" w:cs="Arial" w:eastAsia="Arial" w:hAnsi="Arial"/>
                <w:sz w:val="18"/>
                <w:szCs w:val="18"/>
                <w:color w:val="auto"/>
              </w:rPr>
              <w:t>Current assets:</w:t>
            </w:r>
          </w:p>
        </w:tc>
        <w:tc>
          <w:tcPr>
            <w:tcW w:w="1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Cash and cash equivalents</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5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698.5</w:t>
            </w: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917.6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60" w:type="dxa"/>
            <w:vAlign w:val="bottom"/>
          </w:tcPr>
          <w:p>
            <w:pPr>
              <w:ind w:left="420"/>
              <w:spacing w:after="0"/>
              <w:rPr>
                <w:sz w:val="20"/>
                <w:szCs w:val="20"/>
                <w:color w:val="auto"/>
              </w:rPr>
            </w:pPr>
            <w:r>
              <w:rPr>
                <w:rFonts w:ascii="Arial" w:cs="Arial" w:eastAsia="Arial" w:hAnsi="Arial"/>
                <w:sz w:val="18"/>
                <w:szCs w:val="18"/>
                <w:color w:val="auto"/>
              </w:rPr>
              <w:t>Marketable securities</w:t>
            </w:r>
          </w:p>
        </w:tc>
        <w:tc>
          <w:tcPr>
            <w:tcW w:w="140" w:type="dxa"/>
            <w:vAlign w:val="bottom"/>
          </w:tcPr>
          <w:p>
            <w:pPr>
              <w:spacing w:after="0"/>
              <w:rPr>
                <w:sz w:val="18"/>
                <w:szCs w:val="18"/>
                <w:color w:val="auto"/>
              </w:rPr>
            </w:pPr>
          </w:p>
        </w:tc>
        <w:tc>
          <w:tcPr>
            <w:tcW w:w="580" w:type="dxa"/>
            <w:vAlign w:val="bottom"/>
            <w:gridSpan w:val="2"/>
          </w:tcPr>
          <w:p>
            <w:pPr>
              <w:jc w:val="right"/>
              <w:ind w:right="20"/>
              <w:spacing w:after="0"/>
              <w:rPr>
                <w:sz w:val="20"/>
                <w:szCs w:val="20"/>
                <w:color w:val="auto"/>
              </w:rPr>
            </w:pPr>
            <w:r>
              <w:rPr>
                <w:rFonts w:ascii="Arial" w:cs="Arial" w:eastAsia="Arial" w:hAnsi="Arial"/>
                <w:sz w:val="18"/>
                <w:szCs w:val="18"/>
                <w:color w:val="auto"/>
              </w:rPr>
              <w:t>263.1</w:t>
            </w: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63.5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Accounts receivable, net</w:t>
            </w:r>
          </w:p>
        </w:tc>
        <w:tc>
          <w:tcPr>
            <w:tcW w:w="14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215.7</w:t>
            </w: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316.5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60" w:type="dxa"/>
            <w:vAlign w:val="bottom"/>
          </w:tcPr>
          <w:p>
            <w:pPr>
              <w:ind w:left="420"/>
              <w:spacing w:after="0"/>
              <w:rPr>
                <w:sz w:val="20"/>
                <w:szCs w:val="20"/>
                <w:color w:val="auto"/>
              </w:rPr>
            </w:pPr>
            <w:r>
              <w:rPr>
                <w:rFonts w:ascii="Arial" w:cs="Arial" w:eastAsia="Arial" w:hAnsi="Arial"/>
                <w:sz w:val="18"/>
                <w:szCs w:val="18"/>
                <w:color w:val="auto"/>
              </w:rPr>
              <w:t>Deferred income taxes</w:t>
            </w:r>
          </w:p>
        </w:tc>
        <w:tc>
          <w:tcPr>
            <w:tcW w:w="140" w:type="dxa"/>
            <w:vAlign w:val="bottom"/>
          </w:tcPr>
          <w:p>
            <w:pPr>
              <w:spacing w:after="0"/>
              <w:rPr>
                <w:sz w:val="18"/>
                <w:szCs w:val="18"/>
                <w:color w:val="auto"/>
              </w:rPr>
            </w:pPr>
          </w:p>
        </w:tc>
        <w:tc>
          <w:tcPr>
            <w:tcW w:w="580" w:type="dxa"/>
            <w:vAlign w:val="bottom"/>
            <w:gridSpan w:val="2"/>
          </w:tcPr>
          <w:p>
            <w:pPr>
              <w:jc w:val="right"/>
              <w:ind w:right="20"/>
              <w:spacing w:after="0"/>
              <w:rPr>
                <w:sz w:val="20"/>
                <w:szCs w:val="20"/>
                <w:color w:val="auto"/>
              </w:rPr>
            </w:pPr>
            <w:r>
              <w:rPr>
                <w:rFonts w:ascii="Arial" w:cs="Arial" w:eastAsia="Arial" w:hAnsi="Arial"/>
                <w:sz w:val="18"/>
                <w:szCs w:val="18"/>
                <w:color w:val="auto"/>
              </w:rPr>
              <w:t>49.8</w:t>
            </w: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31.1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Prepaid expenses and other current assets</w:t>
            </w:r>
          </w:p>
        </w:tc>
        <w:tc>
          <w:tcPr>
            <w:tcW w:w="14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60.0</w:t>
            </w:r>
          </w:p>
        </w:tc>
        <w:tc>
          <w:tcPr>
            <w:tcW w:w="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9580" w:type="dxa"/>
            <w:vAlign w:val="bottom"/>
            <w:gridSpan w:val="2"/>
          </w:tcPr>
          <w:p>
            <w:pPr>
              <w:spacing w:after="0"/>
              <w:rPr>
                <w:sz w:val="20"/>
                <w:szCs w:val="20"/>
                <w:color w:val="auto"/>
              </w:rPr>
            </w:pPr>
            <w:r>
              <w:rPr>
                <w:rFonts w:ascii="Arial" w:cs="Arial" w:eastAsia="Arial" w:hAnsi="Arial"/>
                <w:sz w:val="18"/>
                <w:szCs w:val="18"/>
                <w:color w:val="auto"/>
              </w:rPr>
              <w:t>Total current assets</w:t>
            </w:r>
          </w:p>
        </w:tc>
        <w:tc>
          <w:tcPr>
            <w:tcW w:w="140" w:type="dxa"/>
            <w:vAlign w:val="bottom"/>
          </w:tcPr>
          <w:p>
            <w:pPr>
              <w:spacing w:after="0"/>
              <w:rPr>
                <w:sz w:val="19"/>
                <w:szCs w:val="19"/>
                <w:color w:val="auto"/>
              </w:rPr>
            </w:pPr>
          </w:p>
        </w:tc>
        <w:tc>
          <w:tcPr>
            <w:tcW w:w="580" w:type="dxa"/>
            <w:vAlign w:val="bottom"/>
            <w:gridSpan w:val="2"/>
          </w:tcPr>
          <w:p>
            <w:pPr>
              <w:jc w:val="right"/>
              <w:ind w:right="20"/>
              <w:spacing w:after="0"/>
              <w:rPr>
                <w:sz w:val="20"/>
                <w:szCs w:val="20"/>
                <w:color w:val="auto"/>
              </w:rPr>
            </w:pPr>
            <w:r>
              <w:rPr>
                <w:rFonts w:ascii="Arial" w:cs="Arial" w:eastAsia="Arial" w:hAnsi="Arial"/>
                <w:sz w:val="18"/>
                <w:szCs w:val="18"/>
                <w:color w:val="auto"/>
                <w:w w:val="89"/>
              </w:rPr>
              <w:t>1,287.1</w:t>
            </w:r>
          </w:p>
        </w:tc>
        <w:tc>
          <w:tcPr>
            <w:tcW w:w="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w w:val="93"/>
              </w:rPr>
              <w:t>1,388.0</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9560" w:type="dxa"/>
            <w:vAlign w:val="bottom"/>
            <w:shd w:val="clear" w:color="auto" w:fill="CCEEFF"/>
          </w:tcPr>
          <w:p>
            <w:pPr>
              <w:spacing w:after="0"/>
              <w:rPr>
                <w:sz w:val="20"/>
                <w:szCs w:val="20"/>
                <w:color w:val="auto"/>
              </w:rPr>
            </w:pPr>
            <w:r>
              <w:rPr>
                <w:rFonts w:ascii="Arial" w:cs="Arial" w:eastAsia="Arial" w:hAnsi="Arial"/>
                <w:sz w:val="18"/>
                <w:szCs w:val="18"/>
                <w:color w:val="auto"/>
              </w:rPr>
              <w:t>Marketable securities</w:t>
            </w:r>
          </w:p>
        </w:tc>
        <w:tc>
          <w:tcPr>
            <w:tcW w:w="14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92.0</w:t>
            </w: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60" w:type="dxa"/>
            <w:vAlign w:val="bottom"/>
          </w:tcPr>
          <w:p>
            <w:pPr>
              <w:spacing w:after="0"/>
              <w:rPr>
                <w:sz w:val="20"/>
                <w:szCs w:val="20"/>
                <w:color w:val="auto"/>
              </w:rPr>
            </w:pPr>
            <w:r>
              <w:rPr>
                <w:rFonts w:ascii="Arial" w:cs="Arial" w:eastAsia="Arial" w:hAnsi="Arial"/>
                <w:sz w:val="18"/>
                <w:szCs w:val="18"/>
                <w:color w:val="auto"/>
              </w:rPr>
              <w:t>Computer equipment, software, furniture and leasehold improvements, net</w:t>
            </w:r>
          </w:p>
        </w:tc>
        <w:tc>
          <w:tcPr>
            <w:tcW w:w="140" w:type="dxa"/>
            <w:vAlign w:val="bottom"/>
          </w:tcPr>
          <w:p>
            <w:pPr>
              <w:spacing w:after="0"/>
              <w:rPr>
                <w:sz w:val="18"/>
                <w:szCs w:val="18"/>
                <w:color w:val="auto"/>
              </w:rPr>
            </w:pPr>
          </w:p>
        </w:tc>
        <w:tc>
          <w:tcPr>
            <w:tcW w:w="580" w:type="dxa"/>
            <w:vAlign w:val="bottom"/>
            <w:gridSpan w:val="2"/>
          </w:tcPr>
          <w:p>
            <w:pPr>
              <w:jc w:val="right"/>
              <w:ind w:right="20"/>
              <w:spacing w:after="0"/>
              <w:rPr>
                <w:sz w:val="20"/>
                <w:szCs w:val="20"/>
                <w:color w:val="auto"/>
              </w:rPr>
            </w:pPr>
            <w:r>
              <w:rPr>
                <w:rFonts w:ascii="Arial" w:cs="Arial" w:eastAsia="Arial" w:hAnsi="Arial"/>
                <w:sz w:val="18"/>
                <w:szCs w:val="18"/>
                <w:color w:val="auto"/>
              </w:rPr>
              <w:t>111.9</w:t>
            </w: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120.6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60" w:type="dxa"/>
            <w:vAlign w:val="bottom"/>
            <w:shd w:val="clear" w:color="auto" w:fill="CCEEFF"/>
          </w:tcPr>
          <w:p>
            <w:pPr>
              <w:spacing w:after="0"/>
              <w:rPr>
                <w:sz w:val="20"/>
                <w:szCs w:val="20"/>
                <w:color w:val="auto"/>
              </w:rPr>
            </w:pPr>
            <w:r>
              <w:rPr>
                <w:rFonts w:ascii="Arial" w:cs="Arial" w:eastAsia="Arial" w:hAnsi="Arial"/>
                <w:sz w:val="18"/>
                <w:szCs w:val="18"/>
                <w:color w:val="auto"/>
              </w:rPr>
              <w:t>Purchased technologies, net</w:t>
            </w:r>
          </w:p>
        </w:tc>
        <w:tc>
          <w:tcPr>
            <w:tcW w:w="14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88.9</w:t>
            </w: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113.3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60" w:type="dxa"/>
            <w:vAlign w:val="bottom"/>
          </w:tcPr>
          <w:p>
            <w:pPr>
              <w:spacing w:after="0"/>
              <w:rPr>
                <w:sz w:val="20"/>
                <w:szCs w:val="20"/>
                <w:color w:val="auto"/>
              </w:rPr>
            </w:pPr>
            <w:r>
              <w:rPr>
                <w:rFonts w:ascii="Arial" w:cs="Arial" w:eastAsia="Arial" w:hAnsi="Arial"/>
                <w:sz w:val="18"/>
                <w:szCs w:val="18"/>
                <w:color w:val="auto"/>
              </w:rPr>
              <w:t>Goodwill</w:t>
            </w:r>
          </w:p>
        </w:tc>
        <w:tc>
          <w:tcPr>
            <w:tcW w:w="140" w:type="dxa"/>
            <w:vAlign w:val="bottom"/>
          </w:tcPr>
          <w:p>
            <w:pPr>
              <w:spacing w:after="0"/>
              <w:rPr>
                <w:sz w:val="18"/>
                <w:szCs w:val="18"/>
                <w:color w:val="auto"/>
              </w:rPr>
            </w:pPr>
          </w:p>
        </w:tc>
        <w:tc>
          <w:tcPr>
            <w:tcW w:w="580" w:type="dxa"/>
            <w:vAlign w:val="bottom"/>
            <w:gridSpan w:val="2"/>
          </w:tcPr>
          <w:p>
            <w:pPr>
              <w:jc w:val="right"/>
              <w:ind w:right="20"/>
              <w:spacing w:after="0"/>
              <w:rPr>
                <w:sz w:val="20"/>
                <w:szCs w:val="20"/>
                <w:color w:val="auto"/>
              </w:rPr>
            </w:pPr>
            <w:r>
              <w:rPr>
                <w:rFonts w:ascii="Arial" w:cs="Arial" w:eastAsia="Arial" w:hAnsi="Arial"/>
                <w:sz w:val="18"/>
                <w:szCs w:val="18"/>
                <w:color w:val="auto"/>
              </w:rPr>
              <w:t>530.5</w:t>
            </w: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542.5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60" w:type="dxa"/>
            <w:vAlign w:val="bottom"/>
            <w:shd w:val="clear" w:color="auto" w:fill="CCEEFF"/>
          </w:tcPr>
          <w:p>
            <w:pPr>
              <w:spacing w:after="0"/>
              <w:rPr>
                <w:sz w:val="20"/>
                <w:szCs w:val="20"/>
                <w:color w:val="auto"/>
              </w:rPr>
            </w:pPr>
            <w:r>
              <w:rPr>
                <w:rFonts w:ascii="Arial" w:cs="Arial" w:eastAsia="Arial" w:hAnsi="Arial"/>
                <w:sz w:val="18"/>
                <w:szCs w:val="18"/>
                <w:color w:val="auto"/>
              </w:rPr>
              <w:t>Long term deferred income taxes, net</w:t>
            </w:r>
          </w:p>
        </w:tc>
        <w:tc>
          <w:tcPr>
            <w:tcW w:w="14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92.7</w:t>
            </w: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125.7</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560" w:type="dxa"/>
            <w:vAlign w:val="bottom"/>
          </w:tcPr>
          <w:p>
            <w:pPr>
              <w:spacing w:after="0"/>
              <w:rPr>
                <w:sz w:val="20"/>
                <w:szCs w:val="20"/>
                <w:color w:val="auto"/>
              </w:rPr>
            </w:pPr>
            <w:r>
              <w:rPr>
                <w:rFonts w:ascii="Arial" w:cs="Arial" w:eastAsia="Arial" w:hAnsi="Arial"/>
                <w:sz w:val="18"/>
                <w:szCs w:val="18"/>
                <w:color w:val="auto"/>
              </w:rPr>
              <w:t>Other assets</w:t>
            </w:r>
          </w:p>
        </w:tc>
        <w:tc>
          <w:tcPr>
            <w:tcW w:w="14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112.3</w:t>
            </w:r>
          </w:p>
        </w:tc>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123.0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5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89"/>
              </w:rPr>
              <w:t>2,315.4</w:t>
            </w: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3"/>
              </w:rPr>
              <w:t>2,420.7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560" w:type="dxa"/>
            <w:vAlign w:val="bottom"/>
            <w:vMerge w:val="restart"/>
          </w:tcPr>
          <w:p>
            <w:pPr>
              <w:ind w:left="2700"/>
              <w:spacing w:after="0"/>
              <w:rPr>
                <w:sz w:val="20"/>
                <w:szCs w:val="20"/>
                <w:color w:val="auto"/>
              </w:rPr>
            </w:pPr>
            <w:r>
              <w:rPr>
                <w:rFonts w:ascii="Arial" w:cs="Arial" w:eastAsia="Arial" w:hAnsi="Arial"/>
                <w:sz w:val="18"/>
                <w:szCs w:val="18"/>
                <w:b w:val="1"/>
                <w:bCs w:val="1"/>
                <w:color w:val="auto"/>
              </w:rPr>
              <w:t>LIABILITIES AND STOCKHOLDERS’ EQUITY</w:t>
            </w:r>
          </w:p>
        </w:tc>
        <w:tc>
          <w:tcPr>
            <w:tcW w:w="1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20" w:type="dxa"/>
            <w:vAlign w:val="bottom"/>
          </w:tcPr>
          <w:p>
            <w:pPr>
              <w:spacing w:after="0"/>
              <w:rPr>
                <w:sz w:val="18"/>
                <w:szCs w:val="18"/>
                <w:color w:val="auto"/>
              </w:rPr>
            </w:pPr>
          </w:p>
        </w:tc>
        <w:tc>
          <w:tcPr>
            <w:tcW w:w="9560" w:type="dxa"/>
            <w:vAlign w:val="bottom"/>
            <w:vMerge w:val="continue"/>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9560" w:type="dxa"/>
            <w:vAlign w:val="bottom"/>
            <w:shd w:val="clear" w:color="auto" w:fill="CCEEFF"/>
          </w:tcPr>
          <w:p>
            <w:pPr>
              <w:spacing w:after="0"/>
              <w:rPr>
                <w:sz w:val="20"/>
                <w:szCs w:val="20"/>
                <w:color w:val="auto"/>
              </w:rPr>
            </w:pPr>
            <w:r>
              <w:rPr>
                <w:rFonts w:ascii="Arial" w:cs="Arial" w:eastAsia="Arial" w:hAnsi="Arial"/>
                <w:sz w:val="18"/>
                <w:szCs w:val="18"/>
                <w:color w:val="auto"/>
              </w:rPr>
              <w:t>Current liabilities:</w:t>
            </w: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60" w:type="dxa"/>
            <w:vAlign w:val="bottom"/>
          </w:tcPr>
          <w:p>
            <w:pPr>
              <w:ind w:left="420"/>
              <w:spacing w:after="0"/>
              <w:rPr>
                <w:sz w:val="20"/>
                <w:szCs w:val="20"/>
                <w:color w:val="auto"/>
              </w:rPr>
            </w:pPr>
            <w:r>
              <w:rPr>
                <w:rFonts w:ascii="Arial" w:cs="Arial" w:eastAsia="Arial" w:hAnsi="Arial"/>
                <w:sz w:val="18"/>
                <w:szCs w:val="18"/>
                <w:color w:val="auto"/>
              </w:rPr>
              <w:t>Accounts payable</w:t>
            </w: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580" w:type="dxa"/>
            <w:vAlign w:val="bottom"/>
            <w:gridSpan w:val="2"/>
          </w:tcPr>
          <w:p>
            <w:pPr>
              <w:jc w:val="right"/>
              <w:ind w:right="20"/>
              <w:spacing w:after="0"/>
              <w:rPr>
                <w:sz w:val="20"/>
                <w:szCs w:val="20"/>
                <w:color w:val="auto"/>
              </w:rPr>
            </w:pPr>
            <w:r>
              <w:rPr>
                <w:rFonts w:ascii="Arial" w:cs="Arial" w:eastAsia="Arial" w:hAnsi="Arial"/>
                <w:sz w:val="18"/>
                <w:szCs w:val="18"/>
                <w:color w:val="auto"/>
              </w:rPr>
              <w:t>60.0</w:t>
            </w:r>
          </w:p>
        </w:tc>
        <w:tc>
          <w:tcPr>
            <w:tcW w:w="320" w:type="dxa"/>
            <w:vAlign w:val="bottom"/>
          </w:tcPr>
          <w:p>
            <w:pPr>
              <w:spacing w:after="0"/>
              <w:rPr>
                <w:sz w:val="18"/>
                <w:szCs w:val="18"/>
                <w:color w:val="auto"/>
              </w:rPr>
            </w:pP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62.4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Accrued compensation</w:t>
            </w:r>
          </w:p>
        </w:tc>
        <w:tc>
          <w:tcPr>
            <w:tcW w:w="14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98.9</w:t>
            </w: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124.3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60" w:type="dxa"/>
            <w:vAlign w:val="bottom"/>
          </w:tcPr>
          <w:p>
            <w:pPr>
              <w:ind w:left="420"/>
              <w:spacing w:after="0"/>
              <w:rPr>
                <w:sz w:val="20"/>
                <w:szCs w:val="20"/>
                <w:color w:val="auto"/>
              </w:rPr>
            </w:pPr>
            <w:r>
              <w:rPr>
                <w:rFonts w:ascii="Arial" w:cs="Arial" w:eastAsia="Arial" w:hAnsi="Arial"/>
                <w:sz w:val="18"/>
                <w:szCs w:val="18"/>
                <w:color w:val="auto"/>
              </w:rPr>
              <w:t>Accrued income taxes</w:t>
            </w:r>
          </w:p>
        </w:tc>
        <w:tc>
          <w:tcPr>
            <w:tcW w:w="140" w:type="dxa"/>
            <w:vAlign w:val="bottom"/>
          </w:tcPr>
          <w:p>
            <w:pPr>
              <w:spacing w:after="0"/>
              <w:rPr>
                <w:sz w:val="18"/>
                <w:szCs w:val="18"/>
                <w:color w:val="auto"/>
              </w:rPr>
            </w:pPr>
          </w:p>
        </w:tc>
        <w:tc>
          <w:tcPr>
            <w:tcW w:w="580" w:type="dxa"/>
            <w:vAlign w:val="bottom"/>
            <w:gridSpan w:val="2"/>
          </w:tcPr>
          <w:p>
            <w:pPr>
              <w:jc w:val="right"/>
              <w:ind w:right="20"/>
              <w:spacing w:after="0"/>
              <w:rPr>
                <w:sz w:val="20"/>
                <w:szCs w:val="20"/>
                <w:color w:val="auto"/>
              </w:rPr>
            </w:pPr>
            <w:r>
              <w:rPr>
                <w:rFonts w:ascii="Arial" w:cs="Arial" w:eastAsia="Arial" w:hAnsi="Arial"/>
                <w:sz w:val="18"/>
                <w:szCs w:val="18"/>
                <w:color w:val="auto"/>
              </w:rPr>
              <w:t>9.8</w:t>
            </w: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16.7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Deferred revenue</w:t>
            </w:r>
          </w:p>
        </w:tc>
        <w:tc>
          <w:tcPr>
            <w:tcW w:w="14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401.2</w:t>
            </w: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438.8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60" w:type="dxa"/>
            <w:vAlign w:val="bottom"/>
          </w:tcPr>
          <w:p>
            <w:pPr>
              <w:ind w:left="420"/>
              <w:spacing w:after="0"/>
              <w:rPr>
                <w:sz w:val="20"/>
                <w:szCs w:val="20"/>
                <w:color w:val="auto"/>
              </w:rPr>
            </w:pPr>
            <w:r>
              <w:rPr>
                <w:rFonts w:ascii="Arial" w:cs="Arial" w:eastAsia="Arial" w:hAnsi="Arial"/>
                <w:sz w:val="18"/>
                <w:szCs w:val="18"/>
                <w:color w:val="auto"/>
              </w:rPr>
              <w:t>Borrowings under line of credit</w:t>
            </w:r>
          </w:p>
        </w:tc>
        <w:tc>
          <w:tcPr>
            <w:tcW w:w="140" w:type="dxa"/>
            <w:vAlign w:val="bottom"/>
          </w:tcPr>
          <w:p>
            <w:pPr>
              <w:spacing w:after="0"/>
              <w:rPr>
                <w:sz w:val="18"/>
                <w:szCs w:val="18"/>
                <w:color w:val="auto"/>
              </w:rPr>
            </w:pPr>
          </w:p>
        </w:tc>
        <w:tc>
          <w:tcPr>
            <w:tcW w:w="900" w:type="dxa"/>
            <w:vAlign w:val="bottom"/>
            <w:gridSpan w:val="3"/>
          </w:tcPr>
          <w:p>
            <w:pPr>
              <w:ind w:left="3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52.1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Other accrued liabilities</w:t>
            </w:r>
          </w:p>
        </w:tc>
        <w:tc>
          <w:tcPr>
            <w:tcW w:w="14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57.4</w:t>
            </w:r>
          </w:p>
        </w:tc>
        <w:tc>
          <w:tcPr>
            <w:tcW w:w="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105.8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9580" w:type="dxa"/>
            <w:vAlign w:val="bottom"/>
            <w:gridSpan w:val="2"/>
          </w:tcPr>
          <w:p>
            <w:pPr>
              <w:spacing w:after="0"/>
              <w:rPr>
                <w:sz w:val="20"/>
                <w:szCs w:val="20"/>
                <w:color w:val="auto"/>
              </w:rPr>
            </w:pPr>
            <w:r>
              <w:rPr>
                <w:rFonts w:ascii="Arial" w:cs="Arial" w:eastAsia="Arial" w:hAnsi="Arial"/>
                <w:sz w:val="18"/>
                <w:szCs w:val="18"/>
                <w:color w:val="auto"/>
              </w:rPr>
              <w:t>Total current liabilities</w:t>
            </w:r>
          </w:p>
        </w:tc>
        <w:tc>
          <w:tcPr>
            <w:tcW w:w="140" w:type="dxa"/>
            <w:vAlign w:val="bottom"/>
          </w:tcPr>
          <w:p>
            <w:pPr>
              <w:spacing w:after="0"/>
              <w:rPr>
                <w:sz w:val="19"/>
                <w:szCs w:val="19"/>
                <w:color w:val="auto"/>
              </w:rPr>
            </w:pPr>
          </w:p>
        </w:tc>
        <w:tc>
          <w:tcPr>
            <w:tcW w:w="580" w:type="dxa"/>
            <w:vAlign w:val="bottom"/>
            <w:gridSpan w:val="2"/>
          </w:tcPr>
          <w:p>
            <w:pPr>
              <w:jc w:val="right"/>
              <w:ind w:right="20"/>
              <w:spacing w:after="0"/>
              <w:rPr>
                <w:sz w:val="20"/>
                <w:szCs w:val="20"/>
                <w:color w:val="auto"/>
              </w:rPr>
            </w:pPr>
            <w:r>
              <w:rPr>
                <w:rFonts w:ascii="Arial" w:cs="Arial" w:eastAsia="Arial" w:hAnsi="Arial"/>
                <w:sz w:val="18"/>
                <w:szCs w:val="18"/>
                <w:color w:val="auto"/>
              </w:rPr>
              <w:t>627.3</w:t>
            </w:r>
          </w:p>
        </w:tc>
        <w:tc>
          <w:tcPr>
            <w:tcW w:w="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800.1</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9560" w:type="dxa"/>
            <w:vAlign w:val="bottom"/>
            <w:shd w:val="clear" w:color="auto" w:fill="CCEEFF"/>
          </w:tcPr>
          <w:p>
            <w:pPr>
              <w:spacing w:after="0"/>
              <w:rPr>
                <w:sz w:val="20"/>
                <w:szCs w:val="20"/>
                <w:color w:val="auto"/>
              </w:rPr>
            </w:pPr>
            <w:r>
              <w:rPr>
                <w:rFonts w:ascii="Arial" w:cs="Arial" w:eastAsia="Arial" w:hAnsi="Arial"/>
                <w:sz w:val="18"/>
                <w:szCs w:val="18"/>
                <w:color w:val="auto"/>
              </w:rPr>
              <w:t>Deferred revenue</w:t>
            </w:r>
          </w:p>
        </w:tc>
        <w:tc>
          <w:tcPr>
            <w:tcW w:w="14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68.3</w:t>
            </w: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113.3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60" w:type="dxa"/>
            <w:vAlign w:val="bottom"/>
          </w:tcPr>
          <w:p>
            <w:pPr>
              <w:spacing w:after="0"/>
              <w:rPr>
                <w:sz w:val="20"/>
                <w:szCs w:val="20"/>
                <w:color w:val="auto"/>
              </w:rPr>
            </w:pPr>
            <w:r>
              <w:rPr>
                <w:rFonts w:ascii="Arial" w:cs="Arial" w:eastAsia="Arial" w:hAnsi="Arial"/>
                <w:sz w:val="18"/>
                <w:szCs w:val="18"/>
                <w:color w:val="auto"/>
              </w:rPr>
              <w:t>Long term income taxes payable</w:t>
            </w:r>
          </w:p>
        </w:tc>
        <w:tc>
          <w:tcPr>
            <w:tcW w:w="140" w:type="dxa"/>
            <w:vAlign w:val="bottom"/>
          </w:tcPr>
          <w:p>
            <w:pPr>
              <w:spacing w:after="0"/>
              <w:rPr>
                <w:sz w:val="18"/>
                <w:szCs w:val="18"/>
                <w:color w:val="auto"/>
              </w:rPr>
            </w:pPr>
          </w:p>
        </w:tc>
        <w:tc>
          <w:tcPr>
            <w:tcW w:w="580" w:type="dxa"/>
            <w:vAlign w:val="bottom"/>
            <w:gridSpan w:val="2"/>
          </w:tcPr>
          <w:p>
            <w:pPr>
              <w:jc w:val="right"/>
              <w:ind w:right="20"/>
              <w:spacing w:after="0"/>
              <w:rPr>
                <w:sz w:val="20"/>
                <w:szCs w:val="20"/>
                <w:color w:val="auto"/>
              </w:rPr>
            </w:pPr>
            <w:r>
              <w:rPr>
                <w:rFonts w:ascii="Arial" w:cs="Arial" w:eastAsia="Arial" w:hAnsi="Arial"/>
                <w:sz w:val="18"/>
                <w:szCs w:val="18"/>
                <w:color w:val="auto"/>
              </w:rPr>
              <w:t>123.2</w:t>
            </w: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116.9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60" w:type="dxa"/>
            <w:vAlign w:val="bottom"/>
            <w:shd w:val="clear" w:color="auto" w:fill="CCEEFF"/>
          </w:tcPr>
          <w:p>
            <w:pPr>
              <w:spacing w:after="0"/>
              <w:rPr>
                <w:sz w:val="20"/>
                <w:szCs w:val="20"/>
                <w:color w:val="auto"/>
              </w:rPr>
            </w:pPr>
            <w:r>
              <w:rPr>
                <w:rFonts w:ascii="Arial" w:cs="Arial" w:eastAsia="Arial" w:hAnsi="Arial"/>
                <w:sz w:val="18"/>
                <w:szCs w:val="18"/>
                <w:color w:val="auto"/>
              </w:rPr>
              <w:t>Long term deferred income taxes</w:t>
            </w:r>
          </w:p>
        </w:tc>
        <w:tc>
          <w:tcPr>
            <w:tcW w:w="140" w:type="dxa"/>
            <w:vAlign w:val="bottom"/>
            <w:shd w:val="clear" w:color="auto" w:fill="CCEEFF"/>
          </w:tcPr>
          <w:p>
            <w:pPr>
              <w:spacing w:after="0"/>
              <w:rPr>
                <w:sz w:val="18"/>
                <w:szCs w:val="18"/>
                <w:color w:val="auto"/>
              </w:rPr>
            </w:pPr>
          </w:p>
        </w:tc>
        <w:tc>
          <w:tcPr>
            <w:tcW w:w="900" w:type="dxa"/>
            <w:vAlign w:val="bottom"/>
            <w:gridSpan w:val="3"/>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60" w:type="dxa"/>
            <w:vAlign w:val="bottom"/>
          </w:tcPr>
          <w:p>
            <w:pPr>
              <w:spacing w:after="0"/>
              <w:rPr>
                <w:sz w:val="20"/>
                <w:szCs w:val="20"/>
                <w:color w:val="auto"/>
              </w:rPr>
            </w:pPr>
            <w:r>
              <w:rPr>
                <w:rFonts w:ascii="Arial" w:cs="Arial" w:eastAsia="Arial" w:hAnsi="Arial"/>
                <w:sz w:val="18"/>
                <w:szCs w:val="18"/>
                <w:color w:val="auto"/>
              </w:rPr>
              <w:t>Other liabilities</w:t>
            </w:r>
          </w:p>
        </w:tc>
        <w:tc>
          <w:tcPr>
            <w:tcW w:w="140" w:type="dxa"/>
            <w:vAlign w:val="bottom"/>
          </w:tcPr>
          <w:p>
            <w:pPr>
              <w:spacing w:after="0"/>
              <w:rPr>
                <w:sz w:val="18"/>
                <w:szCs w:val="18"/>
                <w:color w:val="auto"/>
              </w:rPr>
            </w:pPr>
          </w:p>
        </w:tc>
        <w:tc>
          <w:tcPr>
            <w:tcW w:w="580" w:type="dxa"/>
            <w:vAlign w:val="bottom"/>
            <w:gridSpan w:val="2"/>
          </w:tcPr>
          <w:p>
            <w:pPr>
              <w:jc w:val="right"/>
              <w:ind w:right="20"/>
              <w:spacing w:after="0"/>
              <w:rPr>
                <w:sz w:val="20"/>
                <w:szCs w:val="20"/>
                <w:color w:val="auto"/>
              </w:rPr>
            </w:pPr>
            <w:r>
              <w:rPr>
                <w:rFonts w:ascii="Arial" w:cs="Arial" w:eastAsia="Arial" w:hAnsi="Arial"/>
                <w:sz w:val="18"/>
                <w:szCs w:val="18"/>
                <w:color w:val="auto"/>
              </w:rPr>
              <w:t>64.9</w:t>
            </w: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57.0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60" w:type="dxa"/>
            <w:vAlign w:val="bottom"/>
            <w:shd w:val="clear" w:color="auto" w:fill="CCEEFF"/>
          </w:tcPr>
          <w:p>
            <w:pPr>
              <w:spacing w:after="0"/>
              <w:rPr>
                <w:sz w:val="20"/>
                <w:szCs w:val="20"/>
                <w:color w:val="auto"/>
              </w:rPr>
            </w:pPr>
            <w:r>
              <w:rPr>
                <w:rFonts w:ascii="Arial" w:cs="Arial" w:eastAsia="Arial" w:hAnsi="Arial"/>
                <w:sz w:val="18"/>
                <w:szCs w:val="18"/>
                <w:color w:val="auto"/>
              </w:rPr>
              <w:t>Commitments and contingencies</w:t>
            </w: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60" w:type="dxa"/>
            <w:vAlign w:val="bottom"/>
          </w:tcPr>
          <w:p>
            <w:pPr>
              <w:spacing w:after="0"/>
              <w:rPr>
                <w:sz w:val="20"/>
                <w:szCs w:val="20"/>
                <w:color w:val="auto"/>
              </w:rPr>
            </w:pPr>
            <w:r>
              <w:rPr>
                <w:rFonts w:ascii="Arial" w:cs="Arial" w:eastAsia="Arial" w:hAnsi="Arial"/>
                <w:sz w:val="18"/>
                <w:szCs w:val="18"/>
                <w:color w:val="auto"/>
              </w:rPr>
              <w:t>Stockholders’ equity:</w:t>
            </w:r>
          </w:p>
        </w:tc>
        <w:tc>
          <w:tcPr>
            <w:tcW w:w="1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Preferred stock</w:t>
            </w:r>
          </w:p>
        </w:tc>
        <w:tc>
          <w:tcPr>
            <w:tcW w:w="140" w:type="dxa"/>
            <w:vAlign w:val="bottom"/>
            <w:shd w:val="clear" w:color="auto" w:fill="CCEEFF"/>
          </w:tcPr>
          <w:p>
            <w:pPr>
              <w:spacing w:after="0"/>
              <w:rPr>
                <w:sz w:val="18"/>
                <w:szCs w:val="18"/>
                <w:color w:val="auto"/>
              </w:rPr>
            </w:pPr>
          </w:p>
        </w:tc>
        <w:tc>
          <w:tcPr>
            <w:tcW w:w="900" w:type="dxa"/>
            <w:vAlign w:val="bottom"/>
            <w:gridSpan w:val="3"/>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60" w:type="dxa"/>
            <w:vAlign w:val="bottom"/>
          </w:tcPr>
          <w:p>
            <w:pPr>
              <w:ind w:left="420"/>
              <w:spacing w:after="0"/>
              <w:rPr>
                <w:sz w:val="20"/>
                <w:szCs w:val="20"/>
                <w:color w:val="auto"/>
              </w:rPr>
            </w:pPr>
            <w:r>
              <w:rPr>
                <w:rFonts w:ascii="Arial" w:cs="Arial" w:eastAsia="Arial" w:hAnsi="Arial"/>
                <w:sz w:val="18"/>
                <w:szCs w:val="18"/>
                <w:color w:val="auto"/>
              </w:rPr>
              <w:t>Common stock and additional paid-in capital</w:t>
            </w:r>
          </w:p>
        </w:tc>
        <w:tc>
          <w:tcPr>
            <w:tcW w:w="140" w:type="dxa"/>
            <w:vAlign w:val="bottom"/>
          </w:tcPr>
          <w:p>
            <w:pPr>
              <w:spacing w:after="0"/>
              <w:rPr>
                <w:sz w:val="18"/>
                <w:szCs w:val="18"/>
                <w:color w:val="auto"/>
              </w:rPr>
            </w:pPr>
          </w:p>
        </w:tc>
        <w:tc>
          <w:tcPr>
            <w:tcW w:w="580" w:type="dxa"/>
            <w:vAlign w:val="bottom"/>
            <w:gridSpan w:val="2"/>
          </w:tcPr>
          <w:p>
            <w:pPr>
              <w:jc w:val="right"/>
              <w:ind w:right="20"/>
              <w:spacing w:after="0"/>
              <w:rPr>
                <w:sz w:val="20"/>
                <w:szCs w:val="20"/>
                <w:color w:val="auto"/>
              </w:rPr>
            </w:pPr>
            <w:r>
              <w:rPr>
                <w:rFonts w:ascii="Arial" w:cs="Arial" w:eastAsia="Arial" w:hAnsi="Arial"/>
                <w:sz w:val="18"/>
                <w:szCs w:val="18"/>
                <w:color w:val="auto"/>
                <w:w w:val="89"/>
              </w:rPr>
              <w:t>1,194.2</w:t>
            </w: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w w:val="93"/>
              </w:rPr>
              <w:t>1,080.4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Accumulated other comprehensive income (loss)</w:t>
            </w:r>
          </w:p>
        </w:tc>
        <w:tc>
          <w:tcPr>
            <w:tcW w:w="14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3.7</w:t>
            </w: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(11.2)</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560" w:type="dxa"/>
            <w:vAlign w:val="bottom"/>
          </w:tcPr>
          <w:p>
            <w:pPr>
              <w:ind w:left="420"/>
              <w:spacing w:after="0"/>
              <w:rPr>
                <w:sz w:val="20"/>
                <w:szCs w:val="20"/>
                <w:color w:val="auto"/>
              </w:rPr>
            </w:pPr>
            <w:r>
              <w:rPr>
                <w:rFonts w:ascii="Arial" w:cs="Arial" w:eastAsia="Arial" w:hAnsi="Arial"/>
                <w:sz w:val="18"/>
                <w:szCs w:val="18"/>
                <w:color w:val="auto"/>
              </w:rPr>
              <w:t>Retained earnings</w:t>
            </w:r>
          </w:p>
        </w:tc>
        <w:tc>
          <w:tcPr>
            <w:tcW w:w="14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233.8</w:t>
            </w:r>
          </w:p>
        </w:tc>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241.5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60" w:type="dxa"/>
            <w:vAlign w:val="bottom"/>
            <w:shd w:val="clear" w:color="auto" w:fill="CCEEFF"/>
          </w:tcPr>
          <w:p>
            <w:pPr>
              <w:spacing w:after="0"/>
              <w:rPr>
                <w:sz w:val="20"/>
                <w:szCs w:val="20"/>
                <w:color w:val="auto"/>
              </w:rPr>
            </w:pPr>
            <w:r>
              <w:rPr>
                <w:rFonts w:ascii="Arial" w:cs="Arial" w:eastAsia="Arial" w:hAnsi="Arial"/>
                <w:sz w:val="18"/>
                <w:szCs w:val="18"/>
                <w:color w:val="auto"/>
              </w:rPr>
              <w:t>Total stockholders’ equity</w:t>
            </w:r>
          </w:p>
        </w:tc>
        <w:tc>
          <w:tcPr>
            <w:tcW w:w="14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1,431.7</w:t>
            </w:r>
          </w:p>
        </w:tc>
        <w:tc>
          <w:tcPr>
            <w:tcW w:w="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1,310.7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9560" w:type="dxa"/>
            <w:vAlign w:val="bottom"/>
          </w:tcPr>
          <w:p>
            <w:pPr>
              <w:spacing w:after="0"/>
              <w:rPr>
                <w:sz w:val="19"/>
                <w:szCs w:val="19"/>
                <w:color w:val="auto"/>
              </w:rPr>
            </w:pP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580" w:type="dxa"/>
            <w:vAlign w:val="bottom"/>
            <w:gridSpan w:val="2"/>
          </w:tcPr>
          <w:p>
            <w:pPr>
              <w:jc w:val="right"/>
              <w:ind w:right="20"/>
              <w:spacing w:after="0"/>
              <w:rPr>
                <w:sz w:val="20"/>
                <w:szCs w:val="20"/>
                <w:color w:val="auto"/>
              </w:rPr>
            </w:pPr>
            <w:r>
              <w:rPr>
                <w:rFonts w:ascii="Arial" w:cs="Arial" w:eastAsia="Arial" w:hAnsi="Arial"/>
                <w:sz w:val="18"/>
                <w:szCs w:val="18"/>
                <w:color w:val="auto"/>
                <w:w w:val="89"/>
              </w:rPr>
              <w:t>2,315.4</w:t>
            </w:r>
          </w:p>
        </w:tc>
        <w:tc>
          <w:tcPr>
            <w:tcW w:w="320" w:type="dxa"/>
            <w:vAlign w:val="bottom"/>
          </w:tcPr>
          <w:p>
            <w:pPr>
              <w:spacing w:after="0"/>
              <w:rPr>
                <w:sz w:val="19"/>
                <w:szCs w:val="19"/>
                <w:color w:val="auto"/>
              </w:rPr>
            </w:pP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w w:val="93"/>
              </w:rPr>
              <w:t>2,420.7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5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Condensed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459" w:right="239"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AUTODESK,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9" w:lineRule="exact"/>
        <w:rPr>
          <w:sz w:val="20"/>
          <w:szCs w:val="20"/>
          <w:color w:val="auto"/>
        </w:rPr>
      </w:pPr>
    </w:p>
    <w:p>
      <w:pPr>
        <w:ind w:left="5280"/>
        <w:spacing w:after="0"/>
        <w:rPr>
          <w:sz w:val="20"/>
          <w:szCs w:val="20"/>
          <w:color w:val="auto"/>
        </w:rPr>
      </w:pPr>
      <w:r>
        <w:rPr>
          <w:rFonts w:ascii="Arial" w:cs="Arial" w:eastAsia="Arial" w:hAnsi="Arial"/>
          <w:sz w:val="18"/>
          <w:szCs w:val="18"/>
          <w:color w:val="auto"/>
        </w:rPr>
        <w:t>(In millions)</w:t>
      </w:r>
    </w:p>
    <w:p>
      <w:pPr>
        <w:spacing w:after="0" w:line="9" w:lineRule="exact"/>
        <w:rPr>
          <w:sz w:val="20"/>
          <w:szCs w:val="20"/>
          <w:color w:val="auto"/>
        </w:rPr>
      </w:pPr>
    </w:p>
    <w:p>
      <w:pPr>
        <w:ind w:left="5280"/>
        <w:spacing w:after="0"/>
        <w:rPr>
          <w:sz w:val="20"/>
          <w:szCs w:val="20"/>
          <w:color w:val="auto"/>
        </w:rPr>
      </w:pPr>
      <w:r>
        <w:rPr>
          <w:rFonts w:ascii="Arial" w:cs="Arial" w:eastAsia="Arial" w:hAnsi="Arial"/>
          <w:sz w:val="18"/>
          <w:szCs w:val="18"/>
          <w:color w:val="auto"/>
        </w:rPr>
        <w:t>(Unaudited)</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97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560" w:type="dxa"/>
            <w:vAlign w:val="bottom"/>
            <w:gridSpan w:val="5"/>
          </w:tcPr>
          <w:p>
            <w:pPr>
              <w:jc w:val="right"/>
              <w:ind w:right="320"/>
              <w:spacing w:after="0"/>
              <w:rPr>
                <w:sz w:val="20"/>
                <w:szCs w:val="20"/>
                <w:color w:val="auto"/>
              </w:rPr>
            </w:pPr>
            <w:r>
              <w:rPr>
                <w:rFonts w:ascii="Arial" w:cs="Arial" w:eastAsia="Arial" w:hAnsi="Arial"/>
                <w:sz w:val="14"/>
                <w:szCs w:val="14"/>
                <w:b w:val="1"/>
                <w:bCs w:val="1"/>
                <w:color w:val="auto"/>
                <w:w w:val="93"/>
              </w:rPr>
              <w:t>Nine months ended</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97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560" w:type="dxa"/>
            <w:vAlign w:val="bottom"/>
            <w:gridSpan w:val="5"/>
          </w:tcPr>
          <w:p>
            <w:pPr>
              <w:jc w:val="right"/>
              <w:ind w:right="540"/>
              <w:spacing w:after="0"/>
              <w:rPr>
                <w:sz w:val="20"/>
                <w:szCs w:val="20"/>
                <w:color w:val="auto"/>
              </w:rPr>
            </w:pPr>
            <w:r>
              <w:rPr>
                <w:rFonts w:ascii="Arial" w:cs="Arial" w:eastAsia="Arial" w:hAnsi="Arial"/>
                <w:sz w:val="14"/>
                <w:szCs w:val="14"/>
                <w:b w:val="1"/>
                <w:bCs w:val="1"/>
                <w:color w:val="auto"/>
              </w:rPr>
              <w:t>October 31,</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976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460" w:type="dxa"/>
            <w:vAlign w:val="bottom"/>
            <w:tcBorders>
              <w:top w:val="single" w:sz="8" w:color="auto"/>
            </w:tcBorders>
          </w:tcPr>
          <w:p>
            <w:pPr>
              <w:jc w:val="right"/>
              <w:ind w:right="54"/>
              <w:spacing w:after="0" w:line="142" w:lineRule="exact"/>
              <w:rPr>
                <w:sz w:val="20"/>
                <w:szCs w:val="20"/>
                <w:color w:val="auto"/>
              </w:rPr>
            </w:pPr>
            <w:r>
              <w:rPr>
                <w:rFonts w:ascii="Arial" w:cs="Arial" w:eastAsia="Arial" w:hAnsi="Arial"/>
                <w:sz w:val="14"/>
                <w:szCs w:val="14"/>
                <w:b w:val="1"/>
                <w:bCs w:val="1"/>
                <w:color w:val="auto"/>
                <w:w w:val="96"/>
              </w:rPr>
              <w:t>2009</w:t>
            </w:r>
          </w:p>
        </w:tc>
        <w:tc>
          <w:tcPr>
            <w:tcW w:w="260" w:type="dxa"/>
            <w:vAlign w:val="bottom"/>
            <w:tcBorders>
              <w:top w:val="single" w:sz="8" w:color="auto"/>
            </w:tcBorders>
          </w:tcPr>
          <w:p>
            <w:pPr>
              <w:spacing w:after="0"/>
              <w:rPr>
                <w:sz w:val="12"/>
                <w:szCs w:val="12"/>
                <w:color w:val="auto"/>
              </w:rPr>
            </w:pPr>
          </w:p>
        </w:tc>
        <w:tc>
          <w:tcPr>
            <w:tcW w:w="740" w:type="dxa"/>
            <w:vAlign w:val="bottom"/>
            <w:tcBorders>
              <w:top w:val="single" w:sz="8" w:color="auto"/>
            </w:tcBorders>
            <w:gridSpan w:val="2"/>
          </w:tcPr>
          <w:p>
            <w:pPr>
              <w:jc w:val="right"/>
              <w:ind w:right="52"/>
              <w:spacing w:after="0" w:line="142" w:lineRule="exact"/>
              <w:rPr>
                <w:sz w:val="20"/>
                <w:szCs w:val="20"/>
                <w:color w:val="auto"/>
              </w:rPr>
            </w:pPr>
            <w:r>
              <w:rPr>
                <w:rFonts w:ascii="Arial" w:cs="Arial" w:eastAsia="Arial" w:hAnsi="Arial"/>
                <w:sz w:val="14"/>
                <w:szCs w:val="14"/>
                <w:b w:val="1"/>
                <w:bCs w:val="1"/>
                <w:color w:val="auto"/>
              </w:rPr>
              <w:t>2008</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9760" w:type="dxa"/>
            <w:vAlign w:val="bottom"/>
            <w:shd w:val="clear" w:color="auto" w:fill="CCEEFF"/>
          </w:tcPr>
          <w:p>
            <w:pPr>
              <w:spacing w:after="0"/>
              <w:rPr>
                <w:sz w:val="20"/>
                <w:szCs w:val="20"/>
                <w:color w:val="auto"/>
              </w:rPr>
            </w:pPr>
            <w:r>
              <w:rPr>
                <w:rFonts w:ascii="Arial" w:cs="Arial" w:eastAsia="Arial" w:hAnsi="Arial"/>
                <w:sz w:val="18"/>
                <w:szCs w:val="18"/>
                <w:color w:val="auto"/>
              </w:rPr>
              <w:t>Operating Activities</w:t>
            </w:r>
          </w:p>
        </w:tc>
        <w:tc>
          <w:tcPr>
            <w:tcW w:w="80" w:type="dxa"/>
            <w:vAlign w:val="bottom"/>
            <w:tcBorders>
              <w:top w:val="single" w:sz="8" w:color="auto"/>
            </w:tcBorders>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760" w:type="dxa"/>
            <w:vAlign w:val="bottom"/>
          </w:tcPr>
          <w:p>
            <w:pPr>
              <w:ind w:left="420"/>
              <w:spacing w:after="0"/>
              <w:rPr>
                <w:sz w:val="20"/>
                <w:szCs w:val="20"/>
                <w:color w:val="auto"/>
              </w:rPr>
            </w:pPr>
            <w:r>
              <w:rPr>
                <w:rFonts w:ascii="Arial" w:cs="Arial" w:eastAsia="Arial" w:hAnsi="Arial"/>
                <w:sz w:val="18"/>
                <w:szCs w:val="18"/>
                <w:color w:val="auto"/>
              </w:rPr>
              <w:t>Net income</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460" w:type="dxa"/>
            <w:vAlign w:val="bottom"/>
          </w:tcPr>
          <w:p>
            <w:pPr>
              <w:jc w:val="right"/>
              <w:spacing w:after="0"/>
              <w:rPr>
                <w:sz w:val="20"/>
                <w:szCs w:val="20"/>
                <w:color w:val="auto"/>
              </w:rPr>
            </w:pPr>
            <w:r>
              <w:rPr>
                <w:rFonts w:ascii="Arial" w:cs="Arial" w:eastAsia="Arial" w:hAnsi="Arial"/>
                <w:sz w:val="18"/>
                <w:szCs w:val="18"/>
                <w:color w:val="auto"/>
              </w:rPr>
              <w:t>7.9</w:t>
            </w:r>
          </w:p>
        </w:tc>
        <w:tc>
          <w:tcPr>
            <w:tcW w:w="260" w:type="dxa"/>
            <w:vAlign w:val="bottom"/>
          </w:tcPr>
          <w:p>
            <w:pPr>
              <w:spacing w:after="0"/>
              <w:rPr>
                <w:sz w:val="18"/>
                <w:szCs w:val="18"/>
                <w:color w:val="auto"/>
              </w:rPr>
            </w:pPr>
          </w:p>
        </w:tc>
        <w:tc>
          <w:tcPr>
            <w:tcW w:w="840" w:type="dxa"/>
            <w:vAlign w:val="bottom"/>
            <w:gridSpan w:val="3"/>
          </w:tcPr>
          <w:p>
            <w:pPr>
              <w:jc w:val="right"/>
              <w:ind w:right="100"/>
              <w:spacing w:after="0"/>
              <w:rPr>
                <w:sz w:val="20"/>
                <w:szCs w:val="20"/>
                <w:color w:val="auto"/>
              </w:rPr>
            </w:pPr>
            <w:r>
              <w:rPr>
                <w:rFonts w:ascii="Arial" w:cs="Arial" w:eastAsia="Arial" w:hAnsi="Arial"/>
                <w:sz w:val="18"/>
                <w:szCs w:val="18"/>
                <w:color w:val="auto"/>
              </w:rPr>
              <w:t>$ 289.0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7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Adjustments to reconcile net income to net cash provided by operating activities:</w:t>
            </w:r>
          </w:p>
        </w:tc>
        <w:tc>
          <w:tcPr>
            <w:tcW w:w="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760" w:type="dxa"/>
            <w:vAlign w:val="bottom"/>
          </w:tcPr>
          <w:p>
            <w:pPr>
              <w:ind w:left="860"/>
              <w:spacing w:after="0"/>
              <w:rPr>
                <w:sz w:val="20"/>
                <w:szCs w:val="20"/>
                <w:color w:val="auto"/>
              </w:rPr>
            </w:pPr>
            <w:r>
              <w:rPr>
                <w:rFonts w:ascii="Arial" w:cs="Arial" w:eastAsia="Arial" w:hAnsi="Arial"/>
                <w:sz w:val="18"/>
                <w:szCs w:val="18"/>
                <w:color w:val="auto"/>
              </w:rPr>
              <w:t>Depreciation and amortization</w:t>
            </w:r>
          </w:p>
        </w:tc>
        <w:tc>
          <w:tcPr>
            <w:tcW w:w="8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84.4</w:t>
            </w:r>
          </w:p>
        </w:tc>
        <w:tc>
          <w:tcPr>
            <w:tcW w:w="260" w:type="dxa"/>
            <w:vAlign w:val="bottom"/>
          </w:tcPr>
          <w:p>
            <w:pPr>
              <w:spacing w:after="0"/>
              <w:rPr>
                <w:sz w:val="18"/>
                <w:szCs w:val="18"/>
                <w:color w:val="auto"/>
              </w:rPr>
            </w:pPr>
          </w:p>
        </w:tc>
        <w:tc>
          <w:tcPr>
            <w:tcW w:w="840" w:type="dxa"/>
            <w:vAlign w:val="bottom"/>
            <w:gridSpan w:val="3"/>
          </w:tcPr>
          <w:p>
            <w:pPr>
              <w:jc w:val="right"/>
              <w:ind w:right="100"/>
              <w:spacing w:after="0"/>
              <w:rPr>
                <w:sz w:val="20"/>
                <w:szCs w:val="20"/>
                <w:color w:val="auto"/>
              </w:rPr>
            </w:pPr>
            <w:r>
              <w:rPr>
                <w:rFonts w:ascii="Arial" w:cs="Arial" w:eastAsia="Arial" w:hAnsi="Arial"/>
                <w:sz w:val="18"/>
                <w:szCs w:val="18"/>
                <w:color w:val="auto"/>
              </w:rPr>
              <w:t>64.5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760" w:type="dxa"/>
            <w:vAlign w:val="bottom"/>
            <w:shd w:val="clear" w:color="auto" w:fill="CCEEFF"/>
          </w:tcPr>
          <w:p>
            <w:pPr>
              <w:ind w:left="860"/>
              <w:spacing w:after="0"/>
              <w:rPr>
                <w:sz w:val="20"/>
                <w:szCs w:val="20"/>
                <w:color w:val="auto"/>
              </w:rPr>
            </w:pPr>
            <w:r>
              <w:rPr>
                <w:rFonts w:ascii="Arial" w:cs="Arial" w:eastAsia="Arial" w:hAnsi="Arial"/>
                <w:sz w:val="18"/>
                <w:szCs w:val="18"/>
                <w:color w:val="auto"/>
              </w:rPr>
              <w:t>Stock-based compensation expense</w:t>
            </w:r>
          </w:p>
        </w:tc>
        <w:tc>
          <w:tcPr>
            <w:tcW w:w="8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74.7</w:t>
            </w:r>
          </w:p>
        </w:tc>
        <w:tc>
          <w:tcPr>
            <w:tcW w:w="260" w:type="dxa"/>
            <w:vAlign w:val="bottom"/>
            <w:shd w:val="clear" w:color="auto" w:fill="CCEEFF"/>
          </w:tcPr>
          <w:p>
            <w:pPr>
              <w:spacing w:after="0"/>
              <w:rPr>
                <w:sz w:val="18"/>
                <w:szCs w:val="18"/>
                <w:color w:val="auto"/>
              </w:rPr>
            </w:pPr>
          </w:p>
        </w:tc>
        <w:tc>
          <w:tcPr>
            <w:tcW w:w="8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70.9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760" w:type="dxa"/>
            <w:vAlign w:val="bottom"/>
          </w:tcPr>
          <w:p>
            <w:pPr>
              <w:ind w:left="860"/>
              <w:spacing w:after="0"/>
              <w:rPr>
                <w:sz w:val="20"/>
                <w:szCs w:val="20"/>
                <w:color w:val="auto"/>
              </w:rPr>
            </w:pPr>
            <w:r>
              <w:rPr>
                <w:rFonts w:ascii="Arial" w:cs="Arial" w:eastAsia="Arial" w:hAnsi="Arial"/>
                <w:sz w:val="18"/>
                <w:szCs w:val="18"/>
                <w:color w:val="auto"/>
              </w:rPr>
              <w:t>Restructuring charges, net</w:t>
            </w:r>
          </w:p>
        </w:tc>
        <w:tc>
          <w:tcPr>
            <w:tcW w:w="8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47.8</w:t>
            </w: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760" w:type="dxa"/>
            <w:vAlign w:val="bottom"/>
            <w:shd w:val="clear" w:color="auto" w:fill="CCEEFF"/>
          </w:tcPr>
          <w:p>
            <w:pPr>
              <w:ind w:left="860"/>
              <w:spacing w:after="0"/>
              <w:rPr>
                <w:sz w:val="20"/>
                <w:szCs w:val="20"/>
                <w:color w:val="auto"/>
              </w:rPr>
            </w:pPr>
            <w:r>
              <w:rPr>
                <w:rFonts w:ascii="Arial" w:cs="Arial" w:eastAsia="Arial" w:hAnsi="Arial"/>
                <w:sz w:val="18"/>
                <w:szCs w:val="18"/>
                <w:color w:val="auto"/>
              </w:rPr>
              <w:t>Impairment of goodwill</w:t>
            </w:r>
          </w:p>
        </w:tc>
        <w:tc>
          <w:tcPr>
            <w:tcW w:w="8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21.0</w:t>
            </w: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760" w:type="dxa"/>
            <w:vAlign w:val="bottom"/>
          </w:tcPr>
          <w:p>
            <w:pPr>
              <w:ind w:left="860"/>
              <w:spacing w:after="0"/>
              <w:rPr>
                <w:sz w:val="20"/>
                <w:szCs w:val="20"/>
                <w:color w:val="auto"/>
              </w:rPr>
            </w:pPr>
            <w:r>
              <w:rPr>
                <w:rFonts w:ascii="Arial" w:cs="Arial" w:eastAsia="Arial" w:hAnsi="Arial"/>
                <w:sz w:val="18"/>
                <w:szCs w:val="18"/>
                <w:color w:val="auto"/>
              </w:rPr>
              <w:t>Gain on disposition of assets</w:t>
            </w:r>
          </w:p>
        </w:tc>
        <w:tc>
          <w:tcPr>
            <w:tcW w:w="80" w:type="dxa"/>
            <w:vAlign w:val="bottom"/>
          </w:tcPr>
          <w:p>
            <w:pPr>
              <w:spacing w:after="0"/>
              <w:rPr>
                <w:sz w:val="18"/>
                <w:szCs w:val="18"/>
                <w:color w:val="auto"/>
              </w:rPr>
            </w:pPr>
          </w:p>
        </w:tc>
        <w:tc>
          <w:tcPr>
            <w:tcW w:w="720" w:type="dxa"/>
            <w:vAlign w:val="bottom"/>
            <w:gridSpan w:val="2"/>
          </w:tcPr>
          <w:p>
            <w:pPr>
              <w:jc w:val="right"/>
              <w:ind w:right="200"/>
              <w:spacing w:after="0"/>
              <w:rPr>
                <w:sz w:val="20"/>
                <w:szCs w:val="20"/>
                <w:color w:val="auto"/>
              </w:rPr>
            </w:pPr>
            <w:r>
              <w:rPr>
                <w:rFonts w:ascii="Arial" w:cs="Arial" w:eastAsia="Arial" w:hAnsi="Arial"/>
                <w:sz w:val="18"/>
                <w:szCs w:val="18"/>
                <w:color w:val="auto"/>
              </w:rPr>
              <w:t>(2.3)</w:t>
            </w:r>
          </w:p>
        </w:tc>
        <w:tc>
          <w:tcPr>
            <w:tcW w:w="180" w:type="dxa"/>
            <w:vAlign w:val="bottom"/>
          </w:tcPr>
          <w:p>
            <w:pPr>
              <w:spacing w:after="0"/>
              <w:rPr>
                <w:sz w:val="18"/>
                <w:szCs w:val="18"/>
                <w:color w:val="auto"/>
              </w:rPr>
            </w:pPr>
          </w:p>
        </w:tc>
        <w:tc>
          <w:tcPr>
            <w:tcW w:w="6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760" w:type="dxa"/>
            <w:vAlign w:val="bottom"/>
            <w:shd w:val="clear" w:color="auto" w:fill="CCEEFF"/>
          </w:tcPr>
          <w:p>
            <w:pPr>
              <w:ind w:left="860"/>
              <w:spacing w:after="0"/>
              <w:rPr>
                <w:sz w:val="20"/>
                <w:szCs w:val="20"/>
                <w:color w:val="auto"/>
              </w:rPr>
            </w:pPr>
            <w:r>
              <w:rPr>
                <w:rFonts w:ascii="Arial" w:cs="Arial" w:eastAsia="Arial" w:hAnsi="Arial"/>
                <w:sz w:val="18"/>
                <w:szCs w:val="18"/>
                <w:color w:val="auto"/>
              </w:rPr>
              <w:t>Charge for acquired in-process research and development</w:t>
            </w:r>
          </w:p>
        </w:tc>
        <w:tc>
          <w:tcPr>
            <w:tcW w:w="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8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18.0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760" w:type="dxa"/>
            <w:vAlign w:val="bottom"/>
          </w:tcPr>
          <w:p>
            <w:pPr>
              <w:ind w:left="860"/>
              <w:spacing w:after="0"/>
              <w:rPr>
                <w:sz w:val="20"/>
                <w:szCs w:val="20"/>
                <w:color w:val="auto"/>
              </w:rPr>
            </w:pPr>
            <w:r>
              <w:rPr>
                <w:rFonts w:ascii="Arial" w:cs="Arial" w:eastAsia="Arial" w:hAnsi="Arial"/>
                <w:sz w:val="18"/>
                <w:szCs w:val="18"/>
                <w:color w:val="auto"/>
              </w:rPr>
              <w:t>Changes in operating assets and liabilities, net of business combinations</w:t>
            </w:r>
          </w:p>
        </w:tc>
        <w:tc>
          <w:tcPr>
            <w:tcW w:w="80" w:type="dxa"/>
            <w:vAlign w:val="bottom"/>
          </w:tcPr>
          <w:p>
            <w:pPr>
              <w:spacing w:after="0"/>
              <w:rPr>
                <w:sz w:val="19"/>
                <w:szCs w:val="19"/>
                <w:color w:val="auto"/>
              </w:rPr>
            </w:pPr>
          </w:p>
        </w:tc>
        <w:tc>
          <w:tcPr>
            <w:tcW w:w="720" w:type="dxa"/>
            <w:vAlign w:val="bottom"/>
            <w:gridSpan w:val="2"/>
          </w:tcPr>
          <w:p>
            <w:pPr>
              <w:jc w:val="right"/>
              <w:ind w:right="200"/>
              <w:spacing w:after="0"/>
              <w:rPr>
                <w:sz w:val="20"/>
                <w:szCs w:val="20"/>
                <w:color w:val="auto"/>
              </w:rPr>
            </w:pPr>
            <w:r>
              <w:rPr>
                <w:rFonts w:ascii="Arial" w:cs="Arial" w:eastAsia="Arial" w:hAnsi="Arial"/>
                <w:sz w:val="18"/>
                <w:szCs w:val="18"/>
                <w:color w:val="auto"/>
                <w:w w:val="87"/>
              </w:rPr>
              <w:t>(112.3)</w:t>
            </w:r>
          </w:p>
        </w:tc>
        <w:tc>
          <w:tcPr>
            <w:tcW w:w="840" w:type="dxa"/>
            <w:vAlign w:val="bottom"/>
            <w:gridSpan w:val="3"/>
          </w:tcPr>
          <w:p>
            <w:pPr>
              <w:jc w:val="right"/>
              <w:ind w:right="100"/>
              <w:spacing w:after="0"/>
              <w:rPr>
                <w:sz w:val="20"/>
                <w:szCs w:val="20"/>
                <w:color w:val="auto"/>
              </w:rPr>
            </w:pPr>
            <w:r>
              <w:rPr>
                <w:rFonts w:ascii="Arial" w:cs="Arial" w:eastAsia="Arial" w:hAnsi="Arial"/>
                <w:sz w:val="18"/>
                <w:szCs w:val="18"/>
                <w:color w:val="auto"/>
              </w:rPr>
              <w:t>65.1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760" w:type="dxa"/>
            <w:vAlign w:val="bottom"/>
            <w:shd w:val="clear" w:color="auto" w:fill="CCEEFF"/>
          </w:tcPr>
          <w:p>
            <w:pPr>
              <w:spacing w:after="0"/>
              <w:rPr>
                <w:sz w:val="20"/>
                <w:szCs w:val="20"/>
                <w:color w:val="auto"/>
              </w:rPr>
            </w:pPr>
            <w:r>
              <w:rPr>
                <w:rFonts w:ascii="Arial" w:cs="Arial" w:eastAsia="Arial" w:hAnsi="Arial"/>
                <w:sz w:val="18"/>
                <w:szCs w:val="18"/>
                <w:color w:val="auto"/>
              </w:rPr>
              <w:t>Net cash provided by operating activities</w:t>
            </w:r>
          </w:p>
        </w:tc>
        <w:tc>
          <w:tcPr>
            <w:tcW w:w="80" w:type="dxa"/>
            <w:vAlign w:val="bottom"/>
            <w:tcBorders>
              <w:top w:val="single" w:sz="8" w:color="auto"/>
              <w:bottom w:val="single" w:sz="8" w:color="auto"/>
            </w:tcBorders>
            <w:shd w:val="clear" w:color="auto" w:fill="CCEEFF"/>
          </w:tcPr>
          <w:p>
            <w:pPr>
              <w:spacing w:after="0"/>
              <w:rPr>
                <w:sz w:val="18"/>
                <w:szCs w:val="18"/>
                <w:color w:val="auto"/>
              </w:rPr>
            </w:pPr>
          </w:p>
        </w:tc>
        <w:tc>
          <w:tcPr>
            <w:tcW w:w="4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121.2</w:t>
            </w: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507.5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9780" w:type="dxa"/>
            <w:vAlign w:val="bottom"/>
            <w:gridSpan w:val="2"/>
          </w:tcPr>
          <w:p>
            <w:pPr>
              <w:spacing w:after="0"/>
              <w:rPr>
                <w:sz w:val="20"/>
                <w:szCs w:val="20"/>
                <w:color w:val="auto"/>
              </w:rPr>
            </w:pPr>
            <w:r>
              <w:rPr>
                <w:rFonts w:ascii="Arial" w:cs="Arial" w:eastAsia="Arial" w:hAnsi="Arial"/>
                <w:sz w:val="18"/>
                <w:szCs w:val="18"/>
                <w:color w:val="auto"/>
              </w:rPr>
              <w:t>Investing Activities</w:t>
            </w:r>
          </w:p>
        </w:tc>
        <w:tc>
          <w:tcPr>
            <w:tcW w:w="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97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Purchases of marketable securities</w:t>
            </w:r>
          </w:p>
        </w:tc>
        <w:tc>
          <w:tcPr>
            <w:tcW w:w="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87"/>
              </w:rPr>
              <w:t>(409.9)</w:t>
            </w:r>
          </w:p>
        </w:tc>
        <w:tc>
          <w:tcPr>
            <w:tcW w:w="84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(111.2)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760" w:type="dxa"/>
            <w:vAlign w:val="bottom"/>
          </w:tcPr>
          <w:p>
            <w:pPr>
              <w:ind w:left="420"/>
              <w:spacing w:after="0"/>
              <w:rPr>
                <w:sz w:val="20"/>
                <w:szCs w:val="20"/>
                <w:color w:val="auto"/>
              </w:rPr>
            </w:pPr>
            <w:r>
              <w:rPr>
                <w:rFonts w:ascii="Arial" w:cs="Arial" w:eastAsia="Arial" w:hAnsi="Arial"/>
                <w:sz w:val="18"/>
                <w:szCs w:val="18"/>
                <w:color w:val="auto"/>
              </w:rPr>
              <w:t>Sales of marketable securities</w:t>
            </w:r>
          </w:p>
        </w:tc>
        <w:tc>
          <w:tcPr>
            <w:tcW w:w="8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8.1</w:t>
            </w:r>
          </w:p>
        </w:tc>
        <w:tc>
          <w:tcPr>
            <w:tcW w:w="260" w:type="dxa"/>
            <w:vAlign w:val="bottom"/>
          </w:tcPr>
          <w:p>
            <w:pPr>
              <w:spacing w:after="0"/>
              <w:rPr>
                <w:sz w:val="18"/>
                <w:szCs w:val="18"/>
                <w:color w:val="auto"/>
              </w:rPr>
            </w:pPr>
          </w:p>
        </w:tc>
        <w:tc>
          <w:tcPr>
            <w:tcW w:w="840" w:type="dxa"/>
            <w:vAlign w:val="bottom"/>
            <w:gridSpan w:val="3"/>
          </w:tcPr>
          <w:p>
            <w:pPr>
              <w:jc w:val="right"/>
              <w:ind w:right="100"/>
              <w:spacing w:after="0"/>
              <w:rPr>
                <w:sz w:val="20"/>
                <w:szCs w:val="20"/>
                <w:color w:val="auto"/>
              </w:rPr>
            </w:pPr>
            <w:r>
              <w:rPr>
                <w:rFonts w:ascii="Arial" w:cs="Arial" w:eastAsia="Arial" w:hAnsi="Arial"/>
                <w:sz w:val="18"/>
                <w:szCs w:val="18"/>
                <w:color w:val="auto"/>
              </w:rPr>
              <w:t>5.2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7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Maturities of marketable securities</w:t>
            </w:r>
          </w:p>
        </w:tc>
        <w:tc>
          <w:tcPr>
            <w:tcW w:w="8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126.5</w:t>
            </w: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760" w:type="dxa"/>
            <w:vAlign w:val="bottom"/>
          </w:tcPr>
          <w:p>
            <w:pPr>
              <w:ind w:left="420"/>
              <w:spacing w:after="0"/>
              <w:rPr>
                <w:sz w:val="20"/>
                <w:szCs w:val="20"/>
                <w:color w:val="auto"/>
              </w:rPr>
            </w:pPr>
            <w:r>
              <w:rPr>
                <w:rFonts w:ascii="Arial" w:cs="Arial" w:eastAsia="Arial" w:hAnsi="Arial"/>
                <w:sz w:val="18"/>
                <w:szCs w:val="18"/>
                <w:color w:val="auto"/>
              </w:rPr>
              <w:t>Capital expenditures</w:t>
            </w:r>
          </w:p>
        </w:tc>
        <w:tc>
          <w:tcPr>
            <w:tcW w:w="80" w:type="dxa"/>
            <w:vAlign w:val="bottom"/>
          </w:tcPr>
          <w:p>
            <w:pPr>
              <w:spacing w:after="0"/>
              <w:rPr>
                <w:sz w:val="18"/>
                <w:szCs w:val="18"/>
                <w:color w:val="auto"/>
              </w:rPr>
            </w:pPr>
          </w:p>
        </w:tc>
        <w:tc>
          <w:tcPr>
            <w:tcW w:w="720" w:type="dxa"/>
            <w:vAlign w:val="bottom"/>
            <w:gridSpan w:val="2"/>
          </w:tcPr>
          <w:p>
            <w:pPr>
              <w:jc w:val="right"/>
              <w:ind w:right="200"/>
              <w:spacing w:after="0"/>
              <w:rPr>
                <w:sz w:val="20"/>
                <w:szCs w:val="20"/>
                <w:color w:val="auto"/>
              </w:rPr>
            </w:pPr>
            <w:r>
              <w:rPr>
                <w:rFonts w:ascii="Arial" w:cs="Arial" w:eastAsia="Arial" w:hAnsi="Arial"/>
                <w:sz w:val="18"/>
                <w:szCs w:val="18"/>
                <w:color w:val="auto"/>
              </w:rPr>
              <w:t>(30.2)</w:t>
            </w:r>
          </w:p>
        </w:tc>
        <w:tc>
          <w:tcPr>
            <w:tcW w:w="840" w:type="dxa"/>
            <w:vAlign w:val="bottom"/>
            <w:gridSpan w:val="3"/>
          </w:tcPr>
          <w:p>
            <w:pPr>
              <w:jc w:val="right"/>
              <w:ind w:right="40"/>
              <w:spacing w:after="0"/>
              <w:rPr>
                <w:sz w:val="20"/>
                <w:szCs w:val="20"/>
                <w:color w:val="auto"/>
              </w:rPr>
            </w:pPr>
            <w:r>
              <w:rPr>
                <w:rFonts w:ascii="Arial" w:cs="Arial" w:eastAsia="Arial" w:hAnsi="Arial"/>
                <w:sz w:val="18"/>
                <w:szCs w:val="18"/>
                <w:color w:val="auto"/>
              </w:rPr>
              <w:t>(59.1)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7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Purchase of equity investment</w:t>
            </w:r>
          </w:p>
        </w:tc>
        <w:tc>
          <w:tcPr>
            <w:tcW w:w="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(10.0)</w:t>
            </w:r>
          </w:p>
        </w:tc>
        <w:tc>
          <w:tcPr>
            <w:tcW w:w="18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760" w:type="dxa"/>
            <w:vAlign w:val="bottom"/>
          </w:tcPr>
          <w:p>
            <w:pPr>
              <w:ind w:left="420"/>
              <w:spacing w:after="0"/>
              <w:rPr>
                <w:sz w:val="20"/>
                <w:szCs w:val="20"/>
                <w:color w:val="auto"/>
              </w:rPr>
            </w:pPr>
            <w:r>
              <w:rPr>
                <w:rFonts w:ascii="Arial" w:cs="Arial" w:eastAsia="Arial" w:hAnsi="Arial"/>
                <w:sz w:val="18"/>
                <w:szCs w:val="18"/>
                <w:color w:val="auto"/>
              </w:rPr>
              <w:t>Business combinations, net of cash acquired</w:t>
            </w:r>
          </w:p>
        </w:tc>
        <w:tc>
          <w:tcPr>
            <w:tcW w:w="80" w:type="dxa"/>
            <w:vAlign w:val="bottom"/>
          </w:tcPr>
          <w:p>
            <w:pPr>
              <w:spacing w:after="0"/>
              <w:rPr>
                <w:sz w:val="18"/>
                <w:szCs w:val="18"/>
                <w:color w:val="auto"/>
              </w:rPr>
            </w:pPr>
          </w:p>
        </w:tc>
        <w:tc>
          <w:tcPr>
            <w:tcW w:w="720" w:type="dxa"/>
            <w:vAlign w:val="bottom"/>
            <w:gridSpan w:val="2"/>
          </w:tcPr>
          <w:p>
            <w:pPr>
              <w:jc w:val="right"/>
              <w:ind w:right="200"/>
              <w:spacing w:after="0"/>
              <w:rPr>
                <w:sz w:val="20"/>
                <w:szCs w:val="20"/>
                <w:color w:val="auto"/>
              </w:rPr>
            </w:pPr>
            <w:r>
              <w:rPr>
                <w:rFonts w:ascii="Arial" w:cs="Arial" w:eastAsia="Arial" w:hAnsi="Arial"/>
                <w:sz w:val="18"/>
                <w:szCs w:val="18"/>
                <w:color w:val="auto"/>
              </w:rPr>
              <w:t>(3.6)</w:t>
            </w:r>
          </w:p>
        </w:tc>
        <w:tc>
          <w:tcPr>
            <w:tcW w:w="840" w:type="dxa"/>
            <w:vAlign w:val="bottom"/>
            <w:gridSpan w:val="3"/>
          </w:tcPr>
          <w:p>
            <w:pPr>
              <w:jc w:val="right"/>
              <w:ind w:right="40"/>
              <w:spacing w:after="0"/>
              <w:rPr>
                <w:sz w:val="20"/>
                <w:szCs w:val="20"/>
                <w:color w:val="auto"/>
              </w:rPr>
            </w:pPr>
            <w:r>
              <w:rPr>
                <w:rFonts w:ascii="Arial" w:cs="Arial" w:eastAsia="Arial" w:hAnsi="Arial"/>
                <w:sz w:val="18"/>
                <w:szCs w:val="18"/>
                <w:color w:val="auto"/>
              </w:rPr>
              <w:t>(297.3)</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97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80" w:type="dxa"/>
            <w:vAlign w:val="bottom"/>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9760" w:type="dxa"/>
            <w:vAlign w:val="bottom"/>
            <w:shd w:val="clear" w:color="auto" w:fill="CCEEFF"/>
          </w:tcPr>
          <w:p>
            <w:pPr>
              <w:spacing w:after="0"/>
              <w:rPr>
                <w:sz w:val="20"/>
                <w:szCs w:val="20"/>
                <w:color w:val="auto"/>
              </w:rPr>
            </w:pPr>
            <w:r>
              <w:rPr>
                <w:rFonts w:ascii="Arial" w:cs="Arial" w:eastAsia="Arial" w:hAnsi="Arial"/>
                <w:sz w:val="18"/>
                <w:szCs w:val="18"/>
                <w:color w:val="auto"/>
              </w:rPr>
              <w:t>Net cash used in investing activities</w:t>
            </w:r>
          </w:p>
        </w:tc>
        <w:tc>
          <w:tcPr>
            <w:tcW w:w="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87"/>
              </w:rPr>
              <w:t>(319.1)</w:t>
            </w:r>
          </w:p>
        </w:tc>
        <w:tc>
          <w:tcPr>
            <w:tcW w:w="84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(462.4)</w:t>
            </w:r>
          </w:p>
        </w:tc>
        <w:tc>
          <w:tcPr>
            <w:tcW w:w="0" w:type="dxa"/>
            <w:vAlign w:val="bottom"/>
          </w:tcPr>
          <w:p>
            <w:pPr>
              <w:spacing w:after="0"/>
              <w:rPr>
                <w:sz w:val="1"/>
                <w:szCs w:val="1"/>
                <w:color w:val="auto"/>
              </w:rPr>
            </w:pPr>
          </w:p>
        </w:tc>
      </w:tr>
      <w:tr>
        <w:trPr>
          <w:trHeight w:val="222"/>
        </w:trPr>
        <w:tc>
          <w:tcPr>
            <w:tcW w:w="9780" w:type="dxa"/>
            <w:vAlign w:val="bottom"/>
            <w:gridSpan w:val="2"/>
          </w:tcPr>
          <w:p>
            <w:pPr>
              <w:spacing w:after="0"/>
              <w:rPr>
                <w:sz w:val="20"/>
                <w:szCs w:val="20"/>
                <w:color w:val="auto"/>
              </w:rPr>
            </w:pPr>
            <w:r>
              <w:rPr>
                <w:rFonts w:ascii="Arial" w:cs="Arial" w:eastAsia="Arial" w:hAnsi="Arial"/>
                <w:sz w:val="18"/>
                <w:szCs w:val="18"/>
                <w:color w:val="auto"/>
              </w:rPr>
              <w:t>Financing Activities</w:t>
            </w:r>
          </w:p>
        </w:tc>
        <w:tc>
          <w:tcPr>
            <w:tcW w:w="80" w:type="dxa"/>
            <w:vAlign w:val="bottom"/>
            <w:tcBorders>
              <w:top w:val="single" w:sz="8" w:color="auto"/>
            </w:tcBorders>
          </w:tcPr>
          <w:p>
            <w:pPr>
              <w:spacing w:after="0"/>
              <w:rPr>
                <w:sz w:val="19"/>
                <w:szCs w:val="19"/>
                <w:color w:val="auto"/>
              </w:rPr>
            </w:pPr>
          </w:p>
        </w:tc>
        <w:tc>
          <w:tcPr>
            <w:tcW w:w="460" w:type="dxa"/>
            <w:vAlign w:val="bottom"/>
            <w:tcBorders>
              <w:top w:val="single" w:sz="8" w:color="auto"/>
            </w:tcBorders>
          </w:tcPr>
          <w:p>
            <w:pPr>
              <w:spacing w:after="0"/>
              <w:rPr>
                <w:sz w:val="19"/>
                <w:szCs w:val="19"/>
                <w:color w:val="auto"/>
              </w:rPr>
            </w:pPr>
          </w:p>
        </w:tc>
        <w:tc>
          <w:tcPr>
            <w:tcW w:w="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6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97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Draws on line of credit</w:t>
            </w:r>
          </w:p>
        </w:tc>
        <w:tc>
          <w:tcPr>
            <w:tcW w:w="8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260" w:type="dxa"/>
            <w:vAlign w:val="bottom"/>
            <w:shd w:val="clear" w:color="auto" w:fill="CCEEFF"/>
          </w:tcPr>
          <w:p>
            <w:pPr>
              <w:spacing w:after="0"/>
              <w:rPr>
                <w:sz w:val="18"/>
                <w:szCs w:val="18"/>
                <w:color w:val="auto"/>
              </w:rPr>
            </w:pPr>
          </w:p>
        </w:tc>
        <w:tc>
          <w:tcPr>
            <w:tcW w:w="8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800.0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760" w:type="dxa"/>
            <w:vAlign w:val="bottom"/>
          </w:tcPr>
          <w:p>
            <w:pPr>
              <w:ind w:left="420"/>
              <w:spacing w:after="0"/>
              <w:rPr>
                <w:sz w:val="20"/>
                <w:szCs w:val="20"/>
                <w:color w:val="auto"/>
              </w:rPr>
            </w:pPr>
            <w:r>
              <w:rPr>
                <w:rFonts w:ascii="Arial" w:cs="Arial" w:eastAsia="Arial" w:hAnsi="Arial"/>
                <w:sz w:val="18"/>
                <w:szCs w:val="18"/>
                <w:color w:val="auto"/>
              </w:rPr>
              <w:t>Repayments of line of credit</w:t>
            </w:r>
          </w:p>
        </w:tc>
        <w:tc>
          <w:tcPr>
            <w:tcW w:w="80" w:type="dxa"/>
            <w:vAlign w:val="bottom"/>
          </w:tcPr>
          <w:p>
            <w:pPr>
              <w:spacing w:after="0"/>
              <w:rPr>
                <w:sz w:val="18"/>
                <w:szCs w:val="18"/>
                <w:color w:val="auto"/>
              </w:rPr>
            </w:pPr>
          </w:p>
        </w:tc>
        <w:tc>
          <w:tcPr>
            <w:tcW w:w="720" w:type="dxa"/>
            <w:vAlign w:val="bottom"/>
            <w:gridSpan w:val="2"/>
          </w:tcPr>
          <w:p>
            <w:pPr>
              <w:jc w:val="right"/>
              <w:ind w:right="200"/>
              <w:spacing w:after="0"/>
              <w:rPr>
                <w:sz w:val="20"/>
                <w:szCs w:val="20"/>
                <w:color w:val="auto"/>
              </w:rPr>
            </w:pPr>
            <w:r>
              <w:rPr>
                <w:rFonts w:ascii="Arial" w:cs="Arial" w:eastAsia="Arial" w:hAnsi="Arial"/>
                <w:sz w:val="18"/>
                <w:szCs w:val="18"/>
                <w:color w:val="auto"/>
              </w:rPr>
              <w:t>(54.3)</w:t>
            </w:r>
          </w:p>
        </w:tc>
        <w:tc>
          <w:tcPr>
            <w:tcW w:w="840" w:type="dxa"/>
            <w:vAlign w:val="bottom"/>
            <w:gridSpan w:val="3"/>
          </w:tcPr>
          <w:p>
            <w:pPr>
              <w:jc w:val="right"/>
              <w:ind w:right="40"/>
              <w:spacing w:after="0"/>
              <w:rPr>
                <w:sz w:val="20"/>
                <w:szCs w:val="20"/>
                <w:color w:val="auto"/>
              </w:rPr>
            </w:pPr>
            <w:r>
              <w:rPr>
                <w:rFonts w:ascii="Arial" w:cs="Arial" w:eastAsia="Arial" w:hAnsi="Arial"/>
                <w:sz w:val="18"/>
                <w:szCs w:val="18"/>
                <w:color w:val="auto"/>
              </w:rPr>
              <w:t>(796.0)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7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Proceeds from issuance of common stock, net of issuance costs</w:t>
            </w:r>
          </w:p>
        </w:tc>
        <w:tc>
          <w:tcPr>
            <w:tcW w:w="8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67.5</w:t>
            </w:r>
          </w:p>
        </w:tc>
        <w:tc>
          <w:tcPr>
            <w:tcW w:w="260" w:type="dxa"/>
            <w:vAlign w:val="bottom"/>
            <w:shd w:val="clear" w:color="auto" w:fill="CCEEFF"/>
          </w:tcPr>
          <w:p>
            <w:pPr>
              <w:spacing w:after="0"/>
              <w:rPr>
                <w:sz w:val="18"/>
                <w:szCs w:val="18"/>
                <w:color w:val="auto"/>
              </w:rPr>
            </w:pPr>
          </w:p>
        </w:tc>
        <w:tc>
          <w:tcPr>
            <w:tcW w:w="8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89.1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760" w:type="dxa"/>
            <w:vAlign w:val="bottom"/>
          </w:tcPr>
          <w:p>
            <w:pPr>
              <w:ind w:left="420"/>
              <w:spacing w:after="0"/>
              <w:rPr>
                <w:sz w:val="20"/>
                <w:szCs w:val="20"/>
                <w:color w:val="auto"/>
              </w:rPr>
            </w:pPr>
            <w:r>
              <w:rPr>
                <w:rFonts w:ascii="Arial" w:cs="Arial" w:eastAsia="Arial" w:hAnsi="Arial"/>
                <w:sz w:val="18"/>
                <w:szCs w:val="18"/>
                <w:color w:val="auto"/>
              </w:rPr>
              <w:t>Repurchases of common stock</w:t>
            </w:r>
          </w:p>
        </w:tc>
        <w:tc>
          <w:tcPr>
            <w:tcW w:w="80" w:type="dxa"/>
            <w:vAlign w:val="bottom"/>
          </w:tcPr>
          <w:p>
            <w:pPr>
              <w:spacing w:after="0"/>
              <w:rPr>
                <w:sz w:val="18"/>
                <w:szCs w:val="18"/>
                <w:color w:val="auto"/>
              </w:rPr>
            </w:pPr>
          </w:p>
        </w:tc>
        <w:tc>
          <w:tcPr>
            <w:tcW w:w="720" w:type="dxa"/>
            <w:vAlign w:val="bottom"/>
            <w:gridSpan w:val="2"/>
          </w:tcPr>
          <w:p>
            <w:pPr>
              <w:jc w:val="right"/>
              <w:ind w:right="200"/>
              <w:spacing w:after="0"/>
              <w:rPr>
                <w:sz w:val="20"/>
                <w:szCs w:val="20"/>
                <w:color w:val="auto"/>
              </w:rPr>
            </w:pPr>
            <w:r>
              <w:rPr>
                <w:rFonts w:ascii="Arial" w:cs="Arial" w:eastAsia="Arial" w:hAnsi="Arial"/>
                <w:sz w:val="18"/>
                <w:szCs w:val="18"/>
                <w:color w:val="auto"/>
              </w:rPr>
              <w:t>(39.4)</w:t>
            </w:r>
          </w:p>
        </w:tc>
        <w:tc>
          <w:tcPr>
            <w:tcW w:w="840" w:type="dxa"/>
            <w:vAlign w:val="bottom"/>
            <w:gridSpan w:val="3"/>
          </w:tcPr>
          <w:p>
            <w:pPr>
              <w:jc w:val="right"/>
              <w:ind w:right="40"/>
              <w:spacing w:after="0"/>
              <w:rPr>
                <w:sz w:val="20"/>
                <w:szCs w:val="20"/>
                <w:color w:val="auto"/>
              </w:rPr>
            </w:pPr>
            <w:r>
              <w:rPr>
                <w:rFonts w:ascii="Arial" w:cs="Arial" w:eastAsia="Arial" w:hAnsi="Arial"/>
                <w:sz w:val="18"/>
                <w:szCs w:val="18"/>
                <w:color w:val="auto"/>
              </w:rPr>
              <w:t>(256.6)</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97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80" w:type="dxa"/>
            <w:vAlign w:val="bottom"/>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9760" w:type="dxa"/>
            <w:vAlign w:val="bottom"/>
            <w:shd w:val="clear" w:color="auto" w:fill="CCEEFF"/>
          </w:tcPr>
          <w:p>
            <w:pPr>
              <w:spacing w:after="0"/>
              <w:rPr>
                <w:sz w:val="20"/>
                <w:szCs w:val="20"/>
                <w:color w:val="auto"/>
              </w:rPr>
            </w:pPr>
            <w:r>
              <w:rPr>
                <w:rFonts w:ascii="Arial" w:cs="Arial" w:eastAsia="Arial" w:hAnsi="Arial"/>
                <w:sz w:val="18"/>
                <w:szCs w:val="18"/>
                <w:color w:val="auto"/>
              </w:rPr>
              <w:t>Net cash used in financing activities</w:t>
            </w:r>
          </w:p>
        </w:tc>
        <w:tc>
          <w:tcPr>
            <w:tcW w:w="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(24.0)</w:t>
            </w:r>
          </w:p>
        </w:tc>
        <w:tc>
          <w:tcPr>
            <w:tcW w:w="84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(163.5)</w:t>
            </w:r>
          </w:p>
        </w:tc>
        <w:tc>
          <w:tcPr>
            <w:tcW w:w="0" w:type="dxa"/>
            <w:vAlign w:val="bottom"/>
          </w:tcPr>
          <w:p>
            <w:pPr>
              <w:spacing w:after="0"/>
              <w:rPr>
                <w:sz w:val="1"/>
                <w:szCs w:val="1"/>
                <w:color w:val="auto"/>
              </w:rPr>
            </w:pPr>
          </w:p>
        </w:tc>
      </w:tr>
      <w:tr>
        <w:trPr>
          <w:trHeight w:val="20"/>
        </w:trPr>
        <w:tc>
          <w:tcPr>
            <w:tcW w:w="9780" w:type="dxa"/>
            <w:vAlign w:val="bottom"/>
            <w:gridSpan w:val="2"/>
            <w:vMerge w:val="restart"/>
          </w:tcPr>
          <w:p>
            <w:pPr>
              <w:spacing w:after="0"/>
              <w:rPr>
                <w:sz w:val="20"/>
                <w:szCs w:val="20"/>
                <w:color w:val="auto"/>
              </w:rPr>
            </w:pPr>
            <w:r>
              <w:rPr>
                <w:rFonts w:ascii="Arial" w:cs="Arial" w:eastAsia="Arial" w:hAnsi="Arial"/>
                <w:sz w:val="18"/>
                <w:szCs w:val="18"/>
                <w:color w:val="auto"/>
              </w:rPr>
              <w:t>Effect of exchange rate changes on cash and cash equivalents</w:t>
            </w:r>
          </w:p>
        </w:tc>
        <w:tc>
          <w:tcPr>
            <w:tcW w:w="8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9780" w:type="dxa"/>
            <w:vAlign w:val="bottom"/>
            <w:gridSpan w:val="2"/>
            <w:vMerge w:val="continue"/>
          </w:tcPr>
          <w:p>
            <w:pPr>
              <w:spacing w:after="0"/>
              <w:rPr>
                <w:sz w:val="19"/>
                <w:szCs w:val="19"/>
                <w:color w:val="auto"/>
              </w:rPr>
            </w:pPr>
          </w:p>
        </w:tc>
        <w:tc>
          <w:tcPr>
            <w:tcW w:w="8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2.8</w:t>
            </w:r>
          </w:p>
        </w:tc>
        <w:tc>
          <w:tcPr>
            <w:tcW w:w="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60" w:type="dxa"/>
            <w:vAlign w:val="bottom"/>
            <w:gridSpan w:val="2"/>
          </w:tcPr>
          <w:p>
            <w:pPr>
              <w:jc w:val="right"/>
              <w:ind w:right="40"/>
              <w:spacing w:after="0"/>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28"/>
        </w:trPr>
        <w:tc>
          <w:tcPr>
            <w:tcW w:w="20" w:type="dxa"/>
            <w:vAlign w:val="bottom"/>
            <w:vMerge w:val="restart"/>
          </w:tcPr>
          <w:p>
            <w:pPr>
              <w:spacing w:after="0"/>
              <w:rPr>
                <w:sz w:val="2"/>
                <w:szCs w:val="2"/>
                <w:color w:val="auto"/>
              </w:rPr>
            </w:pPr>
          </w:p>
        </w:tc>
        <w:tc>
          <w:tcPr>
            <w:tcW w:w="97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80" w:type="dxa"/>
            <w:vAlign w:val="bottom"/>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9760" w:type="dxa"/>
            <w:vAlign w:val="bottom"/>
            <w:shd w:val="clear" w:color="auto" w:fill="CCEEFF"/>
          </w:tcPr>
          <w:p>
            <w:pPr>
              <w:spacing w:after="0"/>
              <w:rPr>
                <w:sz w:val="20"/>
                <w:szCs w:val="20"/>
                <w:color w:val="auto"/>
              </w:rPr>
            </w:pPr>
            <w:r>
              <w:rPr>
                <w:rFonts w:ascii="Arial" w:cs="Arial" w:eastAsia="Arial" w:hAnsi="Arial"/>
                <w:sz w:val="18"/>
                <w:szCs w:val="18"/>
                <w:color w:val="auto"/>
              </w:rPr>
              <w:t>Net decrease in cash and cash equivalents</w:t>
            </w:r>
          </w:p>
        </w:tc>
        <w:tc>
          <w:tcPr>
            <w:tcW w:w="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87"/>
              </w:rPr>
              <w:t>(219.1)</w:t>
            </w:r>
          </w:p>
        </w:tc>
        <w:tc>
          <w:tcPr>
            <w:tcW w:w="84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(121.5)</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760" w:type="dxa"/>
            <w:vAlign w:val="bottom"/>
          </w:tcPr>
          <w:p>
            <w:pPr>
              <w:spacing w:after="0"/>
              <w:rPr>
                <w:sz w:val="20"/>
                <w:szCs w:val="20"/>
                <w:color w:val="auto"/>
              </w:rPr>
            </w:pPr>
            <w:r>
              <w:rPr>
                <w:rFonts w:ascii="Arial" w:cs="Arial" w:eastAsia="Arial" w:hAnsi="Arial"/>
                <w:sz w:val="18"/>
                <w:szCs w:val="18"/>
                <w:color w:val="auto"/>
              </w:rPr>
              <w:t>Cash and cash equivalents at beginning of fiscal year</w:t>
            </w:r>
          </w:p>
        </w:tc>
        <w:tc>
          <w:tcPr>
            <w:tcW w:w="8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7"/>
              </w:rPr>
              <w:t>917.6</w:t>
            </w:r>
          </w:p>
        </w:tc>
        <w:tc>
          <w:tcPr>
            <w:tcW w:w="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917.9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76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 at end of period</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698.5</w:t>
            </w:r>
          </w:p>
        </w:tc>
        <w:tc>
          <w:tcPr>
            <w:tcW w:w="260" w:type="dxa"/>
            <w:vAlign w:val="bottom"/>
            <w:shd w:val="clear" w:color="auto" w:fill="CCEEFF"/>
          </w:tcPr>
          <w:p>
            <w:pPr>
              <w:spacing w:after="0"/>
              <w:rPr>
                <w:sz w:val="18"/>
                <w:szCs w:val="18"/>
                <w:color w:val="auto"/>
              </w:rPr>
            </w:pPr>
          </w:p>
        </w:tc>
        <w:tc>
          <w:tcPr>
            <w:tcW w:w="8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$ 796.4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7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Condensed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459" w:right="23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AUTODESK,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(Tables in millions, except share and per share data, or as otherwise noted)</w:t>
      </w:r>
    </w:p>
    <w:p>
      <w:pPr>
        <w:spacing w:after="0" w:line="84" w:lineRule="exact"/>
        <w:rPr>
          <w:sz w:val="20"/>
          <w:szCs w:val="20"/>
          <w:color w:val="auto"/>
        </w:rPr>
      </w:pPr>
    </w:p>
    <w:p>
      <w:pPr>
        <w:ind w:left="460" w:hanging="452"/>
        <w:spacing w:after="0"/>
        <w:tabs>
          <w:tab w:leader="none" w:pos="460" w:val="left"/>
        </w:tabs>
        <w:numPr>
          <w:ilvl w:val="0"/>
          <w:numId w:val="3"/>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Basis of Presentation</w:t>
      </w:r>
    </w:p>
    <w:p>
      <w:pPr>
        <w:spacing w:after="0" w:line="90"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The accompanying unaudited Condensed Consolidated Financial Statements of Autodesk, Inc. (“Autodesk” or the “Company”) as of October 31, 2009, and for the three and nine months ended October 31, 2009, have been prepared in accordance with accounting principles generally accepted in the U.S. for interim financial information along with the instructions to Form 10-Q and Article 10 of Securities and Exchange Commission (“SEC”) Regulation S-X. Accordingly, they do not include all of the information and notes required by generally accepted accounting principles (“GAAP”) for annual financial statements. In management’s opinion, Autodesk has made all adjustments (consisting of normal, recurring and non-recurring adjustments) during the quarter that were considered necessary for the fair presentation of the financial position and operating results of the Company. The preparation of financial statements in conformity with GAAP requires management to make estimates and assumptions that affect reported amounts in the financial statements and accompanying notes. These estimates are based on information available as of the date of the unaudited Condensed Consolidated Financial Statements. Actual results could differ from those estimates. In addition, the results of operations for the three months and nine ended October 31, 2009 are not necessarily indicative of the results for the entire fiscal year ending January 31, 2010, or for any other period. These unaudited Condensed Consolidated Financial Statements should be read in conjunction with the Consolidated Financial Statements and related notes, together with management’s discussion and analysis of financial position and results of operations contained in Autodesk’s Annual Report on Form 10-K for the fiscal year ended January 31, 2009 (the “2009 Form 10-K”) filed on March 20, 2009. Autodesk has evaluated, and disclosed as appropriate, subsequent events through December 8, 2009, which represents the date the financial statements were issued.</w:t>
      </w:r>
    </w:p>
    <w:p>
      <w:pPr>
        <w:spacing w:after="0" w:line="202"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Reclassifications</w:t>
      </w:r>
    </w:p>
    <w:p>
      <w:pPr>
        <w:spacing w:after="0" w:line="90" w:lineRule="exact"/>
        <w:rPr>
          <w:sz w:val="20"/>
          <w:szCs w:val="20"/>
          <w:color w:val="auto"/>
        </w:rPr>
      </w:pPr>
    </w:p>
    <w:p>
      <w:pPr>
        <w:ind w:right="220" w:firstLine="456"/>
        <w:spacing w:after="0" w:line="268" w:lineRule="auto"/>
        <w:rPr>
          <w:sz w:val="20"/>
          <w:szCs w:val="20"/>
          <w:color w:val="auto"/>
        </w:rPr>
      </w:pPr>
      <w:r>
        <w:rPr>
          <w:rFonts w:ascii="Arial" w:cs="Arial" w:eastAsia="Arial" w:hAnsi="Arial"/>
          <w:sz w:val="18"/>
          <w:szCs w:val="18"/>
          <w:color w:val="auto"/>
        </w:rPr>
        <w:t>Minor reclassifications to segment revenue and gross profit have been made to prior period amounts to conform to the current presentation. See Note 18, “Segments” for additional information regarding these reclassifications.</w:t>
      </w:r>
    </w:p>
    <w:p>
      <w:pPr>
        <w:spacing w:after="0" w:line="254" w:lineRule="exact"/>
        <w:rPr>
          <w:sz w:val="20"/>
          <w:szCs w:val="20"/>
          <w:color w:val="auto"/>
        </w:rPr>
      </w:pPr>
    </w:p>
    <w:p>
      <w:pPr>
        <w:ind w:left="460" w:hanging="452"/>
        <w:spacing w:after="0"/>
        <w:tabs>
          <w:tab w:leader="none" w:pos="460" w:val="left"/>
        </w:tabs>
        <w:numPr>
          <w:ilvl w:val="0"/>
          <w:numId w:val="4"/>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Recently Issued Accounting Standards</w:t>
      </w:r>
    </w:p>
    <w:p>
      <w:pPr>
        <w:spacing w:after="0" w:line="90" w:lineRule="exact"/>
        <w:rPr>
          <w:sz w:val="20"/>
          <w:szCs w:val="20"/>
          <w:color w:val="auto"/>
        </w:rPr>
      </w:pPr>
    </w:p>
    <w:p>
      <w:pPr>
        <w:jc w:val="both"/>
        <w:ind w:right="180" w:firstLine="456"/>
        <w:spacing w:after="0" w:line="259" w:lineRule="auto"/>
        <w:rPr>
          <w:sz w:val="20"/>
          <w:szCs w:val="20"/>
          <w:color w:val="auto"/>
        </w:rPr>
      </w:pPr>
      <w:r>
        <w:rPr>
          <w:rFonts w:ascii="Arial" w:cs="Arial" w:eastAsia="Arial" w:hAnsi="Arial"/>
          <w:sz w:val="18"/>
          <w:szCs w:val="18"/>
          <w:color w:val="auto"/>
        </w:rPr>
        <w:t>With the exception of those discussed below, there have been no recent accounting pronouncements or changes in accounting pronouncements during the nine months ended October 31, 2009, as compared to the accounting pronouncements described in Autodesk’s Annual Report on Form 10-K for the fiscal year ended January 31, 2009, that are of significance, or potential significance, to the Company.</w:t>
      </w:r>
    </w:p>
    <w:p>
      <w:pPr>
        <w:spacing w:after="0" w:line="59" w:lineRule="exact"/>
        <w:rPr>
          <w:sz w:val="20"/>
          <w:szCs w:val="20"/>
          <w:color w:val="auto"/>
        </w:rPr>
      </w:pPr>
    </w:p>
    <w:p>
      <w:pPr>
        <w:ind w:right="160" w:firstLine="456"/>
        <w:spacing w:after="0" w:line="291" w:lineRule="auto"/>
        <w:rPr>
          <w:sz w:val="20"/>
          <w:szCs w:val="20"/>
          <w:color w:val="auto"/>
        </w:rPr>
      </w:pPr>
      <w:r>
        <w:rPr>
          <w:rFonts w:ascii="Arial" w:cs="Arial" w:eastAsia="Arial" w:hAnsi="Arial"/>
          <w:sz w:val="16"/>
          <w:szCs w:val="16"/>
          <w:color w:val="auto"/>
        </w:rPr>
        <w:t>In June 2009, the FASB issued The FASB Accounting Standards Codification and the Hierarchy of Generally Accepted Accounting Principles. This statement, which became effective on July 1, 2009, establishes the Accounting Standards Codification (“ASC”) as the source of authoritative GAAP recognized by the FASB to be applied by nongovernmental entities, and is codified in ASC Topic 105, “Generally Accepted Accounting Principles.” The ASC does not change GAAP, but instead reorganizes the U.S. GAAP pronouncements into accounting Topics. As the ASC did not change GAAP, the adoption of ASC Topic 105 did not have a material effect on Autodesk’s consolidated financial position, results of operations or cash flows. Previous references to applicable GAAP literature in Autodesk’s disclosures are updated with references to the new ASC section in the Company’s Form 10-Q for the quarter ended October 31, 2009.</w:t>
      </w:r>
    </w:p>
    <w:p>
      <w:pPr>
        <w:spacing w:after="0" w:line="39"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In June 2009, the FASB issued SFAS 166, “Accounting for Transfers of Financial Assets-an amendment of FASB Statement No. 140” and SFAS 167, “Amendments to FASB Interpretation No. 46(R),” which update accounting for securitizations and special-purpose entities. SFAS 166 eliminates the concept of a “qualifying special-purpose entity,” changes the requirements for derecognizing financial assets and requires additional disclosures. SFAS 167 amends the evaluation criteria to identify the primary beneficiary of a variable interest entity provided by FASB Interpretation No. 46(R), “Consolidation of Variable Interest Entities—An Interpretation of ARB No. 51.” This statement also amends the consolidation guidance applicable to variable interest entities. Additionally, SFAS 167 requires ongoing reassessments of whether an enterprise is the primary beneficiary of the variable interest entity. These statements will be effective for Autodesk’s fiscal year beginning February 1, 2010. Autodesk does not believe that the adoption of SFAS 166 or 167 will have a material effect on its consolidated financial position, results of operations and cash flows.</w:t>
      </w:r>
    </w:p>
    <w:p>
      <w:pPr>
        <w:spacing w:after="0" w:line="37" w:lineRule="exact"/>
        <w:rPr>
          <w:sz w:val="20"/>
          <w:szCs w:val="20"/>
          <w:color w:val="auto"/>
        </w:rPr>
      </w:pPr>
    </w:p>
    <w:p>
      <w:pPr>
        <w:ind w:right="60" w:firstLine="456"/>
        <w:spacing w:after="0" w:line="291" w:lineRule="auto"/>
        <w:rPr>
          <w:sz w:val="20"/>
          <w:szCs w:val="20"/>
          <w:color w:val="auto"/>
        </w:rPr>
      </w:pPr>
      <w:r>
        <w:rPr>
          <w:rFonts w:ascii="Arial" w:cs="Arial" w:eastAsia="Arial" w:hAnsi="Arial"/>
          <w:sz w:val="16"/>
          <w:szCs w:val="16"/>
          <w:color w:val="auto"/>
        </w:rPr>
        <w:t>In August 2009, the FASB issued Accounting Standards Update (“ASU”) 2009-05 regarding ASC Topic 820, “Fair Value Measurements and Disclosures.” This ASU provides guidance on how to measure liabilities at fair value within the scope of ASC Topic 820. This Update provides clarification that in circumstances in which a quoted price in an active market for the identical liability is not available, a reporting entity is required to measure fair value using one or more of the following techniques: 1) A valuation technique that uses: a. The quoted price of the identical liability when traded as an asset, or b. Quoted prices for similar liabilities or similar liabilities when traded as assets, or 2) Another valuation technique that is consistent with the principles of ASC Topic 820. Two examples would be an income approach or a market approach. Autodesk adopted the changes represented by this</w:t>
      </w:r>
    </w:p>
    <w:p>
      <w:pPr>
        <w:spacing w:after="0" w:line="1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459" w:right="239"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640"/>
        <w:spacing w:after="0" w:line="268" w:lineRule="auto"/>
        <w:rPr>
          <w:sz w:val="20"/>
          <w:szCs w:val="20"/>
          <w:color w:val="auto"/>
        </w:rPr>
      </w:pPr>
      <w:r>
        <w:rPr>
          <w:rFonts w:ascii="Arial" w:cs="Arial" w:eastAsia="Arial" w:hAnsi="Arial"/>
          <w:sz w:val="18"/>
          <w:szCs w:val="18"/>
          <w:color w:val="auto"/>
        </w:rPr>
        <w:t>ASU during Autodesk’s fiscal quarter ended October 31, 2009. The adoption of ASU 2009-05 did not have a material impact on Autodesk’s consolidated financial position, results of operations or cash flows.</w:t>
      </w:r>
    </w:p>
    <w:p>
      <w:pPr>
        <w:spacing w:after="0" w:line="132" w:lineRule="exact"/>
        <w:rPr>
          <w:sz w:val="20"/>
          <w:szCs w:val="20"/>
          <w:color w:val="auto"/>
        </w:rPr>
      </w:pPr>
    </w:p>
    <w:p>
      <w:pPr>
        <w:ind w:right="20" w:firstLine="456"/>
        <w:spacing w:after="0" w:line="308" w:lineRule="auto"/>
        <w:rPr>
          <w:sz w:val="20"/>
          <w:szCs w:val="20"/>
          <w:color w:val="auto"/>
        </w:rPr>
      </w:pPr>
      <w:r>
        <w:rPr>
          <w:rFonts w:ascii="Arial" w:cs="Arial" w:eastAsia="Arial" w:hAnsi="Arial"/>
          <w:sz w:val="15"/>
          <w:szCs w:val="15"/>
          <w:color w:val="auto"/>
        </w:rPr>
        <w:t>In October 2009, the FASB issued ASU 2009-13 regarding ASC Subtopic 605-25 “Revenue Recognition—Multiple-element Arrangements.” This ASU addresses criteria for separating the consideration in multiple-element arrangements. ASU 2009-13 will require companies to allocate the overall consideration to each deliverable by using a best estimate of the selling price of individual deliverables in the arrangement in the absence of vendor-specific objective evidence or other third-party evidence of the selling price. In October 2009, the FASB also issued ASU 2009-14 regarding ASC Topic 985 “Software: Certain Revenue Arrangements That Include Software Elements.” This ASU modifies the scope of ASC Subtopic 965-605, “Software Revenue Recognition,” to exclude (a) non-software components of tangible products and (b) software components of tangible products that are sold, licensed, or leased with tangible products when the software components and non-software components of the tangible product function together to deliver the tangible product’s essential functionality. The changes under ASU 2009-13 and 2009-14 will be effective prospectively for revenue arrangements entered into or materially modified in fiscal years beginning on or after June 15, 2010, and early adoption will be permitted. Autodesk currently plans to adopt the changes under ASU 2009-13 and 2009-14 effective February 1, 2010, and is currently assessing the future impact of this new accounting pronouncement on its consolidated financial position, results of operations and cash flows.</w:t>
      </w:r>
    </w:p>
    <w:p>
      <w:pPr>
        <w:spacing w:after="0" w:line="231" w:lineRule="exact"/>
        <w:rPr>
          <w:sz w:val="20"/>
          <w:szCs w:val="20"/>
          <w:color w:val="auto"/>
        </w:rPr>
      </w:pPr>
    </w:p>
    <w:p>
      <w:pPr>
        <w:ind w:left="460" w:hanging="452"/>
        <w:spacing w:after="0"/>
        <w:tabs>
          <w:tab w:leader="none" w:pos="460" w:val="left"/>
        </w:tabs>
        <w:numPr>
          <w:ilvl w:val="0"/>
          <w:numId w:val="5"/>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Concentration of Credit Risks and Significant Customers</w:t>
      </w:r>
    </w:p>
    <w:p>
      <w:pPr>
        <w:spacing w:after="0" w:line="90" w:lineRule="exact"/>
        <w:rPr>
          <w:sz w:val="20"/>
          <w:szCs w:val="20"/>
          <w:color w:val="auto"/>
        </w:rPr>
      </w:pPr>
    </w:p>
    <w:p>
      <w:pPr>
        <w:ind w:right="40" w:firstLine="456"/>
        <w:spacing w:after="0" w:line="298" w:lineRule="auto"/>
        <w:rPr>
          <w:sz w:val="20"/>
          <w:szCs w:val="20"/>
          <w:color w:val="auto"/>
        </w:rPr>
      </w:pPr>
      <w:r>
        <w:rPr>
          <w:rFonts w:ascii="Arial" w:cs="Arial" w:eastAsia="Arial" w:hAnsi="Arial"/>
          <w:sz w:val="16"/>
          <w:szCs w:val="16"/>
          <w:color w:val="auto"/>
        </w:rPr>
        <w:t>It is Autodesk’s policy that its cash, cash equivalents and marketable securities are held with, and in the custody of, financial institutions with high credit standing. Autodesk’s cash and cash equivalents are held by diversified institutions globally. Autodesk’s primary commercial banking relationship is with Citibank and its global affiliates (“Citibank”). In addition, Citicorp USA, Inc., an affiliate of Citibank, is the lead lender and agent in the syndicate of the Company’s $250.0 million U.S. line of credit. It is Autodesk’s policy to limit the amounts invested with any one institution by type of security and issuer.</w:t>
      </w:r>
    </w:p>
    <w:p>
      <w:pPr>
        <w:spacing w:after="0" w:line="113" w:lineRule="exact"/>
        <w:rPr>
          <w:sz w:val="20"/>
          <w:szCs w:val="20"/>
          <w:color w:val="auto"/>
        </w:rPr>
      </w:pPr>
    </w:p>
    <w:p>
      <w:pPr>
        <w:ind w:right="180" w:firstLine="456"/>
        <w:spacing w:after="0" w:line="255" w:lineRule="auto"/>
        <w:rPr>
          <w:sz w:val="20"/>
          <w:szCs w:val="20"/>
          <w:color w:val="auto"/>
        </w:rPr>
      </w:pPr>
      <w:r>
        <w:rPr>
          <w:rFonts w:ascii="Arial" w:cs="Arial" w:eastAsia="Arial" w:hAnsi="Arial"/>
          <w:sz w:val="18"/>
          <w:szCs w:val="18"/>
          <w:color w:val="auto"/>
        </w:rPr>
        <w:t>Total sales to the distributors Tech Data Corporation and its global affiliates (“Tech Data”) accounted for 14% of Autodesk’s consolidated net revenue for the three months ended October 31, 2009 and 2008. Sales to Tech Data represented 13% and 15% of Autodesk’s consolidated net revenue for the nine months ended October 31, 2009 and 2008, respectively. The majority of the net revenue from sales to Tech Data relates to Autodesk’s Platform Solutions and Emerging Business segment and comes from outside the U.S. In addition, Tech Data accounted for 15% and 12% of gross accounts receivable at October 31, 2009 and January 31, 2009, respectively.</w:t>
      </w:r>
    </w:p>
    <w:p>
      <w:pPr>
        <w:spacing w:after="0" w:line="264" w:lineRule="exact"/>
        <w:rPr>
          <w:sz w:val="20"/>
          <w:szCs w:val="20"/>
          <w:color w:val="auto"/>
        </w:rPr>
      </w:pPr>
    </w:p>
    <w:p>
      <w:pPr>
        <w:ind w:left="240" w:right="7640" w:hanging="232"/>
        <w:spacing w:after="0" w:line="344" w:lineRule="auto"/>
        <w:tabs>
          <w:tab w:leader="none" w:pos="458" w:val="left"/>
        </w:tabs>
        <w:numPr>
          <w:ilvl w:val="0"/>
          <w:numId w:val="6"/>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 xml:space="preserve">Financial Instruments and Hedging Activities </w:t>
      </w:r>
      <w:r>
        <w:rPr>
          <w:rFonts w:ascii="Arial" w:cs="Arial" w:eastAsia="Arial" w:hAnsi="Arial"/>
          <w:sz w:val="18"/>
          <w:szCs w:val="18"/>
          <w:i w:val="1"/>
          <w:iCs w:val="1"/>
          <w:color w:val="auto"/>
        </w:rPr>
        <w:t>Financial Instruments</w:t>
      </w:r>
    </w:p>
    <w:p>
      <w:pPr>
        <w:spacing w:after="0" w:line="1" w:lineRule="exact"/>
        <w:rPr>
          <w:sz w:val="20"/>
          <w:szCs w:val="20"/>
          <w:color w:val="auto"/>
        </w:rPr>
      </w:pPr>
    </w:p>
    <w:p>
      <w:pPr>
        <w:ind w:right="40" w:firstLine="456"/>
        <w:spacing w:after="0" w:line="268" w:lineRule="auto"/>
        <w:rPr>
          <w:sz w:val="20"/>
          <w:szCs w:val="20"/>
          <w:color w:val="auto"/>
        </w:rPr>
      </w:pPr>
      <w:r>
        <w:rPr>
          <w:rFonts w:ascii="Arial" w:cs="Arial" w:eastAsia="Arial" w:hAnsi="Arial"/>
          <w:sz w:val="18"/>
          <w:szCs w:val="18"/>
          <w:color w:val="auto"/>
        </w:rPr>
        <w:t>Market values were determined for each individual security in the investment portfolio. The cost and fair value of Autodesk’s financial instruments were as follows:</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700" w:type="dxa"/>
            <w:vAlign w:val="bottom"/>
          </w:tcPr>
          <w:p>
            <w:pPr>
              <w:spacing w:after="0"/>
              <w:rPr>
                <w:sz w:val="14"/>
                <w:szCs w:val="14"/>
                <w:color w:val="auto"/>
              </w:rPr>
            </w:pPr>
          </w:p>
        </w:tc>
        <w:tc>
          <w:tcPr>
            <w:tcW w:w="2420" w:type="dxa"/>
            <w:vAlign w:val="bottom"/>
          </w:tcPr>
          <w:p>
            <w:pPr>
              <w:spacing w:after="0"/>
              <w:rPr>
                <w:sz w:val="14"/>
                <w:szCs w:val="14"/>
                <w:color w:val="auto"/>
              </w:rPr>
            </w:pPr>
          </w:p>
        </w:tc>
        <w:tc>
          <w:tcPr>
            <w:tcW w:w="1680" w:type="dxa"/>
            <w:vAlign w:val="bottom"/>
            <w:gridSpan w:val="4"/>
          </w:tcPr>
          <w:p>
            <w:pPr>
              <w:jc w:val="right"/>
              <w:ind w:right="480"/>
              <w:spacing w:after="0"/>
              <w:rPr>
                <w:sz w:val="20"/>
                <w:szCs w:val="20"/>
                <w:color w:val="auto"/>
              </w:rPr>
            </w:pPr>
            <w:r>
              <w:rPr>
                <w:rFonts w:ascii="Arial" w:cs="Arial" w:eastAsia="Arial" w:hAnsi="Arial"/>
                <w:sz w:val="14"/>
                <w:szCs w:val="14"/>
                <w:b w:val="1"/>
                <w:bCs w:val="1"/>
                <w:color w:val="auto"/>
              </w:rPr>
              <w:t>October 31, 2009</w:t>
            </w:r>
          </w:p>
        </w:tc>
        <w:tc>
          <w:tcPr>
            <w:tcW w:w="180" w:type="dxa"/>
            <w:vAlign w:val="bottom"/>
          </w:tcPr>
          <w:p>
            <w:pPr>
              <w:spacing w:after="0"/>
              <w:rPr>
                <w:sz w:val="14"/>
                <w:szCs w:val="14"/>
                <w:color w:val="auto"/>
              </w:rPr>
            </w:pPr>
          </w:p>
        </w:tc>
        <w:tc>
          <w:tcPr>
            <w:tcW w:w="1460" w:type="dxa"/>
            <w:vAlign w:val="bottom"/>
            <w:gridSpan w:val="4"/>
          </w:tcPr>
          <w:p>
            <w:pPr>
              <w:ind w:left="240"/>
              <w:spacing w:after="0"/>
              <w:rPr>
                <w:sz w:val="20"/>
                <w:szCs w:val="20"/>
                <w:color w:val="auto"/>
              </w:rPr>
            </w:pPr>
            <w:r>
              <w:rPr>
                <w:rFonts w:ascii="Arial" w:cs="Arial" w:eastAsia="Arial" w:hAnsi="Arial"/>
                <w:sz w:val="14"/>
                <w:szCs w:val="14"/>
                <w:b w:val="1"/>
                <w:bCs w:val="1"/>
                <w:color w:val="auto"/>
              </w:rPr>
              <w:t>January 31, 2009</w:t>
            </w:r>
          </w:p>
        </w:tc>
      </w:tr>
      <w:tr>
        <w:trPr>
          <w:trHeight w:val="142"/>
        </w:trPr>
        <w:tc>
          <w:tcPr>
            <w:tcW w:w="5700" w:type="dxa"/>
            <w:vAlign w:val="bottom"/>
          </w:tcPr>
          <w:p>
            <w:pPr>
              <w:spacing w:after="0"/>
              <w:rPr>
                <w:sz w:val="12"/>
                <w:szCs w:val="12"/>
                <w:color w:val="auto"/>
              </w:rPr>
            </w:pPr>
          </w:p>
        </w:tc>
        <w:tc>
          <w:tcPr>
            <w:tcW w:w="2420" w:type="dxa"/>
            <w:vAlign w:val="bottom"/>
          </w:tcPr>
          <w:p>
            <w:pPr>
              <w:spacing w:after="0"/>
              <w:rPr>
                <w:sz w:val="12"/>
                <w:szCs w:val="12"/>
                <w:color w:val="auto"/>
              </w:rPr>
            </w:pPr>
          </w:p>
        </w:tc>
        <w:tc>
          <w:tcPr>
            <w:tcW w:w="500" w:type="dxa"/>
            <w:vAlign w:val="bottom"/>
            <w:tcBorders>
              <w:top w:val="single" w:sz="8" w:color="auto"/>
              <w:bottom w:val="single" w:sz="8" w:color="auto"/>
            </w:tcBorders>
          </w:tcPr>
          <w:p>
            <w:pPr>
              <w:ind w:left="120"/>
              <w:spacing w:after="0" w:line="142" w:lineRule="exact"/>
              <w:rPr>
                <w:sz w:val="20"/>
                <w:szCs w:val="20"/>
                <w:color w:val="auto"/>
              </w:rPr>
            </w:pPr>
            <w:r>
              <w:rPr>
                <w:rFonts w:ascii="Arial" w:cs="Arial" w:eastAsia="Arial" w:hAnsi="Arial"/>
                <w:sz w:val="14"/>
                <w:szCs w:val="14"/>
                <w:b w:val="1"/>
                <w:bCs w:val="1"/>
                <w:color w:val="auto"/>
              </w:rPr>
              <w:t>Cost</w:t>
            </w:r>
          </w:p>
        </w:tc>
        <w:tc>
          <w:tcPr>
            <w:tcW w:w="320" w:type="dxa"/>
            <w:vAlign w:val="bottom"/>
            <w:tcBorders>
              <w:top w:val="single" w:sz="8" w:color="auto"/>
            </w:tcBorders>
          </w:tcPr>
          <w:p>
            <w:pPr>
              <w:spacing w:after="0"/>
              <w:rPr>
                <w:sz w:val="12"/>
                <w:szCs w:val="12"/>
                <w:color w:val="auto"/>
              </w:rPr>
            </w:pPr>
          </w:p>
        </w:tc>
        <w:tc>
          <w:tcPr>
            <w:tcW w:w="62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89"/>
              </w:rPr>
              <w:t>Fair Value</w:t>
            </w: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00" w:type="dxa"/>
            <w:vAlign w:val="bottom"/>
            <w:tcBorders>
              <w:top w:val="single" w:sz="8" w:color="auto"/>
              <w:bottom w:val="single" w:sz="8" w:color="auto"/>
            </w:tcBorders>
          </w:tcPr>
          <w:p>
            <w:pPr>
              <w:jc w:val="right"/>
              <w:ind w:right="52"/>
              <w:spacing w:after="0" w:line="142" w:lineRule="exact"/>
              <w:rPr>
                <w:sz w:val="20"/>
                <w:szCs w:val="20"/>
                <w:color w:val="auto"/>
              </w:rPr>
            </w:pPr>
            <w:r>
              <w:rPr>
                <w:rFonts w:ascii="Arial" w:cs="Arial" w:eastAsia="Arial" w:hAnsi="Arial"/>
                <w:sz w:val="14"/>
                <w:szCs w:val="14"/>
                <w:b w:val="1"/>
                <w:bCs w:val="1"/>
                <w:color w:val="auto"/>
              </w:rPr>
              <w:t>Cost</w:t>
            </w:r>
          </w:p>
        </w:tc>
        <w:tc>
          <w:tcPr>
            <w:tcW w:w="340" w:type="dxa"/>
            <w:vAlign w:val="bottom"/>
            <w:tcBorders>
              <w:top w:val="single" w:sz="8" w:color="auto"/>
            </w:tcBorders>
          </w:tcPr>
          <w:p>
            <w:pPr>
              <w:spacing w:after="0"/>
              <w:rPr>
                <w:sz w:val="12"/>
                <w:szCs w:val="12"/>
                <w:color w:val="auto"/>
              </w:rPr>
            </w:pPr>
          </w:p>
        </w:tc>
        <w:tc>
          <w:tcPr>
            <w:tcW w:w="60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86"/>
              </w:rPr>
              <w:t>Fair Value</w:t>
            </w:r>
          </w:p>
        </w:tc>
        <w:tc>
          <w:tcPr>
            <w:tcW w:w="20" w:type="dxa"/>
            <w:vAlign w:val="bottom"/>
          </w:tcPr>
          <w:p>
            <w:pPr>
              <w:spacing w:after="0"/>
              <w:rPr>
                <w:sz w:val="12"/>
                <w:szCs w:val="12"/>
                <w:color w:val="auto"/>
              </w:rPr>
            </w:pPr>
          </w:p>
        </w:tc>
      </w:tr>
      <w:tr>
        <w:trPr>
          <w:trHeight w:val="210"/>
        </w:trPr>
        <w:tc>
          <w:tcPr>
            <w:tcW w:w="570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w:t>
            </w:r>
          </w:p>
        </w:tc>
        <w:tc>
          <w:tcPr>
            <w:tcW w:w="324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$698.5</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  698.5</w:t>
            </w:r>
          </w:p>
        </w:tc>
        <w:tc>
          <w:tcPr>
            <w:tcW w:w="24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$917.6</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917.6</w:t>
            </w:r>
          </w:p>
        </w:tc>
        <w:tc>
          <w:tcPr>
            <w:tcW w:w="20" w:type="dxa"/>
            <w:vAlign w:val="bottom"/>
          </w:tcPr>
          <w:p>
            <w:pPr>
              <w:spacing w:after="0"/>
              <w:rPr>
                <w:sz w:val="18"/>
                <w:szCs w:val="18"/>
                <w:color w:val="auto"/>
              </w:rPr>
            </w:pPr>
          </w:p>
        </w:tc>
      </w:tr>
      <w:tr>
        <w:trPr>
          <w:trHeight w:val="216"/>
        </w:trPr>
        <w:tc>
          <w:tcPr>
            <w:tcW w:w="5700" w:type="dxa"/>
            <w:vAlign w:val="bottom"/>
          </w:tcPr>
          <w:p>
            <w:pPr>
              <w:spacing w:after="0"/>
              <w:rPr>
                <w:sz w:val="20"/>
                <w:szCs w:val="20"/>
                <w:color w:val="auto"/>
              </w:rPr>
            </w:pPr>
            <w:r>
              <w:rPr>
                <w:rFonts w:ascii="Arial" w:cs="Arial" w:eastAsia="Arial" w:hAnsi="Arial"/>
                <w:sz w:val="18"/>
                <w:szCs w:val="18"/>
                <w:color w:val="auto"/>
              </w:rPr>
              <w:t>Marketable securities - short-term</w:t>
            </w:r>
          </w:p>
        </w:tc>
        <w:tc>
          <w:tcPr>
            <w:tcW w:w="3240" w:type="dxa"/>
            <w:vAlign w:val="bottom"/>
            <w:gridSpan w:val="3"/>
          </w:tcPr>
          <w:p>
            <w:pPr>
              <w:jc w:val="right"/>
              <w:ind w:right="320"/>
              <w:spacing w:after="0"/>
              <w:rPr>
                <w:sz w:val="20"/>
                <w:szCs w:val="20"/>
                <w:color w:val="auto"/>
              </w:rPr>
            </w:pPr>
            <w:r>
              <w:rPr>
                <w:rFonts w:ascii="Arial" w:cs="Arial" w:eastAsia="Arial" w:hAnsi="Arial"/>
                <w:sz w:val="18"/>
                <w:szCs w:val="18"/>
                <w:color w:val="auto"/>
              </w:rPr>
              <w:t>271.5</w:t>
            </w:r>
          </w:p>
        </w:tc>
        <w:tc>
          <w:tcPr>
            <w:tcW w:w="620" w:type="dxa"/>
            <w:vAlign w:val="bottom"/>
          </w:tcPr>
          <w:p>
            <w:pPr>
              <w:jc w:val="right"/>
              <w:spacing w:after="0"/>
              <w:rPr>
                <w:sz w:val="20"/>
                <w:szCs w:val="20"/>
                <w:color w:val="auto"/>
              </w:rPr>
            </w:pPr>
            <w:r>
              <w:rPr>
                <w:rFonts w:ascii="Arial" w:cs="Arial" w:eastAsia="Arial" w:hAnsi="Arial"/>
                <w:sz w:val="18"/>
                <w:szCs w:val="18"/>
                <w:color w:val="auto"/>
              </w:rPr>
              <w:t>263.1</w:t>
            </w:r>
          </w:p>
        </w:tc>
        <w:tc>
          <w:tcPr>
            <w:tcW w:w="240" w:type="dxa"/>
            <w:vAlign w:val="bottom"/>
          </w:tcPr>
          <w:p>
            <w:pPr>
              <w:spacing w:after="0"/>
              <w:rPr>
                <w:sz w:val="18"/>
                <w:szCs w:val="18"/>
                <w:color w:val="auto"/>
              </w:rPr>
            </w:pP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68.0</w:t>
            </w: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63.5</w:t>
            </w:r>
          </w:p>
        </w:tc>
        <w:tc>
          <w:tcPr>
            <w:tcW w:w="20" w:type="dxa"/>
            <w:vAlign w:val="bottom"/>
          </w:tcPr>
          <w:p>
            <w:pPr>
              <w:spacing w:after="0"/>
              <w:rPr>
                <w:sz w:val="18"/>
                <w:szCs w:val="18"/>
                <w:color w:val="auto"/>
              </w:rPr>
            </w:pPr>
          </w:p>
        </w:tc>
      </w:tr>
      <w:tr>
        <w:trPr>
          <w:trHeight w:val="216"/>
        </w:trPr>
        <w:tc>
          <w:tcPr>
            <w:tcW w:w="5700" w:type="dxa"/>
            <w:vAlign w:val="bottom"/>
            <w:shd w:val="clear" w:color="auto" w:fill="CCEEFF"/>
          </w:tcPr>
          <w:p>
            <w:pPr>
              <w:spacing w:after="0"/>
              <w:rPr>
                <w:sz w:val="20"/>
                <w:szCs w:val="20"/>
                <w:color w:val="auto"/>
              </w:rPr>
            </w:pPr>
            <w:r>
              <w:rPr>
                <w:rFonts w:ascii="Arial" w:cs="Arial" w:eastAsia="Arial" w:hAnsi="Arial"/>
                <w:sz w:val="18"/>
                <w:szCs w:val="18"/>
                <w:color w:val="auto"/>
              </w:rPr>
              <w:t>Marketable securities - long-term</w:t>
            </w:r>
          </w:p>
        </w:tc>
        <w:tc>
          <w:tcPr>
            <w:tcW w:w="324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92.6</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92.0</w:t>
            </w:r>
          </w:p>
        </w:tc>
        <w:tc>
          <w:tcPr>
            <w:tcW w:w="24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9.0</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7.6</w:t>
            </w:r>
          </w:p>
        </w:tc>
        <w:tc>
          <w:tcPr>
            <w:tcW w:w="20" w:type="dxa"/>
            <w:vAlign w:val="bottom"/>
          </w:tcPr>
          <w:p>
            <w:pPr>
              <w:spacing w:after="0"/>
              <w:rPr>
                <w:sz w:val="18"/>
                <w:szCs w:val="18"/>
                <w:color w:val="auto"/>
              </w:rPr>
            </w:pPr>
          </w:p>
        </w:tc>
      </w:tr>
      <w:tr>
        <w:trPr>
          <w:trHeight w:val="222"/>
        </w:trPr>
        <w:tc>
          <w:tcPr>
            <w:tcW w:w="5700" w:type="dxa"/>
            <w:vAlign w:val="bottom"/>
          </w:tcPr>
          <w:p>
            <w:pPr>
              <w:spacing w:after="0"/>
              <w:rPr>
                <w:sz w:val="20"/>
                <w:szCs w:val="20"/>
                <w:color w:val="auto"/>
              </w:rPr>
            </w:pPr>
            <w:r>
              <w:rPr>
                <w:rFonts w:ascii="Arial" w:cs="Arial" w:eastAsia="Arial" w:hAnsi="Arial"/>
                <w:sz w:val="18"/>
                <w:szCs w:val="18"/>
                <w:color w:val="auto"/>
              </w:rPr>
              <w:t>Foreign currency forward and option contracts</w:t>
            </w:r>
          </w:p>
        </w:tc>
        <w:tc>
          <w:tcPr>
            <w:tcW w:w="3240" w:type="dxa"/>
            <w:vAlign w:val="bottom"/>
            <w:gridSpan w:val="3"/>
          </w:tcPr>
          <w:p>
            <w:pPr>
              <w:jc w:val="right"/>
              <w:ind w:right="320"/>
              <w:spacing w:after="0"/>
              <w:rPr>
                <w:sz w:val="20"/>
                <w:szCs w:val="20"/>
                <w:color w:val="auto"/>
              </w:rPr>
            </w:pPr>
            <w:r>
              <w:rPr>
                <w:rFonts w:ascii="Arial" w:cs="Arial" w:eastAsia="Arial" w:hAnsi="Arial"/>
                <w:sz w:val="18"/>
                <w:szCs w:val="18"/>
                <w:color w:val="auto"/>
              </w:rPr>
              <w:t>0.6</w:t>
            </w:r>
          </w:p>
        </w:tc>
        <w:tc>
          <w:tcPr>
            <w:tcW w:w="860" w:type="dxa"/>
            <w:vAlign w:val="bottom"/>
            <w:gridSpan w:val="2"/>
          </w:tcPr>
          <w:p>
            <w:pPr>
              <w:jc w:val="right"/>
              <w:ind w:right="180"/>
              <w:spacing w:after="0"/>
              <w:rPr>
                <w:sz w:val="20"/>
                <w:szCs w:val="20"/>
                <w:color w:val="auto"/>
              </w:rPr>
            </w:pPr>
            <w:r>
              <w:rPr>
                <w:rFonts w:ascii="Arial" w:cs="Arial" w:eastAsia="Arial" w:hAnsi="Arial"/>
                <w:sz w:val="18"/>
                <w:szCs w:val="18"/>
                <w:color w:val="auto"/>
              </w:rPr>
              <w:t>(0.6)</w:t>
            </w: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2.4</w:t>
            </w: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2.1</w:t>
            </w:r>
          </w:p>
        </w:tc>
        <w:tc>
          <w:tcPr>
            <w:tcW w:w="20" w:type="dxa"/>
            <w:vAlign w:val="bottom"/>
          </w:tcPr>
          <w:p>
            <w:pPr>
              <w:spacing w:after="0"/>
              <w:rPr>
                <w:sz w:val="19"/>
                <w:szCs w:val="19"/>
                <w:color w:val="auto"/>
              </w:rPr>
            </w:pPr>
          </w:p>
        </w:tc>
      </w:tr>
    </w:tbl>
    <w:p>
      <w:pPr>
        <w:spacing w:after="0" w:line="147" w:lineRule="exact"/>
        <w:rPr>
          <w:sz w:val="20"/>
          <w:szCs w:val="20"/>
          <w:color w:val="auto"/>
        </w:rPr>
      </w:pPr>
    </w:p>
    <w:p>
      <w:pPr>
        <w:ind w:right="80" w:firstLine="456"/>
        <w:spacing w:after="0" w:line="335" w:lineRule="auto"/>
        <w:rPr>
          <w:sz w:val="20"/>
          <w:szCs w:val="20"/>
          <w:color w:val="auto"/>
        </w:rPr>
      </w:pPr>
      <w:r>
        <w:rPr>
          <w:rFonts w:ascii="Arial" w:cs="Arial" w:eastAsia="Arial" w:hAnsi="Arial"/>
          <w:sz w:val="15"/>
          <w:szCs w:val="15"/>
          <w:color w:val="auto"/>
        </w:rPr>
        <w:t>Autodesk classifies its marketable securities as either short-term or long-term based on each instrument’s underlying contractual maturity date. Marketable securities with maturities of less than 12 months are classified as short-term and marketable securities with maturities greater than 12 months are classified as long-term. Autodesk may sell certain of its marketable securities prior to their stated maturities for strategic purposes and in anticipation of credit deterioration.</w:t>
      </w:r>
    </w:p>
    <w:p>
      <w:pPr>
        <w:spacing w:after="0" w:line="7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20"/>
          </w:cols>
          <w:pgMar w:left="240" w:top="459" w:right="23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Marketable securities include the following securities at October 31, 2009 and January 31, 2009:</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78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780" w:type="dxa"/>
            <w:vAlign w:val="bottom"/>
            <w:tcBorders>
              <w:bottom w:val="single" w:sz="8" w:color="auto"/>
            </w:tcBorders>
            <w:gridSpan w:val="6"/>
          </w:tcPr>
          <w:p>
            <w:pPr>
              <w:ind w:left="300"/>
              <w:spacing w:after="0"/>
              <w:rPr>
                <w:sz w:val="20"/>
                <w:szCs w:val="20"/>
                <w:color w:val="auto"/>
              </w:rPr>
            </w:pPr>
            <w:r>
              <w:rPr>
                <w:rFonts w:ascii="Arial" w:cs="Arial" w:eastAsia="Arial" w:hAnsi="Arial"/>
                <w:sz w:val="14"/>
                <w:szCs w:val="14"/>
                <w:b w:val="1"/>
                <w:bCs w:val="1"/>
                <w:color w:val="auto"/>
              </w:rPr>
              <w:t>October 31, 2009</w:t>
            </w:r>
          </w:p>
        </w:tc>
        <w:tc>
          <w:tcPr>
            <w:tcW w:w="24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77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gridSpan w:val="2"/>
          </w:tcPr>
          <w:p>
            <w:pPr>
              <w:ind w:left="20"/>
              <w:spacing w:after="0" w:line="129" w:lineRule="exact"/>
              <w:rPr>
                <w:sz w:val="20"/>
                <w:szCs w:val="20"/>
                <w:color w:val="auto"/>
              </w:rPr>
            </w:pPr>
            <w:r>
              <w:rPr>
                <w:rFonts w:ascii="Arial" w:cs="Arial" w:eastAsia="Arial" w:hAnsi="Arial"/>
                <w:sz w:val="14"/>
                <w:szCs w:val="14"/>
                <w:b w:val="1"/>
                <w:bCs w:val="1"/>
                <w:color w:val="auto"/>
              </w:rPr>
              <w:t>Gross</w:t>
            </w: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80" w:type="dxa"/>
            <w:vAlign w:val="bottom"/>
            <w:gridSpan w:val="2"/>
          </w:tcPr>
          <w:p>
            <w:pPr>
              <w:ind w:left="20"/>
              <w:spacing w:after="0" w:line="129" w:lineRule="exact"/>
              <w:rPr>
                <w:sz w:val="20"/>
                <w:szCs w:val="20"/>
                <w:color w:val="auto"/>
              </w:rPr>
            </w:pPr>
            <w:r>
              <w:rPr>
                <w:rFonts w:ascii="Arial" w:cs="Arial" w:eastAsia="Arial" w:hAnsi="Arial"/>
                <w:sz w:val="14"/>
                <w:szCs w:val="14"/>
                <w:b w:val="1"/>
                <w:bCs w:val="1"/>
                <w:color w:val="auto"/>
              </w:rPr>
              <w:t>Gross</w:t>
            </w:r>
          </w:p>
        </w:tc>
        <w:tc>
          <w:tcPr>
            <w:tcW w:w="2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77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80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unrealized</w:t>
            </w:r>
          </w:p>
        </w:tc>
        <w:tc>
          <w:tcPr>
            <w:tcW w:w="220" w:type="dxa"/>
            <w:vAlign w:val="bottom"/>
          </w:tcPr>
          <w:p>
            <w:pPr>
              <w:spacing w:after="0"/>
              <w:rPr>
                <w:sz w:val="12"/>
                <w:szCs w:val="12"/>
                <w:color w:val="auto"/>
              </w:rPr>
            </w:pPr>
          </w:p>
        </w:tc>
        <w:tc>
          <w:tcPr>
            <w:tcW w:w="88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unrealized</w:t>
            </w:r>
          </w:p>
        </w:tc>
        <w:tc>
          <w:tcPr>
            <w:tcW w:w="240" w:type="dxa"/>
            <w:vAlign w:val="bottom"/>
          </w:tcPr>
          <w:p>
            <w:pPr>
              <w:spacing w:after="0"/>
              <w:rPr>
                <w:sz w:val="12"/>
                <w:szCs w:val="12"/>
                <w:color w:val="auto"/>
              </w:rPr>
            </w:pPr>
          </w:p>
        </w:tc>
        <w:tc>
          <w:tcPr>
            <w:tcW w:w="62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w w:val="89"/>
              </w:rPr>
              <w:t>Estimated</w:t>
            </w:r>
          </w:p>
        </w:tc>
        <w:tc>
          <w:tcPr>
            <w:tcW w:w="0" w:type="dxa"/>
            <w:vAlign w:val="bottom"/>
          </w:tcPr>
          <w:p>
            <w:pPr>
              <w:spacing w:after="0"/>
              <w:rPr>
                <w:sz w:val="1"/>
                <w:szCs w:val="1"/>
                <w:color w:val="auto"/>
              </w:rPr>
            </w:pPr>
          </w:p>
        </w:tc>
      </w:tr>
      <w:tr>
        <w:trPr>
          <w:trHeight w:val="161"/>
        </w:trPr>
        <w:tc>
          <w:tcPr>
            <w:tcW w:w="77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20" w:type="dxa"/>
            <w:vAlign w:val="bottom"/>
          </w:tcPr>
          <w:p>
            <w:pPr>
              <w:jc w:val="right"/>
              <w:ind w:right="34"/>
              <w:spacing w:after="0"/>
              <w:rPr>
                <w:sz w:val="20"/>
                <w:szCs w:val="20"/>
                <w:color w:val="auto"/>
              </w:rPr>
            </w:pPr>
            <w:r>
              <w:rPr>
                <w:rFonts w:ascii="Arial" w:cs="Arial" w:eastAsia="Arial" w:hAnsi="Arial"/>
                <w:sz w:val="14"/>
                <w:szCs w:val="14"/>
                <w:b w:val="1"/>
                <w:bCs w:val="1"/>
                <w:color w:val="auto"/>
                <w:w w:val="89"/>
              </w:rPr>
              <w:t>Cost</w:t>
            </w:r>
          </w:p>
        </w:tc>
        <w:tc>
          <w:tcPr>
            <w:tcW w:w="4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gridSpan w:val="2"/>
          </w:tcPr>
          <w:p>
            <w:pPr>
              <w:ind w:left="40"/>
              <w:spacing w:after="0"/>
              <w:rPr>
                <w:sz w:val="20"/>
                <w:szCs w:val="20"/>
                <w:color w:val="auto"/>
              </w:rPr>
            </w:pPr>
            <w:r>
              <w:rPr>
                <w:rFonts w:ascii="Arial" w:cs="Arial" w:eastAsia="Arial" w:hAnsi="Arial"/>
                <w:sz w:val="14"/>
                <w:szCs w:val="14"/>
                <w:b w:val="1"/>
                <w:bCs w:val="1"/>
                <w:color w:val="auto"/>
              </w:rPr>
              <w:t>gains</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gridSpan w:val="2"/>
          </w:tcPr>
          <w:p>
            <w:pPr>
              <w:ind w:left="40"/>
              <w:spacing w:after="0"/>
              <w:rPr>
                <w:sz w:val="20"/>
                <w:szCs w:val="20"/>
                <w:color w:val="auto"/>
              </w:rPr>
            </w:pPr>
            <w:r>
              <w:rPr>
                <w:rFonts w:ascii="Arial" w:cs="Arial" w:eastAsia="Arial" w:hAnsi="Arial"/>
                <w:sz w:val="14"/>
                <w:szCs w:val="14"/>
                <w:b w:val="1"/>
                <w:bCs w:val="1"/>
                <w:color w:val="auto"/>
              </w:rPr>
              <w:t>losses</w:t>
            </w:r>
          </w:p>
        </w:tc>
        <w:tc>
          <w:tcPr>
            <w:tcW w:w="240" w:type="dxa"/>
            <w:vAlign w:val="bottom"/>
          </w:tcPr>
          <w:p>
            <w:pPr>
              <w:spacing w:after="0"/>
              <w:rPr>
                <w:sz w:val="14"/>
                <w:szCs w:val="14"/>
                <w:color w:val="auto"/>
              </w:rPr>
            </w:pPr>
          </w:p>
        </w:tc>
        <w:tc>
          <w:tcPr>
            <w:tcW w:w="620" w:type="dxa"/>
            <w:vAlign w:val="bottom"/>
            <w:gridSpan w:val="3"/>
          </w:tcPr>
          <w:p>
            <w:pPr>
              <w:spacing w:after="0"/>
              <w:rPr>
                <w:sz w:val="20"/>
                <w:szCs w:val="20"/>
                <w:color w:val="auto"/>
              </w:rPr>
            </w:pPr>
            <w:r>
              <w:rPr>
                <w:rFonts w:ascii="Arial" w:cs="Arial" w:eastAsia="Arial" w:hAnsi="Arial"/>
                <w:sz w:val="14"/>
                <w:szCs w:val="14"/>
                <w:b w:val="1"/>
                <w:bCs w:val="1"/>
                <w:color w:val="auto"/>
                <w:w w:val="89"/>
              </w:rPr>
              <w:t>Fair Value</w:t>
            </w:r>
          </w:p>
        </w:tc>
        <w:tc>
          <w:tcPr>
            <w:tcW w:w="0" w:type="dxa"/>
            <w:vAlign w:val="bottom"/>
          </w:tcPr>
          <w:p>
            <w:pPr>
              <w:spacing w:after="0"/>
              <w:rPr>
                <w:sz w:val="1"/>
                <w:szCs w:val="1"/>
                <w:color w:val="auto"/>
              </w:rPr>
            </w:pPr>
          </w:p>
        </w:tc>
      </w:tr>
      <w:tr>
        <w:trPr>
          <w:trHeight w:val="210"/>
        </w:trPr>
        <w:tc>
          <w:tcPr>
            <w:tcW w:w="7780" w:type="dxa"/>
            <w:vAlign w:val="bottom"/>
            <w:shd w:val="clear" w:color="auto" w:fill="CCEEFF"/>
          </w:tcPr>
          <w:p>
            <w:pPr>
              <w:spacing w:after="0"/>
              <w:rPr>
                <w:sz w:val="20"/>
                <w:szCs w:val="20"/>
                <w:color w:val="auto"/>
              </w:rPr>
            </w:pPr>
            <w:r>
              <w:rPr>
                <w:rFonts w:ascii="Arial" w:cs="Arial" w:eastAsia="Arial" w:hAnsi="Arial"/>
                <w:sz w:val="18"/>
                <w:szCs w:val="18"/>
                <w:color w:val="auto"/>
              </w:rPr>
              <w:t>Short-term available-for-sale securities:</w:t>
            </w:r>
          </w:p>
        </w:tc>
        <w:tc>
          <w:tcPr>
            <w:tcW w:w="80" w:type="dxa"/>
            <w:vAlign w:val="bottom"/>
            <w:tcBorders>
              <w:top w:val="single" w:sz="8" w:color="auto"/>
            </w:tcBorders>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80" w:type="dxa"/>
            <w:vAlign w:val="bottom"/>
          </w:tcPr>
          <w:p>
            <w:pPr>
              <w:ind w:left="440"/>
              <w:spacing w:after="0"/>
              <w:rPr>
                <w:sz w:val="20"/>
                <w:szCs w:val="20"/>
                <w:color w:val="auto"/>
              </w:rPr>
            </w:pPr>
            <w:r>
              <w:rPr>
                <w:rFonts w:ascii="Arial" w:cs="Arial" w:eastAsia="Arial" w:hAnsi="Arial"/>
                <w:sz w:val="18"/>
                <w:szCs w:val="18"/>
                <w:color w:val="auto"/>
              </w:rPr>
              <w:t>Commercial paper and corporate securities</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420" w:type="dxa"/>
            <w:vAlign w:val="bottom"/>
          </w:tcPr>
          <w:p>
            <w:pPr>
              <w:jc w:val="right"/>
              <w:spacing w:after="0"/>
              <w:rPr>
                <w:sz w:val="20"/>
                <w:szCs w:val="20"/>
                <w:color w:val="auto"/>
              </w:rPr>
            </w:pPr>
            <w:r>
              <w:rPr>
                <w:rFonts w:ascii="Arial" w:cs="Arial" w:eastAsia="Arial" w:hAnsi="Arial"/>
                <w:sz w:val="18"/>
                <w:szCs w:val="18"/>
                <w:color w:val="auto"/>
              </w:rPr>
              <w:t>88.2</w:t>
            </w:r>
          </w:p>
        </w:tc>
        <w:tc>
          <w:tcPr>
            <w:tcW w:w="520" w:type="dxa"/>
            <w:vAlign w:val="bottom"/>
            <w:gridSpan w:val="2"/>
          </w:tcPr>
          <w:p>
            <w:pPr>
              <w:ind w:left="400"/>
              <w:spacing w:after="0"/>
              <w:rPr>
                <w:sz w:val="20"/>
                <w:szCs w:val="20"/>
                <w:color w:val="auto"/>
              </w:rPr>
            </w:pPr>
            <w:r>
              <w:rPr>
                <w:rFonts w:ascii="Arial" w:cs="Arial" w:eastAsia="Arial" w:hAnsi="Arial"/>
                <w:sz w:val="18"/>
                <w:szCs w:val="18"/>
                <w:color w:val="auto"/>
                <w:w w:val="99"/>
              </w:rPr>
              <w:t>$</w:t>
            </w:r>
          </w:p>
        </w:tc>
        <w:tc>
          <w:tcPr>
            <w:tcW w:w="680" w:type="dxa"/>
            <w:vAlign w:val="bottom"/>
            <w:gridSpan w:val="2"/>
          </w:tcPr>
          <w:p>
            <w:pPr>
              <w:ind w:left="260"/>
              <w:spacing w:after="0"/>
              <w:rPr>
                <w:sz w:val="20"/>
                <w:szCs w:val="20"/>
                <w:color w:val="auto"/>
              </w:rPr>
            </w:pPr>
            <w:r>
              <w:rPr>
                <w:rFonts w:ascii="Arial" w:cs="Arial" w:eastAsia="Arial" w:hAnsi="Arial"/>
                <w:sz w:val="18"/>
                <w:szCs w:val="18"/>
                <w:color w:val="auto"/>
              </w:rPr>
              <w:t>0.1</w:t>
            </w:r>
          </w:p>
        </w:tc>
        <w:tc>
          <w:tcPr>
            <w:tcW w:w="320" w:type="dxa"/>
            <w:vAlign w:val="bottom"/>
            <w:gridSpan w:val="2"/>
          </w:tcPr>
          <w:p>
            <w:pPr>
              <w:ind w:left="220"/>
              <w:spacing w:after="0"/>
              <w:rPr>
                <w:sz w:val="20"/>
                <w:szCs w:val="20"/>
                <w:color w:val="auto"/>
              </w:rPr>
            </w:pPr>
            <w:r>
              <w:rPr>
                <w:rFonts w:ascii="Arial" w:cs="Arial" w:eastAsia="Arial" w:hAnsi="Arial"/>
                <w:sz w:val="18"/>
                <w:szCs w:val="18"/>
                <w:color w:val="auto"/>
                <w:w w:val="79"/>
              </w:rPr>
              <w:t>$</w:t>
            </w:r>
          </w:p>
        </w:tc>
        <w:tc>
          <w:tcPr>
            <w:tcW w:w="780" w:type="dxa"/>
            <w:vAlign w:val="bottom"/>
            <w:gridSpan w:val="2"/>
          </w:tcPr>
          <w:p>
            <w:pPr>
              <w:ind w:left="240"/>
              <w:spacing w:after="0"/>
              <w:rPr>
                <w:sz w:val="20"/>
                <w:szCs w:val="20"/>
                <w:color w:val="auto"/>
              </w:rPr>
            </w:pPr>
            <w:r>
              <w:rPr>
                <w:rFonts w:ascii="Arial" w:cs="Arial" w:eastAsia="Arial" w:hAnsi="Arial"/>
                <w:sz w:val="18"/>
                <w:szCs w:val="18"/>
                <w:color w:val="auto"/>
              </w:rPr>
              <w:t>—</w:t>
            </w:r>
          </w:p>
        </w:tc>
        <w:tc>
          <w:tcPr>
            <w:tcW w:w="380" w:type="dxa"/>
            <w:vAlign w:val="bottom"/>
            <w:gridSpan w:val="2"/>
          </w:tcPr>
          <w:p>
            <w:pPr>
              <w:ind w:left="240"/>
              <w:spacing w:after="0"/>
              <w:rPr>
                <w:sz w:val="20"/>
                <w:szCs w:val="20"/>
                <w:color w:val="auto"/>
              </w:rPr>
            </w:pPr>
            <w:r>
              <w:rPr>
                <w:rFonts w:ascii="Arial" w:cs="Arial" w:eastAsia="Arial" w:hAnsi="Arial"/>
                <w:sz w:val="18"/>
                <w:szCs w:val="18"/>
                <w:color w:val="auto"/>
              </w:rPr>
              <w:t>$</w:t>
            </w:r>
          </w:p>
        </w:tc>
        <w:tc>
          <w:tcPr>
            <w:tcW w:w="460" w:type="dxa"/>
            <w:vAlign w:val="bottom"/>
          </w:tcPr>
          <w:p>
            <w:pPr>
              <w:jc w:val="right"/>
              <w:spacing w:after="0"/>
              <w:rPr>
                <w:sz w:val="20"/>
                <w:szCs w:val="20"/>
                <w:color w:val="auto"/>
              </w:rPr>
            </w:pPr>
            <w:r>
              <w:rPr>
                <w:rFonts w:ascii="Arial" w:cs="Arial" w:eastAsia="Arial" w:hAnsi="Arial"/>
                <w:sz w:val="18"/>
                <w:szCs w:val="18"/>
                <w:color w:val="auto"/>
              </w:rPr>
              <w:t>88.3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U.S. treasury securities</w:t>
            </w: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54.0</w:t>
            </w:r>
          </w:p>
        </w:tc>
        <w:tc>
          <w:tcPr>
            <w:tcW w:w="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80" w:type="dxa"/>
            <w:vAlign w:val="bottom"/>
          </w:tcPr>
          <w:p>
            <w:pPr>
              <w:ind w:left="440"/>
              <w:spacing w:after="0"/>
              <w:rPr>
                <w:sz w:val="20"/>
                <w:szCs w:val="20"/>
                <w:color w:val="auto"/>
              </w:rPr>
            </w:pPr>
            <w:r>
              <w:rPr>
                <w:rFonts w:ascii="Arial" w:cs="Arial" w:eastAsia="Arial" w:hAnsi="Arial"/>
                <w:sz w:val="18"/>
                <w:szCs w:val="18"/>
                <w:color w:val="auto"/>
              </w:rPr>
              <w:t>Certificates of deposit and time deposits</w:t>
            </w:r>
          </w:p>
        </w:tc>
        <w:tc>
          <w:tcPr>
            <w:tcW w:w="8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37.4</w:t>
            </w:r>
          </w:p>
        </w:tc>
        <w:tc>
          <w:tcPr>
            <w:tcW w:w="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gridSpan w:val="2"/>
          </w:tcPr>
          <w:p>
            <w:pPr>
              <w:ind w:lef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ind w:left="24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37.4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U.S. government agency securities</w:t>
            </w: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24.1</w:t>
            </w:r>
          </w:p>
        </w:tc>
        <w:tc>
          <w:tcPr>
            <w:tcW w:w="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80" w:type="dxa"/>
            <w:vAlign w:val="bottom"/>
          </w:tcPr>
          <w:p>
            <w:pPr>
              <w:ind w:left="440"/>
              <w:spacing w:after="0"/>
              <w:rPr>
                <w:sz w:val="20"/>
                <w:szCs w:val="20"/>
                <w:color w:val="auto"/>
              </w:rPr>
            </w:pPr>
            <w:r>
              <w:rPr>
                <w:rFonts w:ascii="Arial" w:cs="Arial" w:eastAsia="Arial" w:hAnsi="Arial"/>
                <w:sz w:val="18"/>
                <w:szCs w:val="18"/>
                <w:color w:val="auto"/>
              </w:rPr>
              <w:t>Money market funds</w:t>
            </w:r>
          </w:p>
        </w:tc>
        <w:tc>
          <w:tcPr>
            <w:tcW w:w="8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22.3</w:t>
            </w:r>
          </w:p>
        </w:tc>
        <w:tc>
          <w:tcPr>
            <w:tcW w:w="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gridSpan w:val="2"/>
          </w:tcPr>
          <w:p>
            <w:pPr>
              <w:ind w:lef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ind w:left="220"/>
              <w:spacing w:after="0"/>
              <w:rPr>
                <w:sz w:val="20"/>
                <w:szCs w:val="20"/>
                <w:color w:val="auto"/>
              </w:rPr>
            </w:pPr>
            <w:r>
              <w:rPr>
                <w:rFonts w:ascii="Arial" w:cs="Arial" w:eastAsia="Arial" w:hAnsi="Arial"/>
                <w:sz w:val="18"/>
                <w:szCs w:val="18"/>
                <w:color w:val="auto"/>
              </w:rPr>
              <w:t>(4.5)</w:t>
            </w: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17.8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Sovereign debt</w:t>
            </w: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80" w:type="dxa"/>
            <w:vAlign w:val="bottom"/>
          </w:tcPr>
          <w:p>
            <w:pPr>
              <w:ind w:left="440"/>
              <w:spacing w:after="0"/>
              <w:rPr>
                <w:sz w:val="20"/>
                <w:szCs w:val="20"/>
                <w:color w:val="auto"/>
              </w:rPr>
            </w:pPr>
            <w:r>
              <w:rPr>
                <w:rFonts w:ascii="Arial" w:cs="Arial" w:eastAsia="Arial" w:hAnsi="Arial"/>
                <w:sz w:val="18"/>
                <w:szCs w:val="18"/>
                <w:color w:val="auto"/>
              </w:rPr>
              <w:t>Municipal securities</w:t>
            </w:r>
          </w:p>
        </w:tc>
        <w:tc>
          <w:tcPr>
            <w:tcW w:w="8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2.7</w:t>
            </w:r>
          </w:p>
        </w:tc>
        <w:tc>
          <w:tcPr>
            <w:tcW w:w="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gridSpan w:val="2"/>
          </w:tcPr>
          <w:p>
            <w:pPr>
              <w:ind w:lef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ind w:left="24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2.7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Available-for-sale equity securities</w:t>
            </w: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80" w:type="dxa"/>
            <w:vAlign w:val="bottom"/>
          </w:tcPr>
          <w:p>
            <w:pPr>
              <w:spacing w:after="0"/>
              <w:rPr>
                <w:sz w:val="20"/>
                <w:szCs w:val="20"/>
                <w:color w:val="auto"/>
              </w:rPr>
            </w:pPr>
            <w:r>
              <w:rPr>
                <w:rFonts w:ascii="Arial" w:cs="Arial" w:eastAsia="Arial" w:hAnsi="Arial"/>
                <w:sz w:val="18"/>
                <w:szCs w:val="18"/>
                <w:color w:val="auto"/>
              </w:rPr>
              <w:t>Short-term trading securities:</w:t>
            </w: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Mutual funds</w:t>
            </w: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30.9</w:t>
            </w:r>
          </w:p>
        </w:tc>
        <w:tc>
          <w:tcPr>
            <w:tcW w:w="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0.1</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(4.1)</w:t>
            </w: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7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7780" w:type="dxa"/>
            <w:vAlign w:val="bottom"/>
          </w:tcPr>
          <w:p>
            <w:pPr>
              <w:spacing w:after="0"/>
              <w:rPr>
                <w:sz w:val="19"/>
                <w:szCs w:val="19"/>
                <w:color w:val="auto"/>
              </w:rPr>
            </w:pPr>
          </w:p>
        </w:tc>
        <w:tc>
          <w:tcPr>
            <w:tcW w:w="80" w:type="dxa"/>
            <w:vAlign w:val="bottom"/>
          </w:tcPr>
          <w:p>
            <w:pPr>
              <w:jc w:val="right"/>
              <w:spacing w:after="0"/>
              <w:rPr>
                <w:sz w:val="20"/>
                <w:szCs w:val="20"/>
                <w:color w:val="auto"/>
              </w:rPr>
            </w:pPr>
            <w:r>
              <w:rPr>
                <w:rFonts w:ascii="Arial" w:cs="Arial" w:eastAsia="Arial" w:hAnsi="Arial"/>
                <w:sz w:val="15"/>
                <w:szCs w:val="15"/>
                <w:u w:val="single" w:color="auto"/>
                <w:color w:val="auto"/>
                <w:w w:val="71"/>
              </w:rPr>
              <w:t>$</w:t>
            </w:r>
          </w:p>
        </w:tc>
        <w:tc>
          <w:tcPr>
            <w:tcW w:w="420" w:type="dxa"/>
            <w:vAlign w:val="bottom"/>
          </w:tcPr>
          <w:p>
            <w:pPr>
              <w:jc w:val="right"/>
              <w:spacing w:after="0"/>
              <w:rPr>
                <w:sz w:val="20"/>
                <w:szCs w:val="20"/>
                <w:color w:val="auto"/>
              </w:rPr>
            </w:pPr>
            <w:r>
              <w:rPr>
                <w:rFonts w:ascii="Arial" w:cs="Arial" w:eastAsia="Arial" w:hAnsi="Arial"/>
                <w:sz w:val="18"/>
                <w:szCs w:val="18"/>
                <w:color w:val="auto"/>
                <w:w w:val="88"/>
              </w:rPr>
              <w:t>271.5</w:t>
            </w:r>
          </w:p>
        </w:tc>
        <w:tc>
          <w:tcPr>
            <w:tcW w:w="520" w:type="dxa"/>
            <w:vAlign w:val="bottom"/>
            <w:gridSpan w:val="2"/>
          </w:tcPr>
          <w:p>
            <w:pPr>
              <w:ind w:left="400"/>
              <w:spacing w:after="0"/>
              <w:rPr>
                <w:sz w:val="20"/>
                <w:szCs w:val="20"/>
                <w:color w:val="auto"/>
              </w:rPr>
            </w:pPr>
            <w:r>
              <w:rPr>
                <w:rFonts w:ascii="Arial" w:cs="Arial" w:eastAsia="Arial" w:hAnsi="Arial"/>
                <w:sz w:val="18"/>
                <w:szCs w:val="18"/>
                <w:color w:val="auto"/>
                <w:w w:val="99"/>
              </w:rPr>
              <w:t>$</w:t>
            </w:r>
          </w:p>
        </w:tc>
        <w:tc>
          <w:tcPr>
            <w:tcW w:w="680" w:type="dxa"/>
            <w:vAlign w:val="bottom"/>
            <w:gridSpan w:val="2"/>
          </w:tcPr>
          <w:p>
            <w:pPr>
              <w:ind w:left="260"/>
              <w:spacing w:after="0"/>
              <w:rPr>
                <w:sz w:val="20"/>
                <w:szCs w:val="20"/>
                <w:color w:val="auto"/>
              </w:rPr>
            </w:pPr>
            <w:r>
              <w:rPr>
                <w:rFonts w:ascii="Arial" w:cs="Arial" w:eastAsia="Arial" w:hAnsi="Arial"/>
                <w:sz w:val="18"/>
                <w:szCs w:val="18"/>
                <w:color w:val="auto"/>
              </w:rPr>
              <w:t>0.2</w:t>
            </w:r>
          </w:p>
        </w:tc>
        <w:tc>
          <w:tcPr>
            <w:tcW w:w="320" w:type="dxa"/>
            <w:vAlign w:val="bottom"/>
            <w:gridSpan w:val="2"/>
          </w:tcPr>
          <w:p>
            <w:pPr>
              <w:ind w:left="220"/>
              <w:spacing w:after="0"/>
              <w:rPr>
                <w:sz w:val="20"/>
                <w:szCs w:val="20"/>
                <w:color w:val="auto"/>
              </w:rPr>
            </w:pPr>
            <w:r>
              <w:rPr>
                <w:rFonts w:ascii="Arial" w:cs="Arial" w:eastAsia="Arial" w:hAnsi="Arial"/>
                <w:sz w:val="18"/>
                <w:szCs w:val="18"/>
                <w:color w:val="auto"/>
                <w:w w:val="79"/>
              </w:rPr>
              <w:t>$</w:t>
            </w:r>
          </w:p>
        </w:tc>
        <w:tc>
          <w:tcPr>
            <w:tcW w:w="780" w:type="dxa"/>
            <w:vAlign w:val="bottom"/>
            <w:gridSpan w:val="2"/>
          </w:tcPr>
          <w:p>
            <w:pPr>
              <w:ind w:left="220"/>
              <w:spacing w:after="0"/>
              <w:rPr>
                <w:sz w:val="20"/>
                <w:szCs w:val="20"/>
                <w:color w:val="auto"/>
              </w:rPr>
            </w:pPr>
            <w:r>
              <w:rPr>
                <w:rFonts w:ascii="Arial" w:cs="Arial" w:eastAsia="Arial" w:hAnsi="Arial"/>
                <w:sz w:val="18"/>
                <w:szCs w:val="18"/>
                <w:color w:val="auto"/>
              </w:rPr>
              <w:t>(8.6)</w:t>
            </w:r>
          </w:p>
        </w:tc>
        <w:tc>
          <w:tcPr>
            <w:tcW w:w="380" w:type="dxa"/>
            <w:vAlign w:val="bottom"/>
            <w:gridSpan w:val="2"/>
          </w:tcPr>
          <w:p>
            <w:pPr>
              <w:ind w:left="240"/>
              <w:spacing w:after="0"/>
              <w:rPr>
                <w:sz w:val="20"/>
                <w:szCs w:val="20"/>
                <w:color w:val="auto"/>
              </w:rPr>
            </w:pPr>
            <w:r>
              <w:rPr>
                <w:rFonts w:ascii="Arial" w:cs="Arial" w:eastAsia="Arial" w:hAnsi="Arial"/>
                <w:sz w:val="18"/>
                <w:szCs w:val="18"/>
                <w:color w:val="auto"/>
              </w:rPr>
              <w:t>$</w:t>
            </w:r>
          </w:p>
        </w:tc>
        <w:tc>
          <w:tcPr>
            <w:tcW w:w="480" w:type="dxa"/>
            <w:vAlign w:val="bottom"/>
            <w:gridSpan w:val="2"/>
          </w:tcPr>
          <w:p>
            <w:pPr>
              <w:jc w:val="right"/>
              <w:ind w:right="20"/>
              <w:spacing w:after="0"/>
              <w:rPr>
                <w:sz w:val="20"/>
                <w:szCs w:val="20"/>
                <w:color w:val="auto"/>
              </w:rPr>
            </w:pPr>
            <w:r>
              <w:rPr>
                <w:rFonts w:ascii="Arial" w:cs="Arial" w:eastAsia="Arial" w:hAnsi="Arial"/>
                <w:sz w:val="18"/>
                <w:szCs w:val="18"/>
                <w:color w:val="auto"/>
                <w:w w:val="97"/>
              </w:rPr>
              <w:t>263.1</w:t>
            </w:r>
          </w:p>
        </w:tc>
        <w:tc>
          <w:tcPr>
            <w:tcW w:w="0" w:type="dxa"/>
            <w:vAlign w:val="bottom"/>
          </w:tcPr>
          <w:p>
            <w:pPr>
              <w:spacing w:after="0"/>
              <w:rPr>
                <w:sz w:val="1"/>
                <w:szCs w:val="1"/>
                <w:color w:val="auto"/>
              </w:rPr>
            </w:pPr>
          </w:p>
        </w:tc>
      </w:tr>
      <w:tr>
        <w:trPr>
          <w:trHeight w:val="20"/>
        </w:trPr>
        <w:tc>
          <w:tcPr>
            <w:tcW w:w="77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7780" w:type="dxa"/>
            <w:vAlign w:val="bottom"/>
            <w:shd w:val="clear" w:color="auto" w:fill="CCEEFF"/>
          </w:tcPr>
          <w:p>
            <w:pPr>
              <w:spacing w:after="0"/>
              <w:rPr>
                <w:sz w:val="20"/>
                <w:szCs w:val="20"/>
                <w:color w:val="auto"/>
              </w:rPr>
            </w:pPr>
            <w:r>
              <w:rPr>
                <w:rFonts w:ascii="Arial" w:cs="Arial" w:eastAsia="Arial" w:hAnsi="Arial"/>
                <w:sz w:val="18"/>
                <w:szCs w:val="18"/>
                <w:color w:val="auto"/>
              </w:rPr>
              <w:t>Long-term available-for-sale securities:</w:t>
            </w: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80" w:type="dxa"/>
            <w:vAlign w:val="bottom"/>
          </w:tcPr>
          <w:p>
            <w:pPr>
              <w:ind w:left="440"/>
              <w:spacing w:after="0"/>
              <w:rPr>
                <w:sz w:val="20"/>
                <w:szCs w:val="20"/>
                <w:color w:val="auto"/>
              </w:rPr>
            </w:pPr>
            <w:r>
              <w:rPr>
                <w:rFonts w:ascii="Arial" w:cs="Arial" w:eastAsia="Arial" w:hAnsi="Arial"/>
                <w:sz w:val="18"/>
                <w:szCs w:val="18"/>
                <w:color w:val="auto"/>
              </w:rPr>
              <w:t>Commercial paper and corporate securities</w:t>
            </w:r>
          </w:p>
        </w:tc>
        <w:tc>
          <w:tcPr>
            <w:tcW w:w="8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72.3</w:t>
            </w:r>
          </w:p>
        </w:tc>
        <w:tc>
          <w:tcPr>
            <w:tcW w:w="520" w:type="dxa"/>
            <w:vAlign w:val="bottom"/>
            <w:gridSpan w:val="2"/>
          </w:tcPr>
          <w:p>
            <w:pPr>
              <w:ind w:left="400"/>
              <w:spacing w:after="0"/>
              <w:rPr>
                <w:sz w:val="20"/>
                <w:szCs w:val="20"/>
                <w:color w:val="auto"/>
              </w:rPr>
            </w:pPr>
            <w:r>
              <w:rPr>
                <w:rFonts w:ascii="Arial" w:cs="Arial" w:eastAsia="Arial" w:hAnsi="Arial"/>
                <w:sz w:val="18"/>
                <w:szCs w:val="18"/>
                <w:color w:val="auto"/>
                <w:w w:val="99"/>
              </w:rPr>
              <w:t>$</w:t>
            </w:r>
          </w:p>
        </w:tc>
        <w:tc>
          <w:tcPr>
            <w:tcW w:w="680" w:type="dxa"/>
            <w:vAlign w:val="bottom"/>
            <w:gridSpan w:val="2"/>
          </w:tcPr>
          <w:p>
            <w:pPr>
              <w:ind w:left="260"/>
              <w:spacing w:after="0"/>
              <w:rPr>
                <w:sz w:val="20"/>
                <w:szCs w:val="20"/>
                <w:color w:val="auto"/>
              </w:rPr>
            </w:pPr>
            <w:r>
              <w:rPr>
                <w:rFonts w:ascii="Arial" w:cs="Arial" w:eastAsia="Arial" w:hAnsi="Arial"/>
                <w:sz w:val="18"/>
                <w:szCs w:val="18"/>
                <w:color w:val="auto"/>
              </w:rPr>
              <w:t>0.7</w:t>
            </w:r>
          </w:p>
        </w:tc>
        <w:tc>
          <w:tcPr>
            <w:tcW w:w="320" w:type="dxa"/>
            <w:vAlign w:val="bottom"/>
            <w:gridSpan w:val="2"/>
          </w:tcPr>
          <w:p>
            <w:pPr>
              <w:ind w:left="220"/>
              <w:spacing w:after="0"/>
              <w:rPr>
                <w:sz w:val="20"/>
                <w:szCs w:val="20"/>
                <w:color w:val="auto"/>
              </w:rPr>
            </w:pPr>
            <w:r>
              <w:rPr>
                <w:rFonts w:ascii="Arial" w:cs="Arial" w:eastAsia="Arial" w:hAnsi="Arial"/>
                <w:sz w:val="18"/>
                <w:szCs w:val="18"/>
                <w:color w:val="auto"/>
                <w:w w:val="79"/>
              </w:rPr>
              <w:t>$</w:t>
            </w:r>
          </w:p>
        </w:tc>
        <w:tc>
          <w:tcPr>
            <w:tcW w:w="780" w:type="dxa"/>
            <w:vAlign w:val="bottom"/>
            <w:gridSpan w:val="2"/>
          </w:tcPr>
          <w:p>
            <w:pPr>
              <w:ind w:left="240"/>
              <w:spacing w:after="0"/>
              <w:rPr>
                <w:sz w:val="20"/>
                <w:szCs w:val="20"/>
                <w:color w:val="auto"/>
              </w:rPr>
            </w:pPr>
            <w:r>
              <w:rPr>
                <w:rFonts w:ascii="Arial" w:cs="Arial" w:eastAsia="Arial" w:hAnsi="Arial"/>
                <w:sz w:val="18"/>
                <w:szCs w:val="18"/>
                <w:color w:val="auto"/>
              </w:rPr>
              <w:t>—</w:t>
            </w:r>
          </w:p>
        </w:tc>
        <w:tc>
          <w:tcPr>
            <w:tcW w:w="380" w:type="dxa"/>
            <w:vAlign w:val="bottom"/>
            <w:gridSpan w:val="2"/>
          </w:tcPr>
          <w:p>
            <w:pPr>
              <w:ind w:left="240"/>
              <w:spacing w:after="0"/>
              <w:rPr>
                <w:sz w:val="20"/>
                <w:szCs w:val="20"/>
                <w:color w:val="auto"/>
              </w:rPr>
            </w:pPr>
            <w:r>
              <w:rPr>
                <w:rFonts w:ascii="Arial" w:cs="Arial" w:eastAsia="Arial" w:hAnsi="Arial"/>
                <w:sz w:val="18"/>
                <w:szCs w:val="18"/>
                <w:color w:val="auto"/>
              </w:rPr>
              <w:t>$</w:t>
            </w:r>
          </w:p>
        </w:tc>
        <w:tc>
          <w:tcPr>
            <w:tcW w:w="460" w:type="dxa"/>
            <w:vAlign w:val="bottom"/>
          </w:tcPr>
          <w:p>
            <w:pPr>
              <w:jc w:val="right"/>
              <w:spacing w:after="0"/>
              <w:rPr>
                <w:sz w:val="20"/>
                <w:szCs w:val="20"/>
                <w:color w:val="auto"/>
              </w:rPr>
            </w:pPr>
            <w:r>
              <w:rPr>
                <w:rFonts w:ascii="Arial" w:cs="Arial" w:eastAsia="Arial" w:hAnsi="Arial"/>
                <w:sz w:val="18"/>
                <w:szCs w:val="18"/>
                <w:color w:val="auto"/>
              </w:rPr>
              <w:t>73.0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Taxable auction-rate securities</w:t>
            </w: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w:t>
            </w:r>
          </w:p>
        </w:tc>
        <w:tc>
          <w:tcPr>
            <w:tcW w:w="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(1.4)</w:t>
            </w: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80" w:type="dxa"/>
            <w:vAlign w:val="bottom"/>
          </w:tcPr>
          <w:p>
            <w:pPr>
              <w:ind w:left="440"/>
              <w:spacing w:after="0"/>
              <w:rPr>
                <w:sz w:val="20"/>
                <w:szCs w:val="20"/>
                <w:color w:val="auto"/>
              </w:rPr>
            </w:pPr>
            <w:r>
              <w:rPr>
                <w:rFonts w:ascii="Arial" w:cs="Arial" w:eastAsia="Arial" w:hAnsi="Arial"/>
                <w:sz w:val="18"/>
                <w:szCs w:val="18"/>
                <w:color w:val="auto"/>
              </w:rPr>
              <w:t>U.S. government agency securities</w:t>
            </w:r>
          </w:p>
        </w:tc>
        <w:tc>
          <w:tcPr>
            <w:tcW w:w="8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4.6</w:t>
            </w:r>
          </w:p>
        </w:tc>
        <w:tc>
          <w:tcPr>
            <w:tcW w:w="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gridSpan w:val="2"/>
          </w:tcPr>
          <w:p>
            <w:pPr>
              <w:ind w:lef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ind w:left="24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4.6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Municipal securities</w:t>
            </w: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w:t>
            </w:r>
          </w:p>
        </w:tc>
        <w:tc>
          <w:tcPr>
            <w:tcW w:w="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0.1</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7780" w:type="dxa"/>
            <w:vAlign w:val="bottom"/>
          </w:tcPr>
          <w:p>
            <w:pPr>
              <w:ind w:left="440"/>
              <w:spacing w:after="0"/>
              <w:rPr>
                <w:sz w:val="20"/>
                <w:szCs w:val="20"/>
                <w:color w:val="auto"/>
              </w:rPr>
            </w:pPr>
            <w:r>
              <w:rPr>
                <w:rFonts w:ascii="Arial" w:cs="Arial" w:eastAsia="Arial" w:hAnsi="Arial"/>
                <w:sz w:val="18"/>
                <w:szCs w:val="18"/>
                <w:color w:val="auto"/>
              </w:rPr>
              <w:t>U.S. treasury securities</w:t>
            </w:r>
          </w:p>
        </w:tc>
        <w:tc>
          <w:tcPr>
            <w:tcW w:w="8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w:t>
            </w:r>
          </w:p>
        </w:tc>
        <w:tc>
          <w:tcPr>
            <w:tcW w:w="40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ind w:lef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ind w:left="24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778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92.6</w:t>
            </w:r>
          </w:p>
        </w:tc>
        <w:tc>
          <w:tcPr>
            <w:tcW w:w="52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w w:val="99"/>
              </w:rPr>
              <w:t>$</w:t>
            </w:r>
          </w:p>
        </w:tc>
        <w:tc>
          <w:tcPr>
            <w:tcW w:w="68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0.8</w:t>
            </w:r>
          </w:p>
        </w:tc>
        <w:tc>
          <w:tcPr>
            <w:tcW w:w="32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w w:val="79"/>
              </w:rPr>
              <w:t>$</w:t>
            </w:r>
          </w:p>
        </w:tc>
        <w:tc>
          <w:tcPr>
            <w:tcW w:w="78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(1.4)</w:t>
            </w:r>
          </w:p>
        </w:tc>
        <w:tc>
          <w:tcPr>
            <w:tcW w:w="38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7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600" w:type="dxa"/>
            <w:vAlign w:val="bottom"/>
            <w:tcBorders>
              <w:top w:val="single" w:sz="8" w:color="auto"/>
              <w:bottom w:val="single" w:sz="8" w:color="auto"/>
            </w:tcBorders>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7780" w:type="dxa"/>
            <w:vAlign w:val="bottom"/>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780" w:type="dxa"/>
            <w:vAlign w:val="bottom"/>
            <w:tcBorders>
              <w:bottom w:val="single" w:sz="8" w:color="auto"/>
            </w:tcBorders>
            <w:gridSpan w:val="6"/>
          </w:tcPr>
          <w:p>
            <w:pPr>
              <w:ind w:left="300"/>
              <w:spacing w:after="0"/>
              <w:rPr>
                <w:sz w:val="20"/>
                <w:szCs w:val="20"/>
                <w:color w:val="auto"/>
              </w:rPr>
            </w:pPr>
            <w:r>
              <w:rPr>
                <w:rFonts w:ascii="Arial" w:cs="Arial" w:eastAsia="Arial" w:hAnsi="Arial"/>
                <w:sz w:val="14"/>
                <w:szCs w:val="14"/>
                <w:b w:val="1"/>
                <w:bCs w:val="1"/>
                <w:color w:val="auto"/>
              </w:rPr>
              <w:t>January 31, 2009</w:t>
            </w:r>
          </w:p>
        </w:tc>
        <w:tc>
          <w:tcPr>
            <w:tcW w:w="2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9"/>
        </w:trPr>
        <w:tc>
          <w:tcPr>
            <w:tcW w:w="77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gridSpan w:val="2"/>
          </w:tcPr>
          <w:p>
            <w:pPr>
              <w:ind w:left="20"/>
              <w:spacing w:after="0" w:line="129" w:lineRule="exact"/>
              <w:rPr>
                <w:sz w:val="20"/>
                <w:szCs w:val="20"/>
                <w:color w:val="auto"/>
              </w:rPr>
            </w:pPr>
            <w:r>
              <w:rPr>
                <w:rFonts w:ascii="Arial" w:cs="Arial" w:eastAsia="Arial" w:hAnsi="Arial"/>
                <w:sz w:val="14"/>
                <w:szCs w:val="14"/>
                <w:b w:val="1"/>
                <w:bCs w:val="1"/>
                <w:color w:val="auto"/>
              </w:rPr>
              <w:t>Gross</w:t>
            </w: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80" w:type="dxa"/>
            <w:vAlign w:val="bottom"/>
            <w:gridSpan w:val="2"/>
          </w:tcPr>
          <w:p>
            <w:pPr>
              <w:ind w:left="20"/>
              <w:spacing w:after="0" w:line="129" w:lineRule="exact"/>
              <w:rPr>
                <w:sz w:val="20"/>
                <w:szCs w:val="20"/>
                <w:color w:val="auto"/>
              </w:rPr>
            </w:pPr>
            <w:r>
              <w:rPr>
                <w:rFonts w:ascii="Arial" w:cs="Arial" w:eastAsia="Arial" w:hAnsi="Arial"/>
                <w:sz w:val="14"/>
                <w:szCs w:val="14"/>
                <w:b w:val="1"/>
                <w:bCs w:val="1"/>
                <w:color w:val="auto"/>
              </w:rPr>
              <w:t>Gross</w:t>
            </w:r>
          </w:p>
        </w:tc>
        <w:tc>
          <w:tcPr>
            <w:tcW w:w="2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77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80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unrealized</w:t>
            </w:r>
          </w:p>
        </w:tc>
        <w:tc>
          <w:tcPr>
            <w:tcW w:w="220" w:type="dxa"/>
            <w:vAlign w:val="bottom"/>
          </w:tcPr>
          <w:p>
            <w:pPr>
              <w:spacing w:after="0"/>
              <w:rPr>
                <w:sz w:val="12"/>
                <w:szCs w:val="12"/>
                <w:color w:val="auto"/>
              </w:rPr>
            </w:pPr>
          </w:p>
        </w:tc>
        <w:tc>
          <w:tcPr>
            <w:tcW w:w="88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unrealized</w:t>
            </w:r>
          </w:p>
        </w:tc>
        <w:tc>
          <w:tcPr>
            <w:tcW w:w="240" w:type="dxa"/>
            <w:vAlign w:val="bottom"/>
          </w:tcPr>
          <w:p>
            <w:pPr>
              <w:spacing w:after="0"/>
              <w:rPr>
                <w:sz w:val="12"/>
                <w:szCs w:val="12"/>
                <w:color w:val="auto"/>
              </w:rPr>
            </w:pPr>
          </w:p>
        </w:tc>
        <w:tc>
          <w:tcPr>
            <w:tcW w:w="62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w w:val="89"/>
              </w:rPr>
              <w:t>Estimated</w:t>
            </w:r>
          </w:p>
        </w:tc>
        <w:tc>
          <w:tcPr>
            <w:tcW w:w="0" w:type="dxa"/>
            <w:vAlign w:val="bottom"/>
          </w:tcPr>
          <w:p>
            <w:pPr>
              <w:spacing w:after="0"/>
              <w:rPr>
                <w:sz w:val="1"/>
                <w:szCs w:val="1"/>
                <w:color w:val="auto"/>
              </w:rPr>
            </w:pPr>
          </w:p>
        </w:tc>
      </w:tr>
      <w:tr>
        <w:trPr>
          <w:trHeight w:val="161"/>
        </w:trPr>
        <w:tc>
          <w:tcPr>
            <w:tcW w:w="77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20" w:type="dxa"/>
            <w:vAlign w:val="bottom"/>
          </w:tcPr>
          <w:p>
            <w:pPr>
              <w:jc w:val="right"/>
              <w:ind w:right="34"/>
              <w:spacing w:after="0"/>
              <w:rPr>
                <w:sz w:val="20"/>
                <w:szCs w:val="20"/>
                <w:color w:val="auto"/>
              </w:rPr>
            </w:pPr>
            <w:r>
              <w:rPr>
                <w:rFonts w:ascii="Arial" w:cs="Arial" w:eastAsia="Arial" w:hAnsi="Arial"/>
                <w:sz w:val="14"/>
                <w:szCs w:val="14"/>
                <w:b w:val="1"/>
                <w:bCs w:val="1"/>
                <w:color w:val="auto"/>
                <w:w w:val="89"/>
              </w:rPr>
              <w:t>Cost</w:t>
            </w:r>
          </w:p>
        </w:tc>
        <w:tc>
          <w:tcPr>
            <w:tcW w:w="4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gridSpan w:val="2"/>
          </w:tcPr>
          <w:p>
            <w:pPr>
              <w:ind w:left="40"/>
              <w:spacing w:after="0"/>
              <w:rPr>
                <w:sz w:val="20"/>
                <w:szCs w:val="20"/>
                <w:color w:val="auto"/>
              </w:rPr>
            </w:pPr>
            <w:r>
              <w:rPr>
                <w:rFonts w:ascii="Arial" w:cs="Arial" w:eastAsia="Arial" w:hAnsi="Arial"/>
                <w:sz w:val="14"/>
                <w:szCs w:val="14"/>
                <w:b w:val="1"/>
                <w:bCs w:val="1"/>
                <w:color w:val="auto"/>
              </w:rPr>
              <w:t>gains</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gridSpan w:val="2"/>
          </w:tcPr>
          <w:p>
            <w:pPr>
              <w:ind w:left="40"/>
              <w:spacing w:after="0"/>
              <w:rPr>
                <w:sz w:val="20"/>
                <w:szCs w:val="20"/>
                <w:color w:val="auto"/>
              </w:rPr>
            </w:pPr>
            <w:r>
              <w:rPr>
                <w:rFonts w:ascii="Arial" w:cs="Arial" w:eastAsia="Arial" w:hAnsi="Arial"/>
                <w:sz w:val="14"/>
                <w:szCs w:val="14"/>
                <w:b w:val="1"/>
                <w:bCs w:val="1"/>
                <w:color w:val="auto"/>
              </w:rPr>
              <w:t>losses</w:t>
            </w:r>
          </w:p>
        </w:tc>
        <w:tc>
          <w:tcPr>
            <w:tcW w:w="240" w:type="dxa"/>
            <w:vAlign w:val="bottom"/>
          </w:tcPr>
          <w:p>
            <w:pPr>
              <w:spacing w:after="0"/>
              <w:rPr>
                <w:sz w:val="14"/>
                <w:szCs w:val="14"/>
                <w:color w:val="auto"/>
              </w:rPr>
            </w:pPr>
          </w:p>
        </w:tc>
        <w:tc>
          <w:tcPr>
            <w:tcW w:w="620" w:type="dxa"/>
            <w:vAlign w:val="bottom"/>
            <w:gridSpan w:val="3"/>
          </w:tcPr>
          <w:p>
            <w:pPr>
              <w:spacing w:after="0"/>
              <w:rPr>
                <w:sz w:val="20"/>
                <w:szCs w:val="20"/>
                <w:color w:val="auto"/>
              </w:rPr>
            </w:pPr>
            <w:r>
              <w:rPr>
                <w:rFonts w:ascii="Arial" w:cs="Arial" w:eastAsia="Arial" w:hAnsi="Arial"/>
                <w:sz w:val="14"/>
                <w:szCs w:val="14"/>
                <w:b w:val="1"/>
                <w:bCs w:val="1"/>
                <w:color w:val="auto"/>
                <w:w w:val="89"/>
              </w:rPr>
              <w:t>Fair Value</w:t>
            </w:r>
          </w:p>
        </w:tc>
        <w:tc>
          <w:tcPr>
            <w:tcW w:w="0" w:type="dxa"/>
            <w:vAlign w:val="bottom"/>
          </w:tcPr>
          <w:p>
            <w:pPr>
              <w:spacing w:after="0"/>
              <w:rPr>
                <w:sz w:val="1"/>
                <w:szCs w:val="1"/>
                <w:color w:val="auto"/>
              </w:rPr>
            </w:pPr>
          </w:p>
        </w:tc>
      </w:tr>
      <w:tr>
        <w:trPr>
          <w:trHeight w:val="210"/>
        </w:trPr>
        <w:tc>
          <w:tcPr>
            <w:tcW w:w="7780" w:type="dxa"/>
            <w:vAlign w:val="bottom"/>
            <w:shd w:val="clear" w:color="auto" w:fill="CCEEFF"/>
          </w:tcPr>
          <w:p>
            <w:pPr>
              <w:spacing w:after="0"/>
              <w:rPr>
                <w:sz w:val="20"/>
                <w:szCs w:val="20"/>
                <w:color w:val="auto"/>
              </w:rPr>
            </w:pPr>
            <w:r>
              <w:rPr>
                <w:rFonts w:ascii="Arial" w:cs="Arial" w:eastAsia="Arial" w:hAnsi="Arial"/>
                <w:sz w:val="18"/>
                <w:szCs w:val="18"/>
                <w:color w:val="auto"/>
              </w:rPr>
              <w:t>Short-term available-for-sale securities:</w:t>
            </w:r>
          </w:p>
        </w:tc>
        <w:tc>
          <w:tcPr>
            <w:tcW w:w="80" w:type="dxa"/>
            <w:vAlign w:val="bottom"/>
            <w:tcBorders>
              <w:top w:val="single" w:sz="8" w:color="auto"/>
            </w:tcBorders>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80" w:type="dxa"/>
            <w:vAlign w:val="bottom"/>
          </w:tcPr>
          <w:p>
            <w:pPr>
              <w:ind w:left="440"/>
              <w:spacing w:after="0"/>
              <w:rPr>
                <w:sz w:val="20"/>
                <w:szCs w:val="20"/>
                <w:color w:val="auto"/>
              </w:rPr>
            </w:pPr>
            <w:r>
              <w:rPr>
                <w:rFonts w:ascii="Arial" w:cs="Arial" w:eastAsia="Arial" w:hAnsi="Arial"/>
                <w:sz w:val="18"/>
                <w:szCs w:val="18"/>
                <w:color w:val="auto"/>
              </w:rPr>
              <w:t>Mutual funds</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420" w:type="dxa"/>
            <w:vAlign w:val="bottom"/>
          </w:tcPr>
          <w:p>
            <w:pPr>
              <w:jc w:val="right"/>
              <w:spacing w:after="0"/>
              <w:rPr>
                <w:sz w:val="20"/>
                <w:szCs w:val="20"/>
                <w:color w:val="auto"/>
              </w:rPr>
            </w:pPr>
            <w:r>
              <w:rPr>
                <w:rFonts w:ascii="Arial" w:cs="Arial" w:eastAsia="Arial" w:hAnsi="Arial"/>
                <w:sz w:val="18"/>
                <w:szCs w:val="18"/>
                <w:color w:val="auto"/>
              </w:rPr>
              <w:t>57.7</w:t>
            </w:r>
          </w:p>
        </w:tc>
        <w:tc>
          <w:tcPr>
            <w:tcW w:w="520" w:type="dxa"/>
            <w:vAlign w:val="bottom"/>
            <w:gridSpan w:val="2"/>
          </w:tcPr>
          <w:p>
            <w:pPr>
              <w:ind w:left="400"/>
              <w:spacing w:after="0"/>
              <w:rPr>
                <w:sz w:val="20"/>
                <w:szCs w:val="20"/>
                <w:color w:val="auto"/>
              </w:rPr>
            </w:pPr>
            <w:r>
              <w:rPr>
                <w:rFonts w:ascii="Arial" w:cs="Arial" w:eastAsia="Arial" w:hAnsi="Arial"/>
                <w:sz w:val="18"/>
                <w:szCs w:val="18"/>
                <w:color w:val="auto"/>
                <w:w w:val="99"/>
              </w:rPr>
              <w:t>$</w:t>
            </w:r>
          </w:p>
        </w:tc>
        <w:tc>
          <w:tcPr>
            <w:tcW w:w="680" w:type="dxa"/>
            <w:vAlign w:val="bottom"/>
            <w:gridSpan w:val="2"/>
          </w:tcPr>
          <w:p>
            <w:pPr>
              <w:ind w:left="220"/>
              <w:spacing w:after="0"/>
              <w:rPr>
                <w:sz w:val="20"/>
                <w:szCs w:val="20"/>
                <w:color w:val="auto"/>
              </w:rPr>
            </w:pPr>
            <w:r>
              <w:rPr>
                <w:rFonts w:ascii="Arial" w:cs="Arial" w:eastAsia="Arial" w:hAnsi="Arial"/>
                <w:sz w:val="18"/>
                <w:szCs w:val="18"/>
                <w:color w:val="auto"/>
              </w:rPr>
              <w:t>—</w:t>
            </w:r>
          </w:p>
        </w:tc>
        <w:tc>
          <w:tcPr>
            <w:tcW w:w="320" w:type="dxa"/>
            <w:vAlign w:val="bottom"/>
            <w:gridSpan w:val="2"/>
          </w:tcPr>
          <w:p>
            <w:pPr>
              <w:ind w:left="220"/>
              <w:spacing w:after="0"/>
              <w:rPr>
                <w:sz w:val="20"/>
                <w:szCs w:val="20"/>
                <w:color w:val="auto"/>
              </w:rPr>
            </w:pPr>
            <w:r>
              <w:rPr>
                <w:rFonts w:ascii="Arial" w:cs="Arial" w:eastAsia="Arial" w:hAnsi="Arial"/>
                <w:sz w:val="18"/>
                <w:szCs w:val="18"/>
                <w:color w:val="auto"/>
                <w:w w:val="79"/>
              </w:rPr>
              <w:t>$</w:t>
            </w:r>
          </w:p>
        </w:tc>
        <w:tc>
          <w:tcPr>
            <w:tcW w:w="780" w:type="dxa"/>
            <w:vAlign w:val="bottom"/>
            <w:gridSpan w:val="2"/>
          </w:tcPr>
          <w:p>
            <w:pPr>
              <w:ind w:left="220"/>
              <w:spacing w:after="0"/>
              <w:rPr>
                <w:sz w:val="20"/>
                <w:szCs w:val="20"/>
                <w:color w:val="auto"/>
              </w:rPr>
            </w:pPr>
            <w:r>
              <w:rPr>
                <w:rFonts w:ascii="Arial" w:cs="Arial" w:eastAsia="Arial" w:hAnsi="Arial"/>
                <w:sz w:val="18"/>
                <w:szCs w:val="18"/>
                <w:color w:val="auto"/>
              </w:rPr>
              <w:t>(4.5)</w:t>
            </w:r>
          </w:p>
        </w:tc>
        <w:tc>
          <w:tcPr>
            <w:tcW w:w="380" w:type="dxa"/>
            <w:vAlign w:val="bottom"/>
            <w:gridSpan w:val="2"/>
          </w:tcPr>
          <w:p>
            <w:pPr>
              <w:ind w:left="240"/>
              <w:spacing w:after="0"/>
              <w:rPr>
                <w:sz w:val="20"/>
                <w:szCs w:val="20"/>
                <w:color w:val="auto"/>
              </w:rPr>
            </w:pPr>
            <w:r>
              <w:rPr>
                <w:rFonts w:ascii="Arial" w:cs="Arial" w:eastAsia="Arial" w:hAnsi="Arial"/>
                <w:sz w:val="18"/>
                <w:szCs w:val="18"/>
                <w:color w:val="auto"/>
              </w:rPr>
              <w:t>$</w:t>
            </w:r>
          </w:p>
        </w:tc>
        <w:tc>
          <w:tcPr>
            <w:tcW w:w="460" w:type="dxa"/>
            <w:vAlign w:val="bottom"/>
          </w:tcPr>
          <w:p>
            <w:pPr>
              <w:jc w:val="right"/>
              <w:spacing w:after="0"/>
              <w:rPr>
                <w:sz w:val="20"/>
                <w:szCs w:val="20"/>
                <w:color w:val="auto"/>
              </w:rPr>
            </w:pPr>
            <w:r>
              <w:rPr>
                <w:rFonts w:ascii="Arial" w:cs="Arial" w:eastAsia="Arial" w:hAnsi="Arial"/>
                <w:sz w:val="18"/>
                <w:szCs w:val="18"/>
                <w:color w:val="auto"/>
              </w:rPr>
              <w:t>53.2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Bank time deposits</w:t>
            </w:r>
          </w:p>
        </w:tc>
        <w:tc>
          <w:tcPr>
            <w:tcW w:w="80" w:type="dxa"/>
            <w:vAlign w:val="bottom"/>
            <w:tcBorders>
              <w:bottom w:val="single" w:sz="8" w:color="auto"/>
            </w:tcBorders>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10.3</w:t>
            </w:r>
          </w:p>
        </w:tc>
        <w:tc>
          <w:tcPr>
            <w:tcW w:w="4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7780" w:type="dxa"/>
            <w:vAlign w:val="bottom"/>
          </w:tcPr>
          <w:p>
            <w:pPr>
              <w:spacing w:after="0"/>
              <w:rPr>
                <w:sz w:val="19"/>
                <w:szCs w:val="19"/>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420" w:type="dxa"/>
            <w:vAlign w:val="bottom"/>
          </w:tcPr>
          <w:p>
            <w:pPr>
              <w:jc w:val="right"/>
              <w:spacing w:after="0"/>
              <w:rPr>
                <w:sz w:val="20"/>
                <w:szCs w:val="20"/>
                <w:color w:val="auto"/>
              </w:rPr>
            </w:pPr>
            <w:r>
              <w:rPr>
                <w:rFonts w:ascii="Arial" w:cs="Arial" w:eastAsia="Arial" w:hAnsi="Arial"/>
                <w:sz w:val="18"/>
                <w:szCs w:val="18"/>
                <w:color w:val="auto"/>
              </w:rPr>
              <w:t>68.0</w:t>
            </w:r>
          </w:p>
        </w:tc>
        <w:tc>
          <w:tcPr>
            <w:tcW w:w="520" w:type="dxa"/>
            <w:vAlign w:val="bottom"/>
            <w:gridSpan w:val="2"/>
          </w:tcPr>
          <w:p>
            <w:pPr>
              <w:ind w:left="400"/>
              <w:spacing w:after="0"/>
              <w:rPr>
                <w:sz w:val="20"/>
                <w:szCs w:val="20"/>
                <w:color w:val="auto"/>
              </w:rPr>
            </w:pPr>
            <w:r>
              <w:rPr>
                <w:rFonts w:ascii="Arial" w:cs="Arial" w:eastAsia="Arial" w:hAnsi="Arial"/>
                <w:sz w:val="18"/>
                <w:szCs w:val="18"/>
                <w:color w:val="auto"/>
                <w:w w:val="99"/>
              </w:rPr>
              <w:t>$</w:t>
            </w:r>
          </w:p>
        </w:tc>
        <w:tc>
          <w:tcPr>
            <w:tcW w:w="680" w:type="dxa"/>
            <w:vAlign w:val="bottom"/>
            <w:gridSpan w:val="2"/>
          </w:tcPr>
          <w:p>
            <w:pPr>
              <w:ind w:left="220"/>
              <w:spacing w:after="0"/>
              <w:rPr>
                <w:sz w:val="20"/>
                <w:szCs w:val="20"/>
                <w:color w:val="auto"/>
              </w:rPr>
            </w:pPr>
            <w:r>
              <w:rPr>
                <w:rFonts w:ascii="Arial" w:cs="Arial" w:eastAsia="Arial" w:hAnsi="Arial"/>
                <w:sz w:val="18"/>
                <w:szCs w:val="18"/>
                <w:color w:val="auto"/>
              </w:rPr>
              <w:t>—</w:t>
            </w:r>
          </w:p>
        </w:tc>
        <w:tc>
          <w:tcPr>
            <w:tcW w:w="320" w:type="dxa"/>
            <w:vAlign w:val="bottom"/>
            <w:gridSpan w:val="2"/>
          </w:tcPr>
          <w:p>
            <w:pPr>
              <w:ind w:left="220"/>
              <w:spacing w:after="0"/>
              <w:rPr>
                <w:sz w:val="20"/>
                <w:szCs w:val="20"/>
                <w:color w:val="auto"/>
              </w:rPr>
            </w:pPr>
            <w:r>
              <w:rPr>
                <w:rFonts w:ascii="Arial" w:cs="Arial" w:eastAsia="Arial" w:hAnsi="Arial"/>
                <w:sz w:val="18"/>
                <w:szCs w:val="18"/>
                <w:color w:val="auto"/>
                <w:w w:val="79"/>
              </w:rPr>
              <w:t>$</w:t>
            </w:r>
          </w:p>
        </w:tc>
        <w:tc>
          <w:tcPr>
            <w:tcW w:w="780" w:type="dxa"/>
            <w:vAlign w:val="bottom"/>
            <w:gridSpan w:val="2"/>
          </w:tcPr>
          <w:p>
            <w:pPr>
              <w:ind w:left="220"/>
              <w:spacing w:after="0"/>
              <w:rPr>
                <w:sz w:val="20"/>
                <w:szCs w:val="20"/>
                <w:color w:val="auto"/>
              </w:rPr>
            </w:pPr>
            <w:r>
              <w:rPr>
                <w:rFonts w:ascii="Arial" w:cs="Arial" w:eastAsia="Arial" w:hAnsi="Arial"/>
                <w:sz w:val="18"/>
                <w:szCs w:val="18"/>
                <w:color w:val="auto"/>
              </w:rPr>
              <w:t>(4.5)</w:t>
            </w:r>
          </w:p>
        </w:tc>
        <w:tc>
          <w:tcPr>
            <w:tcW w:w="380" w:type="dxa"/>
            <w:vAlign w:val="bottom"/>
            <w:gridSpan w:val="2"/>
          </w:tcPr>
          <w:p>
            <w:pPr>
              <w:ind w:left="240"/>
              <w:spacing w:after="0"/>
              <w:rPr>
                <w:sz w:val="20"/>
                <w:szCs w:val="20"/>
                <w:color w:val="auto"/>
              </w:rPr>
            </w:pPr>
            <w:r>
              <w:rPr>
                <w:rFonts w:ascii="Arial" w:cs="Arial" w:eastAsia="Arial" w:hAnsi="Arial"/>
                <w:sz w:val="18"/>
                <w:szCs w:val="18"/>
                <w:color w:val="auto"/>
              </w:rPr>
              <w:t>$</w:t>
            </w:r>
          </w:p>
        </w:tc>
        <w:tc>
          <w:tcPr>
            <w:tcW w:w="480" w:type="dxa"/>
            <w:vAlign w:val="bottom"/>
            <w:gridSpan w:val="2"/>
          </w:tcPr>
          <w:p>
            <w:pPr>
              <w:jc w:val="right"/>
              <w:ind w:right="20"/>
              <w:spacing w:after="0"/>
              <w:rPr>
                <w:sz w:val="20"/>
                <w:szCs w:val="20"/>
                <w:color w:val="auto"/>
              </w:rPr>
            </w:pPr>
            <w:r>
              <w:rPr>
                <w:rFonts w:ascii="Arial" w:cs="Arial" w:eastAsia="Arial" w:hAnsi="Arial"/>
                <w:sz w:val="18"/>
                <w:szCs w:val="18"/>
                <w:color w:val="auto"/>
              </w:rPr>
              <w:t>63.5</w:t>
            </w:r>
          </w:p>
        </w:tc>
        <w:tc>
          <w:tcPr>
            <w:tcW w:w="0" w:type="dxa"/>
            <w:vAlign w:val="bottom"/>
          </w:tcPr>
          <w:p>
            <w:pPr>
              <w:spacing w:after="0"/>
              <w:rPr>
                <w:sz w:val="1"/>
                <w:szCs w:val="1"/>
                <w:color w:val="auto"/>
              </w:rPr>
            </w:pPr>
          </w:p>
        </w:tc>
      </w:tr>
      <w:tr>
        <w:trPr>
          <w:trHeight w:val="20"/>
        </w:trPr>
        <w:tc>
          <w:tcPr>
            <w:tcW w:w="77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7780" w:type="dxa"/>
            <w:vAlign w:val="bottom"/>
            <w:shd w:val="clear" w:color="auto" w:fill="CCEEFF"/>
          </w:tcPr>
          <w:p>
            <w:pPr>
              <w:spacing w:after="0"/>
              <w:rPr>
                <w:sz w:val="20"/>
                <w:szCs w:val="20"/>
                <w:color w:val="auto"/>
              </w:rPr>
            </w:pPr>
            <w:r>
              <w:rPr>
                <w:rFonts w:ascii="Arial" w:cs="Arial" w:eastAsia="Arial" w:hAnsi="Arial"/>
                <w:sz w:val="18"/>
                <w:szCs w:val="18"/>
                <w:color w:val="auto"/>
              </w:rPr>
              <w:t>Long-term available-for-sale securities:</w:t>
            </w: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80" w:type="dxa"/>
            <w:vAlign w:val="bottom"/>
          </w:tcPr>
          <w:p>
            <w:pPr>
              <w:ind w:left="440"/>
              <w:spacing w:after="0"/>
              <w:rPr>
                <w:sz w:val="20"/>
                <w:szCs w:val="20"/>
                <w:color w:val="auto"/>
              </w:rPr>
            </w:pPr>
            <w:r>
              <w:rPr>
                <w:rFonts w:ascii="Arial" w:cs="Arial" w:eastAsia="Arial" w:hAnsi="Arial"/>
                <w:sz w:val="18"/>
                <w:szCs w:val="18"/>
                <w:color w:val="auto"/>
              </w:rPr>
              <w:t>Taxable auction-rate securities</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420" w:type="dxa"/>
            <w:vAlign w:val="bottom"/>
          </w:tcPr>
          <w:p>
            <w:pPr>
              <w:jc w:val="right"/>
              <w:spacing w:after="0"/>
              <w:rPr>
                <w:sz w:val="20"/>
                <w:szCs w:val="20"/>
                <w:color w:val="auto"/>
              </w:rPr>
            </w:pPr>
            <w:r>
              <w:rPr>
                <w:rFonts w:ascii="Arial" w:cs="Arial" w:eastAsia="Arial" w:hAnsi="Arial"/>
                <w:sz w:val="18"/>
                <w:szCs w:val="18"/>
                <w:color w:val="auto"/>
              </w:rPr>
              <w:t>9.0</w:t>
            </w:r>
          </w:p>
        </w:tc>
        <w:tc>
          <w:tcPr>
            <w:tcW w:w="520" w:type="dxa"/>
            <w:vAlign w:val="bottom"/>
            <w:gridSpan w:val="2"/>
          </w:tcPr>
          <w:p>
            <w:pPr>
              <w:ind w:left="400"/>
              <w:spacing w:after="0"/>
              <w:rPr>
                <w:sz w:val="20"/>
                <w:szCs w:val="20"/>
                <w:color w:val="auto"/>
              </w:rPr>
            </w:pPr>
            <w:r>
              <w:rPr>
                <w:rFonts w:ascii="Arial" w:cs="Arial" w:eastAsia="Arial" w:hAnsi="Arial"/>
                <w:sz w:val="18"/>
                <w:szCs w:val="18"/>
                <w:color w:val="auto"/>
                <w:w w:val="99"/>
              </w:rPr>
              <w:t>$</w:t>
            </w:r>
          </w:p>
        </w:tc>
        <w:tc>
          <w:tcPr>
            <w:tcW w:w="680" w:type="dxa"/>
            <w:vAlign w:val="bottom"/>
            <w:gridSpan w:val="2"/>
          </w:tcPr>
          <w:p>
            <w:pPr>
              <w:ind w:left="220"/>
              <w:spacing w:after="0"/>
              <w:rPr>
                <w:sz w:val="20"/>
                <w:szCs w:val="20"/>
                <w:color w:val="auto"/>
              </w:rPr>
            </w:pPr>
            <w:r>
              <w:rPr>
                <w:rFonts w:ascii="Arial" w:cs="Arial" w:eastAsia="Arial" w:hAnsi="Arial"/>
                <w:sz w:val="18"/>
                <w:szCs w:val="18"/>
                <w:color w:val="auto"/>
              </w:rPr>
              <w:t>—</w:t>
            </w:r>
          </w:p>
        </w:tc>
        <w:tc>
          <w:tcPr>
            <w:tcW w:w="320" w:type="dxa"/>
            <w:vAlign w:val="bottom"/>
            <w:gridSpan w:val="2"/>
          </w:tcPr>
          <w:p>
            <w:pPr>
              <w:ind w:left="220"/>
              <w:spacing w:after="0"/>
              <w:rPr>
                <w:sz w:val="20"/>
                <w:szCs w:val="20"/>
                <w:color w:val="auto"/>
              </w:rPr>
            </w:pPr>
            <w:r>
              <w:rPr>
                <w:rFonts w:ascii="Arial" w:cs="Arial" w:eastAsia="Arial" w:hAnsi="Arial"/>
                <w:sz w:val="18"/>
                <w:szCs w:val="18"/>
                <w:color w:val="auto"/>
                <w:w w:val="79"/>
              </w:rPr>
              <w:t>$</w:t>
            </w:r>
          </w:p>
        </w:tc>
        <w:tc>
          <w:tcPr>
            <w:tcW w:w="780" w:type="dxa"/>
            <w:vAlign w:val="bottom"/>
            <w:gridSpan w:val="2"/>
          </w:tcPr>
          <w:p>
            <w:pPr>
              <w:ind w:left="220"/>
              <w:spacing w:after="0"/>
              <w:rPr>
                <w:sz w:val="20"/>
                <w:szCs w:val="20"/>
                <w:color w:val="auto"/>
              </w:rPr>
            </w:pPr>
            <w:r>
              <w:rPr>
                <w:rFonts w:ascii="Arial" w:cs="Arial" w:eastAsia="Arial" w:hAnsi="Arial"/>
                <w:sz w:val="18"/>
                <w:szCs w:val="18"/>
                <w:color w:val="auto"/>
              </w:rPr>
              <w:t>(1.4)</w:t>
            </w:r>
          </w:p>
        </w:tc>
        <w:tc>
          <w:tcPr>
            <w:tcW w:w="380" w:type="dxa"/>
            <w:vAlign w:val="bottom"/>
            <w:gridSpan w:val="2"/>
          </w:tcPr>
          <w:p>
            <w:pPr>
              <w:ind w:left="240"/>
              <w:spacing w:after="0"/>
              <w:rPr>
                <w:sz w:val="20"/>
                <w:szCs w:val="20"/>
                <w:color w:val="auto"/>
              </w:rPr>
            </w:pPr>
            <w:r>
              <w:rPr>
                <w:rFonts w:ascii="Arial" w:cs="Arial" w:eastAsia="Arial" w:hAnsi="Arial"/>
                <w:sz w:val="18"/>
                <w:szCs w:val="18"/>
                <w:color w:val="auto"/>
              </w:rPr>
              <w:t>$</w:t>
            </w:r>
          </w:p>
        </w:tc>
        <w:tc>
          <w:tcPr>
            <w:tcW w:w="460" w:type="dxa"/>
            <w:vAlign w:val="bottom"/>
          </w:tcPr>
          <w:p>
            <w:pPr>
              <w:jc w:val="right"/>
              <w:spacing w:after="0"/>
              <w:rPr>
                <w:sz w:val="20"/>
                <w:szCs w:val="20"/>
                <w:color w:val="auto"/>
              </w:rPr>
            </w:pPr>
            <w:r>
              <w:rPr>
                <w:rFonts w:ascii="Arial" w:cs="Arial" w:eastAsia="Arial" w:hAnsi="Arial"/>
                <w:sz w:val="18"/>
                <w:szCs w:val="18"/>
                <w:color w:val="auto"/>
              </w:rPr>
              <w:t>7.</w:t>
            </w:r>
            <w:r>
              <w:rPr>
                <w:rFonts w:ascii="Arial" w:cs="Arial" w:eastAsia="Arial" w:hAnsi="Arial"/>
                <w:sz w:val="18"/>
                <w:szCs w:val="18"/>
                <w:u w:val="single" w:color="auto"/>
                <w:color w:val="auto"/>
              </w:rPr>
              <w:t>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77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2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778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w:t>
            </w:r>
          </w:p>
        </w:tc>
        <w:tc>
          <w:tcPr>
            <w:tcW w:w="52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w w:val="99"/>
              </w:rPr>
              <w:t>$</w:t>
            </w:r>
          </w:p>
        </w:tc>
        <w:tc>
          <w:tcPr>
            <w:tcW w:w="68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32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w w:val="79"/>
              </w:rPr>
              <w:t>$</w:t>
            </w:r>
          </w:p>
        </w:tc>
        <w:tc>
          <w:tcPr>
            <w:tcW w:w="78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(1.4)</w:t>
            </w:r>
          </w:p>
        </w:tc>
        <w:tc>
          <w:tcPr>
            <w:tcW w:w="38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w:t>
            </w:r>
            <w:r>
              <w:rPr>
                <w:rFonts w:ascii="Arial" w:cs="Arial" w:eastAsia="Arial" w:hAnsi="Arial"/>
                <w:sz w:val="18"/>
                <w:szCs w:val="18"/>
                <w:u w:val="single" w:color="auto"/>
                <w:color w:val="auto"/>
              </w:rPr>
              <w:t>6</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7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right="200" w:firstLine="456"/>
        <w:spacing w:after="0" w:line="259" w:lineRule="auto"/>
        <w:rPr>
          <w:sz w:val="20"/>
          <w:szCs w:val="20"/>
          <w:color w:val="auto"/>
        </w:rPr>
      </w:pPr>
      <w:r>
        <w:rPr>
          <w:rFonts w:ascii="Arial" w:cs="Arial" w:eastAsia="Arial" w:hAnsi="Arial"/>
          <w:sz w:val="18"/>
          <w:szCs w:val="18"/>
          <w:color w:val="auto"/>
        </w:rPr>
        <w:t>The sales of available-for-sale securities resulted in no gross gains/losses during the three and nine month periods ended October 31, 2009 and 2008. The cost of securities sold is based on the specific identification method. Proceeds from the sale and maturity of the marketable securities were $134.6 and $5.2 million in the nine months ended October 31, 2009 and 2008, respectively.</w:t>
      </w:r>
    </w:p>
    <w:p>
      <w:pPr>
        <w:spacing w:after="0" w:line="140" w:lineRule="exact"/>
        <w:rPr>
          <w:sz w:val="20"/>
          <w:szCs w:val="20"/>
          <w:color w:val="auto"/>
        </w:rPr>
      </w:pPr>
    </w:p>
    <w:p>
      <w:pPr>
        <w:ind w:firstLine="456"/>
        <w:spacing w:after="0" w:line="253" w:lineRule="auto"/>
        <w:rPr>
          <w:sz w:val="20"/>
          <w:szCs w:val="20"/>
          <w:color w:val="auto"/>
        </w:rPr>
      </w:pPr>
      <w:r>
        <w:rPr>
          <w:rFonts w:ascii="Arial" w:cs="Arial" w:eastAsia="Arial" w:hAnsi="Arial"/>
          <w:sz w:val="18"/>
          <w:szCs w:val="18"/>
          <w:color w:val="auto"/>
        </w:rPr>
        <w:t>At October 31, 2009, Autodesk was invested in two money market funds with an estimated fair value of $17.8 million and cost basis of $22.3 million, of which $17.0 million was invested in The Reserve International Liquidity Fund (the “International Fund”) and $0.8 million was invested in The Reserve Primary Fund (the “Primary Fund,” and together with the International Fund, “Reserve Funds”). In mid-September of 2008, the Reserve Funds ceased redemptions after net asset values of the funds decreased below $1 per share. This occurred as a result of the Reserve Funds revaluing their holdings of debt securities issued by Lehman Brothers Holdings, Inc. (“Lehman Brothers”), which filed for Chapter 11 bankruptcy on September 15, 2008, and the resulting unusually high redemption requests on the Reserve Funds. On November 25, 2009, Autodesk received an additional $7.0 million in redemption proceeds from the International Fund. This reduced the fair value and costs basis of Autodesk’s investments in the Reserve Funds to $10.8 million and $15.3 million, respectively, as of December 8, 2009.</w:t>
      </w:r>
    </w:p>
    <w:p>
      <w:pPr>
        <w:spacing w:after="0" w:line="1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20"/>
          </w:cols>
          <w:pgMar w:left="240" w:top="459" w:right="23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80" w:firstLine="456"/>
        <w:spacing w:after="0" w:line="294" w:lineRule="auto"/>
        <w:rPr>
          <w:sz w:val="20"/>
          <w:szCs w:val="20"/>
          <w:color w:val="auto"/>
        </w:rPr>
      </w:pPr>
      <w:r>
        <w:rPr>
          <w:rFonts w:ascii="Arial" w:cs="Arial" w:eastAsia="Arial" w:hAnsi="Arial"/>
          <w:sz w:val="16"/>
          <w:szCs w:val="16"/>
          <w:color w:val="auto"/>
        </w:rPr>
        <w:t>The SEC is overseeing the administration, accounting and payout of the Primary Fund, and a third party court appointed supervisor is overseeing, but not managing, the accounting and payment administration of the International Fund. At this time, these investments are not currently liquid, and in the event Autodesk needs to access these funds, the Company will not be able to do so. However, based on currently available information, Autodesk expects to recover substantially all of its current holdings, net of reserves, from the Reserve Funds within the next 12 months. Accordingly, the Reserve Funds are classified in current “Marketable Securities” on the Company’s Condensed Consolidated Balance Sheets.</w:t>
      </w:r>
    </w:p>
    <w:p>
      <w:pPr>
        <w:spacing w:after="0" w:line="116" w:lineRule="exact"/>
        <w:rPr>
          <w:sz w:val="20"/>
          <w:szCs w:val="20"/>
          <w:color w:val="auto"/>
        </w:rPr>
      </w:pPr>
    </w:p>
    <w:p>
      <w:pPr>
        <w:ind w:right="60" w:firstLine="456"/>
        <w:spacing w:after="0" w:line="290" w:lineRule="auto"/>
        <w:rPr>
          <w:sz w:val="20"/>
          <w:szCs w:val="20"/>
          <w:color w:val="auto"/>
        </w:rPr>
      </w:pPr>
      <w:r>
        <w:rPr>
          <w:rFonts w:ascii="Arial" w:cs="Arial" w:eastAsia="Arial" w:hAnsi="Arial"/>
          <w:sz w:val="16"/>
          <w:szCs w:val="16"/>
          <w:color w:val="auto"/>
        </w:rPr>
        <w:t>At October 31, 2009, Autodesk owned two auction rate securities with an estimated fair value of $7.6 million and a cost basis of $9.0 million. Autodesk’s auction rate securities are variable rate debt instruments that have underlying securities with contractual maturities greater than ten years and interest rates that were structured to reset at auction every 28 days. The securities, which met Autodesk’s investment guidelines at the time the investments were made, have failed to settle in auctions since August 2007 and have earned a premium interest rate since that time. While Autodesk expects to recover substantially all of its current holdings, net of reserves, in the auction rate securities, it cannot predict when this will occur or the amount the Company will receive. Due to the lack of liquidity of these investments in an active market, they are included in non-current “Marketable securities” on the accompanying Condensed Consolidated Balance Sheets. The Company will continue to evaluate its accounting for these investments quarterly.</w:t>
      </w:r>
    </w:p>
    <w:p>
      <w:pPr>
        <w:spacing w:after="0" w:line="118" w:lineRule="exact"/>
        <w:rPr>
          <w:sz w:val="20"/>
          <w:szCs w:val="20"/>
          <w:color w:val="auto"/>
        </w:rPr>
      </w:pPr>
    </w:p>
    <w:p>
      <w:pPr>
        <w:ind w:right="220" w:firstLine="456"/>
        <w:spacing w:after="0" w:line="268" w:lineRule="auto"/>
        <w:rPr>
          <w:sz w:val="20"/>
          <w:szCs w:val="20"/>
          <w:color w:val="auto"/>
        </w:rPr>
      </w:pPr>
      <w:r>
        <w:rPr>
          <w:rFonts w:ascii="Arial" w:cs="Arial" w:eastAsia="Arial" w:hAnsi="Arial"/>
          <w:sz w:val="18"/>
          <w:szCs w:val="18"/>
          <w:color w:val="auto"/>
        </w:rPr>
        <w:t>At October 31, 2009, Autodesk’s short-term investment portfolio included $26.9 million of trading securities invested in a defined set of mutual funds as directed by the participants in the Company’s Deferred Compensation Plan (see Note 9, “Deferred Compensation”).</w:t>
      </w:r>
    </w:p>
    <w:p>
      <w:pPr>
        <w:spacing w:after="0" w:line="132" w:lineRule="exact"/>
        <w:rPr>
          <w:sz w:val="20"/>
          <w:szCs w:val="20"/>
          <w:color w:val="auto"/>
        </w:rPr>
      </w:pPr>
    </w:p>
    <w:p>
      <w:pPr>
        <w:ind w:right="140" w:firstLine="456"/>
        <w:spacing w:after="0" w:line="332" w:lineRule="auto"/>
        <w:rPr>
          <w:sz w:val="20"/>
          <w:szCs w:val="20"/>
          <w:color w:val="auto"/>
        </w:rPr>
      </w:pPr>
      <w:r>
        <w:rPr>
          <w:rFonts w:ascii="Arial" w:cs="Arial" w:eastAsia="Arial" w:hAnsi="Arial"/>
          <w:sz w:val="16"/>
          <w:szCs w:val="16"/>
          <w:color w:val="auto"/>
        </w:rPr>
        <w:t>The following table shows the gross unrealized losses and fair value for investments in an unrealized loss position as of October 31, 2009 and January 31, 2009, aggregated by investment category and length of time that the individual securities have been in a continuous loss position:</w:t>
      </w:r>
    </w:p>
    <w:p>
      <w:pPr>
        <w:spacing w:after="0" w:line="12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940" w:type="dxa"/>
            <w:vAlign w:val="bottom"/>
          </w:tcPr>
          <w:p>
            <w:pPr>
              <w:spacing w:after="0"/>
              <w:rPr>
                <w:sz w:val="14"/>
                <w:szCs w:val="14"/>
                <w:color w:val="auto"/>
              </w:rPr>
            </w:pPr>
          </w:p>
        </w:tc>
        <w:tc>
          <w:tcPr>
            <w:tcW w:w="180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700" w:type="dxa"/>
            <w:vAlign w:val="bottom"/>
            <w:tcBorders>
              <w:bottom w:val="single" w:sz="8" w:color="auto"/>
            </w:tcBorders>
            <w:gridSpan w:val="6"/>
          </w:tcPr>
          <w:p>
            <w:pPr>
              <w:ind w:left="180"/>
              <w:spacing w:after="0"/>
              <w:rPr>
                <w:sz w:val="20"/>
                <w:szCs w:val="20"/>
                <w:color w:val="auto"/>
              </w:rPr>
            </w:pPr>
            <w:r>
              <w:rPr>
                <w:rFonts w:ascii="Arial" w:cs="Arial" w:eastAsia="Arial" w:hAnsi="Arial"/>
                <w:sz w:val="14"/>
                <w:szCs w:val="14"/>
                <w:b w:val="1"/>
                <w:bCs w:val="1"/>
                <w:color w:val="auto"/>
              </w:rPr>
              <w:t>October 31, 2009</w:t>
            </w:r>
          </w:p>
        </w:tc>
        <w:tc>
          <w:tcPr>
            <w:tcW w:w="18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3940" w:type="dxa"/>
            <w:vAlign w:val="bottom"/>
          </w:tcPr>
          <w:p>
            <w:pPr>
              <w:spacing w:after="0"/>
              <w:rPr>
                <w:sz w:val="12"/>
                <w:szCs w:val="12"/>
                <w:color w:val="auto"/>
              </w:rPr>
            </w:pPr>
          </w:p>
        </w:tc>
        <w:tc>
          <w:tcPr>
            <w:tcW w:w="18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80" w:type="dxa"/>
            <w:vAlign w:val="bottom"/>
            <w:gridSpan w:val="6"/>
          </w:tcPr>
          <w:p>
            <w:pPr>
              <w:ind w:left="60"/>
              <w:spacing w:after="0" w:line="142" w:lineRule="exact"/>
              <w:rPr>
                <w:sz w:val="20"/>
                <w:szCs w:val="20"/>
                <w:color w:val="auto"/>
              </w:rPr>
            </w:pPr>
            <w:r>
              <w:rPr>
                <w:rFonts w:ascii="Arial" w:cs="Arial" w:eastAsia="Arial" w:hAnsi="Arial"/>
                <w:sz w:val="14"/>
                <w:szCs w:val="14"/>
                <w:b w:val="1"/>
                <w:bCs w:val="1"/>
                <w:color w:val="auto"/>
              </w:rPr>
              <w:t>Less Than 12 Months</w:t>
            </w: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700" w:type="dxa"/>
            <w:vAlign w:val="bottom"/>
            <w:gridSpan w:val="6"/>
          </w:tcPr>
          <w:p>
            <w:pPr>
              <w:ind w:left="40"/>
              <w:spacing w:after="0" w:line="142" w:lineRule="exact"/>
              <w:rPr>
                <w:sz w:val="20"/>
                <w:szCs w:val="20"/>
                <w:color w:val="auto"/>
              </w:rPr>
            </w:pPr>
            <w:r>
              <w:rPr>
                <w:rFonts w:ascii="Arial" w:cs="Arial" w:eastAsia="Arial" w:hAnsi="Arial"/>
                <w:sz w:val="14"/>
                <w:szCs w:val="14"/>
                <w:b w:val="1"/>
                <w:bCs w:val="1"/>
                <w:color w:val="auto"/>
              </w:rPr>
              <w:t>12 Months or Greater</w:t>
            </w:r>
          </w:p>
        </w:tc>
        <w:tc>
          <w:tcPr>
            <w:tcW w:w="1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80" w:type="dxa"/>
            <w:vAlign w:val="bottom"/>
            <w:gridSpan w:val="2"/>
          </w:tcPr>
          <w:p>
            <w:pPr>
              <w:jc w:val="right"/>
              <w:ind w:right="72"/>
              <w:spacing w:after="0" w:line="142" w:lineRule="exact"/>
              <w:rPr>
                <w:sz w:val="20"/>
                <w:szCs w:val="20"/>
                <w:color w:val="auto"/>
              </w:rPr>
            </w:pPr>
            <w:r>
              <w:rPr>
                <w:rFonts w:ascii="Arial" w:cs="Arial" w:eastAsia="Arial" w:hAnsi="Arial"/>
                <w:sz w:val="14"/>
                <w:szCs w:val="14"/>
                <w:b w:val="1"/>
                <w:bCs w:val="1"/>
                <w:color w:val="auto"/>
                <w:w w:val="95"/>
              </w:rPr>
              <w:t>Total</w:t>
            </w:r>
          </w:p>
        </w:tc>
        <w:tc>
          <w:tcPr>
            <w:tcW w:w="5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9"/>
        </w:trPr>
        <w:tc>
          <w:tcPr>
            <w:tcW w:w="3940" w:type="dxa"/>
            <w:vAlign w:val="bottom"/>
          </w:tcPr>
          <w:p>
            <w:pPr>
              <w:spacing w:after="0"/>
              <w:rPr>
                <w:sz w:val="11"/>
                <w:szCs w:val="11"/>
                <w:color w:val="auto"/>
              </w:rPr>
            </w:pPr>
          </w:p>
        </w:tc>
        <w:tc>
          <w:tcPr>
            <w:tcW w:w="1800" w:type="dxa"/>
            <w:vAlign w:val="bottom"/>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460" w:type="dxa"/>
            <w:vAlign w:val="bottom"/>
            <w:tcBorders>
              <w:top w:val="single" w:sz="8" w:color="auto"/>
            </w:tcBorders>
          </w:tcPr>
          <w:p>
            <w:pPr>
              <w:spacing w:after="0"/>
              <w:rPr>
                <w:sz w:val="11"/>
                <w:szCs w:val="11"/>
                <w:color w:val="auto"/>
              </w:rPr>
            </w:pPr>
          </w:p>
        </w:tc>
        <w:tc>
          <w:tcPr>
            <w:tcW w:w="200" w:type="dxa"/>
            <w:vAlign w:val="bottom"/>
            <w:tcBorders>
              <w:top w:val="single" w:sz="8" w:color="auto"/>
            </w:tcBorders>
          </w:tcPr>
          <w:p>
            <w:pPr>
              <w:spacing w:after="0"/>
              <w:rPr>
                <w:sz w:val="11"/>
                <w:szCs w:val="11"/>
                <w:color w:val="auto"/>
              </w:rPr>
            </w:pPr>
          </w:p>
        </w:tc>
        <w:tc>
          <w:tcPr>
            <w:tcW w:w="200" w:type="dxa"/>
            <w:vAlign w:val="bottom"/>
            <w:tcBorders>
              <w:top w:val="single" w:sz="8" w:color="auto"/>
            </w:tcBorders>
          </w:tcPr>
          <w:p>
            <w:pPr>
              <w:spacing w:after="0"/>
              <w:rPr>
                <w:sz w:val="11"/>
                <w:szCs w:val="11"/>
                <w:color w:val="auto"/>
              </w:rPr>
            </w:pPr>
          </w:p>
        </w:tc>
        <w:tc>
          <w:tcPr>
            <w:tcW w:w="620" w:type="dxa"/>
            <w:vAlign w:val="bottom"/>
            <w:tcBorders>
              <w:top w:val="single" w:sz="8" w:color="auto"/>
            </w:tcBorders>
            <w:gridSpan w:val="2"/>
          </w:tcPr>
          <w:p>
            <w:pPr>
              <w:spacing w:after="0" w:line="129" w:lineRule="exact"/>
              <w:rPr>
                <w:sz w:val="20"/>
                <w:szCs w:val="20"/>
                <w:color w:val="auto"/>
              </w:rPr>
            </w:pPr>
            <w:r>
              <w:rPr>
                <w:rFonts w:ascii="Arial" w:cs="Arial" w:eastAsia="Arial" w:hAnsi="Arial"/>
                <w:sz w:val="14"/>
                <w:szCs w:val="14"/>
                <w:b w:val="1"/>
                <w:bCs w:val="1"/>
                <w:color w:val="auto"/>
                <w:w w:val="84"/>
              </w:rPr>
              <w:t>Unrealized</w:t>
            </w:r>
          </w:p>
        </w:tc>
        <w:tc>
          <w:tcPr>
            <w:tcW w:w="2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460" w:type="dxa"/>
            <w:vAlign w:val="bottom"/>
            <w:tcBorders>
              <w:top w:val="single" w:sz="8" w:color="auto"/>
            </w:tcBorders>
          </w:tcPr>
          <w:p>
            <w:pPr>
              <w:spacing w:after="0"/>
              <w:rPr>
                <w:sz w:val="11"/>
                <w:szCs w:val="11"/>
                <w:color w:val="auto"/>
              </w:rPr>
            </w:pPr>
          </w:p>
        </w:tc>
        <w:tc>
          <w:tcPr>
            <w:tcW w:w="200" w:type="dxa"/>
            <w:vAlign w:val="bottom"/>
            <w:tcBorders>
              <w:top w:val="single" w:sz="8" w:color="auto"/>
            </w:tcBorders>
          </w:tcPr>
          <w:p>
            <w:pPr>
              <w:spacing w:after="0"/>
              <w:rPr>
                <w:sz w:val="11"/>
                <w:szCs w:val="11"/>
                <w:color w:val="auto"/>
              </w:rPr>
            </w:pPr>
          </w:p>
        </w:tc>
        <w:tc>
          <w:tcPr>
            <w:tcW w:w="200" w:type="dxa"/>
            <w:vAlign w:val="bottom"/>
            <w:tcBorders>
              <w:top w:val="single" w:sz="8" w:color="auto"/>
            </w:tcBorders>
          </w:tcPr>
          <w:p>
            <w:pPr>
              <w:spacing w:after="0"/>
              <w:rPr>
                <w:sz w:val="11"/>
                <w:szCs w:val="11"/>
                <w:color w:val="auto"/>
              </w:rPr>
            </w:pPr>
          </w:p>
        </w:tc>
        <w:tc>
          <w:tcPr>
            <w:tcW w:w="640" w:type="dxa"/>
            <w:vAlign w:val="bottom"/>
            <w:tcBorders>
              <w:top w:val="single" w:sz="8" w:color="auto"/>
            </w:tcBorders>
            <w:gridSpan w:val="2"/>
          </w:tcPr>
          <w:p>
            <w:pPr>
              <w:jc w:val="right"/>
              <w:spacing w:after="0" w:line="129" w:lineRule="exact"/>
              <w:rPr>
                <w:sz w:val="20"/>
                <w:szCs w:val="20"/>
                <w:color w:val="auto"/>
              </w:rPr>
            </w:pPr>
            <w:r>
              <w:rPr>
                <w:rFonts w:ascii="Arial" w:cs="Arial" w:eastAsia="Arial" w:hAnsi="Arial"/>
                <w:sz w:val="14"/>
                <w:szCs w:val="14"/>
                <w:b w:val="1"/>
                <w:bCs w:val="1"/>
                <w:color w:val="auto"/>
                <w:w w:val="87"/>
              </w:rPr>
              <w:t>Unrealized</w:t>
            </w:r>
          </w:p>
        </w:tc>
        <w:tc>
          <w:tcPr>
            <w:tcW w:w="2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00" w:type="dxa"/>
            <w:vAlign w:val="bottom"/>
            <w:tcBorders>
              <w:top w:val="single" w:sz="8" w:color="auto"/>
            </w:tcBorders>
          </w:tcPr>
          <w:p>
            <w:pPr>
              <w:spacing w:after="0"/>
              <w:rPr>
                <w:sz w:val="11"/>
                <w:szCs w:val="11"/>
                <w:color w:val="auto"/>
              </w:rPr>
            </w:pPr>
          </w:p>
        </w:tc>
        <w:tc>
          <w:tcPr>
            <w:tcW w:w="420" w:type="dxa"/>
            <w:vAlign w:val="bottom"/>
            <w:tcBorders>
              <w:top w:val="single" w:sz="8" w:color="auto"/>
            </w:tcBorders>
          </w:tcPr>
          <w:p>
            <w:pPr>
              <w:spacing w:after="0"/>
              <w:rPr>
                <w:sz w:val="11"/>
                <w:szCs w:val="11"/>
                <w:color w:val="auto"/>
              </w:rPr>
            </w:pPr>
          </w:p>
        </w:tc>
        <w:tc>
          <w:tcPr>
            <w:tcW w:w="20" w:type="dxa"/>
            <w:vAlign w:val="bottom"/>
            <w:tcBorders>
              <w:top w:val="single" w:sz="8" w:color="auto"/>
            </w:tcBorders>
          </w:tcPr>
          <w:p>
            <w:pPr>
              <w:spacing w:after="0"/>
              <w:rPr>
                <w:sz w:val="11"/>
                <w:szCs w:val="11"/>
                <w:color w:val="auto"/>
              </w:rPr>
            </w:pPr>
          </w:p>
        </w:tc>
        <w:tc>
          <w:tcPr>
            <w:tcW w:w="360" w:type="dxa"/>
            <w:vAlign w:val="bottom"/>
            <w:tcBorders>
              <w:top w:val="single" w:sz="8" w:color="auto"/>
            </w:tcBorders>
          </w:tcPr>
          <w:p>
            <w:pPr>
              <w:spacing w:after="0"/>
              <w:rPr>
                <w:sz w:val="11"/>
                <w:szCs w:val="11"/>
                <w:color w:val="auto"/>
              </w:rPr>
            </w:pPr>
          </w:p>
        </w:tc>
        <w:tc>
          <w:tcPr>
            <w:tcW w:w="640" w:type="dxa"/>
            <w:vAlign w:val="bottom"/>
            <w:tcBorders>
              <w:top w:val="single" w:sz="8" w:color="auto"/>
            </w:tcBorders>
            <w:gridSpan w:val="2"/>
          </w:tcPr>
          <w:p>
            <w:pPr>
              <w:jc w:val="right"/>
              <w:spacing w:after="0" w:line="129" w:lineRule="exact"/>
              <w:rPr>
                <w:sz w:val="20"/>
                <w:szCs w:val="20"/>
                <w:color w:val="auto"/>
              </w:rPr>
            </w:pPr>
            <w:r>
              <w:rPr>
                <w:rFonts w:ascii="Arial" w:cs="Arial" w:eastAsia="Arial" w:hAnsi="Arial"/>
                <w:sz w:val="14"/>
                <w:szCs w:val="14"/>
                <w:b w:val="1"/>
                <w:bCs w:val="1"/>
                <w:color w:val="auto"/>
                <w:w w:val="87"/>
              </w:rPr>
              <w:t>Unrealized</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3940" w:type="dxa"/>
            <w:vAlign w:val="bottom"/>
          </w:tcPr>
          <w:p>
            <w:pPr>
              <w:spacing w:after="0"/>
              <w:rPr>
                <w:sz w:val="14"/>
                <w:szCs w:val="14"/>
                <w:color w:val="auto"/>
              </w:rPr>
            </w:pPr>
          </w:p>
        </w:tc>
        <w:tc>
          <w:tcPr>
            <w:tcW w:w="1800" w:type="dxa"/>
            <w:vAlign w:val="bottom"/>
          </w:tcPr>
          <w:p>
            <w:pPr>
              <w:spacing w:after="0"/>
              <w:rPr>
                <w:sz w:val="14"/>
                <w:szCs w:val="14"/>
                <w:color w:val="auto"/>
              </w:rPr>
            </w:pPr>
          </w:p>
        </w:tc>
        <w:tc>
          <w:tcPr>
            <w:tcW w:w="600" w:type="dxa"/>
            <w:vAlign w:val="bottom"/>
            <w:gridSpan w:val="2"/>
          </w:tcPr>
          <w:p>
            <w:pPr>
              <w:spacing w:after="0"/>
              <w:rPr>
                <w:sz w:val="20"/>
                <w:szCs w:val="20"/>
                <w:color w:val="auto"/>
              </w:rPr>
            </w:pPr>
            <w:r>
              <w:rPr>
                <w:rFonts w:ascii="Arial" w:cs="Arial" w:eastAsia="Arial" w:hAnsi="Arial"/>
                <w:sz w:val="14"/>
                <w:szCs w:val="14"/>
                <w:b w:val="1"/>
                <w:bCs w:val="1"/>
                <w:color w:val="auto"/>
                <w:w w:val="86"/>
              </w:rPr>
              <w:t>Fair Value</w:t>
            </w:r>
          </w:p>
        </w:tc>
        <w:tc>
          <w:tcPr>
            <w:tcW w:w="2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20" w:type="dxa"/>
            <w:vAlign w:val="bottom"/>
          </w:tcPr>
          <w:p>
            <w:pPr>
              <w:ind w:left="20"/>
              <w:spacing w:after="0"/>
              <w:rPr>
                <w:sz w:val="20"/>
                <w:szCs w:val="20"/>
                <w:color w:val="auto"/>
              </w:rPr>
            </w:pPr>
            <w:r>
              <w:rPr>
                <w:rFonts w:ascii="Arial" w:cs="Arial" w:eastAsia="Arial" w:hAnsi="Arial"/>
                <w:sz w:val="14"/>
                <w:szCs w:val="14"/>
                <w:b w:val="1"/>
                <w:bCs w:val="1"/>
                <w:color w:val="auto"/>
                <w:w w:val="99"/>
              </w:rPr>
              <w:t>Losses</w:t>
            </w:r>
          </w:p>
        </w:tc>
        <w:tc>
          <w:tcPr>
            <w:tcW w:w="2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0" w:type="dxa"/>
            <w:vAlign w:val="bottom"/>
            <w:gridSpan w:val="3"/>
          </w:tcPr>
          <w:p>
            <w:pPr>
              <w:spacing w:after="0"/>
              <w:rPr>
                <w:sz w:val="20"/>
                <w:szCs w:val="20"/>
                <w:color w:val="auto"/>
              </w:rPr>
            </w:pPr>
            <w:r>
              <w:rPr>
                <w:rFonts w:ascii="Arial" w:cs="Arial" w:eastAsia="Arial" w:hAnsi="Arial"/>
                <w:sz w:val="14"/>
                <w:szCs w:val="14"/>
                <w:b w:val="1"/>
                <w:bCs w:val="1"/>
                <w:color w:val="auto"/>
              </w:rPr>
              <w:t>Fair Value</w:t>
            </w: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gridSpan w:val="2"/>
          </w:tcPr>
          <w:p>
            <w:pPr>
              <w:ind w:left="20"/>
              <w:spacing w:after="0"/>
              <w:rPr>
                <w:sz w:val="20"/>
                <w:szCs w:val="20"/>
                <w:color w:val="auto"/>
              </w:rPr>
            </w:pPr>
            <w:r>
              <w:rPr>
                <w:rFonts w:ascii="Arial" w:cs="Arial" w:eastAsia="Arial" w:hAnsi="Arial"/>
                <w:sz w:val="14"/>
                <w:szCs w:val="14"/>
                <w:b w:val="1"/>
                <w:bCs w:val="1"/>
                <w:color w:val="auto"/>
              </w:rPr>
              <w:t>Losses</w:t>
            </w:r>
          </w:p>
        </w:tc>
        <w:tc>
          <w:tcPr>
            <w:tcW w:w="180" w:type="dxa"/>
            <w:vAlign w:val="bottom"/>
          </w:tcPr>
          <w:p>
            <w:pPr>
              <w:spacing w:after="0"/>
              <w:rPr>
                <w:sz w:val="14"/>
                <w:szCs w:val="14"/>
                <w:color w:val="auto"/>
              </w:rPr>
            </w:pPr>
          </w:p>
        </w:tc>
        <w:tc>
          <w:tcPr>
            <w:tcW w:w="640" w:type="dxa"/>
            <w:vAlign w:val="bottom"/>
            <w:gridSpan w:val="3"/>
          </w:tcPr>
          <w:p>
            <w:pPr>
              <w:spacing w:after="0"/>
              <w:rPr>
                <w:sz w:val="20"/>
                <w:szCs w:val="20"/>
                <w:color w:val="auto"/>
              </w:rPr>
            </w:pPr>
            <w:r>
              <w:rPr>
                <w:rFonts w:ascii="Arial" w:cs="Arial" w:eastAsia="Arial" w:hAnsi="Arial"/>
                <w:sz w:val="14"/>
                <w:szCs w:val="14"/>
                <w:b w:val="1"/>
                <w:bCs w:val="1"/>
                <w:color w:val="auto"/>
                <w:w w:val="92"/>
              </w:rPr>
              <w:t>Fair Value</w:t>
            </w:r>
          </w:p>
        </w:tc>
        <w:tc>
          <w:tcPr>
            <w:tcW w:w="3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40" w:type="dxa"/>
            <w:vAlign w:val="bottom"/>
            <w:gridSpan w:val="2"/>
          </w:tcPr>
          <w:p>
            <w:pPr>
              <w:ind w:left="20"/>
              <w:spacing w:after="0"/>
              <w:rPr>
                <w:sz w:val="20"/>
                <w:szCs w:val="20"/>
                <w:color w:val="auto"/>
              </w:rPr>
            </w:pPr>
            <w:r>
              <w:rPr>
                <w:rFonts w:ascii="Arial" w:cs="Arial" w:eastAsia="Arial" w:hAnsi="Arial"/>
                <w:sz w:val="14"/>
                <w:szCs w:val="14"/>
                <w:b w:val="1"/>
                <w:bCs w:val="1"/>
                <w:color w:val="auto"/>
              </w:rPr>
              <w:t>Losses</w:t>
            </w:r>
          </w:p>
        </w:tc>
        <w:tc>
          <w:tcPr>
            <w:tcW w:w="0" w:type="dxa"/>
            <w:vAlign w:val="bottom"/>
          </w:tcPr>
          <w:p>
            <w:pPr>
              <w:spacing w:after="0"/>
              <w:rPr>
                <w:sz w:val="1"/>
                <w:szCs w:val="1"/>
                <w:color w:val="auto"/>
              </w:rPr>
            </w:pPr>
          </w:p>
        </w:tc>
      </w:tr>
      <w:tr>
        <w:trPr>
          <w:trHeight w:val="20"/>
        </w:trPr>
        <w:tc>
          <w:tcPr>
            <w:tcW w:w="394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940" w:type="dxa"/>
            <w:vAlign w:val="bottom"/>
            <w:shd w:val="clear" w:color="auto" w:fill="CCEEFF"/>
          </w:tcPr>
          <w:p>
            <w:pPr>
              <w:spacing w:after="0"/>
              <w:rPr>
                <w:sz w:val="20"/>
                <w:szCs w:val="20"/>
                <w:color w:val="auto"/>
              </w:rPr>
            </w:pPr>
            <w:r>
              <w:rPr>
                <w:rFonts w:ascii="Arial" w:cs="Arial" w:eastAsia="Arial" w:hAnsi="Arial"/>
                <w:sz w:val="18"/>
                <w:szCs w:val="18"/>
                <w:color w:val="auto"/>
              </w:rPr>
              <w:t>Mutual funds</w:t>
            </w:r>
          </w:p>
        </w:tc>
        <w:tc>
          <w:tcPr>
            <w:tcW w:w="1940" w:type="dxa"/>
            <w:vAlign w:val="bottom"/>
            <w:gridSpan w:val="2"/>
            <w:shd w:val="clear" w:color="auto" w:fill="CCEEFF"/>
          </w:tcPr>
          <w:p>
            <w:pPr>
              <w:ind w:left="1800"/>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24.3</w:t>
            </w:r>
          </w:p>
        </w:tc>
        <w:tc>
          <w:tcPr>
            <w:tcW w:w="30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w w:val="79"/>
              </w:rPr>
              <w:t>$</w:t>
            </w:r>
          </w:p>
        </w:tc>
        <w:tc>
          <w:tcPr>
            <w:tcW w:w="72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4.1</w:t>
            </w:r>
          </w:p>
        </w:tc>
        <w:tc>
          <w:tcPr>
            <w:tcW w:w="34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38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4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24.3</w:t>
            </w:r>
          </w:p>
        </w:tc>
        <w:tc>
          <w:tcPr>
            <w:tcW w:w="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40" w:type="dxa"/>
            <w:vAlign w:val="bottom"/>
          </w:tcPr>
          <w:p>
            <w:pPr>
              <w:spacing w:after="0"/>
              <w:rPr>
                <w:sz w:val="20"/>
                <w:szCs w:val="20"/>
                <w:color w:val="auto"/>
              </w:rPr>
            </w:pPr>
            <w:r>
              <w:rPr>
                <w:rFonts w:ascii="Arial" w:cs="Arial" w:eastAsia="Arial" w:hAnsi="Arial"/>
                <w:sz w:val="18"/>
                <w:szCs w:val="18"/>
                <w:color w:val="auto"/>
              </w:rPr>
              <w:t>Money market funds</w:t>
            </w:r>
          </w:p>
        </w:tc>
        <w:tc>
          <w:tcPr>
            <w:tcW w:w="18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gridSpan w:val="2"/>
          </w:tcPr>
          <w:p>
            <w:pPr>
              <w:ind w:left="20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gridSpan w:val="2"/>
          </w:tcPr>
          <w:p>
            <w:pPr>
              <w:ind w:left="26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gridSpan w:val="2"/>
          </w:tcPr>
          <w:p>
            <w:pPr>
              <w:jc w:val="right"/>
              <w:ind w:right="200"/>
              <w:spacing w:after="0"/>
              <w:rPr>
                <w:sz w:val="20"/>
                <w:szCs w:val="20"/>
                <w:color w:val="auto"/>
              </w:rPr>
            </w:pPr>
            <w:r>
              <w:rPr>
                <w:rFonts w:ascii="Arial" w:cs="Arial" w:eastAsia="Arial" w:hAnsi="Arial"/>
                <w:sz w:val="18"/>
                <w:szCs w:val="18"/>
                <w:color w:val="auto"/>
              </w:rPr>
              <w:t>17.8</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200"/>
              <w:spacing w:after="0"/>
              <w:rPr>
                <w:sz w:val="20"/>
                <w:szCs w:val="20"/>
                <w:color w:val="auto"/>
              </w:rPr>
            </w:pPr>
            <w:r>
              <w:rPr>
                <w:rFonts w:ascii="Arial" w:cs="Arial" w:eastAsia="Arial" w:hAnsi="Arial"/>
                <w:sz w:val="18"/>
                <w:szCs w:val="18"/>
                <w:color w:val="auto"/>
              </w:rPr>
              <w:t>4.5</w:t>
            </w: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40" w:type="dxa"/>
            <w:vAlign w:val="bottom"/>
            <w:gridSpan w:val="2"/>
          </w:tcPr>
          <w:p>
            <w:pPr>
              <w:jc w:val="right"/>
              <w:ind w:right="20"/>
              <w:spacing w:after="0"/>
              <w:rPr>
                <w:sz w:val="20"/>
                <w:szCs w:val="20"/>
                <w:color w:val="auto"/>
              </w:rPr>
            </w:pPr>
            <w:r>
              <w:rPr>
                <w:rFonts w:ascii="Arial" w:cs="Arial" w:eastAsia="Arial" w:hAnsi="Arial"/>
                <w:sz w:val="18"/>
                <w:szCs w:val="18"/>
                <w:color w:val="auto"/>
              </w:rPr>
              <w:t>17.8</w:t>
            </w: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4.5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40" w:type="dxa"/>
            <w:vAlign w:val="bottom"/>
            <w:shd w:val="clear" w:color="auto" w:fill="CCEEFF"/>
          </w:tcPr>
          <w:p>
            <w:pPr>
              <w:spacing w:after="0"/>
              <w:rPr>
                <w:sz w:val="20"/>
                <w:szCs w:val="20"/>
                <w:color w:val="auto"/>
              </w:rPr>
            </w:pPr>
            <w:r>
              <w:rPr>
                <w:rFonts w:ascii="Arial" w:cs="Arial" w:eastAsia="Arial" w:hAnsi="Arial"/>
                <w:sz w:val="18"/>
                <w:szCs w:val="18"/>
                <w:color w:val="auto"/>
              </w:rPr>
              <w:t>Taxable auction-rate securities</w:t>
            </w:r>
          </w:p>
        </w:tc>
        <w:tc>
          <w:tcPr>
            <w:tcW w:w="18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7.6</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1.4</w:t>
            </w: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7.6</w:t>
            </w:r>
          </w:p>
        </w:tc>
        <w:tc>
          <w:tcPr>
            <w:tcW w:w="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65"/>
        </w:trPr>
        <w:tc>
          <w:tcPr>
            <w:tcW w:w="394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700" w:type="dxa"/>
            <w:vAlign w:val="bottom"/>
            <w:tcBorders>
              <w:bottom w:val="single" w:sz="8" w:color="auto"/>
            </w:tcBorders>
            <w:gridSpan w:val="6"/>
          </w:tcPr>
          <w:p>
            <w:pPr>
              <w:ind w:left="180"/>
              <w:spacing w:after="0"/>
              <w:rPr>
                <w:sz w:val="20"/>
                <w:szCs w:val="20"/>
                <w:color w:val="auto"/>
              </w:rPr>
            </w:pPr>
            <w:r>
              <w:rPr>
                <w:rFonts w:ascii="Arial" w:cs="Arial" w:eastAsia="Arial" w:hAnsi="Arial"/>
                <w:sz w:val="14"/>
                <w:szCs w:val="14"/>
                <w:b w:val="1"/>
                <w:bCs w:val="1"/>
                <w:color w:val="auto"/>
              </w:rPr>
              <w:t>January 31, 2009</w:t>
            </w:r>
          </w:p>
        </w:tc>
        <w:tc>
          <w:tcPr>
            <w:tcW w:w="18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2"/>
        </w:trPr>
        <w:tc>
          <w:tcPr>
            <w:tcW w:w="3940" w:type="dxa"/>
            <w:vAlign w:val="bottom"/>
          </w:tcPr>
          <w:p>
            <w:pPr>
              <w:spacing w:after="0"/>
              <w:rPr>
                <w:sz w:val="12"/>
                <w:szCs w:val="12"/>
                <w:color w:val="auto"/>
              </w:rPr>
            </w:pPr>
          </w:p>
        </w:tc>
        <w:tc>
          <w:tcPr>
            <w:tcW w:w="18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80" w:type="dxa"/>
            <w:vAlign w:val="bottom"/>
            <w:gridSpan w:val="6"/>
          </w:tcPr>
          <w:p>
            <w:pPr>
              <w:ind w:left="60"/>
              <w:spacing w:after="0" w:line="142" w:lineRule="exact"/>
              <w:rPr>
                <w:sz w:val="20"/>
                <w:szCs w:val="20"/>
                <w:color w:val="auto"/>
              </w:rPr>
            </w:pPr>
            <w:r>
              <w:rPr>
                <w:rFonts w:ascii="Arial" w:cs="Arial" w:eastAsia="Arial" w:hAnsi="Arial"/>
                <w:sz w:val="14"/>
                <w:szCs w:val="14"/>
                <w:b w:val="1"/>
                <w:bCs w:val="1"/>
                <w:color w:val="auto"/>
              </w:rPr>
              <w:t>Less Than 12 Months</w:t>
            </w: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700" w:type="dxa"/>
            <w:vAlign w:val="bottom"/>
            <w:gridSpan w:val="6"/>
          </w:tcPr>
          <w:p>
            <w:pPr>
              <w:ind w:left="40"/>
              <w:spacing w:after="0" w:line="142" w:lineRule="exact"/>
              <w:rPr>
                <w:sz w:val="20"/>
                <w:szCs w:val="20"/>
                <w:color w:val="auto"/>
              </w:rPr>
            </w:pPr>
            <w:r>
              <w:rPr>
                <w:rFonts w:ascii="Arial" w:cs="Arial" w:eastAsia="Arial" w:hAnsi="Arial"/>
                <w:sz w:val="14"/>
                <w:szCs w:val="14"/>
                <w:b w:val="1"/>
                <w:bCs w:val="1"/>
                <w:color w:val="auto"/>
              </w:rPr>
              <w:t>12 Months or Greater</w:t>
            </w:r>
          </w:p>
        </w:tc>
        <w:tc>
          <w:tcPr>
            <w:tcW w:w="1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80" w:type="dxa"/>
            <w:vAlign w:val="bottom"/>
            <w:gridSpan w:val="2"/>
          </w:tcPr>
          <w:p>
            <w:pPr>
              <w:jc w:val="right"/>
              <w:ind w:right="72"/>
              <w:spacing w:after="0" w:line="142" w:lineRule="exact"/>
              <w:rPr>
                <w:sz w:val="20"/>
                <w:szCs w:val="20"/>
                <w:color w:val="auto"/>
              </w:rPr>
            </w:pPr>
            <w:r>
              <w:rPr>
                <w:rFonts w:ascii="Arial" w:cs="Arial" w:eastAsia="Arial" w:hAnsi="Arial"/>
                <w:sz w:val="14"/>
                <w:szCs w:val="14"/>
                <w:b w:val="1"/>
                <w:bCs w:val="1"/>
                <w:color w:val="auto"/>
                <w:w w:val="95"/>
              </w:rPr>
              <w:t>Total</w:t>
            </w:r>
          </w:p>
        </w:tc>
        <w:tc>
          <w:tcPr>
            <w:tcW w:w="5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9"/>
        </w:trPr>
        <w:tc>
          <w:tcPr>
            <w:tcW w:w="3940" w:type="dxa"/>
            <w:vAlign w:val="bottom"/>
          </w:tcPr>
          <w:p>
            <w:pPr>
              <w:spacing w:after="0"/>
              <w:rPr>
                <w:sz w:val="11"/>
                <w:szCs w:val="11"/>
                <w:color w:val="auto"/>
              </w:rPr>
            </w:pPr>
          </w:p>
        </w:tc>
        <w:tc>
          <w:tcPr>
            <w:tcW w:w="1800" w:type="dxa"/>
            <w:vAlign w:val="bottom"/>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460" w:type="dxa"/>
            <w:vAlign w:val="bottom"/>
            <w:tcBorders>
              <w:top w:val="single" w:sz="8" w:color="auto"/>
            </w:tcBorders>
          </w:tcPr>
          <w:p>
            <w:pPr>
              <w:spacing w:after="0"/>
              <w:rPr>
                <w:sz w:val="11"/>
                <w:szCs w:val="11"/>
                <w:color w:val="auto"/>
              </w:rPr>
            </w:pPr>
          </w:p>
        </w:tc>
        <w:tc>
          <w:tcPr>
            <w:tcW w:w="200" w:type="dxa"/>
            <w:vAlign w:val="bottom"/>
            <w:tcBorders>
              <w:top w:val="single" w:sz="8" w:color="auto"/>
            </w:tcBorders>
          </w:tcPr>
          <w:p>
            <w:pPr>
              <w:spacing w:after="0"/>
              <w:rPr>
                <w:sz w:val="11"/>
                <w:szCs w:val="11"/>
                <w:color w:val="auto"/>
              </w:rPr>
            </w:pPr>
          </w:p>
        </w:tc>
        <w:tc>
          <w:tcPr>
            <w:tcW w:w="200" w:type="dxa"/>
            <w:vAlign w:val="bottom"/>
            <w:tcBorders>
              <w:top w:val="single" w:sz="8" w:color="auto"/>
            </w:tcBorders>
          </w:tcPr>
          <w:p>
            <w:pPr>
              <w:spacing w:after="0"/>
              <w:rPr>
                <w:sz w:val="11"/>
                <w:szCs w:val="11"/>
                <w:color w:val="auto"/>
              </w:rPr>
            </w:pPr>
          </w:p>
        </w:tc>
        <w:tc>
          <w:tcPr>
            <w:tcW w:w="620" w:type="dxa"/>
            <w:vAlign w:val="bottom"/>
            <w:tcBorders>
              <w:top w:val="single" w:sz="8" w:color="auto"/>
            </w:tcBorders>
            <w:gridSpan w:val="2"/>
          </w:tcPr>
          <w:p>
            <w:pPr>
              <w:spacing w:after="0" w:line="129" w:lineRule="exact"/>
              <w:rPr>
                <w:sz w:val="20"/>
                <w:szCs w:val="20"/>
                <w:color w:val="auto"/>
              </w:rPr>
            </w:pPr>
            <w:r>
              <w:rPr>
                <w:rFonts w:ascii="Arial" w:cs="Arial" w:eastAsia="Arial" w:hAnsi="Arial"/>
                <w:sz w:val="14"/>
                <w:szCs w:val="14"/>
                <w:b w:val="1"/>
                <w:bCs w:val="1"/>
                <w:color w:val="auto"/>
                <w:w w:val="84"/>
              </w:rPr>
              <w:t>Unrealized</w:t>
            </w:r>
          </w:p>
        </w:tc>
        <w:tc>
          <w:tcPr>
            <w:tcW w:w="2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460" w:type="dxa"/>
            <w:vAlign w:val="bottom"/>
            <w:tcBorders>
              <w:top w:val="single" w:sz="8" w:color="auto"/>
            </w:tcBorders>
          </w:tcPr>
          <w:p>
            <w:pPr>
              <w:spacing w:after="0"/>
              <w:rPr>
                <w:sz w:val="11"/>
                <w:szCs w:val="11"/>
                <w:color w:val="auto"/>
              </w:rPr>
            </w:pPr>
          </w:p>
        </w:tc>
        <w:tc>
          <w:tcPr>
            <w:tcW w:w="200" w:type="dxa"/>
            <w:vAlign w:val="bottom"/>
            <w:tcBorders>
              <w:top w:val="single" w:sz="8" w:color="auto"/>
            </w:tcBorders>
          </w:tcPr>
          <w:p>
            <w:pPr>
              <w:spacing w:after="0"/>
              <w:rPr>
                <w:sz w:val="11"/>
                <w:szCs w:val="11"/>
                <w:color w:val="auto"/>
              </w:rPr>
            </w:pPr>
          </w:p>
        </w:tc>
        <w:tc>
          <w:tcPr>
            <w:tcW w:w="200" w:type="dxa"/>
            <w:vAlign w:val="bottom"/>
            <w:tcBorders>
              <w:top w:val="single" w:sz="8" w:color="auto"/>
            </w:tcBorders>
          </w:tcPr>
          <w:p>
            <w:pPr>
              <w:spacing w:after="0"/>
              <w:rPr>
                <w:sz w:val="11"/>
                <w:szCs w:val="11"/>
                <w:color w:val="auto"/>
              </w:rPr>
            </w:pPr>
          </w:p>
        </w:tc>
        <w:tc>
          <w:tcPr>
            <w:tcW w:w="640" w:type="dxa"/>
            <w:vAlign w:val="bottom"/>
            <w:tcBorders>
              <w:top w:val="single" w:sz="8" w:color="auto"/>
            </w:tcBorders>
            <w:gridSpan w:val="2"/>
          </w:tcPr>
          <w:p>
            <w:pPr>
              <w:jc w:val="right"/>
              <w:spacing w:after="0" w:line="129" w:lineRule="exact"/>
              <w:rPr>
                <w:sz w:val="20"/>
                <w:szCs w:val="20"/>
                <w:color w:val="auto"/>
              </w:rPr>
            </w:pPr>
            <w:r>
              <w:rPr>
                <w:rFonts w:ascii="Arial" w:cs="Arial" w:eastAsia="Arial" w:hAnsi="Arial"/>
                <w:sz w:val="14"/>
                <w:szCs w:val="14"/>
                <w:b w:val="1"/>
                <w:bCs w:val="1"/>
                <w:color w:val="auto"/>
                <w:w w:val="87"/>
              </w:rPr>
              <w:t>Unrealized</w:t>
            </w:r>
          </w:p>
        </w:tc>
        <w:tc>
          <w:tcPr>
            <w:tcW w:w="2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00" w:type="dxa"/>
            <w:vAlign w:val="bottom"/>
            <w:tcBorders>
              <w:top w:val="single" w:sz="8" w:color="auto"/>
            </w:tcBorders>
          </w:tcPr>
          <w:p>
            <w:pPr>
              <w:spacing w:after="0"/>
              <w:rPr>
                <w:sz w:val="11"/>
                <w:szCs w:val="11"/>
                <w:color w:val="auto"/>
              </w:rPr>
            </w:pPr>
          </w:p>
        </w:tc>
        <w:tc>
          <w:tcPr>
            <w:tcW w:w="420" w:type="dxa"/>
            <w:vAlign w:val="bottom"/>
            <w:tcBorders>
              <w:top w:val="single" w:sz="8" w:color="auto"/>
            </w:tcBorders>
          </w:tcPr>
          <w:p>
            <w:pPr>
              <w:spacing w:after="0"/>
              <w:rPr>
                <w:sz w:val="11"/>
                <w:szCs w:val="11"/>
                <w:color w:val="auto"/>
              </w:rPr>
            </w:pPr>
          </w:p>
        </w:tc>
        <w:tc>
          <w:tcPr>
            <w:tcW w:w="20" w:type="dxa"/>
            <w:vAlign w:val="bottom"/>
            <w:tcBorders>
              <w:top w:val="single" w:sz="8" w:color="auto"/>
            </w:tcBorders>
          </w:tcPr>
          <w:p>
            <w:pPr>
              <w:spacing w:after="0"/>
              <w:rPr>
                <w:sz w:val="11"/>
                <w:szCs w:val="11"/>
                <w:color w:val="auto"/>
              </w:rPr>
            </w:pPr>
          </w:p>
        </w:tc>
        <w:tc>
          <w:tcPr>
            <w:tcW w:w="360" w:type="dxa"/>
            <w:vAlign w:val="bottom"/>
            <w:tcBorders>
              <w:top w:val="single" w:sz="8" w:color="auto"/>
            </w:tcBorders>
          </w:tcPr>
          <w:p>
            <w:pPr>
              <w:spacing w:after="0"/>
              <w:rPr>
                <w:sz w:val="11"/>
                <w:szCs w:val="11"/>
                <w:color w:val="auto"/>
              </w:rPr>
            </w:pPr>
          </w:p>
        </w:tc>
        <w:tc>
          <w:tcPr>
            <w:tcW w:w="640" w:type="dxa"/>
            <w:vAlign w:val="bottom"/>
            <w:tcBorders>
              <w:top w:val="single" w:sz="8" w:color="auto"/>
            </w:tcBorders>
            <w:gridSpan w:val="2"/>
          </w:tcPr>
          <w:p>
            <w:pPr>
              <w:jc w:val="right"/>
              <w:spacing w:after="0" w:line="129" w:lineRule="exact"/>
              <w:rPr>
                <w:sz w:val="20"/>
                <w:szCs w:val="20"/>
                <w:color w:val="auto"/>
              </w:rPr>
            </w:pPr>
            <w:r>
              <w:rPr>
                <w:rFonts w:ascii="Arial" w:cs="Arial" w:eastAsia="Arial" w:hAnsi="Arial"/>
                <w:sz w:val="14"/>
                <w:szCs w:val="14"/>
                <w:b w:val="1"/>
                <w:bCs w:val="1"/>
                <w:color w:val="auto"/>
                <w:w w:val="87"/>
              </w:rPr>
              <w:t>Unrealized</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3940" w:type="dxa"/>
            <w:vAlign w:val="bottom"/>
          </w:tcPr>
          <w:p>
            <w:pPr>
              <w:spacing w:after="0"/>
              <w:rPr>
                <w:sz w:val="14"/>
                <w:szCs w:val="14"/>
                <w:color w:val="auto"/>
              </w:rPr>
            </w:pPr>
          </w:p>
        </w:tc>
        <w:tc>
          <w:tcPr>
            <w:tcW w:w="1800" w:type="dxa"/>
            <w:vAlign w:val="bottom"/>
          </w:tcPr>
          <w:p>
            <w:pPr>
              <w:spacing w:after="0"/>
              <w:rPr>
                <w:sz w:val="14"/>
                <w:szCs w:val="14"/>
                <w:color w:val="auto"/>
              </w:rPr>
            </w:pPr>
          </w:p>
        </w:tc>
        <w:tc>
          <w:tcPr>
            <w:tcW w:w="800" w:type="dxa"/>
            <w:vAlign w:val="bottom"/>
            <w:gridSpan w:val="3"/>
          </w:tcPr>
          <w:p>
            <w:pPr>
              <w:spacing w:after="0"/>
              <w:rPr>
                <w:sz w:val="20"/>
                <w:szCs w:val="20"/>
                <w:color w:val="auto"/>
              </w:rPr>
            </w:pPr>
            <w:r>
              <w:rPr>
                <w:rFonts w:ascii="Arial" w:cs="Arial" w:eastAsia="Arial" w:hAnsi="Arial"/>
                <w:sz w:val="14"/>
                <w:szCs w:val="14"/>
                <w:b w:val="1"/>
                <w:bCs w:val="1"/>
                <w:color w:val="auto"/>
              </w:rPr>
              <w:t>Fair Value</w:t>
            </w: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gridSpan w:val="2"/>
          </w:tcPr>
          <w:p>
            <w:pPr>
              <w:ind w:left="20"/>
              <w:spacing w:after="0"/>
              <w:rPr>
                <w:sz w:val="20"/>
                <w:szCs w:val="20"/>
                <w:color w:val="auto"/>
              </w:rPr>
            </w:pPr>
            <w:r>
              <w:rPr>
                <w:rFonts w:ascii="Arial" w:cs="Arial" w:eastAsia="Arial" w:hAnsi="Arial"/>
                <w:sz w:val="14"/>
                <w:szCs w:val="14"/>
                <w:b w:val="1"/>
                <w:bCs w:val="1"/>
                <w:color w:val="auto"/>
              </w:rPr>
              <w:t>Losses</w:t>
            </w:r>
          </w:p>
        </w:tc>
        <w:tc>
          <w:tcPr>
            <w:tcW w:w="200" w:type="dxa"/>
            <w:vAlign w:val="bottom"/>
          </w:tcPr>
          <w:p>
            <w:pPr>
              <w:spacing w:after="0"/>
              <w:rPr>
                <w:sz w:val="14"/>
                <w:szCs w:val="14"/>
                <w:color w:val="auto"/>
              </w:rPr>
            </w:pPr>
          </w:p>
        </w:tc>
        <w:tc>
          <w:tcPr>
            <w:tcW w:w="800" w:type="dxa"/>
            <w:vAlign w:val="bottom"/>
            <w:gridSpan w:val="3"/>
          </w:tcPr>
          <w:p>
            <w:pPr>
              <w:spacing w:after="0"/>
              <w:rPr>
                <w:sz w:val="20"/>
                <w:szCs w:val="20"/>
                <w:color w:val="auto"/>
              </w:rPr>
            </w:pPr>
            <w:r>
              <w:rPr>
                <w:rFonts w:ascii="Arial" w:cs="Arial" w:eastAsia="Arial" w:hAnsi="Arial"/>
                <w:sz w:val="14"/>
                <w:szCs w:val="14"/>
                <w:b w:val="1"/>
                <w:bCs w:val="1"/>
                <w:color w:val="auto"/>
              </w:rPr>
              <w:t>Fair Value</w:t>
            </w: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gridSpan w:val="2"/>
          </w:tcPr>
          <w:p>
            <w:pPr>
              <w:ind w:left="20"/>
              <w:spacing w:after="0"/>
              <w:rPr>
                <w:sz w:val="20"/>
                <w:szCs w:val="20"/>
                <w:color w:val="auto"/>
              </w:rPr>
            </w:pPr>
            <w:r>
              <w:rPr>
                <w:rFonts w:ascii="Arial" w:cs="Arial" w:eastAsia="Arial" w:hAnsi="Arial"/>
                <w:sz w:val="14"/>
                <w:szCs w:val="14"/>
                <w:b w:val="1"/>
                <w:bCs w:val="1"/>
                <w:color w:val="auto"/>
              </w:rPr>
              <w:t>Losses</w:t>
            </w:r>
          </w:p>
        </w:tc>
        <w:tc>
          <w:tcPr>
            <w:tcW w:w="180" w:type="dxa"/>
            <w:vAlign w:val="bottom"/>
          </w:tcPr>
          <w:p>
            <w:pPr>
              <w:spacing w:after="0"/>
              <w:rPr>
                <w:sz w:val="14"/>
                <w:szCs w:val="14"/>
                <w:color w:val="auto"/>
              </w:rPr>
            </w:pPr>
          </w:p>
        </w:tc>
        <w:tc>
          <w:tcPr>
            <w:tcW w:w="640" w:type="dxa"/>
            <w:vAlign w:val="bottom"/>
            <w:gridSpan w:val="3"/>
          </w:tcPr>
          <w:p>
            <w:pPr>
              <w:spacing w:after="0"/>
              <w:rPr>
                <w:sz w:val="20"/>
                <w:szCs w:val="20"/>
                <w:color w:val="auto"/>
              </w:rPr>
            </w:pPr>
            <w:r>
              <w:rPr>
                <w:rFonts w:ascii="Arial" w:cs="Arial" w:eastAsia="Arial" w:hAnsi="Arial"/>
                <w:sz w:val="14"/>
                <w:szCs w:val="14"/>
                <w:b w:val="1"/>
                <w:bCs w:val="1"/>
                <w:color w:val="auto"/>
                <w:w w:val="92"/>
              </w:rPr>
              <w:t>Fair Value</w:t>
            </w:r>
          </w:p>
        </w:tc>
        <w:tc>
          <w:tcPr>
            <w:tcW w:w="3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40" w:type="dxa"/>
            <w:vAlign w:val="bottom"/>
            <w:gridSpan w:val="2"/>
          </w:tcPr>
          <w:p>
            <w:pPr>
              <w:ind w:left="20"/>
              <w:spacing w:after="0"/>
              <w:rPr>
                <w:sz w:val="20"/>
                <w:szCs w:val="20"/>
                <w:color w:val="auto"/>
              </w:rPr>
            </w:pPr>
            <w:r>
              <w:rPr>
                <w:rFonts w:ascii="Arial" w:cs="Arial" w:eastAsia="Arial" w:hAnsi="Arial"/>
                <w:sz w:val="14"/>
                <w:szCs w:val="14"/>
                <w:b w:val="1"/>
                <w:bCs w:val="1"/>
                <w:color w:val="auto"/>
              </w:rPr>
              <w:t>Losses</w:t>
            </w:r>
          </w:p>
        </w:tc>
        <w:tc>
          <w:tcPr>
            <w:tcW w:w="0" w:type="dxa"/>
            <w:vAlign w:val="bottom"/>
          </w:tcPr>
          <w:p>
            <w:pPr>
              <w:spacing w:after="0"/>
              <w:rPr>
                <w:sz w:val="1"/>
                <w:szCs w:val="1"/>
                <w:color w:val="auto"/>
              </w:rPr>
            </w:pPr>
          </w:p>
        </w:tc>
      </w:tr>
      <w:tr>
        <w:trPr>
          <w:trHeight w:val="20"/>
        </w:trPr>
        <w:tc>
          <w:tcPr>
            <w:tcW w:w="394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940" w:type="dxa"/>
            <w:vAlign w:val="bottom"/>
            <w:shd w:val="clear" w:color="auto" w:fill="CCEEFF"/>
          </w:tcPr>
          <w:p>
            <w:pPr>
              <w:spacing w:after="0"/>
              <w:rPr>
                <w:sz w:val="20"/>
                <w:szCs w:val="20"/>
                <w:color w:val="auto"/>
              </w:rPr>
            </w:pPr>
            <w:r>
              <w:rPr>
                <w:rFonts w:ascii="Arial" w:cs="Arial" w:eastAsia="Arial" w:hAnsi="Arial"/>
                <w:sz w:val="18"/>
                <w:szCs w:val="18"/>
                <w:color w:val="auto"/>
              </w:rPr>
              <w:t>Money market funds</w:t>
            </w:r>
          </w:p>
        </w:tc>
        <w:tc>
          <w:tcPr>
            <w:tcW w:w="1940" w:type="dxa"/>
            <w:vAlign w:val="bottom"/>
            <w:gridSpan w:val="2"/>
            <w:shd w:val="clear" w:color="auto" w:fill="CCEEFF"/>
          </w:tcPr>
          <w:p>
            <w:pPr>
              <w:ind w:left="1800"/>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33.3</w:t>
            </w:r>
          </w:p>
        </w:tc>
        <w:tc>
          <w:tcPr>
            <w:tcW w:w="30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w w:val="79"/>
              </w:rPr>
              <w:t>$</w:t>
            </w:r>
          </w:p>
        </w:tc>
        <w:tc>
          <w:tcPr>
            <w:tcW w:w="72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4.5</w:t>
            </w:r>
          </w:p>
        </w:tc>
        <w:tc>
          <w:tcPr>
            <w:tcW w:w="34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38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4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33.3</w:t>
            </w:r>
          </w:p>
        </w:tc>
        <w:tc>
          <w:tcPr>
            <w:tcW w:w="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3940" w:type="dxa"/>
            <w:vAlign w:val="bottom"/>
          </w:tcPr>
          <w:p>
            <w:pPr>
              <w:spacing w:after="0"/>
              <w:rPr>
                <w:sz w:val="20"/>
                <w:szCs w:val="20"/>
                <w:color w:val="auto"/>
              </w:rPr>
            </w:pPr>
            <w:r>
              <w:rPr>
                <w:rFonts w:ascii="Arial" w:cs="Arial" w:eastAsia="Arial" w:hAnsi="Arial"/>
                <w:sz w:val="18"/>
                <w:szCs w:val="18"/>
                <w:color w:val="auto"/>
              </w:rPr>
              <w:t>Taxable auction-rate securities</w:t>
            </w:r>
          </w:p>
        </w:tc>
        <w:tc>
          <w:tcPr>
            <w:tcW w:w="18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60" w:type="dxa"/>
            <w:vAlign w:val="bottom"/>
            <w:gridSpan w:val="2"/>
          </w:tcPr>
          <w:p>
            <w:pPr>
              <w:ind w:left="20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20" w:type="dxa"/>
            <w:vAlign w:val="bottom"/>
            <w:gridSpan w:val="2"/>
          </w:tcPr>
          <w:p>
            <w:pPr>
              <w:ind w:left="26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60" w:type="dxa"/>
            <w:vAlign w:val="bottom"/>
            <w:gridSpan w:val="2"/>
          </w:tcPr>
          <w:p>
            <w:pPr>
              <w:jc w:val="right"/>
              <w:ind w:right="200"/>
              <w:spacing w:after="0"/>
              <w:rPr>
                <w:sz w:val="20"/>
                <w:szCs w:val="20"/>
                <w:color w:val="auto"/>
              </w:rPr>
            </w:pPr>
            <w:r>
              <w:rPr>
                <w:rFonts w:ascii="Arial" w:cs="Arial" w:eastAsia="Arial" w:hAnsi="Arial"/>
                <w:sz w:val="18"/>
                <w:szCs w:val="18"/>
                <w:color w:val="auto"/>
              </w:rPr>
              <w:t>7.6</w:t>
            </w: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40" w:type="dxa"/>
            <w:vAlign w:val="bottom"/>
            <w:gridSpan w:val="2"/>
          </w:tcPr>
          <w:p>
            <w:pPr>
              <w:jc w:val="right"/>
              <w:ind w:right="200"/>
              <w:spacing w:after="0"/>
              <w:rPr>
                <w:sz w:val="20"/>
                <w:szCs w:val="20"/>
                <w:color w:val="auto"/>
              </w:rPr>
            </w:pPr>
            <w:r>
              <w:rPr>
                <w:rFonts w:ascii="Arial" w:cs="Arial" w:eastAsia="Arial" w:hAnsi="Arial"/>
                <w:sz w:val="18"/>
                <w:szCs w:val="18"/>
                <w:color w:val="auto"/>
              </w:rPr>
              <w:t>1.4</w:t>
            </w:r>
          </w:p>
        </w:tc>
        <w:tc>
          <w:tcPr>
            <w:tcW w:w="1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40" w:type="dxa"/>
            <w:vAlign w:val="bottom"/>
            <w:gridSpan w:val="2"/>
          </w:tcPr>
          <w:p>
            <w:pPr>
              <w:jc w:val="right"/>
              <w:ind w:right="20"/>
              <w:spacing w:after="0"/>
              <w:rPr>
                <w:sz w:val="20"/>
                <w:szCs w:val="20"/>
                <w:color w:val="auto"/>
              </w:rPr>
            </w:pPr>
            <w:r>
              <w:rPr>
                <w:rFonts w:ascii="Arial" w:cs="Arial" w:eastAsia="Arial" w:hAnsi="Arial"/>
                <w:sz w:val="18"/>
                <w:szCs w:val="18"/>
                <w:color w:val="auto"/>
              </w:rPr>
              <w:t>7.6</w:t>
            </w:r>
          </w:p>
        </w:tc>
        <w:tc>
          <w:tcPr>
            <w:tcW w:w="3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1.4</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28"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Derivative Financial Instruments</w:t>
      </w:r>
    </w:p>
    <w:p>
      <w:pPr>
        <w:spacing w:after="0" w:line="90" w:lineRule="exact"/>
        <w:rPr>
          <w:sz w:val="20"/>
          <w:szCs w:val="20"/>
          <w:color w:val="auto"/>
        </w:rPr>
      </w:pPr>
    </w:p>
    <w:p>
      <w:pPr>
        <w:ind w:right="100" w:firstLine="456"/>
        <w:spacing w:after="0" w:line="323" w:lineRule="auto"/>
        <w:rPr>
          <w:sz w:val="20"/>
          <w:szCs w:val="20"/>
          <w:color w:val="auto"/>
        </w:rPr>
      </w:pPr>
      <w:r>
        <w:rPr>
          <w:rFonts w:ascii="Arial" w:cs="Arial" w:eastAsia="Arial" w:hAnsi="Arial"/>
          <w:sz w:val="15"/>
          <w:szCs w:val="15"/>
          <w:color w:val="auto"/>
        </w:rPr>
        <w:t>Under its risk management strategy, Autodesk uses derivative instruments to manage its short-term exposures to fluctuations in foreign currency exchange rates which exist as part of ongoing international business operations. Autodesk’s general practice is to use two types of derivative instruments, option collar and forward contracts, to hedge a majority of transaction exposures denominated in euros, Japanese yen, Swiss francs, British pounds and Canadian dollars. These instruments have maturities between one to 12 months in the future. Autodesk does not enter into any derivative instruments for trading or speculative purposes.</w:t>
      </w:r>
    </w:p>
    <w:p>
      <w:pPr>
        <w:spacing w:after="0" w:line="173"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Cash Flow Hedges</w:t>
      </w:r>
    </w:p>
    <w:p>
      <w:pPr>
        <w:spacing w:after="0" w:line="96" w:lineRule="exact"/>
        <w:rPr>
          <w:sz w:val="20"/>
          <w:szCs w:val="20"/>
          <w:color w:val="auto"/>
        </w:rPr>
      </w:pPr>
    </w:p>
    <w:p>
      <w:pPr>
        <w:ind w:firstLine="456"/>
        <w:spacing w:after="0" w:line="287" w:lineRule="auto"/>
        <w:rPr>
          <w:sz w:val="20"/>
          <w:szCs w:val="20"/>
          <w:color w:val="auto"/>
        </w:rPr>
      </w:pPr>
      <w:r>
        <w:rPr>
          <w:rFonts w:ascii="Arial" w:cs="Arial" w:eastAsia="Arial" w:hAnsi="Arial"/>
          <w:sz w:val="16"/>
          <w:szCs w:val="16"/>
          <w:color w:val="auto"/>
        </w:rPr>
        <w:t>Autodesk utilizes purchased foreign currency option collar and forward contracts to reduce the exchange rate impact on a portion of the net revenue or operating expense of certain anticipated transactions. These option collar and forward contracts, which are designated and documented as cash flow hedges, qualify for special hedge accounting treatment. The effectiveness of the cash flow hedge contracts is assessed quarterly using regression analysis as well as other timing and probability criteria. For cash flow hedges designated for the quarter ended April 30, 2009, time value was excluded from the assessment of hedge effectiveness. Changes in the excluded time value component of hedges designated for the quarter ended April 30, 2009 were reported in “Interest and other income, net” in the Company’s Condensed Consolidated Statements of Operations. For cash flow hedges designated for periods after April 30, 2009, time value is included in the assessment of hedge effectiveness and changes in the time value of these derivatives are recorded in “Accumulated other comprehensive loss” in the Company’s Condensed Consolidated Balance Sheets. To receive special hedge accounting treatment, all hedging relationships are formally documented at the inception of the hedge and the hedges are expected to be highly effective in offsetting changes to future cash flows on hedged transactions. The gains and losses on these hedges</w:t>
      </w:r>
    </w:p>
    <w:p>
      <w:pPr>
        <w:spacing w:after="0" w:line="1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20"/>
          </w:cols>
          <w:pgMar w:left="240" w:top="459" w:right="239"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are included in “Accumulated other comprehensive loss” and are reclassified into earnings at the time the forecasted revenue or expense is recognized. In the event the underlying forecasted transaction does not occur, or it becomes probable that it will not occur, Autodesk reclassifies the gain or loss on the related cash flow hedge from “Accumulated other comprehensive loss” to “Interest and other income, net” in the Company’s Condensed Consolidated Financial Statements at that time.</w:t>
      </w:r>
    </w:p>
    <w:p>
      <w:pPr>
        <w:spacing w:after="0" w:line="143" w:lineRule="exact"/>
        <w:rPr>
          <w:sz w:val="20"/>
          <w:szCs w:val="20"/>
          <w:color w:val="auto"/>
        </w:rPr>
      </w:pPr>
    </w:p>
    <w:p>
      <w:pPr>
        <w:ind w:right="680" w:firstLine="456"/>
        <w:spacing w:after="0" w:line="268" w:lineRule="auto"/>
        <w:rPr>
          <w:sz w:val="20"/>
          <w:szCs w:val="20"/>
          <w:color w:val="auto"/>
        </w:rPr>
      </w:pPr>
      <w:r>
        <w:rPr>
          <w:rFonts w:ascii="Arial" w:cs="Arial" w:eastAsia="Arial" w:hAnsi="Arial"/>
          <w:sz w:val="18"/>
          <w:szCs w:val="18"/>
          <w:color w:val="auto"/>
        </w:rPr>
        <w:t>The notional amount of these contracts was $200.6 million at October 31, 2009 and $276.7 million at January 31, 2009. Outstanding contracts are recognized as either assets or liabilities on the balance sheet at fair value.</w:t>
      </w:r>
    </w:p>
    <w:p>
      <w:pPr>
        <w:spacing w:after="0" w:line="207"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Balance Sheet Hedges</w:t>
      </w:r>
    </w:p>
    <w:p>
      <w:pPr>
        <w:spacing w:after="0" w:line="96" w:lineRule="exact"/>
        <w:rPr>
          <w:sz w:val="20"/>
          <w:szCs w:val="20"/>
          <w:color w:val="auto"/>
        </w:rPr>
      </w:pPr>
    </w:p>
    <w:p>
      <w:pPr>
        <w:ind w:right="140" w:firstLine="456"/>
        <w:spacing w:after="0" w:line="254" w:lineRule="auto"/>
        <w:rPr>
          <w:sz w:val="20"/>
          <w:szCs w:val="20"/>
          <w:color w:val="auto"/>
        </w:rPr>
      </w:pPr>
      <w:r>
        <w:rPr>
          <w:rFonts w:ascii="Arial" w:cs="Arial" w:eastAsia="Arial" w:hAnsi="Arial"/>
          <w:sz w:val="18"/>
          <w:szCs w:val="18"/>
          <w:color w:val="auto"/>
        </w:rPr>
        <w:t>In addition to the cash flow hedges described above, forward contracts, which are not designated as hedging instruments, are used to reduce the exchange rate risk associated primarily with receivables and payables. Forward contracts are marked-to-market at the end of each fiscal quarter, with gains and losses recognized as other income or expense, net. These derivative instruments do not subject the Company to material balance sheet risk due to exchange rate movements because gains and losses on these derivative instruments are intended to offset the gains or losses resulting from the settlement of the underlying foreign currency denominated receivables and payables. The notional amounts of foreign currency contracts were $3.5 million at October 31, 2009 and $28.3 million at January 31, 2009.</w:t>
      </w:r>
    </w:p>
    <w:p>
      <w:pPr>
        <w:spacing w:after="0" w:line="144" w:lineRule="exact"/>
        <w:rPr>
          <w:sz w:val="20"/>
          <w:szCs w:val="20"/>
          <w:color w:val="auto"/>
        </w:rPr>
      </w:pPr>
    </w:p>
    <w:p>
      <w:pPr>
        <w:ind w:right="40" w:firstLine="456"/>
        <w:spacing w:after="0" w:line="256" w:lineRule="auto"/>
        <w:rPr>
          <w:sz w:val="20"/>
          <w:szCs w:val="20"/>
          <w:color w:val="auto"/>
        </w:rPr>
      </w:pPr>
      <w:r>
        <w:rPr>
          <w:rFonts w:ascii="Arial" w:cs="Arial" w:eastAsia="Arial" w:hAnsi="Arial"/>
          <w:sz w:val="18"/>
          <w:szCs w:val="18"/>
          <w:color w:val="auto"/>
        </w:rPr>
        <w:t>The bank counterparties in all contracts expose Autodesk to credit-related losses in the event of their nonperformance. However, to mitigate that risk, Autodesk only contracts with counterparties who meet the Company’s minimum requirements under its counterparty risk assessment process. Autodesk monitors ratings, credit spreads and potential downgrades on at least a quarterly basis. Based on Autodesk’s on-going assessment of counterparty risk, the Company will adjust its exposure to various counterparties.</w:t>
      </w:r>
    </w:p>
    <w:p>
      <w:pPr>
        <w:spacing w:after="0" w:line="143" w:lineRule="exact"/>
        <w:rPr>
          <w:sz w:val="20"/>
          <w:szCs w:val="20"/>
          <w:color w:val="auto"/>
        </w:rPr>
      </w:pPr>
    </w:p>
    <w:p>
      <w:pPr>
        <w:ind w:right="120" w:firstLine="456"/>
        <w:spacing w:after="0" w:line="268" w:lineRule="auto"/>
        <w:rPr>
          <w:sz w:val="20"/>
          <w:szCs w:val="20"/>
          <w:color w:val="auto"/>
        </w:rPr>
      </w:pPr>
      <w:r>
        <w:rPr>
          <w:rFonts w:ascii="Arial" w:cs="Arial" w:eastAsia="Arial" w:hAnsi="Arial"/>
          <w:sz w:val="18"/>
          <w:szCs w:val="18"/>
          <w:color w:val="auto"/>
        </w:rPr>
        <w:t>The effects of derivative instruments on Autodesk’s condensed consolidated financial statements were as follows as of October 31, 2009 and for the three and nine months then ended (amounts presented include any income tax effects):</w:t>
      </w:r>
    </w:p>
    <w:p>
      <w:pPr>
        <w:spacing w:after="0" w:line="207"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Fair Value of Derivative Instruments in Condensed Consolidated Balance Sheet as of October 31, 2009</w:t>
      </w:r>
    </w:p>
    <w:p>
      <w:pPr>
        <w:spacing w:after="0" w:line="213" w:lineRule="exact"/>
        <w:rPr>
          <w:sz w:val="20"/>
          <w:szCs w:val="20"/>
          <w:color w:val="auto"/>
        </w:rPr>
      </w:pPr>
    </w:p>
    <w:tbl>
      <w:tblPr>
        <w:tblLayout w:type="fixed"/>
        <w:tblInd w:w="460" w:type="dxa"/>
        <w:tblCellMar>
          <w:top w:w="0" w:type="dxa"/>
          <w:left w:w="0" w:type="dxa"/>
          <w:bottom w:w="0" w:type="dxa"/>
          <w:right w:w="0" w:type="dxa"/>
        </w:tblCellMar>
      </w:tblPr>
      <w:tr>
        <w:trPr>
          <w:trHeight w:val="175"/>
        </w:trPr>
        <w:tc>
          <w:tcPr>
            <w:tcW w:w="4640" w:type="dxa"/>
            <w:vAlign w:val="bottom"/>
          </w:tcPr>
          <w:p>
            <w:pPr>
              <w:spacing w:after="0"/>
              <w:rPr>
                <w:sz w:val="15"/>
                <w:szCs w:val="15"/>
                <w:color w:val="auto"/>
              </w:rPr>
            </w:pPr>
          </w:p>
        </w:tc>
        <w:tc>
          <w:tcPr>
            <w:tcW w:w="2220" w:type="dxa"/>
            <w:vAlign w:val="bottom"/>
          </w:tcPr>
          <w:p>
            <w:pPr>
              <w:spacing w:after="0"/>
              <w:rPr>
                <w:sz w:val="15"/>
                <w:szCs w:val="15"/>
                <w:color w:val="auto"/>
              </w:rPr>
            </w:pPr>
          </w:p>
        </w:tc>
        <w:tc>
          <w:tcPr>
            <w:tcW w:w="1720" w:type="dxa"/>
            <w:vAlign w:val="bottom"/>
            <w:tcBorders>
              <w:bottom w:val="single" w:sz="8" w:color="auto"/>
            </w:tcBorders>
            <w:gridSpan w:val="3"/>
          </w:tcPr>
          <w:p>
            <w:pPr>
              <w:ind w:left="360"/>
              <w:spacing w:after="0"/>
              <w:rPr>
                <w:sz w:val="20"/>
                <w:szCs w:val="20"/>
                <w:color w:val="auto"/>
              </w:rPr>
            </w:pPr>
            <w:r>
              <w:rPr>
                <w:rFonts w:ascii="Arial" w:cs="Arial" w:eastAsia="Arial" w:hAnsi="Arial"/>
                <w:sz w:val="14"/>
                <w:szCs w:val="14"/>
                <w:b w:val="1"/>
                <w:bCs w:val="1"/>
                <w:color w:val="auto"/>
              </w:rPr>
              <w:t>Derivative Assets</w:t>
            </w:r>
          </w:p>
        </w:tc>
        <w:tc>
          <w:tcPr>
            <w:tcW w:w="320" w:type="dxa"/>
            <w:vAlign w:val="bottom"/>
          </w:tcPr>
          <w:p>
            <w:pPr>
              <w:spacing w:after="0"/>
              <w:rPr>
                <w:sz w:val="15"/>
                <w:szCs w:val="15"/>
                <w:color w:val="auto"/>
              </w:rPr>
            </w:pPr>
          </w:p>
        </w:tc>
        <w:tc>
          <w:tcPr>
            <w:tcW w:w="1600" w:type="dxa"/>
            <w:vAlign w:val="bottom"/>
            <w:tcBorders>
              <w:bottom w:val="single" w:sz="8" w:color="auto"/>
            </w:tcBorders>
            <w:gridSpan w:val="3"/>
          </w:tcPr>
          <w:p>
            <w:pPr>
              <w:ind w:left="200"/>
              <w:spacing w:after="0"/>
              <w:rPr>
                <w:sz w:val="20"/>
                <w:szCs w:val="20"/>
                <w:color w:val="auto"/>
              </w:rPr>
            </w:pPr>
            <w:r>
              <w:rPr>
                <w:rFonts w:ascii="Arial" w:cs="Arial" w:eastAsia="Arial" w:hAnsi="Arial"/>
                <w:sz w:val="14"/>
                <w:szCs w:val="14"/>
                <w:b w:val="1"/>
                <w:bCs w:val="1"/>
                <w:color w:val="auto"/>
              </w:rPr>
              <w:t>Derivative Liabilities</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0"/>
        </w:trPr>
        <w:tc>
          <w:tcPr>
            <w:tcW w:w="4640" w:type="dxa"/>
            <w:vAlign w:val="bottom"/>
          </w:tcPr>
          <w:p>
            <w:pPr>
              <w:spacing w:after="0"/>
              <w:rPr>
                <w:sz w:val="11"/>
                <w:szCs w:val="11"/>
                <w:color w:val="auto"/>
              </w:rPr>
            </w:pPr>
          </w:p>
        </w:tc>
        <w:tc>
          <w:tcPr>
            <w:tcW w:w="2220" w:type="dxa"/>
            <w:vAlign w:val="bottom"/>
          </w:tcPr>
          <w:p>
            <w:pPr>
              <w:spacing w:after="0"/>
              <w:rPr>
                <w:sz w:val="11"/>
                <w:szCs w:val="11"/>
                <w:color w:val="auto"/>
              </w:rPr>
            </w:pPr>
          </w:p>
        </w:tc>
        <w:tc>
          <w:tcPr>
            <w:tcW w:w="1040" w:type="dxa"/>
            <w:vAlign w:val="bottom"/>
          </w:tcPr>
          <w:p>
            <w:pPr>
              <w:jc w:val="center"/>
              <w:spacing w:after="0" w:line="130" w:lineRule="exact"/>
              <w:rPr>
                <w:sz w:val="20"/>
                <w:szCs w:val="20"/>
                <w:color w:val="auto"/>
              </w:rPr>
            </w:pPr>
            <w:r>
              <w:rPr>
                <w:rFonts w:ascii="Arial" w:cs="Arial" w:eastAsia="Arial" w:hAnsi="Arial"/>
                <w:sz w:val="14"/>
                <w:szCs w:val="14"/>
                <w:b w:val="1"/>
                <w:bCs w:val="1"/>
                <w:color w:val="auto"/>
                <w:w w:val="85"/>
              </w:rPr>
              <w:t>Balance Sheet</w:t>
            </w:r>
          </w:p>
        </w:tc>
        <w:tc>
          <w:tcPr>
            <w:tcW w:w="320" w:type="dxa"/>
            <w:vAlign w:val="bottom"/>
          </w:tcPr>
          <w:p>
            <w:pPr>
              <w:spacing w:after="0"/>
              <w:rPr>
                <w:sz w:val="11"/>
                <w:szCs w:val="11"/>
                <w:color w:val="auto"/>
              </w:rPr>
            </w:pPr>
          </w:p>
        </w:tc>
        <w:tc>
          <w:tcPr>
            <w:tcW w:w="360" w:type="dxa"/>
            <w:vAlign w:val="bottom"/>
          </w:tcPr>
          <w:p>
            <w:pPr>
              <w:jc w:val="center"/>
              <w:spacing w:after="0" w:line="130" w:lineRule="exact"/>
              <w:rPr>
                <w:sz w:val="20"/>
                <w:szCs w:val="20"/>
                <w:color w:val="auto"/>
              </w:rPr>
            </w:pPr>
            <w:r>
              <w:rPr>
                <w:rFonts w:ascii="Arial" w:cs="Arial" w:eastAsia="Arial" w:hAnsi="Arial"/>
                <w:sz w:val="14"/>
                <w:szCs w:val="14"/>
                <w:b w:val="1"/>
                <w:bCs w:val="1"/>
                <w:color w:val="auto"/>
                <w:w w:val="93"/>
              </w:rPr>
              <w:t>Fair</w:t>
            </w:r>
          </w:p>
        </w:tc>
        <w:tc>
          <w:tcPr>
            <w:tcW w:w="320" w:type="dxa"/>
            <w:vAlign w:val="bottom"/>
          </w:tcPr>
          <w:p>
            <w:pPr>
              <w:spacing w:after="0"/>
              <w:rPr>
                <w:sz w:val="11"/>
                <w:szCs w:val="11"/>
                <w:color w:val="auto"/>
              </w:rPr>
            </w:pPr>
          </w:p>
        </w:tc>
        <w:tc>
          <w:tcPr>
            <w:tcW w:w="920" w:type="dxa"/>
            <w:vAlign w:val="bottom"/>
          </w:tcPr>
          <w:p>
            <w:pPr>
              <w:ind w:left="60"/>
              <w:spacing w:after="0" w:line="130" w:lineRule="exact"/>
              <w:rPr>
                <w:sz w:val="20"/>
                <w:szCs w:val="20"/>
                <w:color w:val="auto"/>
              </w:rPr>
            </w:pPr>
            <w:r>
              <w:rPr>
                <w:rFonts w:ascii="Arial" w:cs="Arial" w:eastAsia="Arial" w:hAnsi="Arial"/>
                <w:sz w:val="14"/>
                <w:szCs w:val="14"/>
                <w:b w:val="1"/>
                <w:bCs w:val="1"/>
                <w:color w:val="auto"/>
                <w:w w:val="87"/>
              </w:rPr>
              <w:t>Balance Sheet</w:t>
            </w:r>
          </w:p>
        </w:tc>
        <w:tc>
          <w:tcPr>
            <w:tcW w:w="320" w:type="dxa"/>
            <w:vAlign w:val="bottom"/>
          </w:tcPr>
          <w:p>
            <w:pPr>
              <w:spacing w:after="0"/>
              <w:rPr>
                <w:sz w:val="11"/>
                <w:szCs w:val="11"/>
                <w:color w:val="auto"/>
              </w:rPr>
            </w:pPr>
          </w:p>
        </w:tc>
        <w:tc>
          <w:tcPr>
            <w:tcW w:w="380" w:type="dxa"/>
            <w:vAlign w:val="bottom"/>
            <w:gridSpan w:val="2"/>
          </w:tcPr>
          <w:p>
            <w:pPr>
              <w:jc w:val="center"/>
              <w:ind w:right="20"/>
              <w:spacing w:after="0" w:line="130" w:lineRule="exact"/>
              <w:rPr>
                <w:sz w:val="20"/>
                <w:szCs w:val="20"/>
                <w:color w:val="auto"/>
              </w:rPr>
            </w:pPr>
            <w:r>
              <w:rPr>
                <w:rFonts w:ascii="Arial" w:cs="Arial" w:eastAsia="Arial" w:hAnsi="Arial"/>
                <w:sz w:val="14"/>
                <w:szCs w:val="14"/>
                <w:b w:val="1"/>
                <w:bCs w:val="1"/>
                <w:color w:val="auto"/>
                <w:w w:val="93"/>
              </w:rPr>
              <w:t>Fair</w:t>
            </w:r>
          </w:p>
        </w:tc>
        <w:tc>
          <w:tcPr>
            <w:tcW w:w="0" w:type="dxa"/>
            <w:vAlign w:val="bottom"/>
          </w:tcPr>
          <w:p>
            <w:pPr>
              <w:spacing w:after="0"/>
              <w:rPr>
                <w:sz w:val="1"/>
                <w:szCs w:val="1"/>
                <w:color w:val="auto"/>
              </w:rPr>
            </w:pPr>
          </w:p>
        </w:tc>
      </w:tr>
      <w:tr>
        <w:trPr>
          <w:trHeight w:val="175"/>
        </w:trPr>
        <w:tc>
          <w:tcPr>
            <w:tcW w:w="4640" w:type="dxa"/>
            <w:vAlign w:val="bottom"/>
          </w:tcPr>
          <w:p>
            <w:pPr>
              <w:spacing w:after="0"/>
              <w:rPr>
                <w:sz w:val="15"/>
                <w:szCs w:val="15"/>
                <w:color w:val="auto"/>
              </w:rPr>
            </w:pPr>
          </w:p>
        </w:tc>
        <w:tc>
          <w:tcPr>
            <w:tcW w:w="2220" w:type="dxa"/>
            <w:vAlign w:val="bottom"/>
          </w:tcPr>
          <w:p>
            <w:pPr>
              <w:spacing w:after="0"/>
              <w:rPr>
                <w:sz w:val="15"/>
                <w:szCs w:val="15"/>
                <w:color w:val="auto"/>
              </w:rPr>
            </w:pPr>
          </w:p>
        </w:tc>
        <w:tc>
          <w:tcPr>
            <w:tcW w:w="10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5"/>
              </w:rPr>
              <w:t>Location</w:t>
            </w:r>
          </w:p>
        </w:tc>
        <w:tc>
          <w:tcPr>
            <w:tcW w:w="320" w:type="dxa"/>
            <w:vAlign w:val="bottom"/>
          </w:tcPr>
          <w:p>
            <w:pPr>
              <w:spacing w:after="0"/>
              <w:rPr>
                <w:sz w:val="15"/>
                <w:szCs w:val="15"/>
                <w:color w:val="auto"/>
              </w:rPr>
            </w:pPr>
          </w:p>
        </w:tc>
        <w:tc>
          <w:tcPr>
            <w:tcW w:w="3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5"/>
              </w:rPr>
              <w:t>Value</w:t>
            </w:r>
          </w:p>
        </w:tc>
        <w:tc>
          <w:tcPr>
            <w:tcW w:w="320" w:type="dxa"/>
            <w:vAlign w:val="bottom"/>
          </w:tcPr>
          <w:p>
            <w:pPr>
              <w:spacing w:after="0"/>
              <w:rPr>
                <w:sz w:val="15"/>
                <w:szCs w:val="15"/>
                <w:color w:val="auto"/>
              </w:rPr>
            </w:pPr>
          </w:p>
        </w:tc>
        <w:tc>
          <w:tcPr>
            <w:tcW w:w="920" w:type="dxa"/>
            <w:vAlign w:val="bottom"/>
            <w:tcBorders>
              <w:bottom w:val="single" w:sz="8" w:color="auto"/>
            </w:tcBorders>
          </w:tcPr>
          <w:p>
            <w:pPr>
              <w:ind w:left="200"/>
              <w:spacing w:after="0"/>
              <w:rPr>
                <w:sz w:val="20"/>
                <w:szCs w:val="20"/>
                <w:color w:val="auto"/>
              </w:rPr>
            </w:pPr>
            <w:r>
              <w:rPr>
                <w:rFonts w:ascii="Arial" w:cs="Arial" w:eastAsia="Arial" w:hAnsi="Arial"/>
                <w:sz w:val="14"/>
                <w:szCs w:val="14"/>
                <w:b w:val="1"/>
                <w:bCs w:val="1"/>
                <w:color w:val="auto"/>
              </w:rPr>
              <w:t>Location</w:t>
            </w:r>
          </w:p>
        </w:tc>
        <w:tc>
          <w:tcPr>
            <w:tcW w:w="320" w:type="dxa"/>
            <w:vAlign w:val="bottom"/>
          </w:tcPr>
          <w:p>
            <w:pPr>
              <w:spacing w:after="0"/>
              <w:rPr>
                <w:sz w:val="15"/>
                <w:szCs w:val="15"/>
                <w:color w:val="auto"/>
              </w:rPr>
            </w:pPr>
          </w:p>
        </w:tc>
        <w:tc>
          <w:tcPr>
            <w:tcW w:w="3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5"/>
              </w:rPr>
              <w:t>Value</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1"/>
        </w:trPr>
        <w:tc>
          <w:tcPr>
            <w:tcW w:w="464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7"/>
              </w:rPr>
              <w:t>Foreign currency contracts designated as cash flow hedges</w:t>
            </w:r>
          </w:p>
        </w:tc>
        <w:tc>
          <w:tcPr>
            <w:tcW w:w="3260" w:type="dxa"/>
            <w:vAlign w:val="bottom"/>
            <w:gridSpan w:val="2"/>
            <w:shd w:val="clear" w:color="auto" w:fill="CCEEFF"/>
          </w:tcPr>
          <w:p>
            <w:pPr>
              <w:ind w:left="2220"/>
              <w:spacing w:after="0" w:line="201" w:lineRule="exact"/>
              <w:rPr>
                <w:sz w:val="20"/>
                <w:szCs w:val="20"/>
                <w:color w:val="auto"/>
              </w:rPr>
            </w:pPr>
            <w:r>
              <w:rPr>
                <w:rFonts w:ascii="Arial" w:cs="Arial" w:eastAsia="Arial" w:hAnsi="Arial"/>
                <w:sz w:val="18"/>
                <w:szCs w:val="18"/>
                <w:color w:val="auto"/>
              </w:rPr>
              <w:t>Prepaid</w:t>
            </w:r>
          </w:p>
        </w:tc>
        <w:tc>
          <w:tcPr>
            <w:tcW w:w="680" w:type="dxa"/>
            <w:vAlign w:val="bottom"/>
            <w:gridSpan w:val="2"/>
            <w:shd w:val="clear" w:color="auto" w:fill="CCEEFF"/>
          </w:tcPr>
          <w:p>
            <w:pPr>
              <w:jc w:val="center"/>
              <w:ind w:left="232"/>
              <w:spacing w:after="0" w:line="201" w:lineRule="exact"/>
              <w:rPr>
                <w:sz w:val="20"/>
                <w:szCs w:val="20"/>
                <w:color w:val="auto"/>
              </w:rPr>
            </w:pPr>
            <w:r>
              <w:rPr>
                <w:rFonts w:ascii="Arial" w:cs="Arial" w:eastAsia="Arial" w:hAnsi="Arial"/>
                <w:sz w:val="18"/>
                <w:szCs w:val="18"/>
                <w:color w:val="auto"/>
                <w:w w:val="89"/>
              </w:rPr>
              <w:t>$ 0.9</w:t>
            </w:r>
          </w:p>
        </w:tc>
        <w:tc>
          <w:tcPr>
            <w:tcW w:w="1240" w:type="dxa"/>
            <w:vAlign w:val="bottom"/>
            <w:gridSpan w:val="2"/>
            <w:shd w:val="clear" w:color="auto" w:fill="CCEEFF"/>
          </w:tcPr>
          <w:p>
            <w:pPr>
              <w:ind w:left="320"/>
              <w:spacing w:after="0" w:line="201" w:lineRule="exact"/>
              <w:rPr>
                <w:sz w:val="20"/>
                <w:szCs w:val="20"/>
                <w:color w:val="auto"/>
              </w:rPr>
            </w:pPr>
            <w:r>
              <w:rPr>
                <w:rFonts w:ascii="Arial" w:cs="Arial" w:eastAsia="Arial" w:hAnsi="Arial"/>
                <w:sz w:val="18"/>
                <w:szCs w:val="18"/>
                <w:color w:val="auto"/>
              </w:rPr>
              <w:t>Other</w:t>
            </w:r>
          </w:p>
        </w:tc>
        <w:tc>
          <w:tcPr>
            <w:tcW w:w="680" w:type="dxa"/>
            <w:vAlign w:val="bottom"/>
            <w:gridSpan w:val="2"/>
            <w:shd w:val="clear" w:color="auto" w:fill="CCEEFF"/>
          </w:tcPr>
          <w:p>
            <w:pPr>
              <w:jc w:val="center"/>
              <w:ind w:left="232"/>
              <w:spacing w:after="0" w:line="201" w:lineRule="exact"/>
              <w:rPr>
                <w:sz w:val="20"/>
                <w:szCs w:val="20"/>
                <w:color w:val="auto"/>
              </w:rPr>
            </w:pPr>
            <w:r>
              <w:rPr>
                <w:rFonts w:ascii="Arial" w:cs="Arial" w:eastAsia="Arial" w:hAnsi="Arial"/>
                <w:sz w:val="18"/>
                <w:szCs w:val="18"/>
                <w:color w:val="auto"/>
                <w:w w:val="89"/>
              </w:rPr>
              <w:t>$ 1.5</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640" w:type="dxa"/>
            <w:vAlign w:val="bottom"/>
            <w:shd w:val="clear" w:color="auto" w:fill="CCEEFF"/>
          </w:tcPr>
          <w:p>
            <w:pPr>
              <w:spacing w:after="0"/>
              <w:rPr>
                <w:sz w:val="18"/>
                <w:szCs w:val="18"/>
                <w:color w:val="auto"/>
              </w:rPr>
            </w:pPr>
          </w:p>
        </w:tc>
        <w:tc>
          <w:tcPr>
            <w:tcW w:w="3260" w:type="dxa"/>
            <w:vAlign w:val="bottom"/>
            <w:gridSpan w:val="2"/>
            <w:shd w:val="clear" w:color="auto" w:fill="CCEEFF"/>
          </w:tcPr>
          <w:p>
            <w:pPr>
              <w:ind w:left="2220"/>
              <w:spacing w:after="0"/>
              <w:rPr>
                <w:sz w:val="20"/>
                <w:szCs w:val="20"/>
                <w:color w:val="auto"/>
              </w:rPr>
            </w:pPr>
            <w:r>
              <w:rPr>
                <w:rFonts w:ascii="Arial" w:cs="Arial" w:eastAsia="Arial" w:hAnsi="Arial"/>
                <w:sz w:val="18"/>
                <w:szCs w:val="18"/>
                <w:color w:val="auto"/>
                <w:w w:val="90"/>
              </w:rPr>
              <w:t>expenses and</w:t>
            </w:r>
          </w:p>
        </w:tc>
        <w:tc>
          <w:tcPr>
            <w:tcW w:w="3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accrued</w:t>
            </w:r>
          </w:p>
        </w:tc>
        <w:tc>
          <w:tcPr>
            <w:tcW w:w="3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40" w:type="dxa"/>
            <w:vAlign w:val="bottom"/>
            <w:shd w:val="clear" w:color="auto" w:fill="CCEEFF"/>
          </w:tcPr>
          <w:p>
            <w:pPr>
              <w:spacing w:after="0"/>
              <w:rPr>
                <w:sz w:val="18"/>
                <w:szCs w:val="18"/>
                <w:color w:val="auto"/>
              </w:rPr>
            </w:pPr>
          </w:p>
        </w:tc>
        <w:tc>
          <w:tcPr>
            <w:tcW w:w="3260" w:type="dxa"/>
            <w:vAlign w:val="bottom"/>
            <w:gridSpan w:val="2"/>
            <w:shd w:val="clear" w:color="auto" w:fill="CCEEFF"/>
          </w:tcPr>
          <w:p>
            <w:pPr>
              <w:ind w:left="2220"/>
              <w:spacing w:after="0"/>
              <w:rPr>
                <w:sz w:val="20"/>
                <w:szCs w:val="20"/>
                <w:color w:val="auto"/>
              </w:rPr>
            </w:pPr>
            <w:r>
              <w:rPr>
                <w:rFonts w:ascii="Arial" w:cs="Arial" w:eastAsia="Arial" w:hAnsi="Arial"/>
                <w:sz w:val="18"/>
                <w:szCs w:val="18"/>
                <w:color w:val="auto"/>
                <w:w w:val="99"/>
              </w:rPr>
              <w:t>other current</w:t>
            </w:r>
          </w:p>
        </w:tc>
        <w:tc>
          <w:tcPr>
            <w:tcW w:w="3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liabilities</w:t>
            </w:r>
          </w:p>
        </w:tc>
        <w:tc>
          <w:tcPr>
            <w:tcW w:w="3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4640" w:type="dxa"/>
            <w:vAlign w:val="bottom"/>
            <w:shd w:val="clear" w:color="auto" w:fill="CCEEFF"/>
          </w:tcPr>
          <w:p>
            <w:pPr>
              <w:spacing w:after="0"/>
              <w:rPr>
                <w:sz w:val="19"/>
                <w:szCs w:val="19"/>
                <w:color w:val="auto"/>
              </w:rPr>
            </w:pPr>
          </w:p>
        </w:tc>
        <w:tc>
          <w:tcPr>
            <w:tcW w:w="3260" w:type="dxa"/>
            <w:vAlign w:val="bottom"/>
            <w:gridSpan w:val="2"/>
            <w:shd w:val="clear" w:color="auto" w:fill="CCEEFF"/>
          </w:tcPr>
          <w:p>
            <w:pPr>
              <w:ind w:left="2220"/>
              <w:spacing w:after="0"/>
              <w:rPr>
                <w:sz w:val="20"/>
                <w:szCs w:val="20"/>
                <w:color w:val="auto"/>
              </w:rPr>
            </w:pPr>
            <w:r>
              <w:rPr>
                <w:rFonts w:ascii="Arial" w:cs="Arial" w:eastAsia="Arial" w:hAnsi="Arial"/>
                <w:sz w:val="18"/>
                <w:szCs w:val="18"/>
                <w:color w:val="auto"/>
              </w:rPr>
              <w:t>assets</w:t>
            </w:r>
          </w:p>
        </w:tc>
        <w:tc>
          <w:tcPr>
            <w:tcW w:w="3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640" w:type="dxa"/>
            <w:vAlign w:val="bottom"/>
          </w:tcPr>
          <w:p>
            <w:pPr>
              <w:spacing w:after="0"/>
              <w:rPr>
                <w:sz w:val="20"/>
                <w:szCs w:val="20"/>
                <w:color w:val="auto"/>
              </w:rPr>
            </w:pPr>
            <w:r>
              <w:rPr>
                <w:rFonts w:ascii="Arial" w:cs="Arial" w:eastAsia="Arial" w:hAnsi="Arial"/>
                <w:sz w:val="18"/>
                <w:szCs w:val="18"/>
                <w:color w:val="auto"/>
              </w:rPr>
              <w:t>Derivatives not designated as hedging instruments</w:t>
            </w:r>
          </w:p>
        </w:tc>
        <w:tc>
          <w:tcPr>
            <w:tcW w:w="22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36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9"/>
              </w:rPr>
              <w:t>—</w:t>
            </w:r>
          </w:p>
        </w:tc>
        <w:tc>
          <w:tcPr>
            <w:tcW w:w="3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36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9"/>
              </w:rPr>
              <w:t>—</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6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Total derivatives</w:t>
            </w:r>
          </w:p>
        </w:tc>
        <w:tc>
          <w:tcPr>
            <w:tcW w:w="22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center"/>
              <w:ind w:left="232"/>
              <w:spacing w:after="0"/>
              <w:rPr>
                <w:sz w:val="20"/>
                <w:szCs w:val="20"/>
                <w:color w:val="auto"/>
              </w:rPr>
            </w:pPr>
            <w:r>
              <w:rPr>
                <w:rFonts w:ascii="Arial" w:cs="Arial" w:eastAsia="Arial" w:hAnsi="Arial"/>
                <w:sz w:val="18"/>
                <w:szCs w:val="18"/>
                <w:color w:val="auto"/>
                <w:w w:val="89"/>
              </w:rPr>
              <w:t>$ 0.9</w:t>
            </w:r>
          </w:p>
        </w:tc>
        <w:tc>
          <w:tcPr>
            <w:tcW w:w="3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center"/>
              <w:ind w:left="232"/>
              <w:spacing w:after="0"/>
              <w:rPr>
                <w:sz w:val="20"/>
                <w:szCs w:val="20"/>
                <w:color w:val="auto"/>
              </w:rPr>
            </w:pPr>
            <w:r>
              <w:rPr>
                <w:rFonts w:ascii="Arial" w:cs="Arial" w:eastAsia="Arial" w:hAnsi="Arial"/>
                <w:sz w:val="18"/>
                <w:szCs w:val="18"/>
                <w:color w:val="auto"/>
                <w:w w:val="89"/>
              </w:rPr>
              <w:t>$ 1.5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640" w:type="dxa"/>
            <w:vAlign w:val="bottom"/>
          </w:tcPr>
          <w:p>
            <w:pPr>
              <w:spacing w:after="0" w:line="20" w:lineRule="exact"/>
              <w:rPr>
                <w:sz w:val="1"/>
                <w:szCs w:val="1"/>
                <w:color w:val="auto"/>
              </w:rPr>
            </w:pPr>
          </w:p>
        </w:tc>
        <w:tc>
          <w:tcPr>
            <w:tcW w:w="2220" w:type="dxa"/>
            <w:vAlign w:val="bottom"/>
            <w:vMerge w:val="restart"/>
          </w:tcPr>
          <w:p>
            <w:pPr>
              <w:jc w:val="right"/>
              <w:ind w:right="1432"/>
              <w:spacing w:after="0"/>
              <w:rPr>
                <w:sz w:val="20"/>
                <w:szCs w:val="20"/>
                <w:color w:val="auto"/>
              </w:rPr>
            </w:pPr>
            <w:r>
              <w:rPr>
                <w:rFonts w:ascii="Arial" w:cs="Arial" w:eastAsia="Arial" w:hAnsi="Arial"/>
                <w:sz w:val="18"/>
                <w:szCs w:val="18"/>
                <w:color w:val="auto"/>
              </w:rPr>
              <w:t>10</w:t>
            </w:r>
          </w:p>
        </w:tc>
        <w:tc>
          <w:tcPr>
            <w:tcW w:w="10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7"/>
        </w:trPr>
        <w:tc>
          <w:tcPr>
            <w:tcW w:w="4640" w:type="dxa"/>
            <w:vAlign w:val="bottom"/>
          </w:tcPr>
          <w:p>
            <w:pPr>
              <w:spacing w:after="0"/>
              <w:rPr>
                <w:sz w:val="24"/>
                <w:szCs w:val="24"/>
                <w:color w:val="auto"/>
              </w:rPr>
            </w:pPr>
          </w:p>
        </w:tc>
        <w:tc>
          <w:tcPr>
            <w:tcW w:w="2220" w:type="dxa"/>
            <w:vAlign w:val="bottom"/>
            <w:vMerge w:val="continue"/>
          </w:tcPr>
          <w:p>
            <w:pPr>
              <w:spacing w:after="0"/>
              <w:rPr>
                <w:sz w:val="24"/>
                <w:szCs w:val="24"/>
                <w:color w:val="auto"/>
              </w:rPr>
            </w:pPr>
          </w:p>
        </w:tc>
        <w:tc>
          <w:tcPr>
            <w:tcW w:w="10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380"/>
          </w:cols>
          <w:pgMar w:left="240" w:top="459" w:right="279"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60"/>
        <w:spacing w:after="0"/>
        <w:rPr>
          <w:sz w:val="20"/>
          <w:szCs w:val="20"/>
          <w:color w:val="auto"/>
        </w:rPr>
      </w:pPr>
      <w:r>
        <w:rPr>
          <w:rFonts w:ascii="Arial" w:cs="Arial" w:eastAsia="Arial" w:hAnsi="Arial"/>
          <w:sz w:val="16"/>
          <w:szCs w:val="16"/>
          <w:b w:val="1"/>
          <w:bCs w:val="1"/>
          <w:color w:val="auto"/>
        </w:rPr>
        <w:t>Effects of Derivative Instruments on Income and Other Comprehensive Income (OCI) Derivatives Designated as Hedging Instruments</w:t>
      </w:r>
    </w:p>
    <w:p>
      <w:pPr>
        <w:spacing w:after="0" w:line="224"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1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87"/>
              </w:rPr>
              <w:t>Amount of Gain</w:t>
            </w:r>
          </w:p>
        </w:tc>
        <w:tc>
          <w:tcPr>
            <w:tcW w:w="2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200" w:type="dxa"/>
            <w:vAlign w:val="bottom"/>
            <w:gridSpan w:val="3"/>
          </w:tcPr>
          <w:p>
            <w:pPr>
              <w:jc w:val="center"/>
              <w:spacing w:after="0"/>
              <w:rPr>
                <w:sz w:val="20"/>
                <w:szCs w:val="20"/>
                <w:color w:val="auto"/>
              </w:rPr>
            </w:pPr>
            <w:r>
              <w:rPr>
                <w:rFonts w:ascii="Arial" w:cs="Arial" w:eastAsia="Arial" w:hAnsi="Arial"/>
                <w:sz w:val="14"/>
                <w:szCs w:val="14"/>
                <w:b w:val="1"/>
                <w:bCs w:val="1"/>
                <w:color w:val="auto"/>
                <w:w w:val="87"/>
              </w:rPr>
              <w:t>Amount and Location of Gain</w:t>
            </w:r>
          </w:p>
        </w:tc>
      </w:tr>
      <w:tr>
        <w:trPr>
          <w:trHeight w:val="149"/>
        </w:trPr>
        <w:tc>
          <w:tcPr>
            <w:tcW w:w="20" w:type="dxa"/>
            <w:vAlign w:val="bottom"/>
          </w:tcPr>
          <w:p>
            <w:pPr>
              <w:spacing w:after="0"/>
              <w:rPr>
                <w:sz w:val="12"/>
                <w:szCs w:val="12"/>
                <w:color w:val="auto"/>
              </w:rPr>
            </w:pPr>
          </w:p>
        </w:tc>
        <w:tc>
          <w:tcPr>
            <w:tcW w:w="31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520" w:type="dxa"/>
            <w:vAlign w:val="bottom"/>
            <w:gridSpan w:val="3"/>
          </w:tcPr>
          <w:p>
            <w:pPr>
              <w:jc w:val="center"/>
              <w:ind w:right="280"/>
              <w:spacing w:after="0" w:line="149" w:lineRule="exact"/>
              <w:rPr>
                <w:sz w:val="20"/>
                <w:szCs w:val="20"/>
                <w:color w:val="auto"/>
              </w:rPr>
            </w:pPr>
            <w:r>
              <w:rPr>
                <w:rFonts w:ascii="Arial" w:cs="Arial" w:eastAsia="Arial" w:hAnsi="Arial"/>
                <w:sz w:val="14"/>
                <w:szCs w:val="14"/>
                <w:b w:val="1"/>
                <w:bCs w:val="1"/>
                <w:color w:val="auto"/>
                <w:w w:val="85"/>
              </w:rPr>
              <w:t>(Loss) Recognized in</w:t>
            </w:r>
          </w:p>
        </w:tc>
        <w:tc>
          <w:tcPr>
            <w:tcW w:w="2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140" w:type="dxa"/>
            <w:vAlign w:val="bottom"/>
            <w:gridSpan w:val="2"/>
          </w:tcPr>
          <w:p>
            <w:pPr>
              <w:jc w:val="center"/>
              <w:ind w:right="303"/>
              <w:spacing w:after="0" w:line="149" w:lineRule="exact"/>
              <w:rPr>
                <w:sz w:val="20"/>
                <w:szCs w:val="20"/>
                <w:color w:val="auto"/>
              </w:rPr>
            </w:pPr>
            <w:r>
              <w:rPr>
                <w:rFonts w:ascii="Arial" w:cs="Arial" w:eastAsia="Arial" w:hAnsi="Arial"/>
                <w:sz w:val="14"/>
                <w:szCs w:val="14"/>
                <w:b w:val="1"/>
                <w:bCs w:val="1"/>
                <w:color w:val="auto"/>
                <w:w w:val="87"/>
              </w:rPr>
              <w:t>Amount and Location of Gain</w:t>
            </w:r>
          </w:p>
        </w:tc>
        <w:tc>
          <w:tcPr>
            <w:tcW w:w="420" w:type="dxa"/>
            <w:vAlign w:val="bottom"/>
          </w:tcPr>
          <w:p>
            <w:pPr>
              <w:spacing w:after="0"/>
              <w:rPr>
                <w:sz w:val="12"/>
                <w:szCs w:val="12"/>
                <w:color w:val="auto"/>
              </w:rPr>
            </w:pPr>
          </w:p>
        </w:tc>
        <w:tc>
          <w:tcPr>
            <w:tcW w:w="2200" w:type="dxa"/>
            <w:vAlign w:val="bottom"/>
            <w:gridSpan w:val="3"/>
          </w:tcPr>
          <w:p>
            <w:pPr>
              <w:jc w:val="center"/>
              <w:spacing w:after="0" w:line="149" w:lineRule="exact"/>
              <w:rPr>
                <w:sz w:val="20"/>
                <w:szCs w:val="20"/>
                <w:color w:val="auto"/>
              </w:rPr>
            </w:pPr>
            <w:r>
              <w:rPr>
                <w:rFonts w:ascii="Arial" w:cs="Arial" w:eastAsia="Arial" w:hAnsi="Arial"/>
                <w:sz w:val="14"/>
                <w:szCs w:val="14"/>
                <w:b w:val="1"/>
                <w:bCs w:val="1"/>
                <w:color w:val="auto"/>
                <w:w w:val="85"/>
              </w:rPr>
              <w:t>(Loss) Recognized in Income on</w:t>
            </w:r>
          </w:p>
        </w:tc>
      </w:tr>
      <w:tr>
        <w:trPr>
          <w:trHeight w:val="149"/>
        </w:trPr>
        <w:tc>
          <w:tcPr>
            <w:tcW w:w="20" w:type="dxa"/>
            <w:vAlign w:val="bottom"/>
          </w:tcPr>
          <w:p>
            <w:pPr>
              <w:spacing w:after="0"/>
              <w:rPr>
                <w:sz w:val="12"/>
                <w:szCs w:val="12"/>
                <w:color w:val="auto"/>
              </w:rPr>
            </w:pPr>
          </w:p>
        </w:tc>
        <w:tc>
          <w:tcPr>
            <w:tcW w:w="31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520" w:type="dxa"/>
            <w:vAlign w:val="bottom"/>
            <w:gridSpan w:val="3"/>
          </w:tcPr>
          <w:p>
            <w:pPr>
              <w:jc w:val="center"/>
              <w:ind w:right="280"/>
              <w:spacing w:after="0" w:line="149" w:lineRule="exact"/>
              <w:rPr>
                <w:sz w:val="20"/>
                <w:szCs w:val="20"/>
                <w:color w:val="auto"/>
              </w:rPr>
            </w:pPr>
            <w:r>
              <w:rPr>
                <w:rFonts w:ascii="Arial" w:cs="Arial" w:eastAsia="Arial" w:hAnsi="Arial"/>
                <w:sz w:val="14"/>
                <w:szCs w:val="14"/>
                <w:b w:val="1"/>
                <w:bCs w:val="1"/>
                <w:color w:val="auto"/>
                <w:w w:val="90"/>
              </w:rPr>
              <w:t>Accumulated OCI on</w:t>
            </w:r>
          </w:p>
        </w:tc>
        <w:tc>
          <w:tcPr>
            <w:tcW w:w="2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60" w:type="dxa"/>
            <w:vAlign w:val="bottom"/>
          </w:tcPr>
          <w:p>
            <w:pPr>
              <w:jc w:val="center"/>
              <w:ind w:right="383"/>
              <w:spacing w:after="0" w:line="149" w:lineRule="exact"/>
              <w:rPr>
                <w:sz w:val="20"/>
                <w:szCs w:val="20"/>
                <w:color w:val="auto"/>
              </w:rPr>
            </w:pPr>
            <w:r>
              <w:rPr>
                <w:rFonts w:ascii="Arial" w:cs="Arial" w:eastAsia="Arial" w:hAnsi="Arial"/>
                <w:sz w:val="14"/>
                <w:szCs w:val="14"/>
                <w:b w:val="1"/>
                <w:bCs w:val="1"/>
                <w:color w:val="auto"/>
                <w:w w:val="86"/>
              </w:rPr>
              <w:t>(Loss) Reclassified from</w:t>
            </w:r>
          </w:p>
        </w:tc>
        <w:tc>
          <w:tcPr>
            <w:tcW w:w="420" w:type="dxa"/>
            <w:vAlign w:val="bottom"/>
          </w:tcPr>
          <w:p>
            <w:pPr>
              <w:spacing w:after="0"/>
              <w:rPr>
                <w:sz w:val="12"/>
                <w:szCs w:val="12"/>
                <w:color w:val="auto"/>
              </w:rPr>
            </w:pPr>
          </w:p>
        </w:tc>
        <w:tc>
          <w:tcPr>
            <w:tcW w:w="2200" w:type="dxa"/>
            <w:vAlign w:val="bottom"/>
            <w:gridSpan w:val="3"/>
          </w:tcPr>
          <w:p>
            <w:pPr>
              <w:jc w:val="center"/>
              <w:spacing w:after="0" w:line="149" w:lineRule="exact"/>
              <w:rPr>
                <w:sz w:val="20"/>
                <w:szCs w:val="20"/>
                <w:color w:val="auto"/>
              </w:rPr>
            </w:pPr>
            <w:r>
              <w:rPr>
                <w:rFonts w:ascii="Arial" w:cs="Arial" w:eastAsia="Arial" w:hAnsi="Arial"/>
                <w:sz w:val="14"/>
                <w:szCs w:val="14"/>
                <w:b w:val="1"/>
                <w:bCs w:val="1"/>
                <w:color w:val="auto"/>
                <w:w w:val="87"/>
              </w:rPr>
              <w:t>Derivatives (Ineffective Portion</w:t>
            </w:r>
          </w:p>
        </w:tc>
      </w:tr>
      <w:tr>
        <w:trPr>
          <w:trHeight w:val="134"/>
        </w:trPr>
        <w:tc>
          <w:tcPr>
            <w:tcW w:w="20" w:type="dxa"/>
            <w:vAlign w:val="bottom"/>
          </w:tcPr>
          <w:p>
            <w:pPr>
              <w:spacing w:after="0"/>
              <w:rPr>
                <w:sz w:val="11"/>
                <w:szCs w:val="11"/>
                <w:color w:val="auto"/>
              </w:rPr>
            </w:pPr>
          </w:p>
        </w:tc>
        <w:tc>
          <w:tcPr>
            <w:tcW w:w="31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520" w:type="dxa"/>
            <w:vAlign w:val="bottom"/>
            <w:gridSpan w:val="3"/>
          </w:tcPr>
          <w:p>
            <w:pPr>
              <w:jc w:val="center"/>
              <w:ind w:right="280"/>
              <w:spacing w:after="0" w:line="135" w:lineRule="exact"/>
              <w:rPr>
                <w:sz w:val="20"/>
                <w:szCs w:val="20"/>
                <w:color w:val="auto"/>
              </w:rPr>
            </w:pPr>
            <w:r>
              <w:rPr>
                <w:rFonts w:ascii="Arial" w:cs="Arial" w:eastAsia="Arial" w:hAnsi="Arial"/>
                <w:sz w:val="14"/>
                <w:szCs w:val="14"/>
                <w:b w:val="1"/>
                <w:bCs w:val="1"/>
                <w:color w:val="auto"/>
                <w:w w:val="87"/>
              </w:rPr>
              <w:t>Derivatives (Effective</w:t>
            </w:r>
          </w:p>
        </w:tc>
        <w:tc>
          <w:tcPr>
            <w:tcW w:w="2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60" w:type="dxa"/>
            <w:vAlign w:val="bottom"/>
          </w:tcPr>
          <w:p>
            <w:pPr>
              <w:jc w:val="center"/>
              <w:ind w:right="383"/>
              <w:spacing w:after="0" w:line="135" w:lineRule="exact"/>
              <w:rPr>
                <w:sz w:val="20"/>
                <w:szCs w:val="20"/>
                <w:color w:val="auto"/>
              </w:rPr>
            </w:pPr>
            <w:r>
              <w:rPr>
                <w:rFonts w:ascii="Arial" w:cs="Arial" w:eastAsia="Arial" w:hAnsi="Arial"/>
                <w:sz w:val="14"/>
                <w:szCs w:val="14"/>
                <w:b w:val="1"/>
                <w:bCs w:val="1"/>
                <w:color w:val="auto"/>
                <w:w w:val="90"/>
              </w:rPr>
              <w:t>Accumulated OCI into</w:t>
            </w:r>
          </w:p>
        </w:tc>
        <w:tc>
          <w:tcPr>
            <w:tcW w:w="420" w:type="dxa"/>
            <w:vAlign w:val="bottom"/>
          </w:tcPr>
          <w:p>
            <w:pPr>
              <w:spacing w:after="0"/>
              <w:rPr>
                <w:sz w:val="11"/>
                <w:szCs w:val="11"/>
                <w:color w:val="auto"/>
              </w:rPr>
            </w:pPr>
          </w:p>
        </w:tc>
        <w:tc>
          <w:tcPr>
            <w:tcW w:w="2200" w:type="dxa"/>
            <w:vAlign w:val="bottom"/>
            <w:gridSpan w:val="3"/>
          </w:tcPr>
          <w:p>
            <w:pPr>
              <w:jc w:val="center"/>
              <w:spacing w:after="0" w:line="135" w:lineRule="exact"/>
              <w:rPr>
                <w:sz w:val="20"/>
                <w:szCs w:val="20"/>
                <w:color w:val="auto"/>
              </w:rPr>
            </w:pPr>
            <w:r>
              <w:rPr>
                <w:rFonts w:ascii="Arial" w:cs="Arial" w:eastAsia="Arial" w:hAnsi="Arial"/>
                <w:sz w:val="14"/>
                <w:szCs w:val="14"/>
                <w:b w:val="1"/>
                <w:bCs w:val="1"/>
                <w:color w:val="auto"/>
                <w:w w:val="87"/>
              </w:rPr>
              <w:t>and Amount Excluded from</w:t>
            </w:r>
          </w:p>
        </w:tc>
      </w:tr>
      <w:tr>
        <w:trPr>
          <w:trHeight w:val="176"/>
        </w:trPr>
        <w:tc>
          <w:tcPr>
            <w:tcW w:w="3160" w:type="dxa"/>
            <w:vAlign w:val="bottom"/>
            <w:gridSpan w:val="2"/>
          </w:tcPr>
          <w:p>
            <w:pPr>
              <w:spacing w:after="0"/>
              <w:rPr>
                <w:sz w:val="20"/>
                <w:szCs w:val="20"/>
                <w:color w:val="auto"/>
              </w:rPr>
            </w:pPr>
            <w:r>
              <w:rPr>
                <w:rFonts w:ascii="Arial" w:cs="Arial" w:eastAsia="Arial" w:hAnsi="Arial"/>
                <w:sz w:val="14"/>
                <w:szCs w:val="14"/>
                <w:b w:val="1"/>
                <w:bCs w:val="1"/>
                <w:color w:val="auto"/>
              </w:rPr>
              <w:t>For the Three Months Ended October 31, 2009</w:t>
            </w:r>
          </w:p>
        </w:tc>
        <w:tc>
          <w:tcPr>
            <w:tcW w:w="44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jc w:val="center"/>
              <w:ind w:right="44"/>
              <w:spacing w:after="0" w:line="176" w:lineRule="exact"/>
              <w:rPr>
                <w:sz w:val="20"/>
                <w:szCs w:val="20"/>
                <w:color w:val="auto"/>
              </w:rPr>
            </w:pPr>
            <w:r>
              <w:rPr>
                <w:rFonts w:ascii="Arial" w:cs="Arial" w:eastAsia="Arial" w:hAnsi="Arial"/>
                <w:sz w:val="13"/>
                <w:szCs w:val="13"/>
                <w:b w:val="1"/>
                <w:bCs w:val="1"/>
                <w:color w:val="auto"/>
                <w:w w:val="90"/>
              </w:rPr>
              <w:t>Portion)</w:t>
            </w:r>
            <w:r>
              <w:rPr>
                <w:rFonts w:ascii="Arial" w:cs="Arial" w:eastAsia="Arial" w:hAnsi="Arial"/>
                <w:sz w:val="20"/>
                <w:szCs w:val="20"/>
                <w:b w:val="1"/>
                <w:bCs w:val="1"/>
                <w:color w:val="auto"/>
                <w:w w:val="90"/>
                <w:vertAlign w:val="superscript"/>
              </w:rPr>
              <w:t>(1)</w:t>
            </w:r>
          </w:p>
        </w:tc>
        <w:tc>
          <w:tcPr>
            <w:tcW w:w="2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2060" w:type="dxa"/>
            <w:vAlign w:val="bottom"/>
            <w:tcBorders>
              <w:bottom w:val="single" w:sz="8" w:color="auto"/>
            </w:tcBorders>
          </w:tcPr>
          <w:p>
            <w:pPr>
              <w:jc w:val="center"/>
              <w:ind w:right="383"/>
              <w:spacing w:after="0"/>
              <w:rPr>
                <w:sz w:val="20"/>
                <w:szCs w:val="20"/>
                <w:color w:val="auto"/>
              </w:rPr>
            </w:pPr>
            <w:r>
              <w:rPr>
                <w:rFonts w:ascii="Arial" w:cs="Arial" w:eastAsia="Arial" w:hAnsi="Arial"/>
                <w:sz w:val="14"/>
                <w:szCs w:val="14"/>
                <w:b w:val="1"/>
                <w:bCs w:val="1"/>
                <w:color w:val="auto"/>
                <w:w w:val="87"/>
              </w:rPr>
              <w:t>Income (Effective Portion)</w:t>
            </w:r>
          </w:p>
        </w:tc>
        <w:tc>
          <w:tcPr>
            <w:tcW w:w="420" w:type="dxa"/>
            <w:vAlign w:val="bottom"/>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1860" w:type="dxa"/>
            <w:vAlign w:val="bottom"/>
            <w:tcBorders>
              <w:bottom w:val="single" w:sz="8" w:color="auto"/>
            </w:tcBorders>
          </w:tcPr>
          <w:p>
            <w:pPr>
              <w:jc w:val="center"/>
              <w:ind w:right="264"/>
              <w:spacing w:after="0" w:line="176" w:lineRule="exact"/>
              <w:rPr>
                <w:sz w:val="20"/>
                <w:szCs w:val="20"/>
                <w:color w:val="auto"/>
              </w:rPr>
            </w:pPr>
            <w:r>
              <w:rPr>
                <w:rFonts w:ascii="Arial" w:cs="Arial" w:eastAsia="Arial" w:hAnsi="Arial"/>
                <w:sz w:val="13"/>
                <w:szCs w:val="13"/>
                <w:b w:val="1"/>
                <w:bCs w:val="1"/>
                <w:color w:val="auto"/>
                <w:w w:val="88"/>
              </w:rPr>
              <w:t>Effectiveness Testing)</w:t>
            </w:r>
            <w:r>
              <w:rPr>
                <w:rFonts w:ascii="Arial" w:cs="Arial" w:eastAsia="Arial" w:hAnsi="Arial"/>
                <w:sz w:val="20"/>
                <w:szCs w:val="20"/>
                <w:b w:val="1"/>
                <w:bCs w:val="1"/>
                <w:color w:val="auto"/>
                <w:w w:val="88"/>
                <w:vertAlign w:val="superscript"/>
              </w:rPr>
              <w:t>(2)</w:t>
            </w:r>
          </w:p>
        </w:tc>
      </w:tr>
      <w:tr>
        <w:trPr>
          <w:trHeight w:val="201"/>
        </w:trPr>
        <w:tc>
          <w:tcPr>
            <w:tcW w:w="20" w:type="dxa"/>
            <w:vAlign w:val="bottom"/>
          </w:tcPr>
          <w:p>
            <w:pPr>
              <w:spacing w:after="0"/>
              <w:rPr>
                <w:sz w:val="17"/>
                <w:szCs w:val="17"/>
                <w:color w:val="auto"/>
              </w:rPr>
            </w:pPr>
          </w:p>
        </w:tc>
        <w:tc>
          <w:tcPr>
            <w:tcW w:w="314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Foreign exchange contracts</w:t>
            </w:r>
          </w:p>
        </w:tc>
        <w:tc>
          <w:tcPr>
            <w:tcW w:w="560" w:type="dxa"/>
            <w:vAlign w:val="bottom"/>
            <w:gridSpan w:val="2"/>
            <w:shd w:val="clear" w:color="auto" w:fill="CCEEFF"/>
          </w:tcPr>
          <w:p>
            <w:pPr>
              <w:jc w:val="right"/>
              <w:spacing w:after="0" w:line="201" w:lineRule="exact"/>
              <w:rPr>
                <w:sz w:val="20"/>
                <w:szCs w:val="20"/>
                <w:color w:val="auto"/>
              </w:rPr>
            </w:pPr>
            <w:r>
              <w:rPr>
                <w:rFonts w:ascii="Arial" w:cs="Arial" w:eastAsia="Arial" w:hAnsi="Arial"/>
                <w:sz w:val="18"/>
                <w:szCs w:val="18"/>
                <w:color w:val="auto"/>
              </w:rPr>
              <w:t>$</w:t>
            </w:r>
          </w:p>
        </w:tc>
        <w:tc>
          <w:tcPr>
            <w:tcW w:w="1400" w:type="dxa"/>
            <w:vAlign w:val="bottom"/>
            <w:gridSpan w:val="2"/>
            <w:shd w:val="clear" w:color="auto" w:fill="CCEEFF"/>
          </w:tcPr>
          <w:p>
            <w:pPr>
              <w:jc w:val="right"/>
              <w:ind w:right="220"/>
              <w:spacing w:after="0" w:line="201" w:lineRule="exact"/>
              <w:rPr>
                <w:sz w:val="20"/>
                <w:szCs w:val="20"/>
                <w:color w:val="auto"/>
              </w:rPr>
            </w:pPr>
            <w:r>
              <w:rPr>
                <w:rFonts w:ascii="Arial" w:cs="Arial" w:eastAsia="Arial" w:hAnsi="Arial"/>
                <w:sz w:val="18"/>
                <w:szCs w:val="18"/>
                <w:color w:val="auto"/>
              </w:rPr>
              <w:t>(5.9)</w:t>
            </w:r>
          </w:p>
        </w:tc>
        <w:tc>
          <w:tcPr>
            <w:tcW w:w="700" w:type="dxa"/>
            <w:vAlign w:val="bottom"/>
            <w:gridSpan w:val="3"/>
            <w:shd w:val="clear" w:color="auto" w:fill="CCEEFF"/>
          </w:tcPr>
          <w:p>
            <w:pPr>
              <w:jc w:val="right"/>
              <w:spacing w:after="0" w:line="201" w:lineRule="exact"/>
              <w:rPr>
                <w:sz w:val="20"/>
                <w:szCs w:val="20"/>
                <w:color w:val="auto"/>
              </w:rPr>
            </w:pPr>
            <w:r>
              <w:rPr>
                <w:rFonts w:ascii="Arial" w:cs="Arial" w:eastAsia="Arial" w:hAnsi="Arial"/>
                <w:sz w:val="18"/>
                <w:szCs w:val="18"/>
                <w:color w:val="auto"/>
              </w:rPr>
              <w:t>$(5.2)</w:t>
            </w:r>
          </w:p>
        </w:tc>
        <w:tc>
          <w:tcPr>
            <w:tcW w:w="2060" w:type="dxa"/>
            <w:vAlign w:val="bottom"/>
            <w:shd w:val="clear" w:color="auto" w:fill="CCEEFF"/>
          </w:tcPr>
          <w:p>
            <w:pPr>
              <w:ind w:left="440"/>
              <w:spacing w:after="0" w:line="201" w:lineRule="exact"/>
              <w:rPr>
                <w:sz w:val="20"/>
                <w:szCs w:val="20"/>
                <w:color w:val="auto"/>
              </w:rPr>
            </w:pPr>
            <w:r>
              <w:rPr>
                <w:rFonts w:ascii="Arial" w:cs="Arial" w:eastAsia="Arial" w:hAnsi="Arial"/>
                <w:sz w:val="18"/>
                <w:szCs w:val="18"/>
                <w:color w:val="auto"/>
              </w:rPr>
              <w:t>Net revenue</w:t>
            </w:r>
          </w:p>
        </w:tc>
        <w:tc>
          <w:tcPr>
            <w:tcW w:w="760" w:type="dxa"/>
            <w:vAlign w:val="bottom"/>
            <w:gridSpan w:val="3"/>
            <w:shd w:val="clear" w:color="auto" w:fill="CCEEFF"/>
          </w:tcPr>
          <w:p>
            <w:pPr>
              <w:jc w:val="right"/>
              <w:ind w:right="20"/>
              <w:spacing w:after="0" w:line="201" w:lineRule="exact"/>
              <w:rPr>
                <w:sz w:val="20"/>
                <w:szCs w:val="20"/>
                <w:color w:val="auto"/>
              </w:rPr>
            </w:pPr>
            <w:r>
              <w:rPr>
                <w:rFonts w:ascii="Arial" w:cs="Arial" w:eastAsia="Arial" w:hAnsi="Arial"/>
                <w:sz w:val="18"/>
                <w:szCs w:val="18"/>
                <w:color w:val="auto"/>
              </w:rPr>
              <w:t>$0.1</w:t>
            </w:r>
          </w:p>
        </w:tc>
        <w:tc>
          <w:tcPr>
            <w:tcW w:w="1860" w:type="dxa"/>
            <w:vAlign w:val="bottom"/>
            <w:shd w:val="clear" w:color="auto" w:fill="CCEEFF"/>
          </w:tcPr>
          <w:p>
            <w:pPr>
              <w:ind w:left="400"/>
              <w:spacing w:after="0" w:line="201" w:lineRule="exact"/>
              <w:rPr>
                <w:sz w:val="20"/>
                <w:szCs w:val="20"/>
                <w:color w:val="auto"/>
              </w:rPr>
            </w:pPr>
            <w:r>
              <w:rPr>
                <w:rFonts w:ascii="Arial" w:cs="Arial" w:eastAsia="Arial" w:hAnsi="Arial"/>
                <w:sz w:val="18"/>
                <w:szCs w:val="18"/>
                <w:color w:val="auto"/>
              </w:rPr>
              <w:t>Interest and other</w:t>
            </w:r>
          </w:p>
        </w:tc>
      </w:tr>
      <w:tr>
        <w:trPr>
          <w:trHeight w:val="238"/>
        </w:trPr>
        <w:tc>
          <w:tcPr>
            <w:tcW w:w="20" w:type="dxa"/>
            <w:vAlign w:val="bottom"/>
          </w:tcPr>
          <w:p>
            <w:pPr>
              <w:spacing w:after="0"/>
              <w:rPr>
                <w:sz w:val="20"/>
                <w:szCs w:val="20"/>
                <w:color w:val="auto"/>
              </w:rPr>
            </w:pPr>
          </w:p>
        </w:tc>
        <w:tc>
          <w:tcPr>
            <w:tcW w:w="3140" w:type="dxa"/>
            <w:vAlign w:val="bottom"/>
            <w:shd w:val="clear" w:color="auto" w:fill="CCEEFF"/>
          </w:tcPr>
          <w:p>
            <w:pPr>
              <w:spacing w:after="0"/>
              <w:rPr>
                <w:sz w:val="20"/>
                <w:szCs w:val="20"/>
                <w:color w:val="auto"/>
              </w:rPr>
            </w:pPr>
          </w:p>
        </w:tc>
        <w:tc>
          <w:tcPr>
            <w:tcW w:w="4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12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060" w:type="dxa"/>
            <w:vAlign w:val="bottom"/>
            <w:shd w:val="clear" w:color="auto" w:fill="CCEEFF"/>
          </w:tcPr>
          <w:p>
            <w:pPr>
              <w:spacing w:after="0"/>
              <w:rPr>
                <w:sz w:val="20"/>
                <w:szCs w:val="20"/>
                <w:color w:val="auto"/>
              </w:rPr>
            </w:pPr>
          </w:p>
        </w:tc>
        <w:tc>
          <w:tcPr>
            <w:tcW w:w="42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860" w:type="dxa"/>
            <w:vAlign w:val="bottom"/>
            <w:shd w:val="clear" w:color="auto" w:fill="CCEEFF"/>
          </w:tcPr>
          <w:p>
            <w:pPr>
              <w:ind w:left="400"/>
              <w:spacing w:after="0"/>
              <w:rPr>
                <w:sz w:val="20"/>
                <w:szCs w:val="20"/>
                <w:color w:val="auto"/>
              </w:rPr>
            </w:pPr>
            <w:r>
              <w:rPr>
                <w:rFonts w:ascii="Arial" w:cs="Arial" w:eastAsia="Arial" w:hAnsi="Arial"/>
                <w:sz w:val="18"/>
                <w:szCs w:val="18"/>
                <w:color w:val="auto"/>
              </w:rPr>
              <w:t>income, net</w:t>
            </w:r>
          </w:p>
        </w:tc>
      </w:tr>
      <w:tr>
        <w:trPr>
          <w:trHeight w:val="223"/>
        </w:trPr>
        <w:tc>
          <w:tcPr>
            <w:tcW w:w="20" w:type="dxa"/>
            <w:vAlign w:val="bottom"/>
          </w:tcPr>
          <w:p>
            <w:pPr>
              <w:spacing w:after="0"/>
              <w:rPr>
                <w:sz w:val="19"/>
                <w:szCs w:val="19"/>
                <w:color w:val="auto"/>
              </w:rPr>
            </w:pPr>
          </w:p>
        </w:tc>
        <w:tc>
          <w:tcPr>
            <w:tcW w:w="31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spacing w:after="0"/>
              <w:rPr>
                <w:sz w:val="19"/>
                <w:szCs w:val="19"/>
                <w:color w:val="auto"/>
              </w:rPr>
            </w:pPr>
          </w:p>
        </w:tc>
        <w:tc>
          <w:tcPr>
            <w:tcW w:w="2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w:t>
            </w:r>
          </w:p>
        </w:tc>
        <w:tc>
          <w:tcPr>
            <w:tcW w:w="80" w:type="dxa"/>
            <w:vAlign w:val="bottom"/>
          </w:tcPr>
          <w:p>
            <w:pPr>
              <w:spacing w:after="0"/>
              <w:rPr>
                <w:sz w:val="19"/>
                <w:szCs w:val="19"/>
                <w:color w:val="auto"/>
              </w:rPr>
            </w:pPr>
          </w:p>
        </w:tc>
        <w:tc>
          <w:tcPr>
            <w:tcW w:w="2060" w:type="dxa"/>
            <w:vAlign w:val="bottom"/>
          </w:tcPr>
          <w:p>
            <w:pPr>
              <w:ind w:left="440"/>
              <w:spacing w:after="0"/>
              <w:rPr>
                <w:sz w:val="20"/>
                <w:szCs w:val="20"/>
                <w:color w:val="auto"/>
              </w:rPr>
            </w:pPr>
            <w:r>
              <w:rPr>
                <w:rFonts w:ascii="Arial" w:cs="Arial" w:eastAsia="Arial" w:hAnsi="Arial"/>
                <w:sz w:val="18"/>
                <w:szCs w:val="18"/>
                <w:color w:val="auto"/>
                <w:w w:val="99"/>
              </w:rPr>
              <w:t>Operating expenses</w:t>
            </w:r>
          </w:p>
        </w:tc>
        <w:tc>
          <w:tcPr>
            <w:tcW w:w="42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186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314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(5.9)</w:t>
            </w:r>
          </w:p>
        </w:tc>
        <w:tc>
          <w:tcPr>
            <w:tcW w:w="700" w:type="dxa"/>
            <w:vAlign w:val="bottom"/>
            <w:gridSpan w:val="3"/>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(3.5)</w:t>
            </w:r>
          </w:p>
        </w:tc>
        <w:tc>
          <w:tcPr>
            <w:tcW w:w="2060" w:type="dxa"/>
            <w:vAlign w:val="bottom"/>
            <w:shd w:val="clear" w:color="auto" w:fill="CCEEFF"/>
          </w:tcPr>
          <w:p>
            <w:pPr>
              <w:spacing w:after="0"/>
              <w:rPr>
                <w:sz w:val="18"/>
                <w:szCs w:val="18"/>
                <w:color w:val="auto"/>
              </w:rPr>
            </w:pPr>
          </w:p>
        </w:tc>
        <w:tc>
          <w:tcPr>
            <w:tcW w:w="76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0.1</w:t>
            </w:r>
          </w:p>
        </w:tc>
        <w:tc>
          <w:tcPr>
            <w:tcW w:w="1860" w:type="dxa"/>
            <w:vAlign w:val="bottom"/>
            <w:shd w:val="clear" w:color="auto" w:fill="CCEEFF"/>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31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880" w:type="dxa"/>
            <w:vAlign w:val="bottom"/>
            <w:gridSpan w:val="2"/>
          </w:tcPr>
          <w:p>
            <w:pPr>
              <w:spacing w:after="0" w:line="20" w:lineRule="exact"/>
              <w:rPr>
                <w:sz w:val="1"/>
                <w:szCs w:val="1"/>
                <w:color w:val="auto"/>
              </w:rPr>
            </w:pPr>
          </w:p>
        </w:tc>
      </w:tr>
      <w:tr>
        <w:trPr>
          <w:trHeight w:val="346"/>
        </w:trPr>
        <w:tc>
          <w:tcPr>
            <w:tcW w:w="20" w:type="dxa"/>
            <w:vAlign w:val="bottom"/>
          </w:tcPr>
          <w:p>
            <w:pPr>
              <w:spacing w:after="0"/>
              <w:rPr>
                <w:sz w:val="24"/>
                <w:szCs w:val="24"/>
                <w:color w:val="auto"/>
              </w:rPr>
            </w:pPr>
          </w:p>
        </w:tc>
        <w:tc>
          <w:tcPr>
            <w:tcW w:w="31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200" w:type="dxa"/>
            <w:vAlign w:val="bottom"/>
            <w:gridSpan w:val="3"/>
          </w:tcPr>
          <w:p>
            <w:pPr>
              <w:jc w:val="center"/>
              <w:spacing w:after="0"/>
              <w:rPr>
                <w:sz w:val="20"/>
                <w:szCs w:val="20"/>
                <w:color w:val="auto"/>
              </w:rPr>
            </w:pPr>
            <w:r>
              <w:rPr>
                <w:rFonts w:ascii="Arial" w:cs="Arial" w:eastAsia="Arial" w:hAnsi="Arial"/>
                <w:sz w:val="14"/>
                <w:szCs w:val="14"/>
                <w:b w:val="1"/>
                <w:bCs w:val="1"/>
                <w:color w:val="auto"/>
                <w:w w:val="87"/>
              </w:rPr>
              <w:t>Amount and Location of Gain</w:t>
            </w:r>
          </w:p>
        </w:tc>
      </w:tr>
      <w:tr>
        <w:trPr>
          <w:trHeight w:val="149"/>
        </w:trPr>
        <w:tc>
          <w:tcPr>
            <w:tcW w:w="20" w:type="dxa"/>
            <w:vAlign w:val="bottom"/>
          </w:tcPr>
          <w:p>
            <w:pPr>
              <w:spacing w:after="0"/>
              <w:rPr>
                <w:sz w:val="12"/>
                <w:szCs w:val="12"/>
                <w:color w:val="auto"/>
              </w:rPr>
            </w:pPr>
          </w:p>
        </w:tc>
        <w:tc>
          <w:tcPr>
            <w:tcW w:w="31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0" w:type="dxa"/>
            <w:vAlign w:val="bottom"/>
            <w:gridSpan w:val="2"/>
          </w:tcPr>
          <w:p>
            <w:pPr>
              <w:jc w:val="center"/>
              <w:ind w:right="400"/>
              <w:spacing w:after="0" w:line="149" w:lineRule="exact"/>
              <w:rPr>
                <w:sz w:val="20"/>
                <w:szCs w:val="20"/>
                <w:color w:val="auto"/>
              </w:rPr>
            </w:pPr>
            <w:r>
              <w:rPr>
                <w:rFonts w:ascii="Arial" w:cs="Arial" w:eastAsia="Arial" w:hAnsi="Arial"/>
                <w:sz w:val="14"/>
                <w:szCs w:val="14"/>
                <w:b w:val="1"/>
                <w:bCs w:val="1"/>
                <w:color w:val="auto"/>
                <w:w w:val="87"/>
              </w:rPr>
              <w:t>Amount of Gain</w:t>
            </w:r>
          </w:p>
        </w:tc>
        <w:tc>
          <w:tcPr>
            <w:tcW w:w="2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200" w:type="dxa"/>
            <w:vAlign w:val="bottom"/>
            <w:gridSpan w:val="3"/>
          </w:tcPr>
          <w:p>
            <w:pPr>
              <w:jc w:val="center"/>
              <w:spacing w:after="0" w:line="149" w:lineRule="exact"/>
              <w:rPr>
                <w:sz w:val="20"/>
                <w:szCs w:val="20"/>
                <w:color w:val="auto"/>
              </w:rPr>
            </w:pPr>
            <w:r>
              <w:rPr>
                <w:rFonts w:ascii="Arial" w:cs="Arial" w:eastAsia="Arial" w:hAnsi="Arial"/>
                <w:sz w:val="14"/>
                <w:szCs w:val="14"/>
                <w:b w:val="1"/>
                <w:bCs w:val="1"/>
                <w:color w:val="auto"/>
                <w:w w:val="84"/>
              </w:rPr>
              <w:t>(Loss) Recognized in Income</w:t>
            </w:r>
          </w:p>
        </w:tc>
      </w:tr>
      <w:tr>
        <w:trPr>
          <w:trHeight w:val="149"/>
        </w:trPr>
        <w:tc>
          <w:tcPr>
            <w:tcW w:w="20" w:type="dxa"/>
            <w:vAlign w:val="bottom"/>
          </w:tcPr>
          <w:p>
            <w:pPr>
              <w:spacing w:after="0"/>
              <w:rPr>
                <w:sz w:val="12"/>
                <w:szCs w:val="12"/>
                <w:color w:val="auto"/>
              </w:rPr>
            </w:pPr>
          </w:p>
        </w:tc>
        <w:tc>
          <w:tcPr>
            <w:tcW w:w="31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520" w:type="dxa"/>
            <w:vAlign w:val="bottom"/>
            <w:gridSpan w:val="3"/>
          </w:tcPr>
          <w:p>
            <w:pPr>
              <w:jc w:val="center"/>
              <w:ind w:right="320"/>
              <w:spacing w:after="0" w:line="149" w:lineRule="exact"/>
              <w:rPr>
                <w:sz w:val="20"/>
                <w:szCs w:val="20"/>
                <w:color w:val="auto"/>
              </w:rPr>
            </w:pPr>
            <w:r>
              <w:rPr>
                <w:rFonts w:ascii="Arial" w:cs="Arial" w:eastAsia="Arial" w:hAnsi="Arial"/>
                <w:sz w:val="14"/>
                <w:szCs w:val="14"/>
                <w:b w:val="1"/>
                <w:bCs w:val="1"/>
                <w:color w:val="auto"/>
                <w:w w:val="85"/>
              </w:rPr>
              <w:t>(Loss) Recognized in</w:t>
            </w:r>
          </w:p>
        </w:tc>
        <w:tc>
          <w:tcPr>
            <w:tcW w:w="2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140" w:type="dxa"/>
            <w:vAlign w:val="bottom"/>
            <w:gridSpan w:val="2"/>
          </w:tcPr>
          <w:p>
            <w:pPr>
              <w:jc w:val="center"/>
              <w:ind w:right="303"/>
              <w:spacing w:after="0" w:line="149" w:lineRule="exact"/>
              <w:rPr>
                <w:sz w:val="20"/>
                <w:szCs w:val="20"/>
                <w:color w:val="auto"/>
              </w:rPr>
            </w:pPr>
            <w:r>
              <w:rPr>
                <w:rFonts w:ascii="Arial" w:cs="Arial" w:eastAsia="Arial" w:hAnsi="Arial"/>
                <w:sz w:val="14"/>
                <w:szCs w:val="14"/>
                <w:b w:val="1"/>
                <w:bCs w:val="1"/>
                <w:color w:val="auto"/>
                <w:w w:val="87"/>
              </w:rPr>
              <w:t>Amount and Location of Gain</w:t>
            </w:r>
          </w:p>
        </w:tc>
        <w:tc>
          <w:tcPr>
            <w:tcW w:w="4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860" w:type="dxa"/>
            <w:vAlign w:val="bottom"/>
          </w:tcPr>
          <w:p>
            <w:pPr>
              <w:jc w:val="center"/>
              <w:ind w:right="264"/>
              <w:spacing w:after="0" w:line="149" w:lineRule="exact"/>
              <w:rPr>
                <w:sz w:val="20"/>
                <w:szCs w:val="20"/>
                <w:color w:val="auto"/>
              </w:rPr>
            </w:pPr>
            <w:r>
              <w:rPr>
                <w:rFonts w:ascii="Arial" w:cs="Arial" w:eastAsia="Arial" w:hAnsi="Arial"/>
                <w:sz w:val="14"/>
                <w:szCs w:val="14"/>
                <w:b w:val="1"/>
                <w:bCs w:val="1"/>
                <w:color w:val="auto"/>
                <w:w w:val="87"/>
              </w:rPr>
              <w:t>on Derivatives (Ineffective</w:t>
            </w:r>
          </w:p>
        </w:tc>
      </w:tr>
      <w:tr>
        <w:trPr>
          <w:trHeight w:val="149"/>
        </w:trPr>
        <w:tc>
          <w:tcPr>
            <w:tcW w:w="20" w:type="dxa"/>
            <w:vAlign w:val="bottom"/>
          </w:tcPr>
          <w:p>
            <w:pPr>
              <w:spacing w:after="0"/>
              <w:rPr>
                <w:sz w:val="12"/>
                <w:szCs w:val="12"/>
                <w:color w:val="auto"/>
              </w:rPr>
            </w:pPr>
          </w:p>
        </w:tc>
        <w:tc>
          <w:tcPr>
            <w:tcW w:w="31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520" w:type="dxa"/>
            <w:vAlign w:val="bottom"/>
            <w:gridSpan w:val="3"/>
          </w:tcPr>
          <w:p>
            <w:pPr>
              <w:jc w:val="center"/>
              <w:ind w:right="280"/>
              <w:spacing w:after="0" w:line="149" w:lineRule="exact"/>
              <w:rPr>
                <w:sz w:val="20"/>
                <w:szCs w:val="20"/>
                <w:color w:val="auto"/>
              </w:rPr>
            </w:pPr>
            <w:r>
              <w:rPr>
                <w:rFonts w:ascii="Arial" w:cs="Arial" w:eastAsia="Arial" w:hAnsi="Arial"/>
                <w:sz w:val="14"/>
                <w:szCs w:val="14"/>
                <w:b w:val="1"/>
                <w:bCs w:val="1"/>
                <w:color w:val="auto"/>
                <w:w w:val="90"/>
              </w:rPr>
              <w:t>Accumulated OCI on</w:t>
            </w:r>
          </w:p>
        </w:tc>
        <w:tc>
          <w:tcPr>
            <w:tcW w:w="2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60" w:type="dxa"/>
            <w:vAlign w:val="bottom"/>
          </w:tcPr>
          <w:p>
            <w:pPr>
              <w:jc w:val="center"/>
              <w:ind w:right="383"/>
              <w:spacing w:after="0" w:line="149" w:lineRule="exact"/>
              <w:rPr>
                <w:sz w:val="20"/>
                <w:szCs w:val="20"/>
                <w:color w:val="auto"/>
              </w:rPr>
            </w:pPr>
            <w:r>
              <w:rPr>
                <w:rFonts w:ascii="Arial" w:cs="Arial" w:eastAsia="Arial" w:hAnsi="Arial"/>
                <w:sz w:val="14"/>
                <w:szCs w:val="14"/>
                <w:b w:val="1"/>
                <w:bCs w:val="1"/>
                <w:color w:val="auto"/>
                <w:w w:val="86"/>
              </w:rPr>
              <w:t>(Loss) Reclassified from</w:t>
            </w:r>
          </w:p>
        </w:tc>
        <w:tc>
          <w:tcPr>
            <w:tcW w:w="4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860" w:type="dxa"/>
            <w:vAlign w:val="bottom"/>
          </w:tcPr>
          <w:p>
            <w:pPr>
              <w:jc w:val="center"/>
              <w:ind w:right="264"/>
              <w:spacing w:after="0" w:line="149" w:lineRule="exact"/>
              <w:rPr>
                <w:sz w:val="20"/>
                <w:szCs w:val="20"/>
                <w:color w:val="auto"/>
              </w:rPr>
            </w:pPr>
            <w:r>
              <w:rPr>
                <w:rFonts w:ascii="Arial" w:cs="Arial" w:eastAsia="Arial" w:hAnsi="Arial"/>
                <w:sz w:val="14"/>
                <w:szCs w:val="14"/>
                <w:b w:val="1"/>
                <w:bCs w:val="1"/>
                <w:color w:val="auto"/>
                <w:w w:val="89"/>
              </w:rPr>
              <w:t>Portion and Amount</w:t>
            </w:r>
          </w:p>
        </w:tc>
      </w:tr>
      <w:tr>
        <w:trPr>
          <w:trHeight w:val="134"/>
        </w:trPr>
        <w:tc>
          <w:tcPr>
            <w:tcW w:w="20" w:type="dxa"/>
            <w:vAlign w:val="bottom"/>
          </w:tcPr>
          <w:p>
            <w:pPr>
              <w:spacing w:after="0"/>
              <w:rPr>
                <w:sz w:val="11"/>
                <w:szCs w:val="11"/>
                <w:color w:val="auto"/>
              </w:rPr>
            </w:pPr>
          </w:p>
        </w:tc>
        <w:tc>
          <w:tcPr>
            <w:tcW w:w="31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520" w:type="dxa"/>
            <w:vAlign w:val="bottom"/>
            <w:gridSpan w:val="3"/>
          </w:tcPr>
          <w:p>
            <w:pPr>
              <w:jc w:val="center"/>
              <w:ind w:right="280"/>
              <w:spacing w:after="0" w:line="135" w:lineRule="exact"/>
              <w:rPr>
                <w:sz w:val="20"/>
                <w:szCs w:val="20"/>
                <w:color w:val="auto"/>
              </w:rPr>
            </w:pPr>
            <w:r>
              <w:rPr>
                <w:rFonts w:ascii="Arial" w:cs="Arial" w:eastAsia="Arial" w:hAnsi="Arial"/>
                <w:sz w:val="14"/>
                <w:szCs w:val="14"/>
                <w:b w:val="1"/>
                <w:bCs w:val="1"/>
                <w:color w:val="auto"/>
                <w:w w:val="87"/>
              </w:rPr>
              <w:t>Derivatives (Effective</w:t>
            </w:r>
          </w:p>
        </w:tc>
        <w:tc>
          <w:tcPr>
            <w:tcW w:w="240" w:type="dxa"/>
            <w:vAlign w:val="bottom"/>
          </w:tcPr>
          <w:p>
            <w:pPr>
              <w:spacing w:after="0"/>
              <w:rPr>
                <w:sz w:val="11"/>
                <w:szCs w:val="11"/>
                <w:color w:val="auto"/>
              </w:rPr>
            </w:pPr>
          </w:p>
        </w:tc>
        <w:tc>
          <w:tcPr>
            <w:tcW w:w="2520" w:type="dxa"/>
            <w:vAlign w:val="bottom"/>
            <w:gridSpan w:val="3"/>
          </w:tcPr>
          <w:p>
            <w:pPr>
              <w:jc w:val="center"/>
              <w:spacing w:after="0" w:line="135" w:lineRule="exact"/>
              <w:rPr>
                <w:sz w:val="20"/>
                <w:szCs w:val="20"/>
                <w:color w:val="auto"/>
              </w:rPr>
            </w:pPr>
            <w:r>
              <w:rPr>
                <w:rFonts w:ascii="Arial" w:cs="Arial" w:eastAsia="Arial" w:hAnsi="Arial"/>
                <w:sz w:val="14"/>
                <w:szCs w:val="14"/>
                <w:b w:val="1"/>
                <w:bCs w:val="1"/>
                <w:color w:val="auto"/>
                <w:w w:val="88"/>
              </w:rPr>
              <w:t>Accumulated OCI into Income</w:t>
            </w:r>
          </w:p>
        </w:tc>
        <w:tc>
          <w:tcPr>
            <w:tcW w:w="420" w:type="dxa"/>
            <w:vAlign w:val="bottom"/>
          </w:tcPr>
          <w:p>
            <w:pPr>
              <w:spacing w:after="0"/>
              <w:rPr>
                <w:sz w:val="11"/>
                <w:szCs w:val="11"/>
                <w:color w:val="auto"/>
              </w:rPr>
            </w:pPr>
          </w:p>
        </w:tc>
        <w:tc>
          <w:tcPr>
            <w:tcW w:w="2200" w:type="dxa"/>
            <w:vAlign w:val="bottom"/>
            <w:gridSpan w:val="3"/>
          </w:tcPr>
          <w:p>
            <w:pPr>
              <w:jc w:val="center"/>
              <w:spacing w:after="0" w:line="135" w:lineRule="exact"/>
              <w:rPr>
                <w:sz w:val="20"/>
                <w:szCs w:val="20"/>
                <w:color w:val="auto"/>
              </w:rPr>
            </w:pPr>
            <w:r>
              <w:rPr>
                <w:rFonts w:ascii="Arial" w:cs="Arial" w:eastAsia="Arial" w:hAnsi="Arial"/>
                <w:sz w:val="14"/>
                <w:szCs w:val="14"/>
                <w:b w:val="1"/>
                <w:bCs w:val="1"/>
                <w:color w:val="auto"/>
                <w:w w:val="85"/>
              </w:rPr>
              <w:t>Excluded from Effectiveness</w:t>
            </w:r>
          </w:p>
        </w:tc>
      </w:tr>
      <w:tr>
        <w:trPr>
          <w:trHeight w:val="176"/>
        </w:trPr>
        <w:tc>
          <w:tcPr>
            <w:tcW w:w="3160" w:type="dxa"/>
            <w:vAlign w:val="bottom"/>
            <w:gridSpan w:val="2"/>
          </w:tcPr>
          <w:p>
            <w:pPr>
              <w:spacing w:after="0"/>
              <w:rPr>
                <w:sz w:val="20"/>
                <w:szCs w:val="20"/>
                <w:color w:val="auto"/>
              </w:rPr>
            </w:pPr>
            <w:r>
              <w:rPr>
                <w:rFonts w:ascii="Arial" w:cs="Arial" w:eastAsia="Arial" w:hAnsi="Arial"/>
                <w:sz w:val="14"/>
                <w:szCs w:val="14"/>
                <w:b w:val="1"/>
                <w:bCs w:val="1"/>
                <w:color w:val="auto"/>
              </w:rPr>
              <w:t>For the Nine Months Ended October 31, 2009</w:t>
            </w:r>
          </w:p>
        </w:tc>
        <w:tc>
          <w:tcPr>
            <w:tcW w:w="44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jc w:val="center"/>
              <w:ind w:right="44"/>
              <w:spacing w:after="0" w:line="176" w:lineRule="exact"/>
              <w:rPr>
                <w:sz w:val="20"/>
                <w:szCs w:val="20"/>
                <w:color w:val="auto"/>
              </w:rPr>
            </w:pPr>
            <w:r>
              <w:rPr>
                <w:rFonts w:ascii="Arial" w:cs="Arial" w:eastAsia="Arial" w:hAnsi="Arial"/>
                <w:sz w:val="13"/>
                <w:szCs w:val="13"/>
                <w:b w:val="1"/>
                <w:bCs w:val="1"/>
                <w:color w:val="auto"/>
                <w:w w:val="90"/>
              </w:rPr>
              <w:t>Portion)</w:t>
            </w:r>
            <w:r>
              <w:rPr>
                <w:rFonts w:ascii="Arial" w:cs="Arial" w:eastAsia="Arial" w:hAnsi="Arial"/>
                <w:sz w:val="20"/>
                <w:szCs w:val="20"/>
                <w:b w:val="1"/>
                <w:bCs w:val="1"/>
                <w:color w:val="auto"/>
                <w:w w:val="90"/>
                <w:vertAlign w:val="superscript"/>
              </w:rPr>
              <w:t>(1)</w:t>
            </w:r>
          </w:p>
        </w:tc>
        <w:tc>
          <w:tcPr>
            <w:tcW w:w="2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2060" w:type="dxa"/>
            <w:vAlign w:val="bottom"/>
            <w:tcBorders>
              <w:bottom w:val="single" w:sz="8" w:color="auto"/>
            </w:tcBorders>
          </w:tcPr>
          <w:p>
            <w:pPr>
              <w:jc w:val="center"/>
              <w:ind w:right="383"/>
              <w:spacing w:after="0"/>
              <w:rPr>
                <w:sz w:val="20"/>
                <w:szCs w:val="20"/>
                <w:color w:val="auto"/>
              </w:rPr>
            </w:pPr>
            <w:r>
              <w:rPr>
                <w:rFonts w:ascii="Arial" w:cs="Arial" w:eastAsia="Arial" w:hAnsi="Arial"/>
                <w:sz w:val="14"/>
                <w:szCs w:val="14"/>
                <w:b w:val="1"/>
                <w:bCs w:val="1"/>
                <w:color w:val="auto"/>
                <w:w w:val="89"/>
              </w:rPr>
              <w:t>(Effective Portion)</w:t>
            </w:r>
          </w:p>
        </w:tc>
        <w:tc>
          <w:tcPr>
            <w:tcW w:w="420" w:type="dxa"/>
            <w:vAlign w:val="bottom"/>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1860" w:type="dxa"/>
            <w:vAlign w:val="bottom"/>
            <w:tcBorders>
              <w:bottom w:val="single" w:sz="8" w:color="auto"/>
            </w:tcBorders>
          </w:tcPr>
          <w:p>
            <w:pPr>
              <w:jc w:val="center"/>
              <w:ind w:right="264"/>
              <w:spacing w:after="0" w:line="176" w:lineRule="exact"/>
              <w:rPr>
                <w:sz w:val="20"/>
                <w:szCs w:val="20"/>
                <w:color w:val="auto"/>
              </w:rPr>
            </w:pPr>
            <w:r>
              <w:rPr>
                <w:rFonts w:ascii="Arial" w:cs="Arial" w:eastAsia="Arial" w:hAnsi="Arial"/>
                <w:sz w:val="13"/>
                <w:szCs w:val="13"/>
                <w:b w:val="1"/>
                <w:bCs w:val="1"/>
                <w:color w:val="auto"/>
                <w:w w:val="89"/>
              </w:rPr>
              <w:t>Testing)</w:t>
            </w:r>
            <w:r>
              <w:rPr>
                <w:rFonts w:ascii="Arial" w:cs="Arial" w:eastAsia="Arial" w:hAnsi="Arial"/>
                <w:sz w:val="20"/>
                <w:szCs w:val="20"/>
                <w:b w:val="1"/>
                <w:bCs w:val="1"/>
                <w:color w:val="auto"/>
                <w:w w:val="89"/>
                <w:vertAlign w:val="superscript"/>
              </w:rPr>
              <w:t>(2)</w:t>
            </w:r>
          </w:p>
        </w:tc>
      </w:tr>
      <w:tr>
        <w:trPr>
          <w:trHeight w:val="201"/>
        </w:trPr>
        <w:tc>
          <w:tcPr>
            <w:tcW w:w="20" w:type="dxa"/>
            <w:vAlign w:val="bottom"/>
          </w:tcPr>
          <w:p>
            <w:pPr>
              <w:spacing w:after="0"/>
              <w:rPr>
                <w:sz w:val="17"/>
                <w:szCs w:val="17"/>
                <w:color w:val="auto"/>
              </w:rPr>
            </w:pPr>
          </w:p>
        </w:tc>
        <w:tc>
          <w:tcPr>
            <w:tcW w:w="314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Foreign exchange contracts</w:t>
            </w:r>
          </w:p>
        </w:tc>
        <w:tc>
          <w:tcPr>
            <w:tcW w:w="560" w:type="dxa"/>
            <w:vAlign w:val="bottom"/>
            <w:gridSpan w:val="2"/>
            <w:shd w:val="clear" w:color="auto" w:fill="CCEEFF"/>
          </w:tcPr>
          <w:p>
            <w:pPr>
              <w:jc w:val="right"/>
              <w:spacing w:after="0" w:line="201" w:lineRule="exact"/>
              <w:rPr>
                <w:sz w:val="20"/>
                <w:szCs w:val="20"/>
                <w:color w:val="auto"/>
              </w:rPr>
            </w:pPr>
            <w:r>
              <w:rPr>
                <w:rFonts w:ascii="Arial" w:cs="Arial" w:eastAsia="Arial" w:hAnsi="Arial"/>
                <w:sz w:val="18"/>
                <w:szCs w:val="18"/>
                <w:color w:val="auto"/>
              </w:rPr>
              <w:t>$</w:t>
            </w:r>
          </w:p>
        </w:tc>
        <w:tc>
          <w:tcPr>
            <w:tcW w:w="1400" w:type="dxa"/>
            <w:vAlign w:val="bottom"/>
            <w:gridSpan w:val="2"/>
            <w:shd w:val="clear" w:color="auto" w:fill="CCEEFF"/>
          </w:tcPr>
          <w:p>
            <w:pPr>
              <w:jc w:val="right"/>
              <w:ind w:right="220"/>
              <w:spacing w:after="0" w:line="201" w:lineRule="exact"/>
              <w:rPr>
                <w:sz w:val="20"/>
                <w:szCs w:val="20"/>
                <w:color w:val="auto"/>
              </w:rPr>
            </w:pPr>
            <w:r>
              <w:rPr>
                <w:rFonts w:ascii="Arial" w:cs="Arial" w:eastAsia="Arial" w:hAnsi="Arial"/>
                <w:sz w:val="18"/>
                <w:szCs w:val="18"/>
                <w:color w:val="auto"/>
              </w:rPr>
              <w:t>(8.9)</w:t>
            </w:r>
          </w:p>
        </w:tc>
        <w:tc>
          <w:tcPr>
            <w:tcW w:w="700" w:type="dxa"/>
            <w:vAlign w:val="bottom"/>
            <w:gridSpan w:val="3"/>
            <w:shd w:val="clear" w:color="auto" w:fill="CCEEFF"/>
          </w:tcPr>
          <w:p>
            <w:pPr>
              <w:jc w:val="right"/>
              <w:spacing w:after="0" w:line="201" w:lineRule="exact"/>
              <w:rPr>
                <w:sz w:val="20"/>
                <w:szCs w:val="20"/>
                <w:color w:val="auto"/>
              </w:rPr>
            </w:pPr>
            <w:r>
              <w:rPr>
                <w:rFonts w:ascii="Arial" w:cs="Arial" w:eastAsia="Arial" w:hAnsi="Arial"/>
                <w:sz w:val="18"/>
                <w:szCs w:val="18"/>
                <w:color w:val="auto"/>
              </w:rPr>
              <w:t>$(6.4)</w:t>
            </w:r>
          </w:p>
        </w:tc>
        <w:tc>
          <w:tcPr>
            <w:tcW w:w="2060" w:type="dxa"/>
            <w:vAlign w:val="bottom"/>
            <w:shd w:val="clear" w:color="auto" w:fill="CCEEFF"/>
          </w:tcPr>
          <w:p>
            <w:pPr>
              <w:ind w:left="440"/>
              <w:spacing w:after="0" w:line="201" w:lineRule="exact"/>
              <w:rPr>
                <w:sz w:val="20"/>
                <w:szCs w:val="20"/>
                <w:color w:val="auto"/>
              </w:rPr>
            </w:pPr>
            <w:r>
              <w:rPr>
                <w:rFonts w:ascii="Arial" w:cs="Arial" w:eastAsia="Arial" w:hAnsi="Arial"/>
                <w:sz w:val="18"/>
                <w:szCs w:val="18"/>
                <w:color w:val="auto"/>
              </w:rPr>
              <w:t>Net revenue</w:t>
            </w:r>
          </w:p>
        </w:tc>
        <w:tc>
          <w:tcPr>
            <w:tcW w:w="760" w:type="dxa"/>
            <w:vAlign w:val="bottom"/>
            <w:gridSpan w:val="3"/>
            <w:shd w:val="clear" w:color="auto" w:fill="CCEEFF"/>
          </w:tcPr>
          <w:p>
            <w:pPr>
              <w:jc w:val="right"/>
              <w:ind w:right="20"/>
              <w:spacing w:after="0" w:line="201" w:lineRule="exact"/>
              <w:rPr>
                <w:sz w:val="20"/>
                <w:szCs w:val="20"/>
                <w:color w:val="auto"/>
              </w:rPr>
            </w:pPr>
            <w:r>
              <w:rPr>
                <w:rFonts w:ascii="Arial" w:cs="Arial" w:eastAsia="Arial" w:hAnsi="Arial"/>
                <w:sz w:val="18"/>
                <w:szCs w:val="18"/>
                <w:color w:val="auto"/>
              </w:rPr>
              <w:t>$1.7</w:t>
            </w:r>
          </w:p>
        </w:tc>
        <w:tc>
          <w:tcPr>
            <w:tcW w:w="1860" w:type="dxa"/>
            <w:vAlign w:val="bottom"/>
            <w:shd w:val="clear" w:color="auto" w:fill="CCEEFF"/>
          </w:tcPr>
          <w:p>
            <w:pPr>
              <w:ind w:left="400"/>
              <w:spacing w:after="0" w:line="201" w:lineRule="exact"/>
              <w:rPr>
                <w:sz w:val="20"/>
                <w:szCs w:val="20"/>
                <w:color w:val="auto"/>
              </w:rPr>
            </w:pPr>
            <w:r>
              <w:rPr>
                <w:rFonts w:ascii="Arial" w:cs="Arial" w:eastAsia="Arial" w:hAnsi="Arial"/>
                <w:sz w:val="18"/>
                <w:szCs w:val="18"/>
                <w:color w:val="auto"/>
              </w:rPr>
              <w:t>Interest and other</w:t>
            </w:r>
          </w:p>
        </w:tc>
      </w:tr>
      <w:tr>
        <w:trPr>
          <w:trHeight w:val="224"/>
        </w:trPr>
        <w:tc>
          <w:tcPr>
            <w:tcW w:w="20" w:type="dxa"/>
            <w:vAlign w:val="bottom"/>
          </w:tcPr>
          <w:p>
            <w:pPr>
              <w:spacing w:after="0"/>
              <w:rPr>
                <w:sz w:val="19"/>
                <w:szCs w:val="19"/>
                <w:color w:val="auto"/>
              </w:rPr>
            </w:pPr>
          </w:p>
        </w:tc>
        <w:tc>
          <w:tcPr>
            <w:tcW w:w="314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6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860" w:type="dxa"/>
            <w:vAlign w:val="bottom"/>
            <w:shd w:val="clear" w:color="auto" w:fill="CCEEFF"/>
          </w:tcPr>
          <w:p>
            <w:pPr>
              <w:ind w:left="400"/>
              <w:spacing w:after="0"/>
              <w:rPr>
                <w:sz w:val="20"/>
                <w:szCs w:val="20"/>
                <w:color w:val="auto"/>
              </w:rPr>
            </w:pPr>
            <w:r>
              <w:rPr>
                <w:rFonts w:ascii="Arial" w:cs="Arial" w:eastAsia="Arial" w:hAnsi="Arial"/>
                <w:sz w:val="18"/>
                <w:szCs w:val="18"/>
                <w:color w:val="auto"/>
              </w:rPr>
              <w:t>income, net</w:t>
            </w:r>
          </w:p>
        </w:tc>
      </w:tr>
      <w:tr>
        <w:trPr>
          <w:trHeight w:val="223"/>
        </w:trPr>
        <w:tc>
          <w:tcPr>
            <w:tcW w:w="20" w:type="dxa"/>
            <w:vAlign w:val="bottom"/>
          </w:tcPr>
          <w:p>
            <w:pPr>
              <w:spacing w:after="0"/>
              <w:rPr>
                <w:sz w:val="19"/>
                <w:szCs w:val="19"/>
                <w:color w:val="auto"/>
              </w:rPr>
            </w:pPr>
          </w:p>
        </w:tc>
        <w:tc>
          <w:tcPr>
            <w:tcW w:w="31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spacing w:after="0"/>
              <w:rPr>
                <w:sz w:val="19"/>
                <w:szCs w:val="19"/>
                <w:color w:val="auto"/>
              </w:rPr>
            </w:pPr>
          </w:p>
        </w:tc>
        <w:tc>
          <w:tcPr>
            <w:tcW w:w="2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w:t>
            </w:r>
          </w:p>
        </w:tc>
        <w:tc>
          <w:tcPr>
            <w:tcW w:w="80" w:type="dxa"/>
            <w:vAlign w:val="bottom"/>
          </w:tcPr>
          <w:p>
            <w:pPr>
              <w:spacing w:after="0"/>
              <w:rPr>
                <w:sz w:val="19"/>
                <w:szCs w:val="19"/>
                <w:color w:val="auto"/>
              </w:rPr>
            </w:pPr>
          </w:p>
        </w:tc>
        <w:tc>
          <w:tcPr>
            <w:tcW w:w="2060" w:type="dxa"/>
            <w:vAlign w:val="bottom"/>
          </w:tcPr>
          <w:p>
            <w:pPr>
              <w:ind w:left="440"/>
              <w:spacing w:after="0"/>
              <w:rPr>
                <w:sz w:val="20"/>
                <w:szCs w:val="20"/>
                <w:color w:val="auto"/>
              </w:rPr>
            </w:pPr>
            <w:r>
              <w:rPr>
                <w:rFonts w:ascii="Arial" w:cs="Arial" w:eastAsia="Arial" w:hAnsi="Arial"/>
                <w:sz w:val="18"/>
                <w:szCs w:val="18"/>
                <w:color w:val="auto"/>
                <w:w w:val="99"/>
              </w:rPr>
              <w:t>Operating expenses</w:t>
            </w:r>
          </w:p>
        </w:tc>
        <w:tc>
          <w:tcPr>
            <w:tcW w:w="42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186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314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(8.9)</w:t>
            </w:r>
          </w:p>
        </w:tc>
        <w:tc>
          <w:tcPr>
            <w:tcW w:w="700" w:type="dxa"/>
            <w:vAlign w:val="bottom"/>
            <w:gridSpan w:val="3"/>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(4.0)</w:t>
            </w:r>
          </w:p>
        </w:tc>
        <w:tc>
          <w:tcPr>
            <w:tcW w:w="2060" w:type="dxa"/>
            <w:vAlign w:val="bottom"/>
            <w:shd w:val="clear" w:color="auto" w:fill="CCEEFF"/>
          </w:tcPr>
          <w:p>
            <w:pPr>
              <w:spacing w:after="0"/>
              <w:rPr>
                <w:sz w:val="18"/>
                <w:szCs w:val="18"/>
                <w:color w:val="auto"/>
              </w:rPr>
            </w:pPr>
          </w:p>
        </w:tc>
        <w:tc>
          <w:tcPr>
            <w:tcW w:w="76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1.7</w:t>
            </w:r>
          </w:p>
        </w:tc>
        <w:tc>
          <w:tcPr>
            <w:tcW w:w="1860" w:type="dxa"/>
            <w:vAlign w:val="bottom"/>
            <w:shd w:val="clear" w:color="auto" w:fill="CCEEFF"/>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31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r>
    </w:tbl>
    <w:p>
      <w:pPr>
        <w:spacing w:after="0" w:line="123" w:lineRule="exact"/>
        <w:rPr>
          <w:sz w:val="20"/>
          <w:szCs w:val="20"/>
          <w:color w:val="auto"/>
        </w:rPr>
      </w:pPr>
    </w:p>
    <w:p>
      <w:pPr>
        <w:ind w:left="460" w:hanging="452"/>
        <w:spacing w:after="0"/>
        <w:tabs>
          <w:tab w:leader="none" w:pos="460" w:val="left"/>
        </w:tabs>
        <w:numPr>
          <w:ilvl w:val="0"/>
          <w:numId w:val="7"/>
        </w:numPr>
        <w:rPr>
          <w:rFonts w:ascii="Arial" w:cs="Arial" w:eastAsia="Arial" w:hAnsi="Arial"/>
          <w:sz w:val="22"/>
          <w:szCs w:val="22"/>
          <w:color w:val="auto"/>
          <w:vertAlign w:val="superscript"/>
        </w:rPr>
      </w:pPr>
      <w:r>
        <w:rPr>
          <w:rFonts w:ascii="Arial" w:cs="Arial" w:eastAsia="Arial" w:hAnsi="Arial"/>
          <w:sz w:val="18"/>
          <w:szCs w:val="18"/>
          <w:color w:val="auto"/>
        </w:rPr>
        <w:t>The entire remaining net loss as of October 31, 2009 is expected to be recognized into earnings within the next 12 months.</w:t>
      </w:r>
    </w:p>
    <w:p>
      <w:pPr>
        <w:spacing w:after="0" w:line="7" w:lineRule="exact"/>
        <w:rPr>
          <w:rFonts w:ascii="Arial" w:cs="Arial" w:eastAsia="Arial" w:hAnsi="Arial"/>
          <w:sz w:val="22"/>
          <w:szCs w:val="22"/>
          <w:color w:val="auto"/>
          <w:vertAlign w:val="superscript"/>
        </w:rPr>
      </w:pPr>
    </w:p>
    <w:p>
      <w:pPr>
        <w:ind w:left="460" w:right="720" w:hanging="452"/>
        <w:spacing w:after="0" w:line="233" w:lineRule="auto"/>
        <w:tabs>
          <w:tab w:leader="none" w:pos="460" w:val="left"/>
        </w:tabs>
        <w:numPr>
          <w:ilvl w:val="0"/>
          <w:numId w:val="7"/>
        </w:numPr>
        <w:rPr>
          <w:rFonts w:ascii="Arial" w:cs="Arial" w:eastAsia="Arial" w:hAnsi="Arial"/>
          <w:sz w:val="21"/>
          <w:szCs w:val="21"/>
          <w:color w:val="auto"/>
          <w:vertAlign w:val="superscript"/>
        </w:rPr>
      </w:pPr>
      <w:r>
        <w:rPr>
          <w:rFonts w:ascii="Arial" w:cs="Arial" w:eastAsia="Arial" w:hAnsi="Arial"/>
          <w:sz w:val="17"/>
          <w:szCs w:val="17"/>
          <w:color w:val="auto"/>
        </w:rPr>
        <w:t>Includes $0.1 million loss and $0.9 million gain recognized for the three and nine months ended October 31, 2009, respectively, due to previously forecasted transactions that did not occur within the originally specified time period or the additional period of time allowed.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-434975</wp:posOffset>
            </wp:positionV>
            <wp:extent cx="72898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60"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72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800" w:type="dxa"/>
            <w:vAlign w:val="bottom"/>
          </w:tcPr>
          <w:p>
            <w:pPr>
              <w:ind w:left="80"/>
              <w:spacing w:after="0"/>
              <w:rPr>
                <w:sz w:val="20"/>
                <w:szCs w:val="20"/>
                <w:color w:val="auto"/>
              </w:rPr>
            </w:pPr>
            <w:r>
              <w:rPr>
                <w:rFonts w:ascii="Arial" w:cs="Arial" w:eastAsia="Arial" w:hAnsi="Arial"/>
                <w:sz w:val="14"/>
                <w:szCs w:val="14"/>
                <w:b w:val="1"/>
                <w:bCs w:val="1"/>
                <w:color w:val="auto"/>
              </w:rPr>
              <w:t>Amount and Location of Gain (Loss)</w:t>
            </w:r>
          </w:p>
        </w:tc>
      </w:tr>
      <w:tr>
        <w:trPr>
          <w:trHeight w:val="161"/>
        </w:trPr>
        <w:tc>
          <w:tcPr>
            <w:tcW w:w="7200" w:type="dxa"/>
            <w:vAlign w:val="bottom"/>
          </w:tcPr>
          <w:p>
            <w:pPr>
              <w:spacing w:after="0"/>
              <w:rPr>
                <w:sz w:val="20"/>
                <w:szCs w:val="20"/>
                <w:color w:val="auto"/>
              </w:rPr>
            </w:pPr>
            <w:r>
              <w:rPr>
                <w:rFonts w:ascii="Arial" w:cs="Arial" w:eastAsia="Arial" w:hAnsi="Arial"/>
                <w:sz w:val="14"/>
                <w:szCs w:val="14"/>
                <w:b w:val="1"/>
                <w:bCs w:val="1"/>
                <w:color w:val="auto"/>
              </w:rPr>
              <w:t>Derivatives Not Designated as Hedging Instruments</w:t>
            </w:r>
          </w:p>
        </w:tc>
        <w:tc>
          <w:tcPr>
            <w:tcW w:w="38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2800" w:type="dxa"/>
            <w:vAlign w:val="bottom"/>
            <w:tcBorders>
              <w:bottom w:val="single" w:sz="8" w:color="auto"/>
            </w:tcBorders>
          </w:tcPr>
          <w:p>
            <w:pPr>
              <w:ind w:left="100"/>
              <w:spacing w:after="0"/>
              <w:rPr>
                <w:sz w:val="20"/>
                <w:szCs w:val="20"/>
                <w:color w:val="auto"/>
              </w:rPr>
            </w:pPr>
            <w:r>
              <w:rPr>
                <w:rFonts w:ascii="Arial" w:cs="Arial" w:eastAsia="Arial" w:hAnsi="Arial"/>
                <w:sz w:val="14"/>
                <w:szCs w:val="14"/>
                <w:b w:val="1"/>
                <w:bCs w:val="1"/>
                <w:color w:val="auto"/>
              </w:rPr>
              <w:t>Recognized in Income on Derivative</w:t>
            </w:r>
          </w:p>
        </w:tc>
      </w:tr>
      <w:tr>
        <w:trPr>
          <w:trHeight w:val="210"/>
        </w:trPr>
        <w:tc>
          <w:tcPr>
            <w:tcW w:w="7200" w:type="dxa"/>
            <w:vAlign w:val="bottom"/>
            <w:shd w:val="clear" w:color="auto" w:fill="CCEEFF"/>
          </w:tcPr>
          <w:p>
            <w:pPr>
              <w:spacing w:after="0"/>
              <w:rPr>
                <w:sz w:val="20"/>
                <w:szCs w:val="20"/>
                <w:color w:val="auto"/>
              </w:rPr>
            </w:pPr>
            <w:r>
              <w:rPr>
                <w:rFonts w:ascii="Arial" w:cs="Arial" w:eastAsia="Arial" w:hAnsi="Arial"/>
                <w:sz w:val="18"/>
                <w:szCs w:val="18"/>
                <w:color w:val="auto"/>
              </w:rPr>
              <w:t>For the three months ended October 31, 2009</w:t>
            </w:r>
          </w:p>
        </w:tc>
        <w:tc>
          <w:tcPr>
            <w:tcW w:w="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800" w:type="dxa"/>
            <w:vAlign w:val="bottom"/>
            <w:shd w:val="clear" w:color="auto" w:fill="CCEEFF"/>
          </w:tcPr>
          <w:p>
            <w:pPr>
              <w:spacing w:after="0"/>
              <w:rPr>
                <w:sz w:val="18"/>
                <w:szCs w:val="18"/>
                <w:color w:val="auto"/>
              </w:rPr>
            </w:pPr>
          </w:p>
        </w:tc>
      </w:tr>
      <w:tr>
        <w:trPr>
          <w:trHeight w:val="216"/>
        </w:trPr>
        <w:tc>
          <w:tcPr>
            <w:tcW w:w="7200" w:type="dxa"/>
            <w:vAlign w:val="bottom"/>
          </w:tcPr>
          <w:p>
            <w:pPr>
              <w:ind w:left="440"/>
              <w:spacing w:after="0"/>
              <w:rPr>
                <w:sz w:val="20"/>
                <w:szCs w:val="20"/>
                <w:color w:val="auto"/>
              </w:rPr>
            </w:pPr>
            <w:r>
              <w:rPr>
                <w:rFonts w:ascii="Arial" w:cs="Arial" w:eastAsia="Arial" w:hAnsi="Arial"/>
                <w:sz w:val="18"/>
                <w:szCs w:val="18"/>
                <w:color w:val="auto"/>
              </w:rPr>
              <w:t>Foreign exchange contracts</w:t>
            </w:r>
          </w:p>
        </w:tc>
        <w:tc>
          <w:tcPr>
            <w:tcW w:w="500" w:type="dxa"/>
            <w:vAlign w:val="bottom"/>
            <w:gridSpan w:val="2"/>
          </w:tcPr>
          <w:p>
            <w:pPr>
              <w:jc w:val="right"/>
              <w:ind w:right="80"/>
              <w:spacing w:after="0"/>
              <w:rPr>
                <w:sz w:val="20"/>
                <w:szCs w:val="20"/>
                <w:color w:val="auto"/>
              </w:rPr>
            </w:pPr>
            <w:r>
              <w:rPr>
                <w:rFonts w:ascii="Arial" w:cs="Arial" w:eastAsia="Arial" w:hAnsi="Arial"/>
                <w:sz w:val="18"/>
                <w:szCs w:val="18"/>
                <w:u w:val="single" w:color="auto"/>
                <w:color w:val="auto"/>
                <w:w w:val="84"/>
              </w:rPr>
              <w:t>$</w:t>
            </w:r>
            <w:r>
              <w:rPr>
                <w:rFonts w:ascii="Arial" w:cs="Arial" w:eastAsia="Arial" w:hAnsi="Arial"/>
                <w:sz w:val="18"/>
                <w:szCs w:val="18"/>
                <w:color w:val="auto"/>
                <w:w w:val="84"/>
              </w:rPr>
              <w:t>(0.2)</w:t>
            </w:r>
          </w:p>
        </w:tc>
        <w:tc>
          <w:tcPr>
            <w:tcW w:w="2800" w:type="dxa"/>
            <w:vAlign w:val="bottom"/>
          </w:tcPr>
          <w:p>
            <w:pPr>
              <w:ind w:left="700"/>
              <w:spacing w:after="0"/>
              <w:rPr>
                <w:sz w:val="20"/>
                <w:szCs w:val="20"/>
                <w:color w:val="auto"/>
              </w:rPr>
            </w:pPr>
            <w:r>
              <w:rPr>
                <w:rFonts w:ascii="Arial" w:cs="Arial" w:eastAsia="Arial" w:hAnsi="Arial"/>
                <w:sz w:val="18"/>
                <w:szCs w:val="18"/>
                <w:color w:val="auto"/>
                <w:w w:val="86"/>
              </w:rPr>
              <w:t>Interest and other income, net</w:t>
            </w:r>
          </w:p>
        </w:tc>
      </w:tr>
      <w:tr>
        <w:trPr>
          <w:trHeight w:val="20"/>
        </w:trPr>
        <w:tc>
          <w:tcPr>
            <w:tcW w:w="720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0" w:type="dxa"/>
            <w:vAlign w:val="bottom"/>
          </w:tcPr>
          <w:p>
            <w:pPr>
              <w:spacing w:after="0" w:line="20" w:lineRule="exact"/>
              <w:rPr>
                <w:sz w:val="1"/>
                <w:szCs w:val="1"/>
                <w:color w:val="auto"/>
              </w:rPr>
            </w:pPr>
          </w:p>
        </w:tc>
      </w:tr>
      <w:tr>
        <w:trPr>
          <w:trHeight w:val="210"/>
        </w:trPr>
        <w:tc>
          <w:tcPr>
            <w:tcW w:w="7200" w:type="dxa"/>
            <w:vAlign w:val="bottom"/>
            <w:shd w:val="clear" w:color="auto" w:fill="CCEEFF"/>
          </w:tcPr>
          <w:p>
            <w:pPr>
              <w:spacing w:after="0"/>
              <w:rPr>
                <w:sz w:val="20"/>
                <w:szCs w:val="20"/>
                <w:color w:val="auto"/>
              </w:rPr>
            </w:pPr>
            <w:r>
              <w:rPr>
                <w:rFonts w:ascii="Arial" w:cs="Arial" w:eastAsia="Arial" w:hAnsi="Arial"/>
                <w:sz w:val="18"/>
                <w:szCs w:val="18"/>
                <w:color w:val="auto"/>
              </w:rPr>
              <w:t>For the nine months ended October 31, 2009</w:t>
            </w:r>
          </w:p>
        </w:tc>
        <w:tc>
          <w:tcPr>
            <w:tcW w:w="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800" w:type="dxa"/>
            <w:vAlign w:val="bottom"/>
            <w:shd w:val="clear" w:color="auto" w:fill="CCEEFF"/>
          </w:tcPr>
          <w:p>
            <w:pPr>
              <w:spacing w:after="0"/>
              <w:rPr>
                <w:sz w:val="18"/>
                <w:szCs w:val="18"/>
                <w:color w:val="auto"/>
              </w:rPr>
            </w:pPr>
          </w:p>
        </w:tc>
      </w:tr>
      <w:tr>
        <w:trPr>
          <w:trHeight w:val="216"/>
        </w:trPr>
        <w:tc>
          <w:tcPr>
            <w:tcW w:w="7200" w:type="dxa"/>
            <w:vAlign w:val="bottom"/>
          </w:tcPr>
          <w:p>
            <w:pPr>
              <w:ind w:left="440"/>
              <w:spacing w:after="0"/>
              <w:rPr>
                <w:sz w:val="20"/>
                <w:szCs w:val="20"/>
                <w:color w:val="auto"/>
              </w:rPr>
            </w:pPr>
            <w:r>
              <w:rPr>
                <w:rFonts w:ascii="Arial" w:cs="Arial" w:eastAsia="Arial" w:hAnsi="Arial"/>
                <w:sz w:val="18"/>
                <w:szCs w:val="18"/>
                <w:color w:val="auto"/>
              </w:rPr>
              <w:t>Foreign exchange contracts</w:t>
            </w:r>
          </w:p>
        </w:tc>
        <w:tc>
          <w:tcPr>
            <w:tcW w:w="500" w:type="dxa"/>
            <w:vAlign w:val="bottom"/>
            <w:gridSpan w:val="2"/>
          </w:tcPr>
          <w:p>
            <w:pPr>
              <w:jc w:val="right"/>
              <w:ind w:right="80"/>
              <w:spacing w:after="0"/>
              <w:rPr>
                <w:sz w:val="20"/>
                <w:szCs w:val="20"/>
                <w:color w:val="auto"/>
              </w:rPr>
            </w:pPr>
            <w:r>
              <w:rPr>
                <w:rFonts w:ascii="Arial" w:cs="Arial" w:eastAsia="Arial" w:hAnsi="Arial"/>
                <w:sz w:val="18"/>
                <w:szCs w:val="18"/>
                <w:u w:val="single" w:color="auto"/>
                <w:color w:val="auto"/>
                <w:w w:val="84"/>
              </w:rPr>
              <w:t>$</w:t>
            </w:r>
            <w:r>
              <w:rPr>
                <w:rFonts w:ascii="Arial" w:cs="Arial" w:eastAsia="Arial" w:hAnsi="Arial"/>
                <w:sz w:val="18"/>
                <w:szCs w:val="18"/>
                <w:color w:val="auto"/>
                <w:w w:val="84"/>
              </w:rPr>
              <w:t>(1.8)</w:t>
            </w:r>
          </w:p>
        </w:tc>
        <w:tc>
          <w:tcPr>
            <w:tcW w:w="2800" w:type="dxa"/>
            <w:vAlign w:val="bottom"/>
          </w:tcPr>
          <w:p>
            <w:pPr>
              <w:ind w:left="700"/>
              <w:spacing w:after="0"/>
              <w:rPr>
                <w:sz w:val="20"/>
                <w:szCs w:val="20"/>
                <w:color w:val="auto"/>
              </w:rPr>
            </w:pPr>
            <w:r>
              <w:rPr>
                <w:rFonts w:ascii="Arial" w:cs="Arial" w:eastAsia="Arial" w:hAnsi="Arial"/>
                <w:sz w:val="18"/>
                <w:szCs w:val="18"/>
                <w:color w:val="auto"/>
                <w:w w:val="86"/>
              </w:rPr>
              <w:t>Interest and other income, net</w:t>
            </w:r>
          </w:p>
        </w:tc>
      </w:tr>
      <w:tr>
        <w:trPr>
          <w:trHeight w:val="20"/>
        </w:trPr>
        <w:tc>
          <w:tcPr>
            <w:tcW w:w="720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0" w:type="dxa"/>
            <w:vAlign w:val="bottom"/>
          </w:tcPr>
          <w:p>
            <w:pPr>
              <w:spacing w:after="0" w:line="20" w:lineRule="exact"/>
              <w:rPr>
                <w:sz w:val="1"/>
                <w:szCs w:val="1"/>
                <w:color w:val="auto"/>
              </w:rPr>
            </w:pPr>
          </w:p>
        </w:tc>
      </w:tr>
    </w:tbl>
    <w:p>
      <w:pPr>
        <w:spacing w:after="0" w:line="289" w:lineRule="exact"/>
        <w:rPr>
          <w:sz w:val="20"/>
          <w:szCs w:val="20"/>
          <w:color w:val="auto"/>
        </w:rPr>
      </w:pPr>
    </w:p>
    <w:p>
      <w:pPr>
        <w:ind w:left="460" w:hanging="452"/>
        <w:spacing w:after="0"/>
        <w:tabs>
          <w:tab w:leader="none" w:pos="460" w:val="left"/>
        </w:tabs>
        <w:numPr>
          <w:ilvl w:val="0"/>
          <w:numId w:val="8"/>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Fair Value Measurements</w:t>
      </w:r>
    </w:p>
    <w:p>
      <w:pPr>
        <w:spacing w:after="0" w:line="90"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Fair value is an exit price, representing the amount that would be received upon the sale of an asset, or the amount paid to transfer a liability in an orderly transaction between market participants. As such, fair value is a market-based measurement that should be determined based on assumptions that market participants would use in pricing an asset or liability. As a basis for considering such assumptions, Autodesk uses a three-tier value hierarchy, which prioritizes the inputs used in measuring fair value as follows: (Level 1) observable inputs such as quoted prices in active markets; (Level 2) inputs other than the quoted prices in active markets that are observable either directly or indirectly in active markets; and (Level 3) unobservable inputs in which there is little or no market data, which requires Autodesk to develop its own assumptions. Whenever possible, Autodesk uses observable market data, and relies on unobservable inputs only when observable market data is not available, when determining fair value. On a recurring basis, Autodesk measures at fair value certain financial assets and liabilities, which consist of cash equivalents, marketable securities and foreign currency contracts.</w:t>
      </w:r>
    </w:p>
    <w:p>
      <w:pPr>
        <w:spacing w:after="0" w:line="118" w:lineRule="exact"/>
        <w:rPr>
          <w:sz w:val="20"/>
          <w:szCs w:val="20"/>
          <w:color w:val="auto"/>
        </w:rPr>
      </w:pPr>
    </w:p>
    <w:p>
      <w:pPr>
        <w:ind w:right="100" w:firstLine="456"/>
        <w:spacing w:after="0" w:line="290" w:lineRule="auto"/>
        <w:rPr>
          <w:sz w:val="20"/>
          <w:szCs w:val="20"/>
          <w:color w:val="auto"/>
        </w:rPr>
      </w:pPr>
      <w:r>
        <w:rPr>
          <w:rFonts w:ascii="Arial" w:cs="Arial" w:eastAsia="Arial" w:hAnsi="Arial"/>
          <w:sz w:val="16"/>
          <w:szCs w:val="16"/>
          <w:color w:val="auto"/>
        </w:rPr>
        <w:t>The Company’s investments held in the Reserve Funds are designated as Level 3 securities. The Company conducted its fair value assessment of the Reserve Funds using Level 2 and Level 3 inputs. Management has reviewed the Reserve Funds’ underlying securities portfolio, which is substantially comprised of term deposits, money market funds, U.S. treasury bills and commercial paper. These securities are issued by highly-rated institutions. Normally, the Company would classify such investments within Level 2 of the fair value hierarchy. Management evaluated the fair value of its unit interest in the Reserve Funds, considering risk of collection, timing and other factors. These assumptions are inherently subjective and involve significant management judgment. As a result, the Company has classified its holdings in the Reserve Funds within Level 3 of the fair value hierarchy. Autodesk’s investments in auction rate securities are classified within Level 3 because they are valued using a pricing model, and some of the inputs to this model are unobservable in the market.</w:t>
      </w:r>
    </w:p>
    <w:p>
      <w:pPr>
        <w:spacing w:after="0" w:line="1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20"/>
          </w:cols>
          <w:pgMar w:left="240" w:top="459" w:right="23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Assets and Liabilities Measured at Fair Value on a Recurring Basis</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following table summarizes Autodesk’s investments and financial instruments measured at fair value on a recurring basis as of October 31, 2009:</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0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3660" w:type="dxa"/>
            <w:vAlign w:val="bottom"/>
            <w:tcBorders>
              <w:bottom w:val="single" w:sz="8" w:color="auto"/>
            </w:tcBorders>
            <w:gridSpan w:val="8"/>
          </w:tcPr>
          <w:p>
            <w:pPr>
              <w:jc w:val="right"/>
              <w:ind w:right="80"/>
              <w:spacing w:after="0"/>
              <w:rPr>
                <w:sz w:val="20"/>
                <w:szCs w:val="20"/>
                <w:color w:val="auto"/>
              </w:rPr>
            </w:pPr>
            <w:r>
              <w:rPr>
                <w:rFonts w:ascii="Arial" w:cs="Arial" w:eastAsia="Arial" w:hAnsi="Arial"/>
                <w:sz w:val="14"/>
                <w:szCs w:val="14"/>
                <w:b w:val="1"/>
                <w:bCs w:val="1"/>
                <w:color w:val="auto"/>
              </w:rPr>
              <w:t>Fair Value Measurements at October 31, 2009 Using</w:t>
            </w:r>
          </w:p>
        </w:tc>
        <w:tc>
          <w:tcPr>
            <w:tcW w:w="1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7060" w:type="dxa"/>
            <w:vAlign w:val="bottom"/>
          </w:tcPr>
          <w:p>
            <w:pPr>
              <w:spacing w:after="0"/>
              <w:rPr>
                <w:sz w:val="11"/>
                <w:szCs w:val="11"/>
                <w:color w:val="auto"/>
              </w:rPr>
            </w:pPr>
          </w:p>
        </w:tc>
        <w:tc>
          <w:tcPr>
            <w:tcW w:w="900" w:type="dxa"/>
            <w:vAlign w:val="bottom"/>
            <w:gridSpan w:val="2"/>
          </w:tcPr>
          <w:p>
            <w:pPr>
              <w:jc w:val="center"/>
              <w:spacing w:after="0" w:line="129" w:lineRule="exact"/>
              <w:rPr>
                <w:sz w:val="20"/>
                <w:szCs w:val="20"/>
                <w:color w:val="auto"/>
              </w:rPr>
            </w:pPr>
            <w:r>
              <w:rPr>
                <w:rFonts w:ascii="Arial" w:cs="Arial" w:eastAsia="Arial" w:hAnsi="Arial"/>
                <w:sz w:val="14"/>
                <w:szCs w:val="14"/>
                <w:b w:val="1"/>
                <w:bCs w:val="1"/>
                <w:color w:val="auto"/>
                <w:w w:val="86"/>
              </w:rPr>
              <w:t>Quoted Prices</w:t>
            </w:r>
          </w:p>
        </w:tc>
        <w:tc>
          <w:tcPr>
            <w:tcW w:w="500" w:type="dxa"/>
            <w:vAlign w:val="bottom"/>
          </w:tcPr>
          <w:p>
            <w:pPr>
              <w:spacing w:after="0"/>
              <w:rPr>
                <w:sz w:val="11"/>
                <w:szCs w:val="11"/>
                <w:color w:val="auto"/>
              </w:rPr>
            </w:pPr>
          </w:p>
        </w:tc>
        <w:tc>
          <w:tcPr>
            <w:tcW w:w="660" w:type="dxa"/>
            <w:vAlign w:val="bottom"/>
            <w:gridSpan w:val="2"/>
          </w:tcPr>
          <w:p>
            <w:pPr>
              <w:ind w:left="20"/>
              <w:spacing w:after="0" w:line="129" w:lineRule="exact"/>
              <w:rPr>
                <w:sz w:val="20"/>
                <w:szCs w:val="20"/>
                <w:color w:val="auto"/>
              </w:rPr>
            </w:pPr>
            <w:r>
              <w:rPr>
                <w:rFonts w:ascii="Arial" w:cs="Arial" w:eastAsia="Arial" w:hAnsi="Arial"/>
                <w:sz w:val="14"/>
                <w:szCs w:val="14"/>
                <w:b w:val="1"/>
                <w:bCs w:val="1"/>
                <w:color w:val="auto"/>
                <w:w w:val="86"/>
              </w:rPr>
              <w:t>Significant</w:t>
            </w: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70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jc w:val="center"/>
              <w:ind w:right="16"/>
              <w:spacing w:after="0" w:line="149" w:lineRule="exact"/>
              <w:rPr>
                <w:sz w:val="20"/>
                <w:szCs w:val="20"/>
                <w:color w:val="auto"/>
              </w:rPr>
            </w:pPr>
            <w:r>
              <w:rPr>
                <w:rFonts w:ascii="Arial" w:cs="Arial" w:eastAsia="Arial" w:hAnsi="Arial"/>
                <w:sz w:val="14"/>
                <w:szCs w:val="14"/>
                <w:b w:val="1"/>
                <w:bCs w:val="1"/>
                <w:color w:val="auto"/>
                <w:w w:val="85"/>
              </w:rPr>
              <w:t>in Active</w:t>
            </w:r>
          </w:p>
        </w:tc>
        <w:tc>
          <w:tcPr>
            <w:tcW w:w="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Pr>
          <w:p>
            <w:pPr>
              <w:jc w:val="center"/>
              <w:ind w:right="34"/>
              <w:spacing w:after="0" w:line="149" w:lineRule="exact"/>
              <w:rPr>
                <w:sz w:val="20"/>
                <w:szCs w:val="20"/>
                <w:color w:val="auto"/>
              </w:rPr>
            </w:pPr>
            <w:r>
              <w:rPr>
                <w:rFonts w:ascii="Arial" w:cs="Arial" w:eastAsia="Arial" w:hAnsi="Arial"/>
                <w:sz w:val="14"/>
                <w:szCs w:val="14"/>
                <w:b w:val="1"/>
                <w:bCs w:val="1"/>
                <w:color w:val="auto"/>
                <w:w w:val="90"/>
              </w:rPr>
              <w:t>Other</w:t>
            </w:r>
          </w:p>
        </w:tc>
        <w:tc>
          <w:tcPr>
            <w:tcW w:w="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00" w:type="dxa"/>
            <w:vAlign w:val="bottom"/>
            <w:gridSpan w:val="2"/>
          </w:tcPr>
          <w:p>
            <w:pPr>
              <w:jc w:val="right"/>
              <w:ind w:right="480"/>
              <w:spacing w:after="0" w:line="149" w:lineRule="exact"/>
              <w:rPr>
                <w:sz w:val="20"/>
                <w:szCs w:val="20"/>
                <w:color w:val="auto"/>
              </w:rPr>
            </w:pPr>
            <w:r>
              <w:rPr>
                <w:rFonts w:ascii="Arial" w:cs="Arial" w:eastAsia="Arial" w:hAnsi="Arial"/>
                <w:sz w:val="14"/>
                <w:szCs w:val="14"/>
                <w:b w:val="1"/>
                <w:bCs w:val="1"/>
                <w:color w:val="auto"/>
                <w:w w:val="83"/>
              </w:rPr>
              <w:t>Significant</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70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jc w:val="center"/>
              <w:ind w:right="16"/>
              <w:spacing w:after="0" w:line="149" w:lineRule="exact"/>
              <w:rPr>
                <w:sz w:val="20"/>
                <w:szCs w:val="20"/>
                <w:color w:val="auto"/>
              </w:rPr>
            </w:pPr>
            <w:r>
              <w:rPr>
                <w:rFonts w:ascii="Arial" w:cs="Arial" w:eastAsia="Arial" w:hAnsi="Arial"/>
                <w:sz w:val="14"/>
                <w:szCs w:val="14"/>
                <w:b w:val="1"/>
                <w:bCs w:val="1"/>
                <w:color w:val="auto"/>
                <w:w w:val="92"/>
              </w:rPr>
              <w:t>Markets for</w:t>
            </w:r>
          </w:p>
        </w:tc>
        <w:tc>
          <w:tcPr>
            <w:tcW w:w="500" w:type="dxa"/>
            <w:vAlign w:val="bottom"/>
          </w:tcPr>
          <w:p>
            <w:pPr>
              <w:spacing w:after="0"/>
              <w:rPr>
                <w:sz w:val="12"/>
                <w:szCs w:val="12"/>
                <w:color w:val="auto"/>
              </w:rPr>
            </w:pPr>
          </w:p>
        </w:tc>
        <w:tc>
          <w:tcPr>
            <w:tcW w:w="660" w:type="dxa"/>
            <w:vAlign w:val="bottom"/>
            <w:gridSpan w:val="2"/>
          </w:tcPr>
          <w:p>
            <w:pPr>
              <w:spacing w:after="0" w:line="149" w:lineRule="exact"/>
              <w:rPr>
                <w:sz w:val="20"/>
                <w:szCs w:val="20"/>
                <w:color w:val="auto"/>
              </w:rPr>
            </w:pPr>
            <w:r>
              <w:rPr>
                <w:rFonts w:ascii="Arial" w:cs="Arial" w:eastAsia="Arial" w:hAnsi="Arial"/>
                <w:sz w:val="14"/>
                <w:szCs w:val="14"/>
                <w:b w:val="1"/>
                <w:bCs w:val="1"/>
                <w:color w:val="auto"/>
                <w:w w:val="83"/>
              </w:rPr>
              <w:t>Observable</w:t>
            </w:r>
          </w:p>
        </w:tc>
        <w:tc>
          <w:tcPr>
            <w:tcW w:w="500" w:type="dxa"/>
            <w:vAlign w:val="bottom"/>
          </w:tcPr>
          <w:p>
            <w:pPr>
              <w:spacing w:after="0"/>
              <w:rPr>
                <w:sz w:val="12"/>
                <w:szCs w:val="12"/>
                <w:color w:val="auto"/>
              </w:rPr>
            </w:pPr>
          </w:p>
        </w:tc>
        <w:tc>
          <w:tcPr>
            <w:tcW w:w="120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Unobservable</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7060" w:type="dxa"/>
            <w:vAlign w:val="bottom"/>
          </w:tcPr>
          <w:p>
            <w:pPr>
              <w:spacing w:after="0"/>
              <w:rPr>
                <w:sz w:val="14"/>
                <w:szCs w:val="14"/>
                <w:color w:val="auto"/>
              </w:rPr>
            </w:pPr>
          </w:p>
        </w:tc>
        <w:tc>
          <w:tcPr>
            <w:tcW w:w="900" w:type="dxa"/>
            <w:vAlign w:val="bottom"/>
            <w:gridSpan w:val="2"/>
          </w:tcPr>
          <w:p>
            <w:pPr>
              <w:jc w:val="center"/>
              <w:spacing w:after="0"/>
              <w:rPr>
                <w:sz w:val="20"/>
                <w:szCs w:val="20"/>
                <w:color w:val="auto"/>
              </w:rPr>
            </w:pPr>
            <w:r>
              <w:rPr>
                <w:rFonts w:ascii="Arial" w:cs="Arial" w:eastAsia="Arial" w:hAnsi="Arial"/>
                <w:sz w:val="14"/>
                <w:szCs w:val="14"/>
                <w:b w:val="1"/>
                <w:bCs w:val="1"/>
                <w:color w:val="auto"/>
                <w:w w:val="84"/>
              </w:rPr>
              <w:t>Identical Assets</w:t>
            </w:r>
          </w:p>
        </w:tc>
        <w:tc>
          <w:tcPr>
            <w:tcW w:w="5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40" w:type="dxa"/>
            <w:vAlign w:val="bottom"/>
          </w:tcPr>
          <w:p>
            <w:pPr>
              <w:jc w:val="center"/>
              <w:ind w:right="34"/>
              <w:spacing w:after="0"/>
              <w:rPr>
                <w:sz w:val="20"/>
                <w:szCs w:val="20"/>
                <w:color w:val="auto"/>
              </w:rPr>
            </w:pPr>
            <w:r>
              <w:rPr>
                <w:rFonts w:ascii="Arial" w:cs="Arial" w:eastAsia="Arial" w:hAnsi="Arial"/>
                <w:sz w:val="14"/>
                <w:szCs w:val="14"/>
                <w:b w:val="1"/>
                <w:bCs w:val="1"/>
                <w:color w:val="auto"/>
                <w:w w:val="90"/>
              </w:rPr>
              <w:t>Inputs</w:t>
            </w:r>
          </w:p>
        </w:tc>
        <w:tc>
          <w:tcPr>
            <w:tcW w:w="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00" w:type="dxa"/>
            <w:vAlign w:val="bottom"/>
            <w:gridSpan w:val="2"/>
          </w:tcPr>
          <w:p>
            <w:pPr>
              <w:jc w:val="right"/>
              <w:ind w:right="620"/>
              <w:spacing w:after="0"/>
              <w:rPr>
                <w:sz w:val="20"/>
                <w:szCs w:val="20"/>
                <w:color w:val="auto"/>
              </w:rPr>
            </w:pPr>
            <w:r>
              <w:rPr>
                <w:rFonts w:ascii="Arial" w:cs="Arial" w:eastAsia="Arial" w:hAnsi="Arial"/>
                <w:sz w:val="14"/>
                <w:szCs w:val="14"/>
                <w:b w:val="1"/>
                <w:bCs w:val="1"/>
                <w:color w:val="auto"/>
              </w:rPr>
              <w:t>Inputs</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20" w:type="dxa"/>
            <w:vAlign w:val="bottom"/>
            <w:gridSpan w:val="2"/>
            <w:vMerge w:val="restart"/>
          </w:tcPr>
          <w:p>
            <w:pPr>
              <w:jc w:val="right"/>
              <w:ind w:right="120"/>
              <w:spacing w:after="0"/>
              <w:rPr>
                <w:sz w:val="20"/>
                <w:szCs w:val="20"/>
                <w:color w:val="auto"/>
              </w:rPr>
            </w:pPr>
            <w:r>
              <w:rPr>
                <w:rFonts w:ascii="Arial" w:cs="Arial" w:eastAsia="Arial" w:hAnsi="Arial"/>
                <w:sz w:val="14"/>
                <w:szCs w:val="14"/>
                <w:b w:val="1"/>
                <w:bCs w:val="1"/>
                <w:color w:val="auto"/>
                <w:w w:val="83"/>
              </w:rPr>
              <w:t>Total</w:t>
            </w:r>
          </w:p>
        </w:tc>
        <w:tc>
          <w:tcPr>
            <w:tcW w:w="0" w:type="dxa"/>
            <w:vAlign w:val="bottom"/>
          </w:tcPr>
          <w:p>
            <w:pPr>
              <w:spacing w:after="0"/>
              <w:rPr>
                <w:sz w:val="1"/>
                <w:szCs w:val="1"/>
                <w:color w:val="auto"/>
              </w:rPr>
            </w:pPr>
          </w:p>
        </w:tc>
      </w:tr>
      <w:tr>
        <w:trPr>
          <w:trHeight w:val="142"/>
        </w:trPr>
        <w:tc>
          <w:tcPr>
            <w:tcW w:w="706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800" w:type="dxa"/>
            <w:vAlign w:val="bottom"/>
            <w:tcBorders>
              <w:top w:val="single" w:sz="8" w:color="auto"/>
            </w:tcBorders>
          </w:tcPr>
          <w:p>
            <w:pPr>
              <w:jc w:val="center"/>
              <w:ind w:right="16"/>
              <w:spacing w:after="0" w:line="142" w:lineRule="exact"/>
              <w:rPr>
                <w:sz w:val="20"/>
                <w:szCs w:val="20"/>
                <w:color w:val="auto"/>
              </w:rPr>
            </w:pPr>
            <w:r>
              <w:rPr>
                <w:rFonts w:ascii="Arial" w:cs="Arial" w:eastAsia="Arial" w:hAnsi="Arial"/>
                <w:sz w:val="14"/>
                <w:szCs w:val="14"/>
                <w:b w:val="1"/>
                <w:bCs w:val="1"/>
                <w:color w:val="auto"/>
                <w:w w:val="87"/>
              </w:rPr>
              <w:t>(Level 1)</w:t>
            </w:r>
          </w:p>
        </w:tc>
        <w:tc>
          <w:tcPr>
            <w:tcW w:w="500" w:type="dxa"/>
            <w:vAlign w:val="bottom"/>
          </w:tcPr>
          <w:p>
            <w:pPr>
              <w:spacing w:after="0"/>
              <w:rPr>
                <w:sz w:val="12"/>
                <w:szCs w:val="12"/>
                <w:color w:val="auto"/>
              </w:rPr>
            </w:pPr>
          </w:p>
        </w:tc>
        <w:tc>
          <w:tcPr>
            <w:tcW w:w="660" w:type="dxa"/>
            <w:vAlign w:val="bottom"/>
            <w:tcBorders>
              <w:top w:val="single" w:sz="8" w:color="auto"/>
            </w:tcBorders>
            <w:gridSpan w:val="2"/>
          </w:tcPr>
          <w:p>
            <w:pPr>
              <w:jc w:val="center"/>
              <w:spacing w:after="0" w:line="142" w:lineRule="exact"/>
              <w:rPr>
                <w:sz w:val="20"/>
                <w:szCs w:val="20"/>
                <w:color w:val="auto"/>
              </w:rPr>
            </w:pPr>
            <w:r>
              <w:rPr>
                <w:rFonts w:ascii="Arial" w:cs="Arial" w:eastAsia="Arial" w:hAnsi="Arial"/>
                <w:sz w:val="14"/>
                <w:szCs w:val="14"/>
                <w:b w:val="1"/>
                <w:bCs w:val="1"/>
                <w:color w:val="auto"/>
                <w:w w:val="87"/>
              </w:rPr>
              <w:t>(Level 2)</w:t>
            </w:r>
          </w:p>
        </w:tc>
        <w:tc>
          <w:tcPr>
            <w:tcW w:w="50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700" w:type="dxa"/>
            <w:vAlign w:val="bottom"/>
            <w:tcBorders>
              <w:top w:val="single" w:sz="8" w:color="auto"/>
            </w:tcBorders>
          </w:tcPr>
          <w:p>
            <w:pPr>
              <w:jc w:val="right"/>
              <w:ind w:right="55"/>
              <w:spacing w:after="0" w:line="142" w:lineRule="exact"/>
              <w:rPr>
                <w:sz w:val="20"/>
                <w:szCs w:val="20"/>
                <w:color w:val="auto"/>
              </w:rPr>
            </w:pPr>
            <w:r>
              <w:rPr>
                <w:rFonts w:ascii="Arial" w:cs="Arial" w:eastAsia="Arial" w:hAnsi="Arial"/>
                <w:sz w:val="14"/>
                <w:szCs w:val="14"/>
                <w:b w:val="1"/>
                <w:bCs w:val="1"/>
                <w:color w:val="auto"/>
                <w:w w:val="94"/>
              </w:rPr>
              <w:t>(Level 3)</w:t>
            </w:r>
          </w:p>
        </w:tc>
        <w:tc>
          <w:tcPr>
            <w:tcW w:w="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2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7060" w:type="dxa"/>
            <w:vAlign w:val="bottom"/>
            <w:shd w:val="clear" w:color="auto" w:fill="CCEEFF"/>
          </w:tcPr>
          <w:p>
            <w:pPr>
              <w:spacing w:after="0"/>
              <w:rPr>
                <w:sz w:val="20"/>
                <w:szCs w:val="20"/>
                <w:color w:val="auto"/>
              </w:rPr>
            </w:pPr>
            <w:r>
              <w:rPr>
                <w:rFonts w:ascii="Arial" w:cs="Arial" w:eastAsia="Arial" w:hAnsi="Arial"/>
                <w:sz w:val="18"/>
                <w:szCs w:val="18"/>
                <w:color w:val="auto"/>
              </w:rPr>
              <w:t>Assets</w:t>
            </w:r>
          </w:p>
        </w:tc>
        <w:tc>
          <w:tcPr>
            <w:tcW w:w="10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400" w:type="dxa"/>
            <w:vAlign w:val="bottom"/>
            <w:tcBorders>
              <w:top w:val="single" w:sz="8" w:color="auto"/>
            </w:tcBorders>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60" w:type="dxa"/>
            <w:vAlign w:val="bottom"/>
          </w:tcPr>
          <w:p>
            <w:pPr>
              <w:ind w:left="440"/>
              <w:spacing w:after="0"/>
              <w:rPr>
                <w:sz w:val="20"/>
                <w:szCs w:val="20"/>
                <w:color w:val="auto"/>
              </w:rPr>
            </w:pPr>
            <w:r>
              <w:rPr>
                <w:rFonts w:ascii="Arial" w:cs="Arial" w:eastAsia="Arial" w:hAnsi="Arial"/>
                <w:sz w:val="18"/>
                <w:szCs w:val="18"/>
                <w:color w:val="auto"/>
              </w:rPr>
              <w:t>Cash equivalents</w:t>
            </w:r>
            <w:r>
              <w:rPr>
                <w:rFonts w:ascii="Arial" w:cs="Arial" w:eastAsia="Arial" w:hAnsi="Arial"/>
                <w:sz w:val="11"/>
                <w:szCs w:val="11"/>
                <w:color w:val="auto"/>
              </w:rPr>
              <w:t>(1)</w:t>
            </w: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60" w:type="dxa"/>
            <w:vAlign w:val="bottom"/>
            <w:shd w:val="clear" w:color="auto" w:fill="CCEEFF"/>
          </w:tcPr>
          <w:p>
            <w:pPr>
              <w:ind w:left="880"/>
              <w:spacing w:after="0"/>
              <w:rPr>
                <w:sz w:val="20"/>
                <w:szCs w:val="20"/>
                <w:color w:val="auto"/>
              </w:rPr>
            </w:pPr>
            <w:r>
              <w:rPr>
                <w:rFonts w:ascii="Arial" w:cs="Arial" w:eastAsia="Arial" w:hAnsi="Arial"/>
                <w:sz w:val="18"/>
                <w:szCs w:val="18"/>
                <w:color w:val="auto"/>
              </w:rPr>
              <w:t>Commercial paper</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20" w:type="dxa"/>
            <w:vAlign w:val="bottom"/>
            <w:gridSpan w:val="2"/>
            <w:shd w:val="clear" w:color="auto" w:fill="CCEEFF"/>
          </w:tcPr>
          <w:p>
            <w:pPr>
              <w:ind w:left="500"/>
              <w:spacing w:after="0"/>
              <w:rPr>
                <w:sz w:val="20"/>
                <w:szCs w:val="20"/>
                <w:color w:val="auto"/>
              </w:rPr>
            </w:pPr>
            <w:r>
              <w:rPr>
                <w:rFonts w:ascii="Arial" w:cs="Arial" w:eastAsia="Arial" w:hAnsi="Arial"/>
                <w:sz w:val="18"/>
                <w:szCs w:val="18"/>
                <w:color w:val="auto"/>
                <w:w w:val="99"/>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279.5</w:t>
            </w:r>
          </w:p>
        </w:tc>
        <w:tc>
          <w:tcPr>
            <w:tcW w:w="600" w:type="dxa"/>
            <w:vAlign w:val="bottom"/>
            <w:gridSpan w:val="2"/>
            <w:shd w:val="clear" w:color="auto" w:fill="CCEEFF"/>
          </w:tcPr>
          <w:p>
            <w:pPr>
              <w:ind w:left="500"/>
              <w:spacing w:after="0"/>
              <w:rPr>
                <w:sz w:val="20"/>
                <w:szCs w:val="20"/>
                <w:color w:val="auto"/>
              </w:rPr>
            </w:pPr>
            <w:r>
              <w:rPr>
                <w:rFonts w:ascii="Arial" w:cs="Arial" w:eastAsia="Arial" w:hAnsi="Arial"/>
                <w:sz w:val="18"/>
                <w:szCs w:val="18"/>
                <w:color w:val="auto"/>
                <w:w w:val="79"/>
              </w:rPr>
              <w:t>$</w:t>
            </w:r>
          </w:p>
        </w:tc>
        <w:tc>
          <w:tcPr>
            <w:tcW w:w="110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w:t>
            </w:r>
          </w:p>
        </w:tc>
        <w:tc>
          <w:tcPr>
            <w:tcW w:w="2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279.5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60" w:type="dxa"/>
            <w:vAlign w:val="bottom"/>
          </w:tcPr>
          <w:p>
            <w:pPr>
              <w:ind w:left="880"/>
              <w:spacing w:after="0"/>
              <w:rPr>
                <w:sz w:val="20"/>
                <w:szCs w:val="20"/>
                <w:color w:val="auto"/>
              </w:rPr>
            </w:pPr>
            <w:r>
              <w:rPr>
                <w:rFonts w:ascii="Arial" w:cs="Arial" w:eastAsia="Arial" w:hAnsi="Arial"/>
                <w:sz w:val="18"/>
                <w:szCs w:val="18"/>
                <w:color w:val="auto"/>
              </w:rPr>
              <w:t>Certificates of deposit and time deposits</w:t>
            </w: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19.1</w:t>
            </w:r>
          </w:p>
        </w:tc>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210.7</w:t>
            </w: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gridSpan w:val="2"/>
          </w:tcPr>
          <w:p>
            <w:pPr>
              <w:jc w:val="right"/>
              <w:ind w:right="4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w w:val="84"/>
              </w:rPr>
              <w:t>229.8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60" w:type="dxa"/>
            <w:vAlign w:val="bottom"/>
            <w:shd w:val="clear" w:color="auto" w:fill="CCEEFF"/>
          </w:tcPr>
          <w:p>
            <w:pPr>
              <w:ind w:left="880"/>
              <w:spacing w:after="0"/>
              <w:rPr>
                <w:sz w:val="20"/>
                <w:szCs w:val="20"/>
                <w:color w:val="auto"/>
              </w:rPr>
            </w:pPr>
            <w:r>
              <w:rPr>
                <w:rFonts w:ascii="Arial" w:cs="Arial" w:eastAsia="Arial" w:hAnsi="Arial"/>
                <w:sz w:val="18"/>
                <w:szCs w:val="18"/>
                <w:color w:val="auto"/>
              </w:rPr>
              <w:t>Money market funds</w:t>
            </w: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w:t>
            </w: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60" w:type="dxa"/>
            <w:vAlign w:val="bottom"/>
          </w:tcPr>
          <w:p>
            <w:pPr>
              <w:ind w:left="880"/>
              <w:spacing w:after="0"/>
              <w:rPr>
                <w:sz w:val="20"/>
                <w:szCs w:val="20"/>
                <w:color w:val="auto"/>
              </w:rPr>
            </w:pPr>
            <w:r>
              <w:rPr>
                <w:rFonts w:ascii="Arial" w:cs="Arial" w:eastAsia="Arial" w:hAnsi="Arial"/>
                <w:sz w:val="18"/>
                <w:szCs w:val="18"/>
                <w:color w:val="auto"/>
              </w:rPr>
              <w:t>Municipal securities</w:t>
            </w: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0.7</w:t>
            </w:r>
          </w:p>
        </w:tc>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w:t>
            </w: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gridSpan w:val="2"/>
          </w:tcPr>
          <w:p>
            <w:pPr>
              <w:jc w:val="right"/>
              <w:ind w:right="4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0.7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Marketable securities:</w:t>
            </w: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60" w:type="dxa"/>
            <w:vAlign w:val="bottom"/>
          </w:tcPr>
          <w:p>
            <w:pPr>
              <w:ind w:left="880"/>
              <w:spacing w:after="0"/>
              <w:rPr>
                <w:sz w:val="20"/>
                <w:szCs w:val="20"/>
                <w:color w:val="auto"/>
              </w:rPr>
            </w:pPr>
            <w:r>
              <w:rPr>
                <w:rFonts w:ascii="Arial" w:cs="Arial" w:eastAsia="Arial" w:hAnsi="Arial"/>
                <w:sz w:val="18"/>
                <w:szCs w:val="18"/>
                <w:color w:val="auto"/>
              </w:rPr>
              <w:t>Commercial paper and corporate securities</w:t>
            </w: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81.3</w:t>
            </w:r>
          </w:p>
        </w:tc>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80.0</w:t>
            </w: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gridSpan w:val="2"/>
          </w:tcPr>
          <w:p>
            <w:pPr>
              <w:jc w:val="right"/>
              <w:ind w:right="4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w w:val="84"/>
              </w:rPr>
              <w:t>161.3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60" w:type="dxa"/>
            <w:vAlign w:val="bottom"/>
            <w:shd w:val="clear" w:color="auto" w:fill="CCEEFF"/>
          </w:tcPr>
          <w:p>
            <w:pPr>
              <w:ind w:left="880"/>
              <w:spacing w:after="0"/>
              <w:rPr>
                <w:sz w:val="20"/>
                <w:szCs w:val="20"/>
                <w:color w:val="auto"/>
              </w:rPr>
            </w:pPr>
            <w:r>
              <w:rPr>
                <w:rFonts w:ascii="Arial" w:cs="Arial" w:eastAsia="Arial" w:hAnsi="Arial"/>
                <w:sz w:val="18"/>
                <w:szCs w:val="18"/>
                <w:color w:val="auto"/>
              </w:rPr>
              <w:t>U.S. treasury securities and sovereign debt</w:t>
            </w: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66.1</w:t>
            </w: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60" w:type="dxa"/>
            <w:vAlign w:val="bottom"/>
          </w:tcPr>
          <w:p>
            <w:pPr>
              <w:ind w:left="880"/>
              <w:spacing w:after="0"/>
              <w:rPr>
                <w:sz w:val="20"/>
                <w:szCs w:val="20"/>
                <w:color w:val="auto"/>
              </w:rPr>
            </w:pPr>
            <w:r>
              <w:rPr>
                <w:rFonts w:ascii="Arial" w:cs="Arial" w:eastAsia="Arial" w:hAnsi="Arial"/>
                <w:sz w:val="18"/>
                <w:szCs w:val="18"/>
                <w:color w:val="auto"/>
              </w:rPr>
              <w:t>Certificates of deposit and time deposits</w:t>
            </w: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20.0</w:t>
            </w:r>
          </w:p>
        </w:tc>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17.4</w:t>
            </w: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gridSpan w:val="2"/>
          </w:tcPr>
          <w:p>
            <w:pPr>
              <w:jc w:val="right"/>
              <w:ind w:right="4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37.4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60" w:type="dxa"/>
            <w:vAlign w:val="bottom"/>
            <w:shd w:val="clear" w:color="auto" w:fill="CCEEFF"/>
          </w:tcPr>
          <w:p>
            <w:pPr>
              <w:ind w:left="880"/>
              <w:spacing w:after="0"/>
              <w:rPr>
                <w:sz w:val="20"/>
                <w:szCs w:val="20"/>
                <w:color w:val="auto"/>
              </w:rPr>
            </w:pPr>
            <w:r>
              <w:rPr>
                <w:rFonts w:ascii="Arial" w:cs="Arial" w:eastAsia="Arial" w:hAnsi="Arial"/>
                <w:sz w:val="18"/>
                <w:szCs w:val="18"/>
                <w:color w:val="auto"/>
              </w:rPr>
              <w:t>U.S. government agency securities</w:t>
            </w: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28.7</w:t>
            </w: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60" w:type="dxa"/>
            <w:vAlign w:val="bottom"/>
          </w:tcPr>
          <w:p>
            <w:pPr>
              <w:ind w:left="880"/>
              <w:spacing w:after="0"/>
              <w:rPr>
                <w:sz w:val="20"/>
                <w:szCs w:val="20"/>
                <w:color w:val="auto"/>
              </w:rPr>
            </w:pPr>
            <w:r>
              <w:rPr>
                <w:rFonts w:ascii="Arial" w:cs="Arial" w:eastAsia="Arial" w:hAnsi="Arial"/>
                <w:sz w:val="18"/>
                <w:szCs w:val="18"/>
                <w:color w:val="auto"/>
              </w:rPr>
              <w:t>Mutual funds</w:t>
            </w: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26.9</w:t>
            </w:r>
          </w:p>
        </w:tc>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w:t>
            </w: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gridSpan w:val="2"/>
          </w:tcPr>
          <w:p>
            <w:pPr>
              <w:jc w:val="right"/>
              <w:ind w:right="4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26.9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60" w:type="dxa"/>
            <w:vAlign w:val="bottom"/>
            <w:shd w:val="clear" w:color="auto" w:fill="CCEEFF"/>
          </w:tcPr>
          <w:p>
            <w:pPr>
              <w:ind w:left="880"/>
              <w:spacing w:after="0"/>
              <w:rPr>
                <w:sz w:val="20"/>
                <w:szCs w:val="20"/>
                <w:color w:val="auto"/>
              </w:rPr>
            </w:pPr>
            <w:r>
              <w:rPr>
                <w:rFonts w:ascii="Arial" w:cs="Arial" w:eastAsia="Arial" w:hAnsi="Arial"/>
                <w:sz w:val="18"/>
                <w:szCs w:val="18"/>
                <w:color w:val="auto"/>
              </w:rPr>
              <w:t>Money market funds</w:t>
            </w: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17.8</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60" w:type="dxa"/>
            <w:vAlign w:val="bottom"/>
          </w:tcPr>
          <w:p>
            <w:pPr>
              <w:ind w:left="880"/>
              <w:spacing w:after="0"/>
              <w:rPr>
                <w:sz w:val="20"/>
                <w:szCs w:val="20"/>
                <w:color w:val="auto"/>
              </w:rPr>
            </w:pPr>
            <w:r>
              <w:rPr>
                <w:rFonts w:ascii="Arial" w:cs="Arial" w:eastAsia="Arial" w:hAnsi="Arial"/>
                <w:sz w:val="18"/>
                <w:szCs w:val="18"/>
                <w:color w:val="auto"/>
              </w:rPr>
              <w:t>Taxable auction-rate securities</w:t>
            </w: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w:t>
            </w: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gridSpan w:val="2"/>
          </w:tcPr>
          <w:p>
            <w:pPr>
              <w:jc w:val="right"/>
              <w:ind w:right="400"/>
              <w:spacing w:after="0"/>
              <w:rPr>
                <w:sz w:val="20"/>
                <w:szCs w:val="20"/>
                <w:color w:val="auto"/>
              </w:rPr>
            </w:pPr>
            <w:r>
              <w:rPr>
                <w:rFonts w:ascii="Arial" w:cs="Arial" w:eastAsia="Arial" w:hAnsi="Arial"/>
                <w:sz w:val="18"/>
                <w:szCs w:val="18"/>
                <w:color w:val="auto"/>
              </w:rPr>
              <w:t>7.6</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7.6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60" w:type="dxa"/>
            <w:vAlign w:val="bottom"/>
            <w:shd w:val="clear" w:color="auto" w:fill="CCEEFF"/>
          </w:tcPr>
          <w:p>
            <w:pPr>
              <w:ind w:left="880"/>
              <w:spacing w:after="0"/>
              <w:rPr>
                <w:sz w:val="20"/>
                <w:szCs w:val="20"/>
                <w:color w:val="auto"/>
              </w:rPr>
            </w:pPr>
            <w:r>
              <w:rPr>
                <w:rFonts w:ascii="Arial" w:cs="Arial" w:eastAsia="Arial" w:hAnsi="Arial"/>
                <w:sz w:val="18"/>
                <w:szCs w:val="18"/>
                <w:color w:val="auto"/>
              </w:rPr>
              <w:t>Municipal securities</w:t>
            </w: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w:t>
            </w: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60" w:type="dxa"/>
            <w:vAlign w:val="bottom"/>
          </w:tcPr>
          <w:p>
            <w:pPr>
              <w:ind w:left="880"/>
              <w:spacing w:after="0"/>
              <w:rPr>
                <w:sz w:val="20"/>
                <w:szCs w:val="20"/>
                <w:color w:val="auto"/>
              </w:rPr>
            </w:pPr>
            <w:r>
              <w:rPr>
                <w:rFonts w:ascii="Arial" w:cs="Arial" w:eastAsia="Arial" w:hAnsi="Arial"/>
                <w:sz w:val="18"/>
                <w:szCs w:val="18"/>
                <w:color w:val="auto"/>
              </w:rPr>
              <w:t>Available-for-sale equity securities</w:t>
            </w: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1.9</w:t>
            </w:r>
          </w:p>
        </w:tc>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w:t>
            </w: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gridSpan w:val="2"/>
          </w:tcPr>
          <w:p>
            <w:pPr>
              <w:jc w:val="right"/>
              <w:ind w:right="4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1.9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 xml:space="preserve">Foreign currency derivative contracts </w:t>
            </w:r>
            <w:r>
              <w:rPr>
                <w:rFonts w:ascii="Arial" w:cs="Arial" w:eastAsia="Arial" w:hAnsi="Arial"/>
                <w:sz w:val="11"/>
                <w:szCs w:val="11"/>
                <w:color w:val="auto"/>
              </w:rPr>
              <w:t>(2)</w:t>
            </w:r>
          </w:p>
        </w:tc>
        <w:tc>
          <w:tcPr>
            <w:tcW w:w="10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0.9</w:t>
            </w:r>
          </w:p>
        </w:tc>
        <w:tc>
          <w:tcPr>
            <w:tcW w:w="5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7060" w:type="dxa"/>
            <w:vAlign w:val="bottom"/>
          </w:tcPr>
          <w:p>
            <w:pPr>
              <w:ind w:left="880"/>
              <w:spacing w:after="0"/>
              <w:rPr>
                <w:sz w:val="20"/>
                <w:szCs w:val="20"/>
                <w:color w:val="auto"/>
              </w:rPr>
            </w:pPr>
            <w:r>
              <w:rPr>
                <w:rFonts w:ascii="Arial" w:cs="Arial" w:eastAsia="Arial" w:hAnsi="Arial"/>
                <w:sz w:val="18"/>
                <w:szCs w:val="18"/>
                <w:color w:val="auto"/>
              </w:rPr>
              <w:t>Total</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252.1</w:t>
            </w:r>
          </w:p>
        </w:tc>
        <w:tc>
          <w:tcPr>
            <w:tcW w:w="620" w:type="dxa"/>
            <w:vAlign w:val="bottom"/>
            <w:gridSpan w:val="2"/>
          </w:tcPr>
          <w:p>
            <w:pPr>
              <w:ind w:left="500"/>
              <w:spacing w:after="0"/>
              <w:rPr>
                <w:sz w:val="20"/>
                <w:szCs w:val="20"/>
                <w:color w:val="auto"/>
              </w:rPr>
            </w:pPr>
            <w:r>
              <w:rPr>
                <w:rFonts w:ascii="Arial" w:cs="Arial" w:eastAsia="Arial" w:hAnsi="Arial"/>
                <w:sz w:val="18"/>
                <w:szCs w:val="18"/>
                <w:color w:val="auto"/>
                <w:w w:val="99"/>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597.9</w:t>
            </w:r>
          </w:p>
        </w:tc>
        <w:tc>
          <w:tcPr>
            <w:tcW w:w="600" w:type="dxa"/>
            <w:vAlign w:val="bottom"/>
            <w:gridSpan w:val="2"/>
          </w:tcPr>
          <w:p>
            <w:pPr>
              <w:ind w:left="500"/>
              <w:spacing w:after="0"/>
              <w:rPr>
                <w:sz w:val="20"/>
                <w:szCs w:val="20"/>
                <w:color w:val="auto"/>
              </w:rPr>
            </w:pPr>
            <w:r>
              <w:rPr>
                <w:rFonts w:ascii="Arial" w:cs="Arial" w:eastAsia="Arial" w:hAnsi="Arial"/>
                <w:sz w:val="18"/>
                <w:szCs w:val="18"/>
                <w:color w:val="auto"/>
                <w:w w:val="79"/>
              </w:rPr>
              <w:t>$</w:t>
            </w:r>
          </w:p>
        </w:tc>
        <w:tc>
          <w:tcPr>
            <w:tcW w:w="1100" w:type="dxa"/>
            <w:vAlign w:val="bottom"/>
            <w:gridSpan w:val="2"/>
          </w:tcPr>
          <w:p>
            <w:pPr>
              <w:jc w:val="right"/>
              <w:ind w:right="400"/>
              <w:spacing w:after="0"/>
              <w:rPr>
                <w:sz w:val="20"/>
                <w:szCs w:val="20"/>
                <w:color w:val="auto"/>
              </w:rPr>
            </w:pPr>
            <w:r>
              <w:rPr>
                <w:rFonts w:ascii="Arial" w:cs="Arial" w:eastAsia="Arial" w:hAnsi="Arial"/>
                <w:sz w:val="18"/>
                <w:szCs w:val="18"/>
                <w:color w:val="auto"/>
              </w:rPr>
              <w:t>25.4</w:t>
            </w:r>
          </w:p>
        </w:tc>
        <w:tc>
          <w:tcPr>
            <w:tcW w:w="200" w:type="dxa"/>
            <w:vAlign w:val="bottom"/>
            <w:gridSpan w:val="2"/>
          </w:tcPr>
          <w:p>
            <w:pPr>
              <w:jc w:val="right"/>
              <w:ind w:right="20"/>
              <w:spacing w:after="0"/>
              <w:rPr>
                <w:sz w:val="20"/>
                <w:szCs w:val="20"/>
                <w:color w:val="auto"/>
              </w:rPr>
            </w:pPr>
            <w:r>
              <w:rPr>
                <w:rFonts w:ascii="Arial" w:cs="Arial" w:eastAsia="Arial" w:hAnsi="Arial"/>
                <w:sz w:val="18"/>
                <w:szCs w:val="18"/>
                <w:u w:val="single" w:color="auto"/>
                <w:color w:val="auto"/>
              </w:rPr>
              <w:t>$</w:t>
            </w:r>
          </w:p>
        </w:tc>
        <w:tc>
          <w:tcPr>
            <w:tcW w:w="420" w:type="dxa"/>
            <w:vAlign w:val="bottom"/>
            <w:gridSpan w:val="2"/>
          </w:tcPr>
          <w:p>
            <w:pPr>
              <w:jc w:val="right"/>
              <w:ind w:right="20"/>
              <w:spacing w:after="0"/>
              <w:rPr>
                <w:sz w:val="20"/>
                <w:szCs w:val="20"/>
                <w:color w:val="auto"/>
              </w:rPr>
            </w:pPr>
            <w:r>
              <w:rPr>
                <w:rFonts w:ascii="Arial" w:cs="Arial" w:eastAsia="Arial" w:hAnsi="Arial"/>
                <w:sz w:val="18"/>
                <w:szCs w:val="18"/>
                <w:color w:val="auto"/>
                <w:w w:val="84"/>
              </w:rPr>
              <w:t>875.4</w:t>
            </w:r>
          </w:p>
        </w:tc>
        <w:tc>
          <w:tcPr>
            <w:tcW w:w="0" w:type="dxa"/>
            <w:vAlign w:val="bottom"/>
          </w:tcPr>
          <w:p>
            <w:pPr>
              <w:spacing w:after="0"/>
              <w:rPr>
                <w:sz w:val="1"/>
                <w:szCs w:val="1"/>
                <w:color w:val="auto"/>
              </w:rPr>
            </w:pPr>
          </w:p>
        </w:tc>
      </w:tr>
      <w:tr>
        <w:trPr>
          <w:trHeight w:val="20"/>
        </w:trPr>
        <w:tc>
          <w:tcPr>
            <w:tcW w:w="70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7060" w:type="dxa"/>
            <w:vAlign w:val="bottom"/>
            <w:shd w:val="clear" w:color="auto" w:fill="CCEEFF"/>
          </w:tcPr>
          <w:p>
            <w:pPr>
              <w:spacing w:after="0"/>
              <w:rPr>
                <w:sz w:val="20"/>
                <w:szCs w:val="20"/>
                <w:color w:val="auto"/>
              </w:rPr>
            </w:pPr>
            <w:r>
              <w:rPr>
                <w:rFonts w:ascii="Arial" w:cs="Arial" w:eastAsia="Arial" w:hAnsi="Arial"/>
                <w:sz w:val="18"/>
                <w:szCs w:val="18"/>
                <w:color w:val="auto"/>
              </w:rPr>
              <w:t>Liabilities</w:t>
            </w: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7060" w:type="dxa"/>
            <w:vAlign w:val="bottom"/>
          </w:tcPr>
          <w:p>
            <w:pPr>
              <w:ind w:left="440"/>
              <w:spacing w:after="0"/>
              <w:rPr>
                <w:sz w:val="20"/>
                <w:szCs w:val="20"/>
                <w:color w:val="auto"/>
              </w:rPr>
            </w:pPr>
            <w:r>
              <w:rPr>
                <w:rFonts w:ascii="Arial" w:cs="Arial" w:eastAsia="Arial" w:hAnsi="Arial"/>
                <w:sz w:val="18"/>
                <w:szCs w:val="18"/>
                <w:color w:val="auto"/>
              </w:rPr>
              <w:t xml:space="preserve">Foreign currency derivative contracts </w:t>
            </w:r>
            <w:r>
              <w:rPr>
                <w:rFonts w:ascii="Arial" w:cs="Arial" w:eastAsia="Arial" w:hAnsi="Arial"/>
                <w:sz w:val="11"/>
                <w:szCs w:val="11"/>
                <w:color w:val="auto"/>
              </w:rPr>
              <w:t>(3)</w:t>
            </w:r>
          </w:p>
        </w:tc>
        <w:tc>
          <w:tcPr>
            <w:tcW w:w="10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50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w:t>
            </w:r>
          </w:p>
        </w:tc>
        <w:tc>
          <w:tcPr>
            <w:tcW w:w="5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7060" w:type="dxa"/>
            <w:vAlign w:val="bottom"/>
            <w:shd w:val="clear" w:color="auto" w:fill="CCEEFF"/>
          </w:tcPr>
          <w:p>
            <w:pPr>
              <w:ind w:left="880"/>
              <w:spacing w:after="0"/>
              <w:rPr>
                <w:sz w:val="20"/>
                <w:szCs w:val="20"/>
                <w:color w:val="auto"/>
              </w:rPr>
            </w:pPr>
            <w:r>
              <w:rPr>
                <w:rFonts w:ascii="Arial" w:cs="Arial" w:eastAsia="Arial" w:hAnsi="Arial"/>
                <w:sz w:val="18"/>
                <w:szCs w:val="18"/>
                <w:color w:val="auto"/>
              </w:rPr>
              <w:t>Total</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20" w:type="dxa"/>
            <w:vAlign w:val="bottom"/>
            <w:gridSpan w:val="2"/>
            <w:shd w:val="clear" w:color="auto" w:fill="CCEEFF"/>
          </w:tcPr>
          <w:p>
            <w:pPr>
              <w:ind w:left="500"/>
              <w:spacing w:after="0"/>
              <w:rPr>
                <w:sz w:val="20"/>
                <w:szCs w:val="20"/>
                <w:color w:val="auto"/>
              </w:rPr>
            </w:pPr>
            <w:r>
              <w:rPr>
                <w:rFonts w:ascii="Arial" w:cs="Arial" w:eastAsia="Arial" w:hAnsi="Arial"/>
                <w:sz w:val="18"/>
                <w:szCs w:val="18"/>
                <w:color w:val="auto"/>
                <w:w w:val="99"/>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600" w:type="dxa"/>
            <w:vAlign w:val="bottom"/>
            <w:gridSpan w:val="2"/>
            <w:shd w:val="clear" w:color="auto" w:fill="CCEEFF"/>
          </w:tcPr>
          <w:p>
            <w:pPr>
              <w:ind w:left="500"/>
              <w:spacing w:after="0"/>
              <w:rPr>
                <w:sz w:val="20"/>
                <w:szCs w:val="20"/>
                <w:color w:val="auto"/>
              </w:rPr>
            </w:pPr>
            <w:r>
              <w:rPr>
                <w:rFonts w:ascii="Arial" w:cs="Arial" w:eastAsia="Arial" w:hAnsi="Arial"/>
                <w:sz w:val="18"/>
                <w:szCs w:val="18"/>
                <w:color w:val="auto"/>
                <w:w w:val="79"/>
              </w:rPr>
              <w:t>$</w:t>
            </w:r>
          </w:p>
        </w:tc>
        <w:tc>
          <w:tcPr>
            <w:tcW w:w="110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w:t>
            </w:r>
          </w:p>
        </w:tc>
        <w:tc>
          <w:tcPr>
            <w:tcW w:w="2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0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23" w:lineRule="exact"/>
        <w:rPr>
          <w:sz w:val="20"/>
          <w:szCs w:val="20"/>
          <w:color w:val="auto"/>
        </w:rPr>
      </w:pPr>
    </w:p>
    <w:p>
      <w:pPr>
        <w:ind w:left="460" w:hanging="452"/>
        <w:spacing w:after="0"/>
        <w:tabs>
          <w:tab w:leader="none" w:pos="460" w:val="left"/>
        </w:tabs>
        <w:numPr>
          <w:ilvl w:val="0"/>
          <w:numId w:val="9"/>
        </w:numPr>
        <w:rPr>
          <w:rFonts w:ascii="Arial" w:cs="Arial" w:eastAsia="Arial" w:hAnsi="Arial"/>
          <w:sz w:val="22"/>
          <w:szCs w:val="22"/>
          <w:color w:val="auto"/>
          <w:vertAlign w:val="superscript"/>
        </w:rPr>
      </w:pPr>
      <w:r>
        <w:rPr>
          <w:rFonts w:ascii="Arial" w:cs="Arial" w:eastAsia="Arial" w:hAnsi="Arial"/>
          <w:sz w:val="18"/>
          <w:szCs w:val="18"/>
          <w:color w:val="auto"/>
        </w:rPr>
        <w:t>Included in “Cash and cash equivalents” in the accompanying Condensed Consolidated Balance Sheets.</w:t>
      </w:r>
    </w:p>
    <w:p>
      <w:pPr>
        <w:spacing w:after="0" w:line="7" w:lineRule="exact"/>
        <w:rPr>
          <w:rFonts w:ascii="Arial" w:cs="Arial" w:eastAsia="Arial" w:hAnsi="Arial"/>
          <w:sz w:val="22"/>
          <w:szCs w:val="22"/>
          <w:color w:val="auto"/>
          <w:vertAlign w:val="superscript"/>
        </w:rPr>
      </w:pPr>
    </w:p>
    <w:p>
      <w:pPr>
        <w:ind w:left="460" w:hanging="452"/>
        <w:spacing w:after="0" w:line="197" w:lineRule="auto"/>
        <w:tabs>
          <w:tab w:leader="none" w:pos="460" w:val="left"/>
        </w:tabs>
        <w:numPr>
          <w:ilvl w:val="0"/>
          <w:numId w:val="9"/>
        </w:numPr>
        <w:rPr>
          <w:rFonts w:ascii="Arial" w:cs="Arial" w:eastAsia="Arial" w:hAnsi="Arial"/>
          <w:sz w:val="22"/>
          <w:szCs w:val="22"/>
          <w:color w:val="auto"/>
          <w:vertAlign w:val="superscript"/>
        </w:rPr>
      </w:pPr>
      <w:r>
        <w:rPr>
          <w:rFonts w:ascii="Arial" w:cs="Arial" w:eastAsia="Arial" w:hAnsi="Arial"/>
          <w:sz w:val="18"/>
          <w:szCs w:val="18"/>
          <w:color w:val="auto"/>
        </w:rPr>
        <w:t>Included in “Prepaid expenses and other current assets” in the accompanying Condensed Consolidated Balance Sheets.</w:t>
      </w:r>
    </w:p>
    <w:p>
      <w:pPr>
        <w:spacing w:after="0" w:line="8" w:lineRule="exact"/>
        <w:rPr>
          <w:rFonts w:ascii="Arial" w:cs="Arial" w:eastAsia="Arial" w:hAnsi="Arial"/>
          <w:sz w:val="22"/>
          <w:szCs w:val="22"/>
          <w:color w:val="auto"/>
          <w:vertAlign w:val="superscript"/>
        </w:rPr>
      </w:pPr>
    </w:p>
    <w:p>
      <w:pPr>
        <w:ind w:left="460" w:hanging="452"/>
        <w:spacing w:after="0" w:line="197" w:lineRule="auto"/>
        <w:tabs>
          <w:tab w:leader="none" w:pos="460" w:val="left"/>
        </w:tabs>
        <w:numPr>
          <w:ilvl w:val="0"/>
          <w:numId w:val="9"/>
        </w:numPr>
        <w:rPr>
          <w:rFonts w:ascii="Arial" w:cs="Arial" w:eastAsia="Arial" w:hAnsi="Arial"/>
          <w:sz w:val="22"/>
          <w:szCs w:val="22"/>
          <w:color w:val="auto"/>
          <w:vertAlign w:val="superscript"/>
        </w:rPr>
      </w:pPr>
      <w:r>
        <w:rPr>
          <w:rFonts w:ascii="Arial" w:cs="Arial" w:eastAsia="Arial" w:hAnsi="Arial"/>
          <w:sz w:val="18"/>
          <w:szCs w:val="18"/>
          <w:color w:val="auto"/>
        </w:rPr>
        <w:t>Included in “Other accrued liabilities” in the accompanying Condensed Consolidated Balance Sheets.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-434975</wp:posOffset>
            </wp:positionV>
            <wp:extent cx="72898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20"/>
          </w:cols>
          <w:pgMar w:left="240" w:top="459" w:right="23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The following table summarizes Autodesk’s investments and financial instruments measured at fair value on a recurring basis as of January 31, 2009:</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1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3640" w:type="dxa"/>
            <w:vAlign w:val="bottom"/>
            <w:tcBorders>
              <w:bottom w:val="single" w:sz="8" w:color="auto"/>
            </w:tcBorders>
            <w:gridSpan w:val="9"/>
          </w:tcPr>
          <w:p>
            <w:pPr>
              <w:ind w:left="560"/>
              <w:spacing w:after="0"/>
              <w:rPr>
                <w:sz w:val="20"/>
                <w:szCs w:val="20"/>
                <w:color w:val="auto"/>
              </w:rPr>
            </w:pPr>
            <w:r>
              <w:rPr>
                <w:rFonts w:ascii="Arial" w:cs="Arial" w:eastAsia="Arial" w:hAnsi="Arial"/>
                <w:sz w:val="14"/>
                <w:szCs w:val="14"/>
                <w:b w:val="1"/>
                <w:bCs w:val="1"/>
                <w:color w:val="auto"/>
                <w:w w:val="88"/>
              </w:rPr>
              <w:t>Fair Value Measurements at January 31, 2009 Using</w:t>
            </w:r>
          </w:p>
        </w:tc>
        <w:tc>
          <w:tcPr>
            <w:tcW w:w="8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7100" w:type="dxa"/>
            <w:vAlign w:val="bottom"/>
          </w:tcPr>
          <w:p>
            <w:pPr>
              <w:spacing w:after="0"/>
              <w:rPr>
                <w:sz w:val="11"/>
                <w:szCs w:val="11"/>
                <w:color w:val="auto"/>
              </w:rPr>
            </w:pPr>
          </w:p>
        </w:tc>
        <w:tc>
          <w:tcPr>
            <w:tcW w:w="1380" w:type="dxa"/>
            <w:vAlign w:val="bottom"/>
            <w:gridSpan w:val="4"/>
          </w:tcPr>
          <w:p>
            <w:pPr>
              <w:jc w:val="center"/>
              <w:ind w:right="480"/>
              <w:spacing w:after="0" w:line="129" w:lineRule="exact"/>
              <w:rPr>
                <w:sz w:val="20"/>
                <w:szCs w:val="20"/>
                <w:color w:val="auto"/>
              </w:rPr>
            </w:pPr>
            <w:r>
              <w:rPr>
                <w:rFonts w:ascii="Arial" w:cs="Arial" w:eastAsia="Arial" w:hAnsi="Arial"/>
                <w:sz w:val="14"/>
                <w:szCs w:val="14"/>
                <w:b w:val="1"/>
                <w:bCs w:val="1"/>
                <w:color w:val="auto"/>
                <w:w w:val="86"/>
              </w:rPr>
              <w:t>Quoted Prices</w:t>
            </w:r>
          </w:p>
        </w:tc>
        <w:tc>
          <w:tcPr>
            <w:tcW w:w="680" w:type="dxa"/>
            <w:vAlign w:val="bottom"/>
            <w:gridSpan w:val="2"/>
          </w:tcPr>
          <w:p>
            <w:pPr>
              <w:jc w:val="center"/>
              <w:spacing w:after="0" w:line="129" w:lineRule="exact"/>
              <w:rPr>
                <w:sz w:val="20"/>
                <w:szCs w:val="20"/>
                <w:color w:val="auto"/>
              </w:rPr>
            </w:pPr>
            <w:r>
              <w:rPr>
                <w:rFonts w:ascii="Arial" w:cs="Arial" w:eastAsia="Arial" w:hAnsi="Arial"/>
                <w:sz w:val="14"/>
                <w:szCs w:val="14"/>
                <w:b w:val="1"/>
                <w:bCs w:val="1"/>
                <w:color w:val="auto"/>
                <w:w w:val="89"/>
              </w:rPr>
              <w:t>Significant</w:t>
            </w:r>
          </w:p>
        </w:tc>
        <w:tc>
          <w:tcPr>
            <w:tcW w:w="4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7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80" w:type="dxa"/>
            <w:vAlign w:val="bottom"/>
            <w:gridSpan w:val="3"/>
          </w:tcPr>
          <w:p>
            <w:pPr>
              <w:jc w:val="center"/>
              <w:ind w:right="580"/>
              <w:spacing w:after="0" w:line="149" w:lineRule="exact"/>
              <w:rPr>
                <w:sz w:val="20"/>
                <w:szCs w:val="20"/>
                <w:color w:val="auto"/>
              </w:rPr>
            </w:pPr>
            <w:r>
              <w:rPr>
                <w:rFonts w:ascii="Arial" w:cs="Arial" w:eastAsia="Arial" w:hAnsi="Arial"/>
                <w:sz w:val="14"/>
                <w:szCs w:val="14"/>
                <w:b w:val="1"/>
                <w:bCs w:val="1"/>
                <w:color w:val="auto"/>
                <w:w w:val="85"/>
              </w:rPr>
              <w:t>in Active</w:t>
            </w:r>
          </w:p>
        </w:tc>
        <w:tc>
          <w:tcPr>
            <w:tcW w:w="120" w:type="dxa"/>
            <w:vAlign w:val="bottom"/>
          </w:tcPr>
          <w:p>
            <w:pPr>
              <w:spacing w:after="0"/>
              <w:rPr>
                <w:sz w:val="12"/>
                <w:szCs w:val="12"/>
                <w:color w:val="auto"/>
              </w:rPr>
            </w:pPr>
          </w:p>
        </w:tc>
        <w:tc>
          <w:tcPr>
            <w:tcW w:w="560" w:type="dxa"/>
            <w:vAlign w:val="bottom"/>
          </w:tcPr>
          <w:p>
            <w:pPr>
              <w:jc w:val="center"/>
              <w:ind w:right="35"/>
              <w:spacing w:after="0" w:line="149" w:lineRule="exact"/>
              <w:rPr>
                <w:sz w:val="20"/>
                <w:szCs w:val="20"/>
                <w:color w:val="auto"/>
              </w:rPr>
            </w:pPr>
            <w:r>
              <w:rPr>
                <w:rFonts w:ascii="Arial" w:cs="Arial" w:eastAsia="Arial" w:hAnsi="Arial"/>
                <w:sz w:val="14"/>
                <w:szCs w:val="14"/>
                <w:b w:val="1"/>
                <w:bCs w:val="1"/>
                <w:color w:val="auto"/>
                <w:w w:val="96"/>
              </w:rPr>
              <w:t>Other</w:t>
            </w:r>
          </w:p>
        </w:tc>
        <w:tc>
          <w:tcPr>
            <w:tcW w:w="4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20" w:type="dxa"/>
            <w:vAlign w:val="bottom"/>
            <w:gridSpan w:val="2"/>
          </w:tcPr>
          <w:p>
            <w:pPr>
              <w:jc w:val="right"/>
              <w:ind w:right="500"/>
              <w:spacing w:after="0" w:line="149" w:lineRule="exact"/>
              <w:rPr>
                <w:sz w:val="20"/>
                <w:szCs w:val="20"/>
                <w:color w:val="auto"/>
              </w:rPr>
            </w:pPr>
            <w:r>
              <w:rPr>
                <w:rFonts w:ascii="Arial" w:cs="Arial" w:eastAsia="Arial" w:hAnsi="Arial"/>
                <w:sz w:val="14"/>
                <w:szCs w:val="14"/>
                <w:b w:val="1"/>
                <w:bCs w:val="1"/>
                <w:color w:val="auto"/>
                <w:w w:val="83"/>
              </w:rPr>
              <w:t>Significant</w:t>
            </w:r>
          </w:p>
        </w:tc>
        <w:tc>
          <w:tcPr>
            <w:tcW w:w="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7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80" w:type="dxa"/>
            <w:vAlign w:val="bottom"/>
            <w:gridSpan w:val="3"/>
          </w:tcPr>
          <w:p>
            <w:pPr>
              <w:jc w:val="center"/>
              <w:ind w:right="580"/>
              <w:spacing w:after="0" w:line="149" w:lineRule="exact"/>
              <w:rPr>
                <w:sz w:val="20"/>
                <w:szCs w:val="20"/>
                <w:color w:val="auto"/>
              </w:rPr>
            </w:pPr>
            <w:r>
              <w:rPr>
                <w:rFonts w:ascii="Arial" w:cs="Arial" w:eastAsia="Arial" w:hAnsi="Arial"/>
                <w:sz w:val="14"/>
                <w:szCs w:val="14"/>
                <w:b w:val="1"/>
                <w:bCs w:val="1"/>
                <w:color w:val="auto"/>
                <w:w w:val="92"/>
              </w:rPr>
              <w:t>Markets for</w:t>
            </w:r>
          </w:p>
        </w:tc>
        <w:tc>
          <w:tcPr>
            <w:tcW w:w="68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86"/>
              </w:rPr>
              <w:t>Observable</w:t>
            </w:r>
          </w:p>
        </w:tc>
        <w:tc>
          <w:tcPr>
            <w:tcW w:w="480" w:type="dxa"/>
            <w:vAlign w:val="bottom"/>
          </w:tcPr>
          <w:p>
            <w:pPr>
              <w:spacing w:after="0"/>
              <w:rPr>
                <w:sz w:val="12"/>
                <w:szCs w:val="12"/>
                <w:color w:val="auto"/>
              </w:rPr>
            </w:pPr>
          </w:p>
        </w:tc>
        <w:tc>
          <w:tcPr>
            <w:tcW w:w="120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Unobservable</w:t>
            </w:r>
          </w:p>
        </w:tc>
        <w:tc>
          <w:tcPr>
            <w:tcW w:w="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7100" w:type="dxa"/>
            <w:vAlign w:val="bottom"/>
          </w:tcPr>
          <w:p>
            <w:pPr>
              <w:spacing w:after="0"/>
              <w:rPr>
                <w:sz w:val="14"/>
                <w:szCs w:val="14"/>
                <w:color w:val="auto"/>
              </w:rPr>
            </w:pPr>
          </w:p>
        </w:tc>
        <w:tc>
          <w:tcPr>
            <w:tcW w:w="1380" w:type="dxa"/>
            <w:vAlign w:val="bottom"/>
            <w:gridSpan w:val="4"/>
          </w:tcPr>
          <w:p>
            <w:pPr>
              <w:jc w:val="center"/>
              <w:ind w:right="480"/>
              <w:spacing w:after="0"/>
              <w:rPr>
                <w:sz w:val="20"/>
                <w:szCs w:val="20"/>
                <w:color w:val="auto"/>
              </w:rPr>
            </w:pPr>
            <w:r>
              <w:rPr>
                <w:rFonts w:ascii="Arial" w:cs="Arial" w:eastAsia="Arial" w:hAnsi="Arial"/>
                <w:sz w:val="14"/>
                <w:szCs w:val="14"/>
                <w:b w:val="1"/>
                <w:bCs w:val="1"/>
                <w:color w:val="auto"/>
                <w:w w:val="84"/>
              </w:rPr>
              <w:t>Identical Assets</w:t>
            </w:r>
          </w:p>
        </w:tc>
        <w:tc>
          <w:tcPr>
            <w:tcW w:w="120" w:type="dxa"/>
            <w:vAlign w:val="bottom"/>
          </w:tcPr>
          <w:p>
            <w:pPr>
              <w:spacing w:after="0"/>
              <w:rPr>
                <w:sz w:val="14"/>
                <w:szCs w:val="14"/>
                <w:color w:val="auto"/>
              </w:rPr>
            </w:pPr>
          </w:p>
        </w:tc>
        <w:tc>
          <w:tcPr>
            <w:tcW w:w="560" w:type="dxa"/>
            <w:vAlign w:val="bottom"/>
          </w:tcPr>
          <w:p>
            <w:pPr>
              <w:jc w:val="center"/>
              <w:ind w:right="35"/>
              <w:spacing w:after="0"/>
              <w:rPr>
                <w:sz w:val="20"/>
                <w:szCs w:val="20"/>
                <w:color w:val="auto"/>
              </w:rPr>
            </w:pPr>
            <w:r>
              <w:rPr>
                <w:rFonts w:ascii="Arial" w:cs="Arial" w:eastAsia="Arial" w:hAnsi="Arial"/>
                <w:sz w:val="14"/>
                <w:szCs w:val="14"/>
                <w:b w:val="1"/>
                <w:bCs w:val="1"/>
                <w:color w:val="auto"/>
                <w:w w:val="85"/>
              </w:rPr>
              <w:t>Inputs</w:t>
            </w:r>
          </w:p>
        </w:tc>
        <w:tc>
          <w:tcPr>
            <w:tcW w:w="4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20" w:type="dxa"/>
            <w:vAlign w:val="bottom"/>
            <w:gridSpan w:val="2"/>
          </w:tcPr>
          <w:p>
            <w:pPr>
              <w:ind w:left="120"/>
              <w:spacing w:after="0"/>
              <w:rPr>
                <w:sz w:val="20"/>
                <w:szCs w:val="20"/>
                <w:color w:val="auto"/>
              </w:rPr>
            </w:pPr>
            <w:r>
              <w:rPr>
                <w:rFonts w:ascii="Arial" w:cs="Arial" w:eastAsia="Arial" w:hAnsi="Arial"/>
                <w:sz w:val="14"/>
                <w:szCs w:val="14"/>
                <w:b w:val="1"/>
                <w:bCs w:val="1"/>
                <w:color w:val="auto"/>
              </w:rPr>
              <w:t>Inputs</w:t>
            </w:r>
          </w:p>
        </w:tc>
        <w:tc>
          <w:tcPr>
            <w:tcW w:w="80" w:type="dxa"/>
            <w:vAlign w:val="bottom"/>
          </w:tcPr>
          <w:p>
            <w:pPr>
              <w:spacing w:after="0"/>
              <w:rPr>
                <w:sz w:val="14"/>
                <w:szCs w:val="14"/>
                <w:color w:val="auto"/>
              </w:rPr>
            </w:pPr>
          </w:p>
        </w:tc>
        <w:tc>
          <w:tcPr>
            <w:tcW w:w="500" w:type="dxa"/>
            <w:vAlign w:val="bottom"/>
            <w:vMerge w:val="restart"/>
          </w:tcPr>
          <w:p>
            <w:pPr>
              <w:jc w:val="right"/>
              <w:ind w:right="22"/>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42"/>
        </w:trPr>
        <w:tc>
          <w:tcPr>
            <w:tcW w:w="7100" w:type="dxa"/>
            <w:vAlign w:val="bottom"/>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800" w:type="dxa"/>
            <w:vAlign w:val="bottom"/>
            <w:tcBorders>
              <w:top w:val="single" w:sz="8" w:color="auto"/>
              <w:bottom w:val="single" w:sz="8" w:color="auto"/>
            </w:tcBorders>
          </w:tcPr>
          <w:p>
            <w:pPr>
              <w:jc w:val="center"/>
              <w:ind w:right="18"/>
              <w:spacing w:after="0" w:line="142" w:lineRule="exact"/>
              <w:rPr>
                <w:sz w:val="20"/>
                <w:szCs w:val="20"/>
                <w:color w:val="auto"/>
              </w:rPr>
            </w:pPr>
            <w:r>
              <w:rPr>
                <w:rFonts w:ascii="Arial" w:cs="Arial" w:eastAsia="Arial" w:hAnsi="Arial"/>
                <w:sz w:val="14"/>
                <w:szCs w:val="14"/>
                <w:b w:val="1"/>
                <w:bCs w:val="1"/>
                <w:color w:val="auto"/>
                <w:w w:val="87"/>
              </w:rPr>
              <w:t>(Level 1)</w:t>
            </w:r>
          </w:p>
        </w:tc>
        <w:tc>
          <w:tcPr>
            <w:tcW w:w="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680" w:type="dxa"/>
            <w:vAlign w:val="bottom"/>
            <w:tcBorders>
              <w:top w:val="single" w:sz="8" w:color="auto"/>
              <w:bottom w:val="single" w:sz="8" w:color="auto"/>
            </w:tcBorders>
            <w:gridSpan w:val="2"/>
          </w:tcPr>
          <w:p>
            <w:pPr>
              <w:jc w:val="center"/>
              <w:spacing w:after="0" w:line="142" w:lineRule="exact"/>
              <w:rPr>
                <w:sz w:val="20"/>
                <w:szCs w:val="20"/>
                <w:color w:val="auto"/>
              </w:rPr>
            </w:pPr>
            <w:r>
              <w:rPr>
                <w:rFonts w:ascii="Arial" w:cs="Arial" w:eastAsia="Arial" w:hAnsi="Arial"/>
                <w:sz w:val="14"/>
                <w:szCs w:val="14"/>
                <w:b w:val="1"/>
                <w:bCs w:val="1"/>
                <w:color w:val="auto"/>
                <w:w w:val="91"/>
              </w:rPr>
              <w:t>(Level 2)</w:t>
            </w:r>
          </w:p>
        </w:tc>
        <w:tc>
          <w:tcPr>
            <w:tcW w:w="480" w:type="dxa"/>
            <w:vAlign w:val="bottom"/>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720" w:type="dxa"/>
            <w:vAlign w:val="bottom"/>
            <w:tcBorders>
              <w:top w:val="single" w:sz="8" w:color="auto"/>
              <w:bottom w:val="single" w:sz="8" w:color="auto"/>
            </w:tcBorders>
          </w:tcPr>
          <w:p>
            <w:pPr>
              <w:jc w:val="right"/>
              <w:ind w:right="77"/>
              <w:spacing w:after="0" w:line="142" w:lineRule="exact"/>
              <w:rPr>
                <w:sz w:val="20"/>
                <w:szCs w:val="20"/>
                <w:color w:val="auto"/>
              </w:rPr>
            </w:pPr>
            <w:r>
              <w:rPr>
                <w:rFonts w:ascii="Arial" w:cs="Arial" w:eastAsia="Arial" w:hAnsi="Arial"/>
                <w:sz w:val="14"/>
                <w:szCs w:val="14"/>
                <w:b w:val="1"/>
                <w:bCs w:val="1"/>
                <w:color w:val="auto"/>
                <w:w w:val="94"/>
              </w:rPr>
              <w:t>(Level 3)</w:t>
            </w:r>
          </w:p>
        </w:tc>
        <w:tc>
          <w:tcPr>
            <w:tcW w:w="4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Borders>
              <w:bottom w:val="single" w:sz="8" w:color="auto"/>
            </w:tcBorders>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7100" w:type="dxa"/>
            <w:vAlign w:val="bottom"/>
            <w:shd w:val="clear" w:color="auto" w:fill="CCEEFF"/>
          </w:tcPr>
          <w:p>
            <w:pPr>
              <w:spacing w:after="0"/>
              <w:rPr>
                <w:sz w:val="20"/>
                <w:szCs w:val="20"/>
                <w:color w:val="auto"/>
              </w:rPr>
            </w:pPr>
            <w:r>
              <w:rPr>
                <w:rFonts w:ascii="Arial" w:cs="Arial" w:eastAsia="Arial" w:hAnsi="Arial"/>
                <w:sz w:val="18"/>
                <w:szCs w:val="18"/>
                <w:color w:val="auto"/>
              </w:rPr>
              <w:t>Assets</w:t>
            </w: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100" w:type="dxa"/>
            <w:vAlign w:val="bottom"/>
          </w:tcPr>
          <w:p>
            <w:pPr>
              <w:ind w:left="440"/>
              <w:spacing w:after="0"/>
              <w:rPr>
                <w:sz w:val="20"/>
                <w:szCs w:val="20"/>
                <w:color w:val="auto"/>
              </w:rPr>
            </w:pPr>
            <w:r>
              <w:rPr>
                <w:rFonts w:ascii="Arial" w:cs="Arial" w:eastAsia="Arial" w:hAnsi="Arial"/>
                <w:sz w:val="18"/>
                <w:szCs w:val="18"/>
                <w:color w:val="auto"/>
              </w:rPr>
              <w:t>Cash equivalents</w:t>
            </w:r>
            <w:r>
              <w:rPr>
                <w:rFonts w:ascii="Arial" w:cs="Arial" w:eastAsia="Arial" w:hAnsi="Arial"/>
                <w:sz w:val="11"/>
                <w:szCs w:val="11"/>
                <w:color w:val="auto"/>
              </w:rPr>
              <w:t>(1)</w:t>
            </w: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100" w:type="dxa"/>
            <w:vAlign w:val="bottom"/>
            <w:shd w:val="clear" w:color="auto" w:fill="CCEEFF"/>
          </w:tcPr>
          <w:p>
            <w:pPr>
              <w:ind w:left="880"/>
              <w:spacing w:after="0"/>
              <w:rPr>
                <w:sz w:val="20"/>
                <w:szCs w:val="20"/>
                <w:color w:val="auto"/>
              </w:rPr>
            </w:pPr>
            <w:r>
              <w:rPr>
                <w:rFonts w:ascii="Arial" w:cs="Arial" w:eastAsia="Arial" w:hAnsi="Arial"/>
                <w:sz w:val="18"/>
                <w:szCs w:val="18"/>
                <w:color w:val="auto"/>
              </w:rPr>
              <w:t>Certificates of deposit and time deposits</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80" w:type="dxa"/>
            <w:vAlign w:val="bottom"/>
            <w:gridSpan w:val="3"/>
            <w:shd w:val="clear" w:color="auto" w:fill="CCEEFF"/>
          </w:tcPr>
          <w:p>
            <w:pPr>
              <w:jc w:val="center"/>
              <w:ind w:right="20"/>
              <w:spacing w:after="0"/>
              <w:rPr>
                <w:sz w:val="20"/>
                <w:szCs w:val="20"/>
                <w:color w:val="auto"/>
              </w:rPr>
            </w:pPr>
            <w:r>
              <w:rPr>
                <w:rFonts w:ascii="Arial" w:cs="Arial" w:eastAsia="Arial" w:hAnsi="Arial"/>
                <w:sz w:val="18"/>
                <w:szCs w:val="18"/>
                <w:color w:val="auto"/>
                <w:w w:val="99"/>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340.0</w:t>
            </w:r>
          </w:p>
        </w:tc>
        <w:tc>
          <w:tcPr>
            <w:tcW w:w="560" w:type="dxa"/>
            <w:vAlign w:val="bottom"/>
            <w:gridSpan w:val="2"/>
            <w:shd w:val="clear" w:color="auto" w:fill="CCEEFF"/>
          </w:tcPr>
          <w:p>
            <w:pPr>
              <w:ind w:left="480"/>
              <w:spacing w:after="0"/>
              <w:rPr>
                <w:sz w:val="20"/>
                <w:szCs w:val="20"/>
                <w:color w:val="auto"/>
              </w:rPr>
            </w:pPr>
            <w:r>
              <w:rPr>
                <w:rFonts w:ascii="Arial" w:cs="Arial" w:eastAsia="Arial" w:hAnsi="Arial"/>
                <w:sz w:val="15"/>
                <w:szCs w:val="15"/>
                <w:color w:val="auto"/>
                <w:w w:val="71"/>
              </w:rPr>
              <w:t>$</w:t>
            </w:r>
          </w:p>
        </w:tc>
        <w:tc>
          <w:tcPr>
            <w:tcW w:w="112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w:t>
            </w: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$340.0</w:t>
            </w:r>
          </w:p>
        </w:tc>
        <w:tc>
          <w:tcPr>
            <w:tcW w:w="0" w:type="dxa"/>
            <w:vAlign w:val="bottom"/>
          </w:tcPr>
          <w:p>
            <w:pPr>
              <w:spacing w:after="0"/>
              <w:rPr>
                <w:sz w:val="1"/>
                <w:szCs w:val="1"/>
                <w:color w:val="auto"/>
              </w:rPr>
            </w:pPr>
          </w:p>
        </w:tc>
      </w:tr>
      <w:tr>
        <w:trPr>
          <w:trHeight w:val="216"/>
        </w:trPr>
        <w:tc>
          <w:tcPr>
            <w:tcW w:w="7100" w:type="dxa"/>
            <w:vAlign w:val="bottom"/>
          </w:tcPr>
          <w:p>
            <w:pPr>
              <w:ind w:left="880"/>
              <w:spacing w:after="0"/>
              <w:rPr>
                <w:sz w:val="20"/>
                <w:szCs w:val="20"/>
                <w:color w:val="auto"/>
              </w:rPr>
            </w:pPr>
            <w:r>
              <w:rPr>
                <w:rFonts w:ascii="Arial" w:cs="Arial" w:eastAsia="Arial" w:hAnsi="Arial"/>
                <w:sz w:val="18"/>
                <w:szCs w:val="18"/>
                <w:color w:val="auto"/>
              </w:rPr>
              <w:t>Commercial paper and corporate securities</w:t>
            </w:r>
          </w:p>
        </w:tc>
        <w:tc>
          <w:tcPr>
            <w:tcW w:w="100" w:type="dxa"/>
            <w:vAlign w:val="bottom"/>
          </w:tcPr>
          <w:p>
            <w:pPr>
              <w:spacing w:after="0"/>
              <w:rPr>
                <w:sz w:val="18"/>
                <w:szCs w:val="18"/>
                <w:color w:val="auto"/>
              </w:rPr>
            </w:pPr>
          </w:p>
        </w:tc>
        <w:tc>
          <w:tcPr>
            <w:tcW w:w="1280" w:type="dxa"/>
            <w:vAlign w:val="bottom"/>
            <w:gridSpan w:val="3"/>
          </w:tcPr>
          <w:p>
            <w:pPr>
              <w:jc w:val="center"/>
              <w:ind w:right="20"/>
              <w:spacing w:after="0"/>
              <w:rPr>
                <w:sz w:val="20"/>
                <w:szCs w:val="20"/>
                <w:color w:val="auto"/>
              </w:rPr>
            </w:pPr>
            <w:r>
              <w:rPr>
                <w:rFonts w:ascii="Arial" w:cs="Arial" w:eastAsia="Arial" w:hAnsi="Arial"/>
                <w:sz w:val="18"/>
                <w:szCs w:val="18"/>
                <w:color w:val="auto"/>
                <w:w w:val="99"/>
              </w:rPr>
              <w:t>—</w:t>
            </w:r>
          </w:p>
        </w:tc>
        <w:tc>
          <w:tcPr>
            <w:tcW w:w="12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206.1</w:t>
            </w:r>
          </w:p>
        </w:tc>
        <w:tc>
          <w:tcPr>
            <w:tcW w:w="4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20" w:type="dxa"/>
            <w:vAlign w:val="bottom"/>
            <w:gridSpan w:val="2"/>
          </w:tcPr>
          <w:p>
            <w:pPr>
              <w:jc w:val="right"/>
              <w:ind w:right="500"/>
              <w:spacing w:after="0"/>
              <w:rPr>
                <w:sz w:val="20"/>
                <w:szCs w:val="20"/>
                <w:color w:val="auto"/>
              </w:rPr>
            </w:pPr>
            <w:r>
              <w:rPr>
                <w:rFonts w:ascii="Arial" w:cs="Arial" w:eastAsia="Arial" w:hAnsi="Arial"/>
                <w:sz w:val="18"/>
                <w:szCs w:val="18"/>
                <w:color w:val="auto"/>
              </w:rPr>
              <w:t>—</w:t>
            </w:r>
          </w:p>
        </w:tc>
        <w:tc>
          <w:tcPr>
            <w:tcW w:w="580" w:type="dxa"/>
            <w:vAlign w:val="bottom"/>
            <w:gridSpan w:val="2"/>
          </w:tcPr>
          <w:p>
            <w:pPr>
              <w:jc w:val="right"/>
              <w:spacing w:after="0"/>
              <w:rPr>
                <w:sz w:val="20"/>
                <w:szCs w:val="20"/>
                <w:color w:val="auto"/>
              </w:rPr>
            </w:pPr>
            <w:r>
              <w:rPr>
                <w:rFonts w:ascii="Arial" w:cs="Arial" w:eastAsia="Arial" w:hAnsi="Arial"/>
                <w:sz w:val="18"/>
                <w:szCs w:val="18"/>
                <w:color w:val="auto"/>
              </w:rPr>
              <w:t>206.1</w:t>
            </w:r>
          </w:p>
        </w:tc>
        <w:tc>
          <w:tcPr>
            <w:tcW w:w="0" w:type="dxa"/>
            <w:vAlign w:val="bottom"/>
          </w:tcPr>
          <w:p>
            <w:pPr>
              <w:spacing w:after="0"/>
              <w:rPr>
                <w:sz w:val="1"/>
                <w:szCs w:val="1"/>
                <w:color w:val="auto"/>
              </w:rPr>
            </w:pPr>
          </w:p>
        </w:tc>
      </w:tr>
      <w:tr>
        <w:trPr>
          <w:trHeight w:val="216"/>
        </w:trPr>
        <w:tc>
          <w:tcPr>
            <w:tcW w:w="7100" w:type="dxa"/>
            <w:vAlign w:val="bottom"/>
            <w:shd w:val="clear" w:color="auto" w:fill="CCEEFF"/>
          </w:tcPr>
          <w:p>
            <w:pPr>
              <w:ind w:left="880"/>
              <w:spacing w:after="0"/>
              <w:rPr>
                <w:sz w:val="20"/>
                <w:szCs w:val="20"/>
                <w:color w:val="auto"/>
              </w:rPr>
            </w:pPr>
            <w:r>
              <w:rPr>
                <w:rFonts w:ascii="Arial" w:cs="Arial" w:eastAsia="Arial" w:hAnsi="Arial"/>
                <w:sz w:val="18"/>
                <w:szCs w:val="18"/>
                <w:color w:val="auto"/>
              </w:rPr>
              <w:t>U.S. treasury securities</w:t>
            </w: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center"/>
              <w:ind w:left="398"/>
              <w:spacing w:after="0"/>
              <w:rPr>
                <w:sz w:val="20"/>
                <w:szCs w:val="20"/>
                <w:color w:val="auto"/>
              </w:rPr>
            </w:pPr>
            <w:r>
              <w:rPr>
                <w:rFonts w:ascii="Arial" w:cs="Arial" w:eastAsia="Arial" w:hAnsi="Arial"/>
                <w:sz w:val="18"/>
                <w:szCs w:val="18"/>
                <w:color w:val="auto"/>
                <w:w w:val="85"/>
              </w:rPr>
              <w:t>25.0</w:t>
            </w:r>
          </w:p>
        </w:tc>
        <w:tc>
          <w:tcPr>
            <w:tcW w:w="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jc w:val="right"/>
              <w:ind w:right="15"/>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25.0</w:t>
            </w:r>
          </w:p>
        </w:tc>
        <w:tc>
          <w:tcPr>
            <w:tcW w:w="0" w:type="dxa"/>
            <w:vAlign w:val="bottom"/>
          </w:tcPr>
          <w:p>
            <w:pPr>
              <w:spacing w:after="0"/>
              <w:rPr>
                <w:sz w:val="1"/>
                <w:szCs w:val="1"/>
                <w:color w:val="auto"/>
              </w:rPr>
            </w:pPr>
          </w:p>
        </w:tc>
      </w:tr>
      <w:tr>
        <w:trPr>
          <w:trHeight w:val="216"/>
        </w:trPr>
        <w:tc>
          <w:tcPr>
            <w:tcW w:w="7100" w:type="dxa"/>
            <w:vAlign w:val="bottom"/>
          </w:tcPr>
          <w:p>
            <w:pPr>
              <w:ind w:left="880"/>
              <w:spacing w:after="0"/>
              <w:rPr>
                <w:sz w:val="20"/>
                <w:szCs w:val="20"/>
                <w:color w:val="auto"/>
              </w:rPr>
            </w:pPr>
            <w:r>
              <w:rPr>
                <w:rFonts w:ascii="Arial" w:cs="Arial" w:eastAsia="Arial" w:hAnsi="Arial"/>
                <w:sz w:val="18"/>
                <w:szCs w:val="18"/>
                <w:color w:val="auto"/>
              </w:rPr>
              <w:t>U.S. government agency securities</w:t>
            </w:r>
          </w:p>
        </w:tc>
        <w:tc>
          <w:tcPr>
            <w:tcW w:w="100" w:type="dxa"/>
            <w:vAlign w:val="bottom"/>
          </w:tcPr>
          <w:p>
            <w:pPr>
              <w:spacing w:after="0"/>
              <w:rPr>
                <w:sz w:val="18"/>
                <w:szCs w:val="18"/>
                <w:color w:val="auto"/>
              </w:rPr>
            </w:pPr>
          </w:p>
        </w:tc>
        <w:tc>
          <w:tcPr>
            <w:tcW w:w="820" w:type="dxa"/>
            <w:vAlign w:val="bottom"/>
            <w:gridSpan w:val="2"/>
          </w:tcPr>
          <w:p>
            <w:pPr>
              <w:jc w:val="center"/>
              <w:ind w:left="398"/>
              <w:spacing w:after="0"/>
              <w:rPr>
                <w:sz w:val="20"/>
                <w:szCs w:val="20"/>
                <w:color w:val="auto"/>
              </w:rPr>
            </w:pPr>
            <w:r>
              <w:rPr>
                <w:rFonts w:ascii="Arial" w:cs="Arial" w:eastAsia="Arial" w:hAnsi="Arial"/>
                <w:sz w:val="18"/>
                <w:szCs w:val="18"/>
                <w:color w:val="auto"/>
                <w:w w:val="85"/>
              </w:rPr>
              <w:t>55.0</w:t>
            </w:r>
          </w:p>
        </w:tc>
        <w:tc>
          <w:tcPr>
            <w:tcW w:w="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jc w:val="right"/>
              <w:ind w:right="15"/>
              <w:spacing w:after="0"/>
              <w:rPr>
                <w:sz w:val="20"/>
                <w:szCs w:val="20"/>
                <w:color w:val="auto"/>
              </w:rPr>
            </w:pPr>
            <w:r>
              <w:rPr>
                <w:rFonts w:ascii="Arial" w:cs="Arial" w:eastAsia="Arial" w:hAnsi="Arial"/>
                <w:sz w:val="18"/>
                <w:szCs w:val="18"/>
                <w:color w:val="auto"/>
              </w:rPr>
              <w:t>—</w:t>
            </w:r>
          </w:p>
        </w:tc>
        <w:tc>
          <w:tcPr>
            <w:tcW w:w="4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20" w:type="dxa"/>
            <w:vAlign w:val="bottom"/>
            <w:gridSpan w:val="2"/>
          </w:tcPr>
          <w:p>
            <w:pPr>
              <w:jc w:val="right"/>
              <w:ind w:right="500"/>
              <w:spacing w:after="0"/>
              <w:rPr>
                <w:sz w:val="20"/>
                <w:szCs w:val="20"/>
                <w:color w:val="auto"/>
              </w:rPr>
            </w:pPr>
            <w:r>
              <w:rPr>
                <w:rFonts w:ascii="Arial" w:cs="Arial" w:eastAsia="Arial" w:hAnsi="Arial"/>
                <w:sz w:val="18"/>
                <w:szCs w:val="18"/>
                <w:color w:val="auto"/>
              </w:rPr>
              <w:t>—</w:t>
            </w:r>
          </w:p>
        </w:tc>
        <w:tc>
          <w:tcPr>
            <w:tcW w:w="580" w:type="dxa"/>
            <w:vAlign w:val="bottom"/>
            <w:gridSpan w:val="2"/>
          </w:tcPr>
          <w:p>
            <w:pPr>
              <w:jc w:val="right"/>
              <w:spacing w:after="0"/>
              <w:rPr>
                <w:sz w:val="20"/>
                <w:szCs w:val="20"/>
                <w:color w:val="auto"/>
              </w:rPr>
            </w:pPr>
            <w:r>
              <w:rPr>
                <w:rFonts w:ascii="Arial" w:cs="Arial" w:eastAsia="Arial" w:hAnsi="Arial"/>
                <w:sz w:val="18"/>
                <w:szCs w:val="18"/>
                <w:color w:val="auto"/>
              </w:rPr>
              <w:t>55.0</w:t>
            </w:r>
          </w:p>
        </w:tc>
        <w:tc>
          <w:tcPr>
            <w:tcW w:w="0" w:type="dxa"/>
            <w:vAlign w:val="bottom"/>
          </w:tcPr>
          <w:p>
            <w:pPr>
              <w:spacing w:after="0"/>
              <w:rPr>
                <w:sz w:val="1"/>
                <w:szCs w:val="1"/>
                <w:color w:val="auto"/>
              </w:rPr>
            </w:pPr>
          </w:p>
        </w:tc>
      </w:tr>
      <w:tr>
        <w:trPr>
          <w:trHeight w:val="216"/>
        </w:trPr>
        <w:tc>
          <w:tcPr>
            <w:tcW w:w="7100" w:type="dxa"/>
            <w:vAlign w:val="bottom"/>
            <w:shd w:val="clear" w:color="auto" w:fill="CCEEFF"/>
          </w:tcPr>
          <w:p>
            <w:pPr>
              <w:ind w:left="880"/>
              <w:spacing w:after="0"/>
              <w:rPr>
                <w:sz w:val="20"/>
                <w:szCs w:val="20"/>
                <w:color w:val="auto"/>
              </w:rPr>
            </w:pPr>
            <w:r>
              <w:rPr>
                <w:rFonts w:ascii="Arial" w:cs="Arial" w:eastAsia="Arial" w:hAnsi="Arial"/>
                <w:sz w:val="18"/>
                <w:szCs w:val="18"/>
                <w:color w:val="auto"/>
              </w:rPr>
              <w:t>Money market funds</w:t>
            </w:r>
          </w:p>
        </w:tc>
        <w:tc>
          <w:tcPr>
            <w:tcW w:w="100" w:type="dxa"/>
            <w:vAlign w:val="bottom"/>
            <w:shd w:val="clear" w:color="auto" w:fill="CCEEFF"/>
          </w:tcPr>
          <w:p>
            <w:pPr>
              <w:spacing w:after="0"/>
              <w:rPr>
                <w:sz w:val="18"/>
                <w:szCs w:val="18"/>
                <w:color w:val="auto"/>
              </w:rPr>
            </w:pPr>
          </w:p>
        </w:tc>
        <w:tc>
          <w:tcPr>
            <w:tcW w:w="1280" w:type="dxa"/>
            <w:vAlign w:val="bottom"/>
            <w:gridSpan w:val="3"/>
            <w:shd w:val="clear" w:color="auto" w:fill="CCEEFF"/>
          </w:tcPr>
          <w:p>
            <w:pPr>
              <w:jc w:val="center"/>
              <w:ind w:right="20"/>
              <w:spacing w:after="0"/>
              <w:rPr>
                <w:sz w:val="20"/>
                <w:szCs w:val="20"/>
                <w:color w:val="auto"/>
              </w:rPr>
            </w:pPr>
            <w:r>
              <w:rPr>
                <w:rFonts w:ascii="Arial" w:cs="Arial" w:eastAsia="Arial" w:hAnsi="Arial"/>
                <w:sz w:val="18"/>
                <w:szCs w:val="18"/>
                <w:color w:val="auto"/>
                <w:w w:val="99"/>
              </w:rPr>
              <w:t>—</w:t>
            </w: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63.5</w:t>
            </w:r>
          </w:p>
        </w:tc>
        <w:tc>
          <w:tcPr>
            <w:tcW w:w="4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w:t>
            </w: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63.5</w:t>
            </w:r>
          </w:p>
        </w:tc>
        <w:tc>
          <w:tcPr>
            <w:tcW w:w="0" w:type="dxa"/>
            <w:vAlign w:val="bottom"/>
          </w:tcPr>
          <w:p>
            <w:pPr>
              <w:spacing w:after="0"/>
              <w:rPr>
                <w:sz w:val="1"/>
                <w:szCs w:val="1"/>
                <w:color w:val="auto"/>
              </w:rPr>
            </w:pPr>
          </w:p>
        </w:tc>
      </w:tr>
      <w:tr>
        <w:trPr>
          <w:trHeight w:val="216"/>
        </w:trPr>
        <w:tc>
          <w:tcPr>
            <w:tcW w:w="7100" w:type="dxa"/>
            <w:vAlign w:val="bottom"/>
          </w:tcPr>
          <w:p>
            <w:pPr>
              <w:ind w:left="440"/>
              <w:spacing w:after="0"/>
              <w:rPr>
                <w:sz w:val="20"/>
                <w:szCs w:val="20"/>
                <w:color w:val="auto"/>
              </w:rPr>
            </w:pPr>
            <w:r>
              <w:rPr>
                <w:rFonts w:ascii="Arial" w:cs="Arial" w:eastAsia="Arial" w:hAnsi="Arial"/>
                <w:sz w:val="18"/>
                <w:szCs w:val="18"/>
                <w:color w:val="auto"/>
              </w:rPr>
              <w:t>Marketable securities:</w:t>
            </w: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100" w:type="dxa"/>
            <w:vAlign w:val="bottom"/>
            <w:shd w:val="clear" w:color="auto" w:fill="CCEEFF"/>
          </w:tcPr>
          <w:p>
            <w:pPr>
              <w:ind w:left="880"/>
              <w:spacing w:after="0"/>
              <w:rPr>
                <w:sz w:val="20"/>
                <w:szCs w:val="20"/>
                <w:color w:val="auto"/>
              </w:rPr>
            </w:pPr>
            <w:r>
              <w:rPr>
                <w:rFonts w:ascii="Arial" w:cs="Arial" w:eastAsia="Arial" w:hAnsi="Arial"/>
                <w:sz w:val="18"/>
                <w:szCs w:val="18"/>
                <w:color w:val="auto"/>
              </w:rPr>
              <w:t>Certificates of deposit and time deposits</w:t>
            </w:r>
          </w:p>
        </w:tc>
        <w:tc>
          <w:tcPr>
            <w:tcW w:w="100" w:type="dxa"/>
            <w:vAlign w:val="bottom"/>
            <w:shd w:val="clear" w:color="auto" w:fill="CCEEFF"/>
          </w:tcPr>
          <w:p>
            <w:pPr>
              <w:spacing w:after="0"/>
              <w:rPr>
                <w:sz w:val="18"/>
                <w:szCs w:val="18"/>
                <w:color w:val="auto"/>
              </w:rPr>
            </w:pPr>
          </w:p>
        </w:tc>
        <w:tc>
          <w:tcPr>
            <w:tcW w:w="1280" w:type="dxa"/>
            <w:vAlign w:val="bottom"/>
            <w:gridSpan w:val="3"/>
            <w:shd w:val="clear" w:color="auto" w:fill="CCEEFF"/>
          </w:tcPr>
          <w:p>
            <w:pPr>
              <w:jc w:val="center"/>
              <w:ind w:right="20"/>
              <w:spacing w:after="0"/>
              <w:rPr>
                <w:sz w:val="20"/>
                <w:szCs w:val="20"/>
                <w:color w:val="auto"/>
              </w:rPr>
            </w:pPr>
            <w:r>
              <w:rPr>
                <w:rFonts w:ascii="Arial" w:cs="Arial" w:eastAsia="Arial" w:hAnsi="Arial"/>
                <w:sz w:val="18"/>
                <w:szCs w:val="18"/>
                <w:color w:val="auto"/>
                <w:w w:val="99"/>
              </w:rPr>
              <w:t>—</w:t>
            </w: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w:t>
            </w:r>
          </w:p>
        </w:tc>
        <w:tc>
          <w:tcPr>
            <w:tcW w:w="4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w:t>
            </w: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10.3</w:t>
            </w:r>
          </w:p>
        </w:tc>
        <w:tc>
          <w:tcPr>
            <w:tcW w:w="0" w:type="dxa"/>
            <w:vAlign w:val="bottom"/>
          </w:tcPr>
          <w:p>
            <w:pPr>
              <w:spacing w:after="0"/>
              <w:rPr>
                <w:sz w:val="1"/>
                <w:szCs w:val="1"/>
                <w:color w:val="auto"/>
              </w:rPr>
            </w:pPr>
          </w:p>
        </w:tc>
      </w:tr>
      <w:tr>
        <w:trPr>
          <w:trHeight w:val="216"/>
        </w:trPr>
        <w:tc>
          <w:tcPr>
            <w:tcW w:w="7100" w:type="dxa"/>
            <w:vAlign w:val="bottom"/>
          </w:tcPr>
          <w:p>
            <w:pPr>
              <w:ind w:left="880"/>
              <w:spacing w:after="0"/>
              <w:rPr>
                <w:sz w:val="20"/>
                <w:szCs w:val="20"/>
                <w:color w:val="auto"/>
              </w:rPr>
            </w:pPr>
            <w:r>
              <w:rPr>
                <w:rFonts w:ascii="Arial" w:cs="Arial" w:eastAsia="Arial" w:hAnsi="Arial"/>
                <w:sz w:val="18"/>
                <w:szCs w:val="18"/>
                <w:color w:val="auto"/>
              </w:rPr>
              <w:t>Mutual funds</w:t>
            </w:r>
          </w:p>
        </w:tc>
        <w:tc>
          <w:tcPr>
            <w:tcW w:w="100" w:type="dxa"/>
            <w:vAlign w:val="bottom"/>
          </w:tcPr>
          <w:p>
            <w:pPr>
              <w:spacing w:after="0"/>
              <w:rPr>
                <w:sz w:val="18"/>
                <w:szCs w:val="18"/>
                <w:color w:val="auto"/>
              </w:rPr>
            </w:pPr>
          </w:p>
        </w:tc>
        <w:tc>
          <w:tcPr>
            <w:tcW w:w="820" w:type="dxa"/>
            <w:vAlign w:val="bottom"/>
            <w:gridSpan w:val="2"/>
          </w:tcPr>
          <w:p>
            <w:pPr>
              <w:jc w:val="center"/>
              <w:ind w:left="398"/>
              <w:spacing w:after="0"/>
              <w:rPr>
                <w:sz w:val="20"/>
                <w:szCs w:val="20"/>
                <w:color w:val="auto"/>
              </w:rPr>
            </w:pPr>
            <w:r>
              <w:rPr>
                <w:rFonts w:ascii="Arial" w:cs="Arial" w:eastAsia="Arial" w:hAnsi="Arial"/>
                <w:sz w:val="18"/>
                <w:szCs w:val="18"/>
                <w:color w:val="auto"/>
                <w:w w:val="85"/>
              </w:rPr>
              <w:t>19.9</w:t>
            </w:r>
          </w:p>
        </w:tc>
        <w:tc>
          <w:tcPr>
            <w:tcW w:w="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jc w:val="right"/>
              <w:ind w:right="15"/>
              <w:spacing w:after="0"/>
              <w:rPr>
                <w:sz w:val="20"/>
                <w:szCs w:val="20"/>
                <w:color w:val="auto"/>
              </w:rPr>
            </w:pPr>
            <w:r>
              <w:rPr>
                <w:rFonts w:ascii="Arial" w:cs="Arial" w:eastAsia="Arial" w:hAnsi="Arial"/>
                <w:sz w:val="18"/>
                <w:szCs w:val="18"/>
                <w:color w:val="auto"/>
              </w:rPr>
              <w:t>—</w:t>
            </w:r>
          </w:p>
        </w:tc>
        <w:tc>
          <w:tcPr>
            <w:tcW w:w="4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20" w:type="dxa"/>
            <w:vAlign w:val="bottom"/>
            <w:gridSpan w:val="2"/>
          </w:tcPr>
          <w:p>
            <w:pPr>
              <w:jc w:val="right"/>
              <w:ind w:right="500"/>
              <w:spacing w:after="0"/>
              <w:rPr>
                <w:sz w:val="20"/>
                <w:szCs w:val="20"/>
                <w:color w:val="auto"/>
              </w:rPr>
            </w:pPr>
            <w:r>
              <w:rPr>
                <w:rFonts w:ascii="Arial" w:cs="Arial" w:eastAsia="Arial" w:hAnsi="Arial"/>
                <w:sz w:val="18"/>
                <w:szCs w:val="18"/>
                <w:color w:val="auto"/>
              </w:rPr>
              <w:t>—</w:t>
            </w:r>
          </w:p>
        </w:tc>
        <w:tc>
          <w:tcPr>
            <w:tcW w:w="580" w:type="dxa"/>
            <w:vAlign w:val="bottom"/>
            <w:gridSpan w:val="2"/>
          </w:tcPr>
          <w:p>
            <w:pPr>
              <w:jc w:val="right"/>
              <w:spacing w:after="0"/>
              <w:rPr>
                <w:sz w:val="20"/>
                <w:szCs w:val="20"/>
                <w:color w:val="auto"/>
              </w:rPr>
            </w:pPr>
            <w:r>
              <w:rPr>
                <w:rFonts w:ascii="Arial" w:cs="Arial" w:eastAsia="Arial" w:hAnsi="Arial"/>
                <w:sz w:val="18"/>
                <w:szCs w:val="18"/>
                <w:color w:val="auto"/>
              </w:rPr>
              <w:t>19.9</w:t>
            </w:r>
          </w:p>
        </w:tc>
        <w:tc>
          <w:tcPr>
            <w:tcW w:w="0" w:type="dxa"/>
            <w:vAlign w:val="bottom"/>
          </w:tcPr>
          <w:p>
            <w:pPr>
              <w:spacing w:after="0"/>
              <w:rPr>
                <w:sz w:val="1"/>
                <w:szCs w:val="1"/>
                <w:color w:val="auto"/>
              </w:rPr>
            </w:pPr>
          </w:p>
        </w:tc>
      </w:tr>
      <w:tr>
        <w:trPr>
          <w:trHeight w:val="216"/>
        </w:trPr>
        <w:tc>
          <w:tcPr>
            <w:tcW w:w="7100" w:type="dxa"/>
            <w:vAlign w:val="bottom"/>
            <w:shd w:val="clear" w:color="auto" w:fill="CCEEFF"/>
          </w:tcPr>
          <w:p>
            <w:pPr>
              <w:ind w:left="880"/>
              <w:spacing w:after="0"/>
              <w:rPr>
                <w:sz w:val="20"/>
                <w:szCs w:val="20"/>
                <w:color w:val="auto"/>
              </w:rPr>
            </w:pPr>
            <w:r>
              <w:rPr>
                <w:rFonts w:ascii="Arial" w:cs="Arial" w:eastAsia="Arial" w:hAnsi="Arial"/>
                <w:sz w:val="18"/>
                <w:szCs w:val="18"/>
                <w:color w:val="auto"/>
              </w:rPr>
              <w:t>Money market funds</w:t>
            </w:r>
          </w:p>
        </w:tc>
        <w:tc>
          <w:tcPr>
            <w:tcW w:w="100" w:type="dxa"/>
            <w:vAlign w:val="bottom"/>
            <w:shd w:val="clear" w:color="auto" w:fill="CCEEFF"/>
          </w:tcPr>
          <w:p>
            <w:pPr>
              <w:spacing w:after="0"/>
              <w:rPr>
                <w:sz w:val="18"/>
                <w:szCs w:val="18"/>
                <w:color w:val="auto"/>
              </w:rPr>
            </w:pPr>
          </w:p>
        </w:tc>
        <w:tc>
          <w:tcPr>
            <w:tcW w:w="1280" w:type="dxa"/>
            <w:vAlign w:val="bottom"/>
            <w:gridSpan w:val="3"/>
            <w:shd w:val="clear" w:color="auto" w:fill="CCEEFF"/>
          </w:tcPr>
          <w:p>
            <w:pPr>
              <w:jc w:val="center"/>
              <w:ind w:right="20"/>
              <w:spacing w:after="0"/>
              <w:rPr>
                <w:sz w:val="20"/>
                <w:szCs w:val="20"/>
                <w:color w:val="auto"/>
              </w:rPr>
            </w:pPr>
            <w:r>
              <w:rPr>
                <w:rFonts w:ascii="Arial" w:cs="Arial" w:eastAsia="Arial" w:hAnsi="Arial"/>
                <w:sz w:val="18"/>
                <w:szCs w:val="18"/>
                <w:color w:val="auto"/>
                <w:w w:val="99"/>
              </w:rPr>
              <w:t>—</w:t>
            </w: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jc w:val="right"/>
              <w:ind w:right="15"/>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33.3</w:t>
            </w:r>
          </w:p>
        </w:tc>
        <w:tc>
          <w:tcPr>
            <w:tcW w:w="4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33.3</w:t>
            </w:r>
          </w:p>
        </w:tc>
        <w:tc>
          <w:tcPr>
            <w:tcW w:w="0" w:type="dxa"/>
            <w:vAlign w:val="bottom"/>
          </w:tcPr>
          <w:p>
            <w:pPr>
              <w:spacing w:after="0"/>
              <w:rPr>
                <w:sz w:val="1"/>
                <w:szCs w:val="1"/>
                <w:color w:val="auto"/>
              </w:rPr>
            </w:pPr>
          </w:p>
        </w:tc>
      </w:tr>
      <w:tr>
        <w:trPr>
          <w:trHeight w:val="216"/>
        </w:trPr>
        <w:tc>
          <w:tcPr>
            <w:tcW w:w="7100" w:type="dxa"/>
            <w:vAlign w:val="bottom"/>
          </w:tcPr>
          <w:p>
            <w:pPr>
              <w:ind w:left="880"/>
              <w:spacing w:after="0"/>
              <w:rPr>
                <w:sz w:val="20"/>
                <w:szCs w:val="20"/>
                <w:color w:val="auto"/>
              </w:rPr>
            </w:pPr>
            <w:r>
              <w:rPr>
                <w:rFonts w:ascii="Arial" w:cs="Arial" w:eastAsia="Arial" w:hAnsi="Arial"/>
                <w:sz w:val="18"/>
                <w:szCs w:val="18"/>
                <w:color w:val="auto"/>
              </w:rPr>
              <w:t>Taxable auction-rate securities</w:t>
            </w:r>
          </w:p>
        </w:tc>
        <w:tc>
          <w:tcPr>
            <w:tcW w:w="100" w:type="dxa"/>
            <w:vAlign w:val="bottom"/>
          </w:tcPr>
          <w:p>
            <w:pPr>
              <w:spacing w:after="0"/>
              <w:rPr>
                <w:sz w:val="18"/>
                <w:szCs w:val="18"/>
                <w:color w:val="auto"/>
              </w:rPr>
            </w:pPr>
          </w:p>
        </w:tc>
        <w:tc>
          <w:tcPr>
            <w:tcW w:w="1280" w:type="dxa"/>
            <w:vAlign w:val="bottom"/>
            <w:gridSpan w:val="3"/>
          </w:tcPr>
          <w:p>
            <w:pPr>
              <w:jc w:val="center"/>
              <w:ind w:right="20"/>
              <w:spacing w:after="0"/>
              <w:rPr>
                <w:sz w:val="20"/>
                <w:szCs w:val="20"/>
                <w:color w:val="auto"/>
              </w:rPr>
            </w:pPr>
            <w:r>
              <w:rPr>
                <w:rFonts w:ascii="Arial" w:cs="Arial" w:eastAsia="Arial" w:hAnsi="Arial"/>
                <w:sz w:val="18"/>
                <w:szCs w:val="18"/>
                <w:color w:val="auto"/>
                <w:w w:val="99"/>
              </w:rPr>
              <w:t>—</w:t>
            </w:r>
          </w:p>
        </w:tc>
        <w:tc>
          <w:tcPr>
            <w:tcW w:w="120" w:type="dxa"/>
            <w:vAlign w:val="bottom"/>
          </w:tcPr>
          <w:p>
            <w:pPr>
              <w:spacing w:after="0"/>
              <w:rPr>
                <w:sz w:val="18"/>
                <w:szCs w:val="18"/>
                <w:color w:val="auto"/>
              </w:rPr>
            </w:pPr>
          </w:p>
        </w:tc>
        <w:tc>
          <w:tcPr>
            <w:tcW w:w="560" w:type="dxa"/>
            <w:vAlign w:val="bottom"/>
          </w:tcPr>
          <w:p>
            <w:pPr>
              <w:jc w:val="right"/>
              <w:ind w:right="15"/>
              <w:spacing w:after="0"/>
              <w:rPr>
                <w:sz w:val="20"/>
                <w:szCs w:val="20"/>
                <w:color w:val="auto"/>
              </w:rPr>
            </w:pPr>
            <w:r>
              <w:rPr>
                <w:rFonts w:ascii="Arial" w:cs="Arial" w:eastAsia="Arial" w:hAnsi="Arial"/>
                <w:sz w:val="18"/>
                <w:szCs w:val="18"/>
                <w:color w:val="auto"/>
              </w:rPr>
              <w:t>—</w:t>
            </w:r>
          </w:p>
        </w:tc>
        <w:tc>
          <w:tcPr>
            <w:tcW w:w="4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7.6</w:t>
            </w:r>
          </w:p>
        </w:tc>
        <w:tc>
          <w:tcPr>
            <w:tcW w:w="400" w:type="dxa"/>
            <w:vAlign w:val="bottom"/>
          </w:tcPr>
          <w:p>
            <w:pPr>
              <w:spacing w:after="0"/>
              <w:rPr>
                <w:sz w:val="18"/>
                <w:szCs w:val="18"/>
                <w:color w:val="auto"/>
              </w:rPr>
            </w:pPr>
          </w:p>
        </w:tc>
        <w:tc>
          <w:tcPr>
            <w:tcW w:w="580" w:type="dxa"/>
            <w:vAlign w:val="bottom"/>
            <w:gridSpan w:val="2"/>
          </w:tcPr>
          <w:p>
            <w:pPr>
              <w:jc w:val="right"/>
              <w:spacing w:after="0"/>
              <w:rPr>
                <w:sz w:val="20"/>
                <w:szCs w:val="20"/>
                <w:color w:val="auto"/>
              </w:rPr>
            </w:pPr>
            <w:r>
              <w:rPr>
                <w:rFonts w:ascii="Arial" w:cs="Arial" w:eastAsia="Arial" w:hAnsi="Arial"/>
                <w:sz w:val="18"/>
                <w:szCs w:val="18"/>
                <w:color w:val="auto"/>
              </w:rPr>
              <w:t>7.6</w:t>
            </w:r>
          </w:p>
        </w:tc>
        <w:tc>
          <w:tcPr>
            <w:tcW w:w="0" w:type="dxa"/>
            <w:vAlign w:val="bottom"/>
          </w:tcPr>
          <w:p>
            <w:pPr>
              <w:spacing w:after="0"/>
              <w:rPr>
                <w:sz w:val="1"/>
                <w:szCs w:val="1"/>
                <w:color w:val="auto"/>
              </w:rPr>
            </w:pPr>
          </w:p>
        </w:tc>
      </w:tr>
      <w:tr>
        <w:trPr>
          <w:trHeight w:val="216"/>
        </w:trPr>
        <w:tc>
          <w:tcPr>
            <w:tcW w:w="71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Foreign currency derivative contracts</w:t>
            </w:r>
            <w:r>
              <w:rPr>
                <w:rFonts w:ascii="Arial" w:cs="Arial" w:eastAsia="Arial" w:hAnsi="Arial"/>
                <w:sz w:val="11"/>
                <w:szCs w:val="11"/>
                <w:color w:val="auto"/>
              </w:rPr>
              <w:t>(2)</w:t>
            </w:r>
          </w:p>
        </w:tc>
        <w:tc>
          <w:tcPr>
            <w:tcW w:w="10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center"/>
              <w:ind w:left="378"/>
              <w:spacing w:after="0"/>
              <w:rPr>
                <w:sz w:val="20"/>
                <w:szCs w:val="20"/>
                <w:color w:val="auto"/>
              </w:rPr>
            </w:pPr>
            <w:r>
              <w:rPr>
                <w:rFonts w:ascii="Arial" w:cs="Arial" w:eastAsia="Arial" w:hAnsi="Arial"/>
                <w:sz w:val="18"/>
                <w:szCs w:val="18"/>
                <w:color w:val="auto"/>
                <w:w w:val="99"/>
              </w:rPr>
              <w:t>—</w:t>
            </w:r>
          </w:p>
        </w:tc>
        <w:tc>
          <w:tcPr>
            <w:tcW w:w="480" w:type="dxa"/>
            <w:vAlign w:val="bottom"/>
            <w:gridSpan w:val="2"/>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48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ind w:right="17"/>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22"/>
        </w:trPr>
        <w:tc>
          <w:tcPr>
            <w:tcW w:w="7100" w:type="dxa"/>
            <w:vAlign w:val="bottom"/>
          </w:tcPr>
          <w:p>
            <w:pPr>
              <w:ind w:left="880"/>
              <w:spacing w:after="0"/>
              <w:rPr>
                <w:sz w:val="20"/>
                <w:szCs w:val="20"/>
                <w:color w:val="auto"/>
              </w:rPr>
            </w:pPr>
            <w:r>
              <w:rPr>
                <w:rFonts w:ascii="Arial" w:cs="Arial" w:eastAsia="Arial" w:hAnsi="Arial"/>
                <w:sz w:val="18"/>
                <w:szCs w:val="18"/>
                <w:color w:val="auto"/>
              </w:rPr>
              <w:t>Total</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gridSpan w:val="2"/>
          </w:tcPr>
          <w:p>
            <w:pPr>
              <w:jc w:val="center"/>
              <w:ind w:left="398"/>
              <w:spacing w:after="0"/>
              <w:rPr>
                <w:sz w:val="20"/>
                <w:szCs w:val="20"/>
                <w:color w:val="auto"/>
              </w:rPr>
            </w:pPr>
            <w:r>
              <w:rPr>
                <w:rFonts w:ascii="Arial" w:cs="Arial" w:eastAsia="Arial" w:hAnsi="Arial"/>
                <w:sz w:val="18"/>
                <w:szCs w:val="18"/>
                <w:color w:val="auto"/>
                <w:w w:val="85"/>
              </w:rPr>
              <w:t>99.9</w:t>
            </w:r>
          </w:p>
        </w:tc>
        <w:tc>
          <w:tcPr>
            <w:tcW w:w="46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622.0</w:t>
            </w:r>
          </w:p>
        </w:tc>
        <w:tc>
          <w:tcPr>
            <w:tcW w:w="560" w:type="dxa"/>
            <w:vAlign w:val="bottom"/>
            <w:gridSpan w:val="2"/>
          </w:tcPr>
          <w:p>
            <w:pPr>
              <w:ind w:left="480"/>
              <w:spacing w:after="0"/>
              <w:rPr>
                <w:sz w:val="20"/>
                <w:szCs w:val="20"/>
                <w:color w:val="auto"/>
              </w:rPr>
            </w:pPr>
            <w:r>
              <w:rPr>
                <w:rFonts w:ascii="Arial" w:cs="Arial" w:eastAsia="Arial" w:hAnsi="Arial"/>
                <w:sz w:val="15"/>
                <w:szCs w:val="15"/>
                <w:color w:val="auto"/>
                <w:w w:val="71"/>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40.9</w:t>
            </w:r>
          </w:p>
        </w:tc>
        <w:tc>
          <w:tcPr>
            <w:tcW w:w="400" w:type="dxa"/>
            <w:vAlign w:val="bottom"/>
          </w:tcPr>
          <w:p>
            <w:pPr>
              <w:spacing w:after="0"/>
              <w:rPr>
                <w:sz w:val="19"/>
                <w:szCs w:val="19"/>
                <w:color w:val="auto"/>
              </w:rPr>
            </w:pPr>
          </w:p>
        </w:tc>
        <w:tc>
          <w:tcPr>
            <w:tcW w:w="58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762.8</w:t>
            </w:r>
          </w:p>
        </w:tc>
        <w:tc>
          <w:tcPr>
            <w:tcW w:w="0" w:type="dxa"/>
            <w:vAlign w:val="bottom"/>
          </w:tcPr>
          <w:p>
            <w:pPr>
              <w:spacing w:after="0"/>
              <w:rPr>
                <w:sz w:val="1"/>
                <w:szCs w:val="1"/>
                <w:color w:val="auto"/>
              </w:rPr>
            </w:pPr>
          </w:p>
        </w:tc>
      </w:tr>
      <w:tr>
        <w:trPr>
          <w:trHeight w:val="20"/>
        </w:trPr>
        <w:tc>
          <w:tcPr>
            <w:tcW w:w="7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23" w:lineRule="exact"/>
        <w:rPr>
          <w:sz w:val="20"/>
          <w:szCs w:val="20"/>
          <w:color w:val="auto"/>
        </w:rPr>
      </w:pPr>
    </w:p>
    <w:p>
      <w:pPr>
        <w:ind w:left="460" w:hanging="452"/>
        <w:spacing w:after="0"/>
        <w:tabs>
          <w:tab w:leader="none" w:pos="460" w:val="left"/>
        </w:tabs>
        <w:numPr>
          <w:ilvl w:val="0"/>
          <w:numId w:val="10"/>
        </w:numPr>
        <w:rPr>
          <w:rFonts w:ascii="Arial" w:cs="Arial" w:eastAsia="Arial" w:hAnsi="Arial"/>
          <w:sz w:val="22"/>
          <w:szCs w:val="22"/>
          <w:color w:val="auto"/>
          <w:vertAlign w:val="superscript"/>
        </w:rPr>
      </w:pPr>
      <w:r>
        <w:rPr>
          <w:rFonts w:ascii="Arial" w:cs="Arial" w:eastAsia="Arial" w:hAnsi="Arial"/>
          <w:sz w:val="18"/>
          <w:szCs w:val="18"/>
          <w:color w:val="auto"/>
        </w:rPr>
        <w:t>Included in “Cash and cash equivalents” in the accompanying Condensed Consolidated Balance Sheets.</w:t>
      </w:r>
    </w:p>
    <w:p>
      <w:pPr>
        <w:spacing w:after="0" w:line="7" w:lineRule="exact"/>
        <w:rPr>
          <w:rFonts w:ascii="Arial" w:cs="Arial" w:eastAsia="Arial" w:hAnsi="Arial"/>
          <w:sz w:val="22"/>
          <w:szCs w:val="22"/>
          <w:color w:val="auto"/>
          <w:vertAlign w:val="superscript"/>
        </w:rPr>
      </w:pPr>
    </w:p>
    <w:p>
      <w:pPr>
        <w:ind w:left="460" w:hanging="452"/>
        <w:spacing w:after="0" w:line="197" w:lineRule="auto"/>
        <w:tabs>
          <w:tab w:leader="none" w:pos="460" w:val="left"/>
        </w:tabs>
        <w:numPr>
          <w:ilvl w:val="0"/>
          <w:numId w:val="10"/>
        </w:numPr>
        <w:rPr>
          <w:rFonts w:ascii="Arial" w:cs="Arial" w:eastAsia="Arial" w:hAnsi="Arial"/>
          <w:sz w:val="22"/>
          <w:szCs w:val="22"/>
          <w:color w:val="auto"/>
          <w:vertAlign w:val="superscript"/>
        </w:rPr>
      </w:pPr>
      <w:r>
        <w:rPr>
          <w:rFonts w:ascii="Arial" w:cs="Arial" w:eastAsia="Arial" w:hAnsi="Arial"/>
          <w:sz w:val="18"/>
          <w:szCs w:val="18"/>
          <w:color w:val="auto"/>
        </w:rPr>
        <w:t>Included in “Prepaid expenses and other current assets” in the accompanying Condensed Consolidated Balance Sheets.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-297815</wp:posOffset>
            </wp:positionV>
            <wp:extent cx="72898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37" w:lineRule="exact"/>
        <w:rPr>
          <w:sz w:val="20"/>
          <w:szCs w:val="20"/>
          <w:color w:val="auto"/>
        </w:rPr>
      </w:pPr>
    </w:p>
    <w:p>
      <w:pPr>
        <w:jc w:val="both"/>
        <w:ind w:right="60" w:firstLine="456"/>
        <w:spacing w:after="0" w:line="306" w:lineRule="auto"/>
        <w:rPr>
          <w:sz w:val="20"/>
          <w:szCs w:val="20"/>
          <w:color w:val="auto"/>
        </w:rPr>
      </w:pPr>
      <w:r>
        <w:rPr>
          <w:rFonts w:ascii="Arial" w:cs="Arial" w:eastAsia="Arial" w:hAnsi="Arial"/>
          <w:sz w:val="16"/>
          <w:szCs w:val="16"/>
          <w:color w:val="auto"/>
        </w:rPr>
        <w:t>Autodesk’s cash equivalents and marketable securities are primarily classified within Level 1 or Level 2 of the fair value hierarchy because they are valued primarily using quoted market prices, or alternative pricing sources and models utilizing market observable inputs with reasonable levels of price transparency. A reconciliation of the change in Autodesk’s Level 3 items for the nine months ended October 31, 2009 was as follows:</w:t>
      </w:r>
    </w:p>
    <w:p>
      <w:pPr>
        <w:spacing w:after="0" w:line="13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82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320" w:type="dxa"/>
            <w:vAlign w:val="bottom"/>
            <w:gridSpan w:val="6"/>
          </w:tcPr>
          <w:p>
            <w:pPr>
              <w:jc w:val="center"/>
              <w:ind w:left="282"/>
              <w:spacing w:after="0"/>
              <w:rPr>
                <w:sz w:val="20"/>
                <w:szCs w:val="20"/>
                <w:color w:val="auto"/>
              </w:rPr>
            </w:pPr>
            <w:r>
              <w:rPr>
                <w:rFonts w:ascii="Arial" w:cs="Arial" w:eastAsia="Arial" w:hAnsi="Arial"/>
                <w:sz w:val="14"/>
                <w:szCs w:val="14"/>
                <w:b w:val="1"/>
                <w:bCs w:val="1"/>
                <w:color w:val="auto"/>
                <w:w w:val="86"/>
              </w:rPr>
              <w:t>Fair Value Measurements Using</w:t>
            </w:r>
          </w:p>
        </w:tc>
        <w:tc>
          <w:tcPr>
            <w:tcW w:w="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826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2320" w:type="dxa"/>
            <w:vAlign w:val="bottom"/>
            <w:tcBorders>
              <w:bottom w:val="single" w:sz="8" w:color="auto"/>
            </w:tcBorders>
            <w:gridSpan w:val="6"/>
          </w:tcPr>
          <w:p>
            <w:pPr>
              <w:jc w:val="center"/>
              <w:ind w:left="262"/>
              <w:spacing w:after="0"/>
              <w:rPr>
                <w:sz w:val="20"/>
                <w:szCs w:val="20"/>
                <w:color w:val="auto"/>
              </w:rPr>
            </w:pPr>
            <w:r>
              <w:rPr>
                <w:rFonts w:ascii="Arial" w:cs="Arial" w:eastAsia="Arial" w:hAnsi="Arial"/>
                <w:sz w:val="14"/>
                <w:szCs w:val="14"/>
                <w:b w:val="1"/>
                <w:bCs w:val="1"/>
                <w:color w:val="auto"/>
                <w:w w:val="86"/>
              </w:rPr>
              <w:t>Significant Unobservable Inputs</w:t>
            </w:r>
          </w:p>
        </w:tc>
        <w:tc>
          <w:tcPr>
            <w:tcW w:w="6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8260" w:type="dxa"/>
            <w:vAlign w:val="bottom"/>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1400" w:type="dxa"/>
            <w:vAlign w:val="bottom"/>
            <w:tcBorders>
              <w:bottom w:val="single" w:sz="8" w:color="auto"/>
            </w:tcBorders>
            <w:gridSpan w:val="4"/>
          </w:tcPr>
          <w:p>
            <w:pPr>
              <w:jc w:val="center"/>
              <w:ind w:right="560"/>
              <w:spacing w:after="0" w:line="142" w:lineRule="exact"/>
              <w:rPr>
                <w:sz w:val="20"/>
                <w:szCs w:val="20"/>
                <w:color w:val="auto"/>
              </w:rPr>
            </w:pPr>
            <w:r>
              <w:rPr>
                <w:rFonts w:ascii="Arial" w:cs="Arial" w:eastAsia="Arial" w:hAnsi="Arial"/>
                <w:sz w:val="14"/>
                <w:szCs w:val="14"/>
                <w:b w:val="1"/>
                <w:bCs w:val="1"/>
                <w:color w:val="auto"/>
                <w:w w:val="91"/>
              </w:rPr>
              <w:t>(Level 3)</w:t>
            </w:r>
          </w:p>
        </w:tc>
        <w:tc>
          <w:tcPr>
            <w:tcW w:w="60" w:type="dxa"/>
            <w:vAlign w:val="bottom"/>
            <w:tcBorders>
              <w:bottom w:val="single" w:sz="8" w:color="auto"/>
            </w:tcBorders>
          </w:tcPr>
          <w:p>
            <w:pPr>
              <w:spacing w:after="0"/>
              <w:rPr>
                <w:sz w:val="12"/>
                <w:szCs w:val="12"/>
                <w:color w:val="auto"/>
              </w:rPr>
            </w:pPr>
          </w:p>
        </w:tc>
        <w:tc>
          <w:tcPr>
            <w:tcW w:w="48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2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000" w:type="dxa"/>
            <w:vAlign w:val="bottom"/>
            <w:gridSpan w:val="3"/>
          </w:tcPr>
          <w:p>
            <w:pPr>
              <w:jc w:val="center"/>
              <w:ind w:right="460"/>
              <w:spacing w:after="0" w:line="129" w:lineRule="exact"/>
              <w:rPr>
                <w:sz w:val="20"/>
                <w:szCs w:val="20"/>
                <w:color w:val="auto"/>
              </w:rPr>
            </w:pPr>
            <w:r>
              <w:rPr>
                <w:rFonts w:ascii="Arial" w:cs="Arial" w:eastAsia="Arial" w:hAnsi="Arial"/>
                <w:sz w:val="14"/>
                <w:szCs w:val="14"/>
                <w:b w:val="1"/>
                <w:bCs w:val="1"/>
                <w:color w:val="auto"/>
                <w:w w:val="88"/>
              </w:rPr>
              <w:t>Taxable</w:t>
            </w:r>
          </w:p>
        </w:tc>
        <w:tc>
          <w:tcPr>
            <w:tcW w:w="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2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000" w:type="dxa"/>
            <w:vAlign w:val="bottom"/>
            <w:gridSpan w:val="3"/>
          </w:tcPr>
          <w:p>
            <w:pPr>
              <w:jc w:val="center"/>
              <w:ind w:right="460"/>
              <w:spacing w:after="0" w:line="149" w:lineRule="exact"/>
              <w:rPr>
                <w:sz w:val="20"/>
                <w:szCs w:val="20"/>
                <w:color w:val="auto"/>
              </w:rPr>
            </w:pPr>
            <w:r>
              <w:rPr>
                <w:rFonts w:ascii="Arial" w:cs="Arial" w:eastAsia="Arial" w:hAnsi="Arial"/>
                <w:sz w:val="14"/>
                <w:szCs w:val="14"/>
                <w:b w:val="1"/>
                <w:bCs w:val="1"/>
                <w:color w:val="auto"/>
                <w:w w:val="87"/>
              </w:rPr>
              <w:t>Auction-</w:t>
            </w:r>
          </w:p>
        </w:tc>
        <w:tc>
          <w:tcPr>
            <w:tcW w:w="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260" w:type="dxa"/>
            <w:vAlign w:val="bottom"/>
          </w:tcPr>
          <w:p>
            <w:pPr>
              <w:spacing w:after="0"/>
              <w:rPr>
                <w:sz w:val="12"/>
                <w:szCs w:val="12"/>
                <w:color w:val="auto"/>
              </w:rPr>
            </w:pPr>
          </w:p>
        </w:tc>
        <w:tc>
          <w:tcPr>
            <w:tcW w:w="1100" w:type="dxa"/>
            <w:vAlign w:val="bottom"/>
            <w:gridSpan w:val="3"/>
          </w:tcPr>
          <w:p>
            <w:pPr>
              <w:ind w:left="20"/>
              <w:spacing w:after="0" w:line="149" w:lineRule="exact"/>
              <w:rPr>
                <w:sz w:val="20"/>
                <w:szCs w:val="20"/>
                <w:color w:val="auto"/>
              </w:rPr>
            </w:pPr>
            <w:r>
              <w:rPr>
                <w:rFonts w:ascii="Arial" w:cs="Arial" w:eastAsia="Arial" w:hAnsi="Arial"/>
                <w:sz w:val="14"/>
                <w:szCs w:val="14"/>
                <w:b w:val="1"/>
                <w:bCs w:val="1"/>
                <w:color w:val="auto"/>
              </w:rPr>
              <w:t>Money Market</w:t>
            </w:r>
          </w:p>
        </w:tc>
        <w:tc>
          <w:tcPr>
            <w:tcW w:w="4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gridSpan w:val="2"/>
          </w:tcPr>
          <w:p>
            <w:pPr>
              <w:jc w:val="center"/>
              <w:ind w:right="560"/>
              <w:spacing w:after="0" w:line="149" w:lineRule="exact"/>
              <w:rPr>
                <w:sz w:val="20"/>
                <w:szCs w:val="20"/>
                <w:color w:val="auto"/>
              </w:rPr>
            </w:pPr>
            <w:r>
              <w:rPr>
                <w:rFonts w:ascii="Arial" w:cs="Arial" w:eastAsia="Arial" w:hAnsi="Arial"/>
                <w:sz w:val="14"/>
                <w:szCs w:val="14"/>
                <w:b w:val="1"/>
                <w:bCs w:val="1"/>
                <w:color w:val="auto"/>
                <w:w w:val="92"/>
              </w:rPr>
              <w:t>Rate</w:t>
            </w:r>
          </w:p>
        </w:tc>
        <w:tc>
          <w:tcPr>
            <w:tcW w:w="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826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ind w:left="80"/>
              <w:spacing w:after="0"/>
              <w:rPr>
                <w:sz w:val="20"/>
                <w:szCs w:val="20"/>
                <w:color w:val="auto"/>
              </w:rPr>
            </w:pPr>
            <w:r>
              <w:rPr>
                <w:rFonts w:ascii="Arial" w:cs="Arial" w:eastAsia="Arial" w:hAnsi="Arial"/>
                <w:sz w:val="14"/>
                <w:szCs w:val="14"/>
                <w:b w:val="1"/>
                <w:bCs w:val="1"/>
                <w:color w:val="auto"/>
              </w:rPr>
              <w:t>Funds</w:t>
            </w:r>
          </w:p>
        </w:tc>
        <w:tc>
          <w:tcPr>
            <w:tcW w:w="2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56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83"/>
              </w:rPr>
              <w:t>Securities</w:t>
            </w:r>
          </w:p>
        </w:tc>
        <w:tc>
          <w:tcPr>
            <w:tcW w:w="4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80" w:type="dxa"/>
            <w:vAlign w:val="bottom"/>
            <w:tcBorders>
              <w:bottom w:val="single" w:sz="8" w:color="auto"/>
            </w:tcBorders>
          </w:tcPr>
          <w:p>
            <w:pPr>
              <w:jc w:val="right"/>
              <w:ind w:right="32"/>
              <w:spacing w:after="0"/>
              <w:rPr>
                <w:sz w:val="20"/>
                <w:szCs w:val="20"/>
                <w:color w:val="auto"/>
              </w:rPr>
            </w:pPr>
            <w:r>
              <w:rPr>
                <w:rFonts w:ascii="Arial" w:cs="Arial" w:eastAsia="Arial" w:hAnsi="Arial"/>
                <w:sz w:val="14"/>
                <w:szCs w:val="14"/>
                <w:b w:val="1"/>
                <w:bCs w:val="1"/>
                <w:color w:val="auto"/>
              </w:rPr>
              <w:t>Total</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260" w:type="dxa"/>
            <w:vAlign w:val="bottom"/>
            <w:shd w:val="clear" w:color="auto" w:fill="CCEEFF"/>
          </w:tcPr>
          <w:p>
            <w:pPr>
              <w:spacing w:after="0"/>
              <w:rPr>
                <w:sz w:val="20"/>
                <w:szCs w:val="20"/>
                <w:color w:val="auto"/>
              </w:rPr>
            </w:pPr>
            <w:r>
              <w:rPr>
                <w:rFonts w:ascii="Arial" w:cs="Arial" w:eastAsia="Arial" w:hAnsi="Arial"/>
                <w:sz w:val="18"/>
                <w:szCs w:val="18"/>
                <w:color w:val="auto"/>
              </w:rPr>
              <w:t>Balance at January 31, 2009</w:t>
            </w: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33.3</w:t>
            </w:r>
          </w:p>
        </w:tc>
        <w:tc>
          <w:tcPr>
            <w:tcW w:w="520" w:type="dxa"/>
            <w:vAlign w:val="bottom"/>
            <w:gridSpan w:val="2"/>
            <w:shd w:val="clear" w:color="auto" w:fill="CCEEFF"/>
          </w:tcPr>
          <w:p>
            <w:pPr>
              <w:jc w:val="center"/>
              <w:ind w:left="279"/>
              <w:spacing w:after="0"/>
              <w:rPr>
                <w:sz w:val="20"/>
                <w:szCs w:val="20"/>
                <w:color w:val="auto"/>
              </w:rPr>
            </w:pPr>
            <w:r>
              <w:rPr>
                <w:rFonts w:ascii="Arial" w:cs="Arial" w:eastAsia="Arial" w:hAnsi="Arial"/>
                <w:sz w:val="18"/>
                <w:szCs w:val="18"/>
                <w:color w:val="auto"/>
                <w:w w:val="79"/>
              </w:rPr>
              <w:t>$</w:t>
            </w:r>
          </w:p>
        </w:tc>
        <w:tc>
          <w:tcPr>
            <w:tcW w:w="88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7.6</w:t>
            </w:r>
          </w:p>
        </w:tc>
        <w:tc>
          <w:tcPr>
            <w:tcW w:w="6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$ 40.9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60" w:type="dxa"/>
            <w:vAlign w:val="bottom"/>
          </w:tcPr>
          <w:p>
            <w:pPr>
              <w:ind w:left="420"/>
              <w:spacing w:after="0"/>
              <w:rPr>
                <w:sz w:val="20"/>
                <w:szCs w:val="20"/>
                <w:color w:val="auto"/>
              </w:rPr>
            </w:pPr>
            <w:r>
              <w:rPr>
                <w:rFonts w:ascii="Arial" w:cs="Arial" w:eastAsia="Arial" w:hAnsi="Arial"/>
                <w:sz w:val="18"/>
                <w:szCs w:val="18"/>
                <w:color w:val="auto"/>
              </w:rPr>
              <w:t>Redemptions</w:t>
            </w:r>
            <w:r>
              <w:rPr>
                <w:rFonts w:ascii="Arial" w:cs="Arial" w:eastAsia="Arial" w:hAnsi="Arial"/>
                <w:sz w:val="11"/>
                <w:szCs w:val="11"/>
                <w:color w:val="auto"/>
              </w:rPr>
              <w:t>(1)</w:t>
            </w:r>
          </w:p>
        </w:tc>
        <w:tc>
          <w:tcPr>
            <w:tcW w:w="180" w:type="dxa"/>
            <w:vAlign w:val="bottom"/>
          </w:tcPr>
          <w:p>
            <w:pPr>
              <w:spacing w:after="0"/>
              <w:rPr>
                <w:sz w:val="18"/>
                <w:szCs w:val="18"/>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8"/>
                <w:szCs w:val="18"/>
                <w:color w:val="auto"/>
              </w:rPr>
              <w:t>(15.5)</w:t>
            </w:r>
          </w:p>
        </w:tc>
        <w:tc>
          <w:tcPr>
            <w:tcW w:w="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gridSpan w:val="2"/>
          </w:tcPr>
          <w:p>
            <w:pPr>
              <w:ind w:left="180"/>
              <w:spacing w:after="0"/>
              <w:rPr>
                <w:sz w:val="20"/>
                <w:szCs w:val="20"/>
                <w:color w:val="auto"/>
              </w:rPr>
            </w:pPr>
            <w:r>
              <w:rPr>
                <w:rFonts w:ascii="Arial" w:cs="Arial" w:eastAsia="Arial" w:hAnsi="Arial"/>
                <w:sz w:val="18"/>
                <w:szCs w:val="18"/>
                <w:color w:val="auto"/>
              </w:rPr>
              <w:t>—</w:t>
            </w:r>
          </w:p>
        </w:tc>
        <w:tc>
          <w:tcPr>
            <w:tcW w:w="640" w:type="dxa"/>
            <w:vAlign w:val="bottom"/>
            <w:gridSpan w:val="3"/>
          </w:tcPr>
          <w:p>
            <w:pPr>
              <w:jc w:val="right"/>
              <w:ind w:right="40"/>
              <w:spacing w:after="0"/>
              <w:rPr>
                <w:sz w:val="20"/>
                <w:szCs w:val="20"/>
                <w:color w:val="auto"/>
              </w:rPr>
            </w:pPr>
            <w:r>
              <w:rPr>
                <w:rFonts w:ascii="Arial" w:cs="Arial" w:eastAsia="Arial" w:hAnsi="Arial"/>
                <w:sz w:val="18"/>
                <w:szCs w:val="18"/>
                <w:color w:val="auto"/>
              </w:rPr>
              <w:t>(15.5)</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826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60" w:type="dxa"/>
            <w:vAlign w:val="bottom"/>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8260" w:type="dxa"/>
            <w:vAlign w:val="bottom"/>
            <w:shd w:val="clear" w:color="auto" w:fill="CCEEFF"/>
          </w:tcPr>
          <w:p>
            <w:pPr>
              <w:spacing w:after="0"/>
              <w:rPr>
                <w:sz w:val="20"/>
                <w:szCs w:val="20"/>
                <w:color w:val="auto"/>
              </w:rPr>
            </w:pPr>
            <w:r>
              <w:rPr>
                <w:rFonts w:ascii="Arial" w:cs="Arial" w:eastAsia="Arial" w:hAnsi="Arial"/>
                <w:sz w:val="18"/>
                <w:szCs w:val="18"/>
                <w:color w:val="auto"/>
              </w:rPr>
              <w:t>Balance at October 31, 2009</w:t>
            </w: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17.8</w:t>
            </w:r>
          </w:p>
        </w:tc>
        <w:tc>
          <w:tcPr>
            <w:tcW w:w="520" w:type="dxa"/>
            <w:vAlign w:val="bottom"/>
            <w:gridSpan w:val="2"/>
            <w:shd w:val="clear" w:color="auto" w:fill="CCEEFF"/>
          </w:tcPr>
          <w:p>
            <w:pPr>
              <w:jc w:val="center"/>
              <w:ind w:left="279"/>
              <w:spacing w:after="0"/>
              <w:rPr>
                <w:sz w:val="20"/>
                <w:szCs w:val="20"/>
                <w:color w:val="auto"/>
              </w:rPr>
            </w:pPr>
            <w:r>
              <w:rPr>
                <w:rFonts w:ascii="Arial" w:cs="Arial" w:eastAsia="Arial" w:hAnsi="Arial"/>
                <w:sz w:val="18"/>
                <w:szCs w:val="18"/>
                <w:color w:val="auto"/>
                <w:w w:val="79"/>
              </w:rPr>
              <w:t>$</w:t>
            </w:r>
          </w:p>
        </w:tc>
        <w:tc>
          <w:tcPr>
            <w:tcW w:w="88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7.6</w:t>
            </w:r>
          </w:p>
        </w:tc>
        <w:tc>
          <w:tcPr>
            <w:tcW w:w="6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$ 25.4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2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23" w:lineRule="exact"/>
        <w:rPr>
          <w:sz w:val="20"/>
          <w:szCs w:val="20"/>
          <w:color w:val="auto"/>
        </w:rPr>
      </w:pPr>
    </w:p>
    <w:p>
      <w:pPr>
        <w:ind w:left="460" w:hanging="452"/>
        <w:spacing w:after="0"/>
        <w:tabs>
          <w:tab w:leader="none" w:pos="460" w:val="left"/>
        </w:tabs>
        <w:numPr>
          <w:ilvl w:val="0"/>
          <w:numId w:val="11"/>
        </w:numPr>
        <w:rPr>
          <w:rFonts w:ascii="Arial" w:cs="Arial" w:eastAsia="Arial" w:hAnsi="Arial"/>
          <w:sz w:val="22"/>
          <w:szCs w:val="22"/>
          <w:color w:val="auto"/>
          <w:vertAlign w:val="superscript"/>
        </w:rPr>
      </w:pPr>
      <w:r>
        <w:rPr>
          <w:rFonts w:ascii="Arial" w:cs="Arial" w:eastAsia="Arial" w:hAnsi="Arial"/>
          <w:sz w:val="18"/>
          <w:szCs w:val="18"/>
          <w:color w:val="auto"/>
        </w:rPr>
        <w:t>Redemptions of $15.5 million from the Reserve Funds.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-161290</wp:posOffset>
            </wp:positionV>
            <wp:extent cx="72898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257" w:lineRule="exact"/>
        <w:rPr>
          <w:sz w:val="20"/>
          <w:szCs w:val="20"/>
          <w:color w:val="auto"/>
        </w:rPr>
      </w:pPr>
    </w:p>
    <w:p>
      <w:pPr>
        <w:ind w:left="240" w:right="8980" w:hanging="232"/>
        <w:spacing w:after="0" w:line="387" w:lineRule="auto"/>
        <w:tabs>
          <w:tab w:leader="none" w:pos="458" w:val="left"/>
        </w:tabs>
        <w:numPr>
          <w:ilvl w:val="0"/>
          <w:numId w:val="12"/>
        </w:numPr>
        <w:rPr>
          <w:rFonts w:ascii="Arial" w:cs="Arial" w:eastAsia="Arial" w:hAnsi="Arial"/>
          <w:sz w:val="16"/>
          <w:szCs w:val="16"/>
          <w:b w:val="1"/>
          <w:bCs w:val="1"/>
          <w:color w:val="auto"/>
        </w:rPr>
      </w:pPr>
      <w:r>
        <w:rPr>
          <w:rFonts w:ascii="Arial" w:cs="Arial" w:eastAsia="Arial" w:hAnsi="Arial"/>
          <w:sz w:val="16"/>
          <w:szCs w:val="16"/>
          <w:b w:val="1"/>
          <w:bCs w:val="1"/>
          <w:i w:val="1"/>
          <w:iCs w:val="1"/>
          <w:color w:val="auto"/>
        </w:rPr>
        <w:t xml:space="preserve">Stock-Based Compensation </w:t>
      </w:r>
      <w:r>
        <w:rPr>
          <w:rFonts w:ascii="Arial" w:cs="Arial" w:eastAsia="Arial" w:hAnsi="Arial"/>
          <w:sz w:val="16"/>
          <w:szCs w:val="16"/>
          <w:i w:val="1"/>
          <w:iCs w:val="1"/>
          <w:color w:val="auto"/>
        </w:rPr>
        <w:t>Stock Plans</w:t>
      </w:r>
    </w:p>
    <w:p>
      <w:pPr>
        <w:spacing w:after="0" w:line="1" w:lineRule="exact"/>
        <w:rPr>
          <w:sz w:val="20"/>
          <w:szCs w:val="20"/>
          <w:color w:val="auto"/>
        </w:rPr>
      </w:pPr>
    </w:p>
    <w:p>
      <w:pPr>
        <w:ind w:right="40" w:firstLine="456"/>
        <w:spacing w:after="0" w:line="335" w:lineRule="auto"/>
        <w:rPr>
          <w:sz w:val="20"/>
          <w:szCs w:val="20"/>
          <w:color w:val="auto"/>
        </w:rPr>
      </w:pPr>
      <w:r>
        <w:rPr>
          <w:rFonts w:ascii="Arial" w:cs="Arial" w:eastAsia="Arial" w:hAnsi="Arial"/>
          <w:sz w:val="15"/>
          <w:szCs w:val="15"/>
          <w:color w:val="auto"/>
        </w:rPr>
        <w:t>As of October 31, 2009, Autodesk maintained two active stock plans for the purpose of granting stock awards to employees and to non-employee members of Autodesk’s Board of Directors: the 2008 Employee Stock Plan (“2008 Plan”), which is available only to employees, and the 2000 Directors’ Option Plan, as amended (“2000 Plan”), which is available only to non-employee directors. Additionally, there are six expired or terminated plans with options outstanding.</w:t>
      </w:r>
    </w:p>
    <w:p>
      <w:pPr>
        <w:spacing w:after="0" w:line="7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20"/>
          </w:cols>
          <w:pgMar w:left="240" w:top="459" w:right="239"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The 2008 Plan was approved by Autodesk’s stockholders in November 2007. Under this plan, 16.5 million shares of Autodesk common stock, in addition to 0.5 million shares that remained available for issuance under the 2006 Employee Stock Plan upon its expiration in March 2008, were reserved for issuance. The 2008 Plan permits the grant of stock options, restricted stock awards and restricted stock units; however, no more than 2.5 million of the shares reserved for issuance under the 2008 Plan may be issued pursuant to awards of restricted stock and restricted stock units. At October 31, 2009, 7.3 million shares were available for future issuance under the 2008 Plan. The 2008 Plan will expire in March 2011.</w:t>
      </w:r>
    </w:p>
    <w:p>
      <w:pPr>
        <w:spacing w:after="0" w:line="116" w:lineRule="exact"/>
        <w:rPr>
          <w:sz w:val="20"/>
          <w:szCs w:val="20"/>
          <w:color w:val="auto"/>
        </w:rPr>
      </w:pPr>
    </w:p>
    <w:p>
      <w:pPr>
        <w:ind w:right="60" w:firstLine="456"/>
        <w:spacing w:after="0" w:line="332" w:lineRule="auto"/>
        <w:rPr>
          <w:sz w:val="20"/>
          <w:szCs w:val="20"/>
          <w:color w:val="auto"/>
        </w:rPr>
      </w:pPr>
      <w:r>
        <w:rPr>
          <w:rFonts w:ascii="Arial" w:cs="Arial" w:eastAsia="Arial" w:hAnsi="Arial"/>
          <w:sz w:val="16"/>
          <w:szCs w:val="16"/>
          <w:color w:val="auto"/>
        </w:rPr>
        <w:t>The 2000 Plan, which was originally approved by the stockholders in June 2000, allows for an automatic annual grant of options to non-employee members of Autodesk’s Board of Directors. At October 31, 2009, 0.6 million shares were available for future issuance. The 2000 Plan will expire in March 2010.</w:t>
      </w:r>
    </w:p>
    <w:p>
      <w:pPr>
        <w:spacing w:after="0" w:line="85" w:lineRule="exact"/>
        <w:rPr>
          <w:sz w:val="20"/>
          <w:szCs w:val="20"/>
          <w:color w:val="auto"/>
        </w:rPr>
      </w:pPr>
    </w:p>
    <w:p>
      <w:pPr>
        <w:ind w:right="40" w:firstLine="456"/>
        <w:spacing w:after="0" w:line="256" w:lineRule="auto"/>
        <w:rPr>
          <w:sz w:val="20"/>
          <w:szCs w:val="20"/>
          <w:color w:val="auto"/>
        </w:rPr>
      </w:pPr>
      <w:r>
        <w:rPr>
          <w:rFonts w:ascii="Arial" w:cs="Arial" w:eastAsia="Arial" w:hAnsi="Arial"/>
          <w:sz w:val="18"/>
          <w:szCs w:val="18"/>
          <w:color w:val="auto"/>
        </w:rPr>
        <w:t>On June 11, 2009, Autodesk’s stockholders approved the 2010 Outside Directors’ Stock Plan (“2010 Plan”), which will become effective March 16, 2010. The 2010 Plan reserves 2.5 million shares of Autodesk common stock, plus up to 0.5 million shares available but not previously granted under the 2000 Plan. The 2010 Plan permits the grant of stock options and restricted stock awards to non-employee members of Autodesk’s Board of Directors. The 2010 Plan will expire in March 2020.</w:t>
      </w:r>
    </w:p>
    <w:p>
      <w:pPr>
        <w:spacing w:after="0" w:line="143" w:lineRule="exact"/>
        <w:rPr>
          <w:sz w:val="20"/>
          <w:szCs w:val="20"/>
          <w:color w:val="auto"/>
        </w:rPr>
      </w:pPr>
    </w:p>
    <w:p>
      <w:pPr>
        <w:ind w:firstLine="456"/>
        <w:spacing w:after="0" w:line="332" w:lineRule="auto"/>
        <w:rPr>
          <w:sz w:val="20"/>
          <w:szCs w:val="20"/>
          <w:color w:val="auto"/>
        </w:rPr>
      </w:pPr>
      <w:r>
        <w:rPr>
          <w:rFonts w:ascii="Arial" w:cs="Arial" w:eastAsia="Arial" w:hAnsi="Arial"/>
          <w:sz w:val="16"/>
          <w:szCs w:val="16"/>
          <w:color w:val="auto"/>
        </w:rPr>
        <w:t>Options granted under the 2008 Plan and the 2000 Plan vest over periods ranging from one to four years and expire within four to seven years from the date of grant. The exercise price of all stock options granted under these plans was equal to the fair market value of the stock on the grant date.</w:t>
      </w:r>
    </w:p>
    <w:p>
      <w:pPr>
        <w:spacing w:after="0" w:line="8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sections, Stock Options and Restricted Stock, summarize activity under Autodesk’s stock plans.</w:t>
      </w:r>
    </w:p>
    <w:p>
      <w:pPr>
        <w:spacing w:after="0" w:line="252"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Stock Options:</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 summary of stock option activity for the nine months ended October 31, 2009 was as follows:</w:t>
      </w:r>
    </w:p>
    <w:p>
      <w:pPr>
        <w:spacing w:after="0" w:line="195"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81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tcPr>
          <w:p>
            <w:pPr>
              <w:jc w:val="right"/>
              <w:ind w:right="37"/>
              <w:spacing w:after="0"/>
              <w:rPr>
                <w:sz w:val="20"/>
                <w:szCs w:val="20"/>
                <w:color w:val="auto"/>
              </w:rPr>
            </w:pPr>
            <w:r>
              <w:rPr>
                <w:rFonts w:ascii="Arial" w:cs="Arial" w:eastAsia="Arial" w:hAnsi="Arial"/>
                <w:sz w:val="14"/>
                <w:szCs w:val="14"/>
                <w:b w:val="1"/>
                <w:bCs w:val="1"/>
                <w:color w:val="auto"/>
                <w:w w:val="85"/>
              </w:rPr>
              <w:t>Weighted</w:t>
            </w:r>
          </w:p>
        </w:tc>
        <w:tc>
          <w:tcPr>
            <w:tcW w:w="0" w:type="dxa"/>
            <w:vAlign w:val="bottom"/>
          </w:tcPr>
          <w:p>
            <w:pPr>
              <w:spacing w:after="0"/>
              <w:rPr>
                <w:sz w:val="1"/>
                <w:szCs w:val="1"/>
                <w:color w:val="auto"/>
              </w:rPr>
            </w:pPr>
          </w:p>
        </w:tc>
      </w:tr>
      <w:tr>
        <w:trPr>
          <w:trHeight w:val="149"/>
        </w:trPr>
        <w:tc>
          <w:tcPr>
            <w:tcW w:w="8120" w:type="dxa"/>
            <w:vAlign w:val="bottom"/>
          </w:tcPr>
          <w:p>
            <w:pPr>
              <w:spacing w:after="0"/>
              <w:rPr>
                <w:sz w:val="12"/>
                <w:szCs w:val="12"/>
                <w:color w:val="auto"/>
              </w:rPr>
            </w:pPr>
          </w:p>
        </w:tc>
        <w:tc>
          <w:tcPr>
            <w:tcW w:w="1240" w:type="dxa"/>
            <w:vAlign w:val="bottom"/>
            <w:gridSpan w:val="3"/>
          </w:tcPr>
          <w:p>
            <w:pPr>
              <w:jc w:val="center"/>
              <w:ind w:right="440"/>
              <w:spacing w:after="0" w:line="149" w:lineRule="exact"/>
              <w:rPr>
                <w:sz w:val="20"/>
                <w:szCs w:val="20"/>
                <w:color w:val="auto"/>
              </w:rPr>
            </w:pPr>
            <w:r>
              <w:rPr>
                <w:rFonts w:ascii="Arial" w:cs="Arial" w:eastAsia="Arial" w:hAnsi="Arial"/>
                <w:sz w:val="14"/>
                <w:szCs w:val="14"/>
                <w:b w:val="1"/>
                <w:bCs w:val="1"/>
                <w:color w:val="auto"/>
                <w:w w:val="91"/>
              </w:rPr>
              <w:t>Number of</w:t>
            </w:r>
          </w:p>
        </w:tc>
        <w:tc>
          <w:tcPr>
            <w:tcW w:w="360" w:type="dxa"/>
            <w:vAlign w:val="bottom"/>
          </w:tcPr>
          <w:p>
            <w:pPr>
              <w:spacing w:after="0"/>
              <w:rPr>
                <w:sz w:val="12"/>
                <w:szCs w:val="12"/>
                <w:color w:val="auto"/>
              </w:rPr>
            </w:pPr>
          </w:p>
        </w:tc>
        <w:tc>
          <w:tcPr>
            <w:tcW w:w="780" w:type="dxa"/>
            <w:vAlign w:val="bottom"/>
            <w:gridSpan w:val="2"/>
          </w:tcPr>
          <w:p>
            <w:pPr>
              <w:spacing w:after="0" w:line="149" w:lineRule="exact"/>
              <w:rPr>
                <w:sz w:val="20"/>
                <w:szCs w:val="20"/>
                <w:color w:val="auto"/>
              </w:rPr>
            </w:pPr>
            <w:r>
              <w:rPr>
                <w:rFonts w:ascii="Arial" w:cs="Arial" w:eastAsia="Arial" w:hAnsi="Arial"/>
                <w:sz w:val="14"/>
                <w:szCs w:val="14"/>
                <w:b w:val="1"/>
                <w:bCs w:val="1"/>
                <w:color w:val="auto"/>
                <w:w w:val="84"/>
              </w:rPr>
              <w:t>average price</w:t>
            </w:r>
          </w:p>
        </w:tc>
        <w:tc>
          <w:tcPr>
            <w:tcW w:w="0" w:type="dxa"/>
            <w:vAlign w:val="bottom"/>
          </w:tcPr>
          <w:p>
            <w:pPr>
              <w:spacing w:after="0"/>
              <w:rPr>
                <w:sz w:val="1"/>
                <w:szCs w:val="1"/>
                <w:color w:val="auto"/>
              </w:rPr>
            </w:pPr>
          </w:p>
        </w:tc>
      </w:tr>
      <w:tr>
        <w:trPr>
          <w:trHeight w:val="161"/>
        </w:trPr>
        <w:tc>
          <w:tcPr>
            <w:tcW w:w="8120" w:type="dxa"/>
            <w:vAlign w:val="bottom"/>
          </w:tcPr>
          <w:p>
            <w:pPr>
              <w:spacing w:after="0"/>
              <w:rPr>
                <w:sz w:val="14"/>
                <w:szCs w:val="14"/>
                <w:color w:val="auto"/>
              </w:rPr>
            </w:pPr>
          </w:p>
        </w:tc>
        <w:tc>
          <w:tcPr>
            <w:tcW w:w="1240" w:type="dxa"/>
            <w:vAlign w:val="bottom"/>
            <w:gridSpan w:val="3"/>
          </w:tcPr>
          <w:p>
            <w:pPr>
              <w:jc w:val="center"/>
              <w:ind w:right="440"/>
              <w:spacing w:after="0"/>
              <w:rPr>
                <w:sz w:val="20"/>
                <w:szCs w:val="20"/>
                <w:color w:val="auto"/>
              </w:rPr>
            </w:pPr>
            <w:r>
              <w:rPr>
                <w:rFonts w:ascii="Arial" w:cs="Arial" w:eastAsia="Arial" w:hAnsi="Arial"/>
                <w:sz w:val="14"/>
                <w:szCs w:val="14"/>
                <w:b w:val="1"/>
                <w:bCs w:val="1"/>
                <w:color w:val="auto"/>
                <w:w w:val="85"/>
              </w:rPr>
              <w:t>Shares</w:t>
            </w:r>
          </w:p>
        </w:tc>
        <w:tc>
          <w:tcPr>
            <w:tcW w:w="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tcPr>
          <w:p>
            <w:pPr>
              <w:jc w:val="right"/>
              <w:ind w:right="37"/>
              <w:spacing w:after="0"/>
              <w:rPr>
                <w:sz w:val="20"/>
                <w:szCs w:val="20"/>
                <w:color w:val="auto"/>
              </w:rPr>
            </w:pPr>
            <w:r>
              <w:rPr>
                <w:rFonts w:ascii="Arial" w:cs="Arial" w:eastAsia="Arial" w:hAnsi="Arial"/>
                <w:sz w:val="14"/>
                <w:szCs w:val="14"/>
                <w:b w:val="1"/>
                <w:bCs w:val="1"/>
                <w:color w:val="auto"/>
                <w:w w:val="85"/>
              </w:rPr>
              <w:t>per share</w:t>
            </w:r>
          </w:p>
        </w:tc>
        <w:tc>
          <w:tcPr>
            <w:tcW w:w="0" w:type="dxa"/>
            <w:vAlign w:val="bottom"/>
          </w:tcPr>
          <w:p>
            <w:pPr>
              <w:spacing w:after="0"/>
              <w:rPr>
                <w:sz w:val="1"/>
                <w:szCs w:val="1"/>
                <w:color w:val="auto"/>
              </w:rPr>
            </w:pPr>
          </w:p>
        </w:tc>
      </w:tr>
      <w:tr>
        <w:trPr>
          <w:trHeight w:val="142"/>
        </w:trPr>
        <w:tc>
          <w:tcPr>
            <w:tcW w:w="8120" w:type="dxa"/>
            <w:vAlign w:val="bottom"/>
          </w:tcPr>
          <w:p>
            <w:pPr>
              <w:spacing w:after="0"/>
              <w:rPr>
                <w:sz w:val="12"/>
                <w:szCs w:val="12"/>
                <w:color w:val="auto"/>
              </w:rPr>
            </w:pPr>
          </w:p>
        </w:tc>
        <w:tc>
          <w:tcPr>
            <w:tcW w:w="820" w:type="dxa"/>
            <w:vAlign w:val="bottom"/>
            <w:tcBorders>
              <w:top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84"/>
              </w:rPr>
              <w:t>(in thousands)</w:t>
            </w:r>
          </w:p>
        </w:tc>
        <w:tc>
          <w:tcPr>
            <w:tcW w:w="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680" w:type="dxa"/>
            <w:vAlign w:val="bottom"/>
            <w:tcBorders>
              <w:top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8120" w:type="dxa"/>
            <w:vAlign w:val="bottom"/>
            <w:shd w:val="clear" w:color="auto" w:fill="CCEEFF"/>
          </w:tcPr>
          <w:p>
            <w:pPr>
              <w:spacing w:after="0"/>
              <w:rPr>
                <w:sz w:val="20"/>
                <w:szCs w:val="20"/>
                <w:color w:val="auto"/>
              </w:rPr>
            </w:pPr>
            <w:r>
              <w:rPr>
                <w:rFonts w:ascii="Arial" w:cs="Arial" w:eastAsia="Arial" w:hAnsi="Arial"/>
                <w:sz w:val="18"/>
                <w:szCs w:val="18"/>
                <w:color w:val="auto"/>
              </w:rPr>
              <w:t>Options outstanding at January 31, 2009</w:t>
            </w:r>
          </w:p>
        </w:tc>
        <w:tc>
          <w:tcPr>
            <w:tcW w:w="8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26,818</w:t>
            </w:r>
          </w:p>
        </w:tc>
        <w:tc>
          <w:tcPr>
            <w:tcW w:w="400" w:type="dxa"/>
            <w:vAlign w:val="bottom"/>
            <w:shd w:val="clear" w:color="auto" w:fill="CCEEFF"/>
          </w:tcPr>
          <w:p>
            <w:pPr>
              <w:spacing w:after="0"/>
              <w:rPr>
                <w:sz w:val="18"/>
                <w:szCs w:val="18"/>
                <w:color w:val="auto"/>
              </w:rPr>
            </w:pPr>
          </w:p>
        </w:tc>
        <w:tc>
          <w:tcPr>
            <w:tcW w:w="46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w w:val="79"/>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30.13</w:t>
            </w:r>
          </w:p>
        </w:tc>
        <w:tc>
          <w:tcPr>
            <w:tcW w:w="0" w:type="dxa"/>
            <w:vAlign w:val="bottom"/>
          </w:tcPr>
          <w:p>
            <w:pPr>
              <w:spacing w:after="0"/>
              <w:rPr>
                <w:sz w:val="1"/>
                <w:szCs w:val="1"/>
                <w:color w:val="auto"/>
              </w:rPr>
            </w:pPr>
          </w:p>
        </w:tc>
      </w:tr>
      <w:tr>
        <w:trPr>
          <w:trHeight w:val="216"/>
        </w:trPr>
        <w:tc>
          <w:tcPr>
            <w:tcW w:w="8120" w:type="dxa"/>
            <w:vAlign w:val="bottom"/>
          </w:tcPr>
          <w:p>
            <w:pPr>
              <w:ind w:left="440"/>
              <w:spacing w:after="0"/>
              <w:rPr>
                <w:sz w:val="20"/>
                <w:szCs w:val="20"/>
                <w:color w:val="auto"/>
              </w:rPr>
            </w:pPr>
            <w:r>
              <w:rPr>
                <w:rFonts w:ascii="Arial" w:cs="Arial" w:eastAsia="Arial" w:hAnsi="Arial"/>
                <w:sz w:val="18"/>
                <w:szCs w:val="18"/>
                <w:color w:val="auto"/>
              </w:rPr>
              <w:t>Granted</w:t>
            </w:r>
          </w:p>
        </w:tc>
        <w:tc>
          <w:tcPr>
            <w:tcW w:w="840" w:type="dxa"/>
            <w:vAlign w:val="bottom"/>
            <w:gridSpan w:val="2"/>
          </w:tcPr>
          <w:p>
            <w:pPr>
              <w:jc w:val="right"/>
              <w:ind w:right="20"/>
              <w:spacing w:after="0"/>
              <w:rPr>
                <w:sz w:val="20"/>
                <w:szCs w:val="20"/>
                <w:color w:val="auto"/>
              </w:rPr>
            </w:pPr>
            <w:r>
              <w:rPr>
                <w:rFonts w:ascii="Arial" w:cs="Arial" w:eastAsia="Arial" w:hAnsi="Arial"/>
                <w:sz w:val="18"/>
                <w:szCs w:val="18"/>
                <w:color w:val="auto"/>
              </w:rPr>
              <w:t>6,696</w:t>
            </w:r>
          </w:p>
        </w:tc>
        <w:tc>
          <w:tcPr>
            <w:tcW w:w="400" w:type="dxa"/>
            <w:vAlign w:val="bottom"/>
          </w:tcPr>
          <w:p>
            <w:pPr>
              <w:spacing w:after="0"/>
              <w:rPr>
                <w:sz w:val="18"/>
                <w:szCs w:val="18"/>
                <w:color w:val="auto"/>
              </w:rPr>
            </w:pPr>
          </w:p>
        </w:tc>
        <w:tc>
          <w:tcPr>
            <w:tcW w:w="460" w:type="dxa"/>
            <w:vAlign w:val="bottom"/>
            <w:gridSpan w:val="2"/>
          </w:tcPr>
          <w:p>
            <w:pPr>
              <w:ind w:left="360"/>
              <w:spacing w:after="0"/>
              <w:rPr>
                <w:sz w:val="20"/>
                <w:szCs w:val="20"/>
                <w:color w:val="auto"/>
              </w:rPr>
            </w:pPr>
            <w:r>
              <w:rPr>
                <w:rFonts w:ascii="Arial" w:cs="Arial" w:eastAsia="Arial" w:hAnsi="Arial"/>
                <w:sz w:val="18"/>
                <w:szCs w:val="18"/>
                <w:color w:val="auto"/>
                <w:w w:val="79"/>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15.11</w:t>
            </w:r>
          </w:p>
        </w:tc>
        <w:tc>
          <w:tcPr>
            <w:tcW w:w="0" w:type="dxa"/>
            <w:vAlign w:val="bottom"/>
          </w:tcPr>
          <w:p>
            <w:pPr>
              <w:spacing w:after="0"/>
              <w:rPr>
                <w:sz w:val="1"/>
                <w:szCs w:val="1"/>
                <w:color w:val="auto"/>
              </w:rPr>
            </w:pPr>
          </w:p>
        </w:tc>
      </w:tr>
      <w:tr>
        <w:trPr>
          <w:trHeight w:val="216"/>
        </w:trPr>
        <w:tc>
          <w:tcPr>
            <w:tcW w:w="81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Exercised</w:t>
            </w:r>
          </w:p>
        </w:tc>
        <w:tc>
          <w:tcPr>
            <w:tcW w:w="1240" w:type="dxa"/>
            <w:vAlign w:val="bottom"/>
            <w:gridSpan w:val="3"/>
            <w:shd w:val="clear" w:color="auto" w:fill="CCEEFF"/>
          </w:tcPr>
          <w:p>
            <w:pPr>
              <w:jc w:val="right"/>
              <w:ind w:right="360"/>
              <w:spacing w:after="0"/>
              <w:rPr>
                <w:sz w:val="20"/>
                <w:szCs w:val="20"/>
                <w:color w:val="auto"/>
              </w:rPr>
            </w:pPr>
            <w:r>
              <w:rPr>
                <w:rFonts w:ascii="Arial" w:cs="Arial" w:eastAsia="Arial" w:hAnsi="Arial"/>
                <w:sz w:val="18"/>
                <w:szCs w:val="18"/>
                <w:color w:val="auto"/>
              </w:rPr>
              <w:t>(1,818)</w:t>
            </w:r>
          </w:p>
        </w:tc>
        <w:tc>
          <w:tcPr>
            <w:tcW w:w="46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w w:val="79"/>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12.34</w:t>
            </w:r>
          </w:p>
        </w:tc>
        <w:tc>
          <w:tcPr>
            <w:tcW w:w="0" w:type="dxa"/>
            <w:vAlign w:val="bottom"/>
          </w:tcPr>
          <w:p>
            <w:pPr>
              <w:spacing w:after="0"/>
              <w:rPr>
                <w:sz w:val="1"/>
                <w:szCs w:val="1"/>
                <w:color w:val="auto"/>
              </w:rPr>
            </w:pPr>
          </w:p>
        </w:tc>
      </w:tr>
      <w:tr>
        <w:trPr>
          <w:trHeight w:val="216"/>
        </w:trPr>
        <w:tc>
          <w:tcPr>
            <w:tcW w:w="8120" w:type="dxa"/>
            <w:vAlign w:val="bottom"/>
          </w:tcPr>
          <w:p>
            <w:pPr>
              <w:ind w:left="440"/>
              <w:spacing w:after="0"/>
              <w:rPr>
                <w:sz w:val="20"/>
                <w:szCs w:val="20"/>
                <w:color w:val="auto"/>
              </w:rPr>
            </w:pPr>
            <w:r>
              <w:rPr>
                <w:rFonts w:ascii="Arial" w:cs="Arial" w:eastAsia="Arial" w:hAnsi="Arial"/>
                <w:sz w:val="18"/>
                <w:szCs w:val="18"/>
                <w:color w:val="auto"/>
              </w:rPr>
              <w:t>Forfeited</w:t>
            </w:r>
          </w:p>
        </w:tc>
        <w:tc>
          <w:tcPr>
            <w:tcW w:w="1240" w:type="dxa"/>
            <w:vAlign w:val="bottom"/>
            <w:gridSpan w:val="3"/>
          </w:tcPr>
          <w:p>
            <w:pPr>
              <w:jc w:val="right"/>
              <w:ind w:right="360"/>
              <w:spacing w:after="0"/>
              <w:rPr>
                <w:sz w:val="20"/>
                <w:szCs w:val="20"/>
                <w:color w:val="auto"/>
              </w:rPr>
            </w:pPr>
            <w:r>
              <w:rPr>
                <w:rFonts w:ascii="Arial" w:cs="Arial" w:eastAsia="Arial" w:hAnsi="Arial"/>
                <w:sz w:val="18"/>
                <w:szCs w:val="18"/>
                <w:color w:val="auto"/>
              </w:rPr>
              <w:t>(1,038)</w:t>
            </w:r>
          </w:p>
        </w:tc>
        <w:tc>
          <w:tcPr>
            <w:tcW w:w="460" w:type="dxa"/>
            <w:vAlign w:val="bottom"/>
            <w:gridSpan w:val="2"/>
          </w:tcPr>
          <w:p>
            <w:pPr>
              <w:ind w:left="360"/>
              <w:spacing w:after="0"/>
              <w:rPr>
                <w:sz w:val="20"/>
                <w:szCs w:val="20"/>
                <w:color w:val="auto"/>
              </w:rPr>
            </w:pPr>
            <w:r>
              <w:rPr>
                <w:rFonts w:ascii="Arial" w:cs="Arial" w:eastAsia="Arial" w:hAnsi="Arial"/>
                <w:sz w:val="18"/>
                <w:szCs w:val="18"/>
                <w:color w:val="auto"/>
                <w:w w:val="79"/>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34.55</w:t>
            </w:r>
          </w:p>
        </w:tc>
        <w:tc>
          <w:tcPr>
            <w:tcW w:w="0" w:type="dxa"/>
            <w:vAlign w:val="bottom"/>
          </w:tcPr>
          <w:p>
            <w:pPr>
              <w:spacing w:after="0"/>
              <w:rPr>
                <w:sz w:val="1"/>
                <w:szCs w:val="1"/>
                <w:color w:val="auto"/>
              </w:rPr>
            </w:pPr>
          </w:p>
        </w:tc>
      </w:tr>
      <w:tr>
        <w:trPr>
          <w:trHeight w:val="216"/>
        </w:trPr>
        <w:tc>
          <w:tcPr>
            <w:tcW w:w="81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Expired</w:t>
            </w:r>
          </w:p>
        </w:tc>
        <w:tc>
          <w:tcPr>
            <w:tcW w:w="1240" w:type="dxa"/>
            <w:vAlign w:val="bottom"/>
            <w:gridSpan w:val="3"/>
            <w:shd w:val="clear" w:color="auto" w:fill="CCEEFF"/>
          </w:tcPr>
          <w:p>
            <w:pPr>
              <w:jc w:val="right"/>
              <w:ind w:right="360"/>
              <w:spacing w:after="0"/>
              <w:rPr>
                <w:sz w:val="20"/>
                <w:szCs w:val="20"/>
                <w:color w:val="auto"/>
              </w:rPr>
            </w:pPr>
            <w:r>
              <w:rPr>
                <w:rFonts w:ascii="Arial" w:cs="Arial" w:eastAsia="Arial" w:hAnsi="Arial"/>
                <w:sz w:val="18"/>
                <w:szCs w:val="18"/>
                <w:color w:val="auto"/>
              </w:rPr>
              <w:t>(1,180)</w:t>
            </w: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8120" w:type="dxa"/>
            <w:vAlign w:val="bottom"/>
          </w:tcPr>
          <w:p>
            <w:pPr>
              <w:spacing w:after="0"/>
              <w:rPr>
                <w:sz w:val="20"/>
                <w:szCs w:val="20"/>
                <w:color w:val="auto"/>
              </w:rPr>
            </w:pPr>
            <w:r>
              <w:rPr>
                <w:rFonts w:ascii="Arial" w:cs="Arial" w:eastAsia="Arial" w:hAnsi="Arial"/>
                <w:sz w:val="18"/>
                <w:szCs w:val="18"/>
                <w:color w:val="auto"/>
              </w:rPr>
              <w:t>Options outstanding at October 31, 2009</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29,478</w:t>
            </w:r>
          </w:p>
        </w:tc>
        <w:tc>
          <w:tcPr>
            <w:tcW w:w="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460" w:type="dxa"/>
            <w:vAlign w:val="bottom"/>
            <w:gridSpan w:val="2"/>
          </w:tcPr>
          <w:p>
            <w:pPr>
              <w:ind w:left="360"/>
              <w:spacing w:after="0"/>
              <w:rPr>
                <w:sz w:val="20"/>
                <w:szCs w:val="20"/>
                <w:color w:val="auto"/>
              </w:rPr>
            </w:pPr>
            <w:r>
              <w:rPr>
                <w:rFonts w:ascii="Arial" w:cs="Arial" w:eastAsia="Arial" w:hAnsi="Arial"/>
                <w:sz w:val="18"/>
                <w:szCs w:val="18"/>
                <w:color w:val="auto"/>
                <w:w w:val="79"/>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27.49</w:t>
            </w:r>
          </w:p>
        </w:tc>
        <w:tc>
          <w:tcPr>
            <w:tcW w:w="0" w:type="dxa"/>
            <w:vAlign w:val="bottom"/>
          </w:tcPr>
          <w:p>
            <w:pPr>
              <w:spacing w:after="0"/>
              <w:rPr>
                <w:sz w:val="1"/>
                <w:szCs w:val="1"/>
                <w:color w:val="auto"/>
              </w:rPr>
            </w:pPr>
          </w:p>
        </w:tc>
      </w:tr>
      <w:tr>
        <w:trPr>
          <w:trHeight w:val="20"/>
        </w:trPr>
        <w:tc>
          <w:tcPr>
            <w:tcW w:w="812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8120" w:type="dxa"/>
            <w:vAlign w:val="bottom"/>
            <w:shd w:val="clear" w:color="auto" w:fill="CCEEFF"/>
          </w:tcPr>
          <w:p>
            <w:pPr>
              <w:spacing w:after="0"/>
              <w:rPr>
                <w:sz w:val="20"/>
                <w:szCs w:val="20"/>
                <w:color w:val="auto"/>
              </w:rPr>
            </w:pPr>
            <w:r>
              <w:rPr>
                <w:rFonts w:ascii="Arial" w:cs="Arial" w:eastAsia="Arial" w:hAnsi="Arial"/>
                <w:sz w:val="18"/>
                <w:szCs w:val="18"/>
                <w:color w:val="auto"/>
              </w:rPr>
              <w:t>Options exercisable at October 31, 2009</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17,093</w:t>
            </w:r>
          </w:p>
        </w:tc>
        <w:tc>
          <w:tcPr>
            <w:tcW w:w="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46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w w:val="79"/>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29.15</w:t>
            </w:r>
          </w:p>
        </w:tc>
        <w:tc>
          <w:tcPr>
            <w:tcW w:w="0" w:type="dxa"/>
            <w:vAlign w:val="bottom"/>
          </w:tcPr>
          <w:p>
            <w:pPr>
              <w:spacing w:after="0"/>
              <w:rPr>
                <w:sz w:val="1"/>
                <w:szCs w:val="1"/>
                <w:color w:val="auto"/>
              </w:rPr>
            </w:pPr>
          </w:p>
        </w:tc>
      </w:tr>
      <w:tr>
        <w:trPr>
          <w:trHeight w:val="20"/>
        </w:trPr>
        <w:tc>
          <w:tcPr>
            <w:tcW w:w="8120" w:type="dxa"/>
            <w:vAlign w:val="bottom"/>
            <w:vMerge w:val="restart"/>
          </w:tcPr>
          <w:p>
            <w:pPr>
              <w:spacing w:after="0"/>
              <w:rPr>
                <w:sz w:val="20"/>
                <w:szCs w:val="20"/>
                <w:color w:val="auto"/>
              </w:rPr>
            </w:pPr>
            <w:r>
              <w:rPr>
                <w:rFonts w:ascii="Arial" w:cs="Arial" w:eastAsia="Arial" w:hAnsi="Arial"/>
                <w:sz w:val="18"/>
                <w:szCs w:val="18"/>
                <w:color w:val="auto"/>
              </w:rPr>
              <w:t>Options available for grant at October 31, 2009</w:t>
            </w:r>
          </w:p>
        </w:tc>
        <w:tc>
          <w:tcPr>
            <w:tcW w:w="8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8120" w:type="dxa"/>
            <w:vAlign w:val="bottom"/>
            <w:vMerge w:val="continue"/>
          </w:tcPr>
          <w:p>
            <w:pPr>
              <w:spacing w:after="0"/>
              <w:rPr>
                <w:sz w:val="18"/>
                <w:szCs w:val="18"/>
                <w:color w:val="auto"/>
              </w:rPr>
            </w:pPr>
          </w:p>
        </w:tc>
        <w:tc>
          <w:tcPr>
            <w:tcW w:w="84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7,946</w:t>
            </w:r>
          </w:p>
        </w:tc>
        <w:tc>
          <w:tcPr>
            <w:tcW w:w="4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12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right="100" w:firstLine="456"/>
        <w:spacing w:after="0" w:line="289" w:lineRule="auto"/>
        <w:rPr>
          <w:sz w:val="20"/>
          <w:szCs w:val="20"/>
          <w:color w:val="auto"/>
        </w:rPr>
      </w:pPr>
      <w:r>
        <w:rPr>
          <w:rFonts w:ascii="Arial" w:cs="Arial" w:eastAsia="Arial" w:hAnsi="Arial"/>
          <w:sz w:val="16"/>
          <w:szCs w:val="16"/>
          <w:color w:val="auto"/>
        </w:rPr>
        <w:t>The total pre-tax intrinsic value of options exercised during the three months ended October 31, 2009 and 2008 was $2.9 million and $13.9 million, respectively. For the nine months ended October 31, 2009 and 2008, total pre-tax intrinsic value of options exercised was $15.8 million and $45.8 million, respectively. The intrinsic value of options exercised is calculated as the difference between the exercise price of the option and the market value of the stock on the date of exercise. The weighted average grant date fair value of stock options granted during the three months ended October 31, 2009 and 2008, calculated as of the stock option grant date using the Black-Scholes-Merton option-pricing model, was $8.35 and $10.32 per share, respectively. The weighted average grant date fair value of stock options granted during the nine months ended October 31, 2009 and 2008, calculated as of the stock option grant date using the Black-Scholes-Merton option-pricing model, was $6.12 and $9.98 per share, respectively. As of October 31, 2009, total compensation costs of $64.4 million related to non-vested options is expected to be recognized over a weighted average period of 2.1 years.</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20"/>
          </w:cols>
          <w:pgMar w:left="240" w:top="459" w:right="23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summarizes information about options outstanding and exercisable at October 31, 2009:</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40" w:type="dxa"/>
            <w:vAlign w:val="bottom"/>
          </w:tcPr>
          <w:p>
            <w:pPr>
              <w:spacing w:after="0"/>
              <w:rPr>
                <w:sz w:val="14"/>
                <w:szCs w:val="14"/>
                <w:color w:val="auto"/>
              </w:rPr>
            </w:pPr>
          </w:p>
        </w:tc>
        <w:tc>
          <w:tcPr>
            <w:tcW w:w="3040" w:type="dxa"/>
            <w:vAlign w:val="bottom"/>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480" w:type="dxa"/>
            <w:vAlign w:val="bottom"/>
            <w:tcBorders>
              <w:bottom w:val="single" w:sz="8" w:color="auto"/>
            </w:tcBorders>
            <w:gridSpan w:val="4"/>
          </w:tcPr>
          <w:p>
            <w:pPr>
              <w:jc w:val="right"/>
              <w:ind w:right="135"/>
              <w:spacing w:after="0"/>
              <w:rPr>
                <w:sz w:val="20"/>
                <w:szCs w:val="20"/>
                <w:color w:val="auto"/>
              </w:rPr>
            </w:pPr>
            <w:r>
              <w:rPr>
                <w:rFonts w:ascii="Arial" w:cs="Arial" w:eastAsia="Arial" w:hAnsi="Arial"/>
                <w:sz w:val="14"/>
                <w:szCs w:val="14"/>
                <w:b w:val="1"/>
                <w:bCs w:val="1"/>
                <w:color w:val="auto"/>
                <w:w w:val="92"/>
              </w:rPr>
              <w:t>Options Exercisable</w:t>
            </w:r>
          </w:p>
        </w:tc>
        <w:tc>
          <w:tcPr>
            <w:tcW w:w="2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280" w:type="dxa"/>
            <w:vAlign w:val="bottom"/>
          </w:tcPr>
          <w:p>
            <w:pPr>
              <w:spacing w:after="0"/>
              <w:rPr>
                <w:sz w:val="14"/>
                <w:szCs w:val="14"/>
                <w:color w:val="auto"/>
              </w:rPr>
            </w:pPr>
          </w:p>
        </w:tc>
        <w:tc>
          <w:tcPr>
            <w:tcW w:w="84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500" w:type="dxa"/>
            <w:vAlign w:val="bottom"/>
            <w:tcBorders>
              <w:bottom w:val="single" w:sz="8" w:color="auto"/>
            </w:tcBorders>
            <w:gridSpan w:val="3"/>
          </w:tcPr>
          <w:p>
            <w:pPr>
              <w:jc w:val="right"/>
              <w:ind w:right="140"/>
              <w:spacing w:after="0"/>
              <w:rPr>
                <w:sz w:val="20"/>
                <w:szCs w:val="20"/>
                <w:color w:val="auto"/>
              </w:rPr>
            </w:pPr>
            <w:r>
              <w:rPr>
                <w:rFonts w:ascii="Arial" w:cs="Arial" w:eastAsia="Arial" w:hAnsi="Arial"/>
                <w:sz w:val="14"/>
                <w:szCs w:val="14"/>
                <w:b w:val="1"/>
                <w:bCs w:val="1"/>
                <w:color w:val="auto"/>
                <w:w w:val="90"/>
              </w:rPr>
              <w:t>Options Outstanding</w:t>
            </w:r>
          </w:p>
        </w:tc>
        <w:tc>
          <w:tcPr>
            <w:tcW w:w="2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940" w:type="dxa"/>
            <w:vAlign w:val="bottom"/>
          </w:tcPr>
          <w:p>
            <w:pPr>
              <w:spacing w:after="0"/>
              <w:rPr>
                <w:sz w:val="11"/>
                <w:szCs w:val="11"/>
                <w:color w:val="auto"/>
              </w:rPr>
            </w:pPr>
          </w:p>
        </w:tc>
        <w:tc>
          <w:tcPr>
            <w:tcW w:w="30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jc w:val="center"/>
              <w:spacing w:after="0" w:line="129" w:lineRule="exact"/>
              <w:rPr>
                <w:sz w:val="20"/>
                <w:szCs w:val="20"/>
                <w:color w:val="auto"/>
              </w:rPr>
            </w:pPr>
            <w:r>
              <w:rPr>
                <w:rFonts w:ascii="Arial" w:cs="Arial" w:eastAsia="Arial" w:hAnsi="Arial"/>
                <w:sz w:val="14"/>
                <w:szCs w:val="14"/>
                <w:b w:val="1"/>
                <w:bCs w:val="1"/>
                <w:color w:val="auto"/>
                <w:w w:val="88"/>
              </w:rPr>
              <w:t>Weighted</w:t>
            </w:r>
          </w:p>
        </w:tc>
        <w:tc>
          <w:tcPr>
            <w:tcW w:w="2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940" w:type="dxa"/>
            <w:vAlign w:val="bottom"/>
            <w:gridSpan w:val="2"/>
          </w:tcPr>
          <w:p>
            <w:pPr>
              <w:jc w:val="center"/>
              <w:ind w:right="280"/>
              <w:spacing w:after="0" w:line="129" w:lineRule="exact"/>
              <w:rPr>
                <w:sz w:val="20"/>
                <w:szCs w:val="20"/>
                <w:color w:val="auto"/>
              </w:rPr>
            </w:pPr>
            <w:r>
              <w:rPr>
                <w:rFonts w:ascii="Arial" w:cs="Arial" w:eastAsia="Arial" w:hAnsi="Arial"/>
                <w:sz w:val="14"/>
                <w:szCs w:val="14"/>
                <w:b w:val="1"/>
                <w:bCs w:val="1"/>
                <w:color w:val="auto"/>
                <w:w w:val="85"/>
              </w:rPr>
              <w:t>Weighted</w:t>
            </w: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940" w:type="dxa"/>
            <w:vAlign w:val="bottom"/>
          </w:tcPr>
          <w:p>
            <w:pPr>
              <w:spacing w:after="0"/>
              <w:rPr>
                <w:sz w:val="12"/>
                <w:szCs w:val="12"/>
                <w:color w:val="auto"/>
              </w:rPr>
            </w:pPr>
          </w:p>
        </w:tc>
        <w:tc>
          <w:tcPr>
            <w:tcW w:w="30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3"/>
              </w:rPr>
              <w:t>average</w:t>
            </w:r>
          </w:p>
        </w:tc>
        <w:tc>
          <w:tcPr>
            <w:tcW w:w="260" w:type="dxa"/>
            <w:vAlign w:val="bottom"/>
          </w:tcPr>
          <w:p>
            <w:pPr>
              <w:spacing w:after="0"/>
              <w:rPr>
                <w:sz w:val="12"/>
                <w:szCs w:val="12"/>
                <w:color w:val="auto"/>
              </w:rPr>
            </w:pPr>
          </w:p>
        </w:tc>
        <w:tc>
          <w:tcPr>
            <w:tcW w:w="56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88"/>
              </w:rPr>
              <w:t>Weighted</w:t>
            </w:r>
          </w:p>
        </w:tc>
        <w:tc>
          <w:tcPr>
            <w:tcW w:w="280" w:type="dxa"/>
            <w:vAlign w:val="bottom"/>
          </w:tcPr>
          <w:p>
            <w:pPr>
              <w:spacing w:after="0"/>
              <w:rPr>
                <w:sz w:val="12"/>
                <w:szCs w:val="12"/>
                <w:color w:val="auto"/>
              </w:rPr>
            </w:pPr>
          </w:p>
        </w:tc>
        <w:tc>
          <w:tcPr>
            <w:tcW w:w="980" w:type="dxa"/>
            <w:vAlign w:val="bottom"/>
            <w:gridSpan w:val="3"/>
          </w:tcPr>
          <w:p>
            <w:pPr>
              <w:jc w:val="center"/>
              <w:ind w:right="280"/>
              <w:spacing w:after="0" w:line="149" w:lineRule="exact"/>
              <w:rPr>
                <w:sz w:val="20"/>
                <w:szCs w:val="20"/>
                <w:color w:val="auto"/>
              </w:rPr>
            </w:pPr>
            <w:r>
              <w:rPr>
                <w:rFonts w:ascii="Arial" w:cs="Arial" w:eastAsia="Arial" w:hAnsi="Arial"/>
                <w:sz w:val="14"/>
                <w:szCs w:val="14"/>
                <w:b w:val="1"/>
                <w:bCs w:val="1"/>
                <w:color w:val="auto"/>
                <w:w w:val="83"/>
              </w:rPr>
              <w:t>Aggregate</w:t>
            </w:r>
          </w:p>
        </w:tc>
        <w:tc>
          <w:tcPr>
            <w:tcW w:w="8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4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86"/>
              </w:rPr>
              <w:t>average</w:t>
            </w:r>
          </w:p>
        </w:tc>
        <w:tc>
          <w:tcPr>
            <w:tcW w:w="5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Weighted</w:t>
            </w:r>
          </w:p>
        </w:tc>
        <w:tc>
          <w:tcPr>
            <w:tcW w:w="280" w:type="dxa"/>
            <w:vAlign w:val="bottom"/>
          </w:tcPr>
          <w:p>
            <w:pPr>
              <w:spacing w:after="0"/>
              <w:rPr>
                <w:sz w:val="12"/>
                <w:szCs w:val="12"/>
                <w:color w:val="auto"/>
              </w:rPr>
            </w:pPr>
          </w:p>
        </w:tc>
        <w:tc>
          <w:tcPr>
            <w:tcW w:w="720" w:type="dxa"/>
            <w:vAlign w:val="bottom"/>
            <w:gridSpan w:val="3"/>
          </w:tcPr>
          <w:p>
            <w:pPr>
              <w:jc w:val="center"/>
              <w:ind w:right="20"/>
              <w:spacing w:after="0" w:line="149" w:lineRule="exact"/>
              <w:rPr>
                <w:sz w:val="20"/>
                <w:szCs w:val="20"/>
                <w:color w:val="auto"/>
              </w:rPr>
            </w:pPr>
            <w:r>
              <w:rPr>
                <w:rFonts w:ascii="Arial" w:cs="Arial" w:eastAsia="Arial" w:hAnsi="Arial"/>
                <w:sz w:val="14"/>
                <w:szCs w:val="14"/>
                <w:b w:val="1"/>
                <w:bCs w:val="1"/>
                <w:color w:val="auto"/>
                <w:w w:val="83"/>
              </w:rPr>
              <w:t>Aggregate</w:t>
            </w:r>
          </w:p>
        </w:tc>
        <w:tc>
          <w:tcPr>
            <w:tcW w:w="0" w:type="dxa"/>
            <w:vAlign w:val="bottom"/>
          </w:tcPr>
          <w:p>
            <w:pPr>
              <w:spacing w:after="0"/>
              <w:rPr>
                <w:sz w:val="1"/>
                <w:szCs w:val="1"/>
                <w:color w:val="auto"/>
              </w:rPr>
            </w:pPr>
          </w:p>
        </w:tc>
      </w:tr>
      <w:tr>
        <w:trPr>
          <w:trHeight w:val="134"/>
        </w:trPr>
        <w:tc>
          <w:tcPr>
            <w:tcW w:w="940" w:type="dxa"/>
            <w:vAlign w:val="bottom"/>
          </w:tcPr>
          <w:p>
            <w:pPr>
              <w:spacing w:after="0"/>
              <w:rPr>
                <w:sz w:val="11"/>
                <w:szCs w:val="11"/>
                <w:color w:val="auto"/>
              </w:rPr>
            </w:pPr>
          </w:p>
        </w:tc>
        <w:tc>
          <w:tcPr>
            <w:tcW w:w="3040" w:type="dxa"/>
            <w:vAlign w:val="bottom"/>
          </w:tcPr>
          <w:p>
            <w:pPr>
              <w:spacing w:after="0"/>
              <w:rPr>
                <w:sz w:val="11"/>
                <w:szCs w:val="11"/>
                <w:color w:val="auto"/>
              </w:rPr>
            </w:pPr>
          </w:p>
        </w:tc>
        <w:tc>
          <w:tcPr>
            <w:tcW w:w="1100" w:type="dxa"/>
            <w:vAlign w:val="bottom"/>
            <w:gridSpan w:val="2"/>
          </w:tcPr>
          <w:p>
            <w:pPr>
              <w:jc w:val="center"/>
              <w:ind w:right="280"/>
              <w:spacing w:after="0" w:line="135" w:lineRule="exact"/>
              <w:rPr>
                <w:sz w:val="20"/>
                <w:szCs w:val="20"/>
                <w:color w:val="auto"/>
              </w:rPr>
            </w:pPr>
            <w:r>
              <w:rPr>
                <w:rFonts w:ascii="Arial" w:cs="Arial" w:eastAsia="Arial" w:hAnsi="Arial"/>
                <w:sz w:val="14"/>
                <w:szCs w:val="14"/>
                <w:b w:val="1"/>
                <w:bCs w:val="1"/>
                <w:color w:val="auto"/>
                <w:w w:val="88"/>
              </w:rPr>
              <w:t>Number of</w:t>
            </w:r>
          </w:p>
        </w:tc>
        <w:tc>
          <w:tcPr>
            <w:tcW w:w="66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w w:val="87"/>
              </w:rPr>
              <w:t>contractual</w:t>
            </w:r>
          </w:p>
        </w:tc>
        <w:tc>
          <w:tcPr>
            <w:tcW w:w="260" w:type="dxa"/>
            <w:vAlign w:val="bottom"/>
          </w:tcPr>
          <w:p>
            <w:pPr>
              <w:spacing w:after="0"/>
              <w:rPr>
                <w:sz w:val="11"/>
                <w:szCs w:val="11"/>
                <w:color w:val="auto"/>
              </w:rPr>
            </w:pPr>
          </w:p>
        </w:tc>
        <w:tc>
          <w:tcPr>
            <w:tcW w:w="560" w:type="dxa"/>
            <w:vAlign w:val="bottom"/>
            <w:gridSpan w:val="2"/>
          </w:tcPr>
          <w:p>
            <w:pPr>
              <w:jc w:val="center"/>
              <w:spacing w:after="0" w:line="135" w:lineRule="exact"/>
              <w:rPr>
                <w:sz w:val="20"/>
                <w:szCs w:val="20"/>
                <w:color w:val="auto"/>
              </w:rPr>
            </w:pPr>
            <w:r>
              <w:rPr>
                <w:rFonts w:ascii="Arial" w:cs="Arial" w:eastAsia="Arial" w:hAnsi="Arial"/>
                <w:sz w:val="14"/>
                <w:szCs w:val="14"/>
                <w:b w:val="1"/>
                <w:bCs w:val="1"/>
                <w:color w:val="auto"/>
                <w:w w:val="83"/>
              </w:rPr>
              <w:t>average</w:t>
            </w:r>
          </w:p>
        </w:tc>
        <w:tc>
          <w:tcPr>
            <w:tcW w:w="2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80" w:type="dxa"/>
            <w:vAlign w:val="bottom"/>
            <w:gridSpan w:val="2"/>
          </w:tcPr>
          <w:p>
            <w:pPr>
              <w:jc w:val="center"/>
              <w:ind w:right="360"/>
              <w:spacing w:after="0" w:line="135" w:lineRule="exact"/>
              <w:rPr>
                <w:sz w:val="20"/>
                <w:szCs w:val="20"/>
                <w:color w:val="auto"/>
              </w:rPr>
            </w:pPr>
            <w:r>
              <w:rPr>
                <w:rFonts w:ascii="Arial" w:cs="Arial" w:eastAsia="Arial" w:hAnsi="Arial"/>
                <w:sz w:val="14"/>
                <w:szCs w:val="14"/>
                <w:b w:val="1"/>
                <w:bCs w:val="1"/>
                <w:color w:val="auto"/>
                <w:w w:val="88"/>
              </w:rPr>
              <w:t>intrinsic</w:t>
            </w:r>
          </w:p>
        </w:tc>
        <w:tc>
          <w:tcPr>
            <w:tcW w:w="1120" w:type="dxa"/>
            <w:vAlign w:val="bottom"/>
            <w:gridSpan w:val="2"/>
          </w:tcPr>
          <w:p>
            <w:pPr>
              <w:jc w:val="center"/>
              <w:ind w:right="280"/>
              <w:spacing w:after="0" w:line="135" w:lineRule="exact"/>
              <w:rPr>
                <w:sz w:val="20"/>
                <w:szCs w:val="20"/>
                <w:color w:val="auto"/>
              </w:rPr>
            </w:pPr>
            <w:r>
              <w:rPr>
                <w:rFonts w:ascii="Arial" w:cs="Arial" w:eastAsia="Arial" w:hAnsi="Arial"/>
                <w:sz w:val="14"/>
                <w:szCs w:val="14"/>
                <w:b w:val="1"/>
                <w:bCs w:val="1"/>
                <w:color w:val="auto"/>
                <w:w w:val="91"/>
              </w:rPr>
              <w:t>Number of</w:t>
            </w:r>
          </w:p>
        </w:tc>
        <w:tc>
          <w:tcPr>
            <w:tcW w:w="940" w:type="dxa"/>
            <w:vAlign w:val="bottom"/>
            <w:gridSpan w:val="2"/>
          </w:tcPr>
          <w:p>
            <w:pPr>
              <w:jc w:val="center"/>
              <w:ind w:right="280"/>
              <w:spacing w:after="0" w:line="135" w:lineRule="exact"/>
              <w:rPr>
                <w:sz w:val="20"/>
                <w:szCs w:val="20"/>
                <w:color w:val="auto"/>
              </w:rPr>
            </w:pPr>
            <w:r>
              <w:rPr>
                <w:rFonts w:ascii="Arial" w:cs="Arial" w:eastAsia="Arial" w:hAnsi="Arial"/>
                <w:sz w:val="14"/>
                <w:szCs w:val="14"/>
                <w:b w:val="1"/>
                <w:bCs w:val="1"/>
                <w:color w:val="auto"/>
                <w:w w:val="87"/>
              </w:rPr>
              <w:t>contractual</w:t>
            </w:r>
          </w:p>
        </w:tc>
        <w:tc>
          <w:tcPr>
            <w:tcW w:w="56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w w:val="83"/>
              </w:rPr>
              <w:t>average</w:t>
            </w:r>
          </w:p>
        </w:tc>
        <w:tc>
          <w:tcPr>
            <w:tcW w:w="2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gridSpan w:val="2"/>
          </w:tcPr>
          <w:p>
            <w:pPr>
              <w:jc w:val="center"/>
              <w:ind w:right="140"/>
              <w:spacing w:after="0" w:line="135" w:lineRule="exact"/>
              <w:rPr>
                <w:sz w:val="20"/>
                <w:szCs w:val="20"/>
                <w:color w:val="auto"/>
              </w:rPr>
            </w:pPr>
            <w:r>
              <w:rPr>
                <w:rFonts w:ascii="Arial" w:cs="Arial" w:eastAsia="Arial" w:hAnsi="Arial"/>
                <w:sz w:val="14"/>
                <w:szCs w:val="14"/>
                <w:b w:val="1"/>
                <w:bCs w:val="1"/>
                <w:color w:val="auto"/>
                <w:w w:val="88"/>
              </w:rPr>
              <w:t>intrinsic</w:t>
            </w:r>
          </w:p>
        </w:tc>
        <w:tc>
          <w:tcPr>
            <w:tcW w:w="0" w:type="dxa"/>
            <w:vAlign w:val="bottom"/>
          </w:tcPr>
          <w:p>
            <w:pPr>
              <w:spacing w:after="0"/>
              <w:rPr>
                <w:sz w:val="1"/>
                <w:szCs w:val="1"/>
                <w:color w:val="auto"/>
              </w:rPr>
            </w:pPr>
          </w:p>
        </w:tc>
      </w:tr>
      <w:tr>
        <w:trPr>
          <w:trHeight w:val="163"/>
        </w:trPr>
        <w:tc>
          <w:tcPr>
            <w:tcW w:w="940" w:type="dxa"/>
            <w:vAlign w:val="bottom"/>
          </w:tcPr>
          <w:p>
            <w:pPr>
              <w:spacing w:after="0"/>
              <w:rPr>
                <w:sz w:val="14"/>
                <w:szCs w:val="14"/>
                <w:color w:val="auto"/>
              </w:rPr>
            </w:pPr>
          </w:p>
        </w:tc>
        <w:tc>
          <w:tcPr>
            <w:tcW w:w="3040" w:type="dxa"/>
            <w:vAlign w:val="bottom"/>
          </w:tcPr>
          <w:p>
            <w:pPr>
              <w:spacing w:after="0"/>
              <w:rPr>
                <w:sz w:val="14"/>
                <w:szCs w:val="14"/>
                <w:color w:val="auto"/>
              </w:rPr>
            </w:pPr>
          </w:p>
        </w:tc>
        <w:tc>
          <w:tcPr>
            <w:tcW w:w="110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81"/>
              </w:rPr>
              <w:t>Shares</w:t>
            </w:r>
          </w:p>
        </w:tc>
        <w:tc>
          <w:tcPr>
            <w:tcW w:w="660" w:type="dxa"/>
            <w:vAlign w:val="bottom"/>
          </w:tcPr>
          <w:p>
            <w:pPr>
              <w:jc w:val="center"/>
              <w:spacing w:after="0"/>
              <w:rPr>
                <w:sz w:val="20"/>
                <w:szCs w:val="20"/>
                <w:color w:val="auto"/>
              </w:rPr>
            </w:pPr>
            <w:r>
              <w:rPr>
                <w:rFonts w:ascii="Arial" w:cs="Arial" w:eastAsia="Arial" w:hAnsi="Arial"/>
                <w:sz w:val="14"/>
                <w:szCs w:val="14"/>
                <w:b w:val="1"/>
                <w:bCs w:val="1"/>
                <w:color w:val="auto"/>
                <w:w w:val="88"/>
              </w:rPr>
              <w:t>life</w:t>
            </w:r>
          </w:p>
        </w:tc>
        <w:tc>
          <w:tcPr>
            <w:tcW w:w="260" w:type="dxa"/>
            <w:vAlign w:val="bottom"/>
          </w:tcPr>
          <w:p>
            <w:pPr>
              <w:spacing w:after="0"/>
              <w:rPr>
                <w:sz w:val="14"/>
                <w:szCs w:val="14"/>
                <w:color w:val="auto"/>
              </w:rPr>
            </w:pPr>
          </w:p>
        </w:tc>
        <w:tc>
          <w:tcPr>
            <w:tcW w:w="560" w:type="dxa"/>
            <w:vAlign w:val="bottom"/>
            <w:gridSpan w:val="2"/>
          </w:tcPr>
          <w:p>
            <w:pPr>
              <w:jc w:val="center"/>
              <w:spacing w:after="0"/>
              <w:rPr>
                <w:sz w:val="20"/>
                <w:szCs w:val="20"/>
                <w:color w:val="auto"/>
              </w:rPr>
            </w:pPr>
            <w:r>
              <w:rPr>
                <w:rFonts w:ascii="Arial" w:cs="Arial" w:eastAsia="Arial" w:hAnsi="Arial"/>
                <w:sz w:val="14"/>
                <w:szCs w:val="14"/>
                <w:b w:val="1"/>
                <w:bCs w:val="1"/>
                <w:color w:val="auto"/>
                <w:w w:val="78"/>
              </w:rPr>
              <w:t>exercise</w:t>
            </w:r>
          </w:p>
        </w:tc>
        <w:tc>
          <w:tcPr>
            <w:tcW w:w="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gridSpan w:val="2"/>
          </w:tcPr>
          <w:p>
            <w:pPr>
              <w:jc w:val="center"/>
              <w:ind w:right="360"/>
              <w:spacing w:after="0" w:line="163" w:lineRule="exact"/>
              <w:rPr>
                <w:sz w:val="20"/>
                <w:szCs w:val="20"/>
                <w:color w:val="auto"/>
              </w:rPr>
            </w:pPr>
            <w:r>
              <w:rPr>
                <w:rFonts w:ascii="Arial" w:cs="Arial" w:eastAsia="Arial" w:hAnsi="Arial"/>
                <w:sz w:val="12"/>
                <w:szCs w:val="12"/>
                <w:b w:val="1"/>
                <w:bCs w:val="1"/>
                <w:color w:val="auto"/>
                <w:w w:val="96"/>
              </w:rPr>
              <w:t>value</w:t>
            </w:r>
            <w:r>
              <w:rPr>
                <w:rFonts w:ascii="Arial" w:cs="Arial" w:eastAsia="Arial" w:hAnsi="Arial"/>
                <w:sz w:val="18"/>
                <w:szCs w:val="18"/>
                <w:b w:val="1"/>
                <w:bCs w:val="1"/>
                <w:color w:val="auto"/>
                <w:w w:val="96"/>
                <w:vertAlign w:val="superscript"/>
              </w:rPr>
              <w:t>(1)</w:t>
            </w:r>
          </w:p>
        </w:tc>
        <w:tc>
          <w:tcPr>
            <w:tcW w:w="112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85"/>
              </w:rPr>
              <w:t>Shares</w:t>
            </w:r>
          </w:p>
        </w:tc>
        <w:tc>
          <w:tcPr>
            <w:tcW w:w="94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88"/>
              </w:rPr>
              <w:t>life</w:t>
            </w:r>
          </w:p>
        </w:tc>
        <w:tc>
          <w:tcPr>
            <w:tcW w:w="560" w:type="dxa"/>
            <w:vAlign w:val="bottom"/>
          </w:tcPr>
          <w:p>
            <w:pPr>
              <w:jc w:val="center"/>
              <w:spacing w:after="0"/>
              <w:rPr>
                <w:sz w:val="20"/>
                <w:szCs w:val="20"/>
                <w:color w:val="auto"/>
              </w:rPr>
            </w:pPr>
            <w:r>
              <w:rPr>
                <w:rFonts w:ascii="Arial" w:cs="Arial" w:eastAsia="Arial" w:hAnsi="Arial"/>
                <w:sz w:val="14"/>
                <w:szCs w:val="14"/>
                <w:b w:val="1"/>
                <w:bCs w:val="1"/>
                <w:color w:val="auto"/>
                <w:w w:val="81"/>
              </w:rPr>
              <w:t>exercise</w:t>
            </w:r>
          </w:p>
        </w:tc>
        <w:tc>
          <w:tcPr>
            <w:tcW w:w="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gridSpan w:val="2"/>
          </w:tcPr>
          <w:p>
            <w:pPr>
              <w:jc w:val="center"/>
              <w:ind w:right="140"/>
              <w:spacing w:after="0" w:line="163" w:lineRule="exact"/>
              <w:rPr>
                <w:sz w:val="20"/>
                <w:szCs w:val="20"/>
                <w:color w:val="auto"/>
              </w:rPr>
            </w:pPr>
            <w:r>
              <w:rPr>
                <w:rFonts w:ascii="Arial" w:cs="Arial" w:eastAsia="Arial" w:hAnsi="Arial"/>
                <w:sz w:val="12"/>
                <w:szCs w:val="12"/>
                <w:b w:val="1"/>
                <w:bCs w:val="1"/>
                <w:color w:val="auto"/>
                <w:w w:val="96"/>
              </w:rPr>
              <w:t>value</w:t>
            </w:r>
            <w:r>
              <w:rPr>
                <w:rFonts w:ascii="Arial" w:cs="Arial" w:eastAsia="Arial" w:hAnsi="Arial"/>
                <w:sz w:val="18"/>
                <w:szCs w:val="18"/>
                <w:b w:val="1"/>
                <w:bCs w:val="1"/>
                <w:color w:val="auto"/>
                <w:w w:val="96"/>
                <w:vertAlign w:val="superscript"/>
              </w:rPr>
              <w:t>(1)</w:t>
            </w:r>
          </w:p>
        </w:tc>
        <w:tc>
          <w:tcPr>
            <w:tcW w:w="0" w:type="dxa"/>
            <w:vAlign w:val="bottom"/>
          </w:tcPr>
          <w:p>
            <w:pPr>
              <w:spacing w:after="0"/>
              <w:rPr>
                <w:sz w:val="1"/>
                <w:szCs w:val="1"/>
                <w:color w:val="auto"/>
              </w:rPr>
            </w:pPr>
          </w:p>
        </w:tc>
      </w:tr>
      <w:tr>
        <w:trPr>
          <w:trHeight w:val="161"/>
        </w:trPr>
        <w:tc>
          <w:tcPr>
            <w:tcW w:w="940" w:type="dxa"/>
            <w:vAlign w:val="bottom"/>
          </w:tcPr>
          <w:p>
            <w:pPr>
              <w:spacing w:after="0"/>
              <w:rPr>
                <w:sz w:val="14"/>
                <w:szCs w:val="14"/>
                <w:color w:val="auto"/>
              </w:rPr>
            </w:pPr>
          </w:p>
        </w:tc>
        <w:tc>
          <w:tcPr>
            <w:tcW w:w="3040" w:type="dxa"/>
            <w:vAlign w:val="bottom"/>
          </w:tcPr>
          <w:p>
            <w:pPr>
              <w:spacing w:after="0"/>
              <w:rPr>
                <w:sz w:val="14"/>
                <w:szCs w:val="14"/>
                <w:color w:val="auto"/>
              </w:rPr>
            </w:pPr>
          </w:p>
        </w:tc>
        <w:tc>
          <w:tcPr>
            <w:tcW w:w="110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84"/>
              </w:rPr>
              <w:t>(in thousands)</w:t>
            </w:r>
          </w:p>
        </w:tc>
        <w:tc>
          <w:tcPr>
            <w:tcW w:w="660" w:type="dxa"/>
            <w:vAlign w:val="bottom"/>
          </w:tcPr>
          <w:p>
            <w:pPr>
              <w:jc w:val="center"/>
              <w:spacing w:after="0"/>
              <w:rPr>
                <w:sz w:val="20"/>
                <w:szCs w:val="20"/>
                <w:color w:val="auto"/>
              </w:rPr>
            </w:pPr>
            <w:r>
              <w:rPr>
                <w:rFonts w:ascii="Arial" w:cs="Arial" w:eastAsia="Arial" w:hAnsi="Arial"/>
                <w:sz w:val="14"/>
                <w:szCs w:val="14"/>
                <w:b w:val="1"/>
                <w:bCs w:val="1"/>
                <w:color w:val="auto"/>
                <w:w w:val="86"/>
              </w:rPr>
              <w:t>(in years)</w:t>
            </w:r>
          </w:p>
        </w:tc>
        <w:tc>
          <w:tcPr>
            <w:tcW w:w="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40" w:type="dxa"/>
            <w:vAlign w:val="bottom"/>
          </w:tcPr>
          <w:p>
            <w:pPr>
              <w:jc w:val="center"/>
              <w:ind w:right="35"/>
              <w:spacing w:after="0"/>
              <w:rPr>
                <w:sz w:val="20"/>
                <w:szCs w:val="20"/>
                <w:color w:val="auto"/>
              </w:rPr>
            </w:pPr>
            <w:r>
              <w:rPr>
                <w:rFonts w:ascii="Arial" w:cs="Arial" w:eastAsia="Arial" w:hAnsi="Arial"/>
                <w:sz w:val="14"/>
                <w:szCs w:val="14"/>
                <w:b w:val="1"/>
                <w:bCs w:val="1"/>
                <w:color w:val="auto"/>
                <w:w w:val="83"/>
              </w:rPr>
              <w:t>price</w:t>
            </w:r>
          </w:p>
        </w:tc>
        <w:tc>
          <w:tcPr>
            <w:tcW w:w="280" w:type="dxa"/>
            <w:vAlign w:val="bottom"/>
          </w:tcPr>
          <w:p>
            <w:pPr>
              <w:spacing w:after="0"/>
              <w:rPr>
                <w:sz w:val="14"/>
                <w:szCs w:val="14"/>
                <w:color w:val="auto"/>
              </w:rPr>
            </w:pPr>
          </w:p>
        </w:tc>
        <w:tc>
          <w:tcPr>
            <w:tcW w:w="980" w:type="dxa"/>
            <w:vAlign w:val="bottom"/>
            <w:gridSpan w:val="3"/>
          </w:tcPr>
          <w:p>
            <w:pPr>
              <w:jc w:val="center"/>
              <w:ind w:right="280"/>
              <w:spacing w:after="0"/>
              <w:rPr>
                <w:sz w:val="20"/>
                <w:szCs w:val="20"/>
                <w:color w:val="auto"/>
              </w:rPr>
            </w:pPr>
            <w:r>
              <w:rPr>
                <w:rFonts w:ascii="Arial" w:cs="Arial" w:eastAsia="Arial" w:hAnsi="Arial"/>
                <w:sz w:val="14"/>
                <w:szCs w:val="14"/>
                <w:b w:val="1"/>
                <w:bCs w:val="1"/>
                <w:color w:val="auto"/>
                <w:w w:val="89"/>
              </w:rPr>
              <w:t>(in millions)</w:t>
            </w:r>
          </w:p>
        </w:tc>
        <w:tc>
          <w:tcPr>
            <w:tcW w:w="112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87"/>
              </w:rPr>
              <w:t>(in thousands)</w:t>
            </w:r>
          </w:p>
        </w:tc>
        <w:tc>
          <w:tcPr>
            <w:tcW w:w="94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86"/>
              </w:rPr>
              <w:t>(in years)</w:t>
            </w:r>
          </w:p>
        </w:tc>
        <w:tc>
          <w:tcPr>
            <w:tcW w:w="560" w:type="dxa"/>
            <w:vAlign w:val="bottom"/>
          </w:tcPr>
          <w:p>
            <w:pPr>
              <w:jc w:val="center"/>
              <w:spacing w:after="0"/>
              <w:rPr>
                <w:sz w:val="20"/>
                <w:szCs w:val="20"/>
                <w:color w:val="auto"/>
              </w:rPr>
            </w:pPr>
            <w:r>
              <w:rPr>
                <w:rFonts w:ascii="Arial" w:cs="Arial" w:eastAsia="Arial" w:hAnsi="Arial"/>
                <w:sz w:val="14"/>
                <w:szCs w:val="14"/>
                <w:b w:val="1"/>
                <w:bCs w:val="1"/>
                <w:color w:val="auto"/>
                <w:w w:val="83"/>
              </w:rPr>
              <w:t>price</w:t>
            </w:r>
          </w:p>
        </w:tc>
        <w:tc>
          <w:tcPr>
            <w:tcW w:w="280" w:type="dxa"/>
            <w:vAlign w:val="bottom"/>
          </w:tcPr>
          <w:p>
            <w:pPr>
              <w:spacing w:after="0"/>
              <w:rPr>
                <w:sz w:val="14"/>
                <w:szCs w:val="14"/>
                <w:color w:val="auto"/>
              </w:rPr>
            </w:pPr>
          </w:p>
        </w:tc>
        <w:tc>
          <w:tcPr>
            <w:tcW w:w="720" w:type="dxa"/>
            <w:vAlign w:val="bottom"/>
            <w:gridSpan w:val="3"/>
          </w:tcPr>
          <w:p>
            <w:pPr>
              <w:jc w:val="center"/>
              <w:ind w:right="20"/>
              <w:spacing w:after="0"/>
              <w:rPr>
                <w:sz w:val="20"/>
                <w:szCs w:val="20"/>
                <w:color w:val="auto"/>
              </w:rPr>
            </w:pPr>
            <w:r>
              <w:rPr>
                <w:rFonts w:ascii="Arial" w:cs="Arial" w:eastAsia="Arial" w:hAnsi="Arial"/>
                <w:sz w:val="14"/>
                <w:szCs w:val="14"/>
                <w:b w:val="1"/>
                <w:bCs w:val="1"/>
                <w:color w:val="auto"/>
                <w:w w:val="89"/>
              </w:rPr>
              <w:t>(in millions)</w:t>
            </w:r>
          </w:p>
        </w:tc>
        <w:tc>
          <w:tcPr>
            <w:tcW w:w="0" w:type="dxa"/>
            <w:vAlign w:val="bottom"/>
          </w:tcPr>
          <w:p>
            <w:pPr>
              <w:spacing w:after="0"/>
              <w:rPr>
                <w:sz w:val="1"/>
                <w:szCs w:val="1"/>
                <w:color w:val="auto"/>
              </w:rPr>
            </w:pPr>
          </w:p>
        </w:tc>
      </w:tr>
      <w:tr>
        <w:trPr>
          <w:trHeight w:val="210"/>
        </w:trPr>
        <w:tc>
          <w:tcPr>
            <w:tcW w:w="3980" w:type="dxa"/>
            <w:vAlign w:val="bottom"/>
            <w:gridSpan w:val="2"/>
            <w:shd w:val="clear" w:color="auto" w:fill="CCEEFF"/>
          </w:tcPr>
          <w:p>
            <w:pPr>
              <w:jc w:val="right"/>
              <w:ind w:right="1412"/>
              <w:spacing w:after="0"/>
              <w:rPr>
                <w:sz w:val="20"/>
                <w:szCs w:val="20"/>
                <w:color w:val="auto"/>
              </w:rPr>
            </w:pPr>
            <w:r>
              <w:rPr>
                <w:rFonts w:ascii="Arial" w:cs="Arial" w:eastAsia="Arial" w:hAnsi="Arial"/>
                <w:sz w:val="18"/>
                <w:szCs w:val="18"/>
                <w:color w:val="auto"/>
                <w:w w:val="86"/>
              </w:rPr>
              <w:t>Range of per-share exercise prices:</w:t>
            </w:r>
          </w:p>
        </w:tc>
        <w:tc>
          <w:tcPr>
            <w:tcW w:w="820" w:type="dxa"/>
            <w:vAlign w:val="bottom"/>
            <w:tcBorders>
              <w:top w:val="single" w:sz="8" w:color="auto"/>
            </w:tcBorders>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440" w:type="dxa"/>
            <w:vAlign w:val="bottom"/>
            <w:tcBorders>
              <w:top w:val="single" w:sz="8" w:color="auto"/>
            </w:tcBorders>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40" w:type="dxa"/>
            <w:vAlign w:val="bottom"/>
          </w:tcPr>
          <w:p>
            <w:pPr>
              <w:ind w:left="440"/>
              <w:spacing w:after="0"/>
              <w:rPr>
                <w:sz w:val="20"/>
                <w:szCs w:val="20"/>
                <w:color w:val="auto"/>
              </w:rPr>
            </w:pPr>
            <w:r>
              <w:rPr>
                <w:rFonts w:ascii="Arial" w:cs="Arial" w:eastAsia="Arial" w:hAnsi="Arial"/>
                <w:sz w:val="18"/>
                <w:szCs w:val="18"/>
                <w:color w:val="auto"/>
              </w:rPr>
              <w:t>$0.61</w:t>
            </w:r>
          </w:p>
        </w:tc>
        <w:tc>
          <w:tcPr>
            <w:tcW w:w="3040" w:type="dxa"/>
            <w:vAlign w:val="bottom"/>
          </w:tcPr>
          <w:p>
            <w:pPr>
              <w:jc w:val="right"/>
              <w:ind w:right="2232"/>
              <w:spacing w:after="0"/>
              <w:rPr>
                <w:sz w:val="20"/>
                <w:szCs w:val="20"/>
                <w:color w:val="auto"/>
              </w:rPr>
            </w:pPr>
            <w:r>
              <w:rPr>
                <w:rFonts w:ascii="Arial" w:cs="Arial" w:eastAsia="Arial" w:hAnsi="Arial"/>
                <w:sz w:val="18"/>
                <w:szCs w:val="18"/>
                <w:color w:val="auto"/>
                <w:w w:val="89"/>
              </w:rPr>
              <w:t>— $13.84</w:t>
            </w:r>
          </w:p>
        </w:tc>
        <w:tc>
          <w:tcPr>
            <w:tcW w:w="1100" w:type="dxa"/>
            <w:vAlign w:val="bottom"/>
            <w:gridSpan w:val="2"/>
          </w:tcPr>
          <w:p>
            <w:pPr>
              <w:jc w:val="right"/>
              <w:ind w:right="280"/>
              <w:spacing w:after="0"/>
              <w:rPr>
                <w:sz w:val="20"/>
                <w:szCs w:val="20"/>
                <w:color w:val="auto"/>
              </w:rPr>
            </w:pPr>
            <w:r>
              <w:rPr>
                <w:rFonts w:ascii="Arial" w:cs="Arial" w:eastAsia="Arial" w:hAnsi="Arial"/>
                <w:sz w:val="18"/>
                <w:szCs w:val="18"/>
                <w:color w:val="auto"/>
              </w:rPr>
              <w:t>3,639</w:t>
            </w:r>
          </w:p>
        </w:tc>
        <w:tc>
          <w:tcPr>
            <w:tcW w:w="660" w:type="dxa"/>
            <w:vAlign w:val="bottom"/>
          </w:tcPr>
          <w:p>
            <w:pPr>
              <w:spacing w:after="0"/>
              <w:rPr>
                <w:sz w:val="18"/>
                <w:szCs w:val="18"/>
                <w:color w:val="auto"/>
              </w:rPr>
            </w:pPr>
          </w:p>
        </w:tc>
        <w:tc>
          <w:tcPr>
            <w:tcW w:w="3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40" w:type="dxa"/>
            <w:vAlign w:val="bottom"/>
          </w:tcPr>
          <w:p>
            <w:pPr>
              <w:jc w:val="right"/>
              <w:spacing w:after="0"/>
              <w:rPr>
                <w:sz w:val="20"/>
                <w:szCs w:val="20"/>
                <w:color w:val="auto"/>
              </w:rPr>
            </w:pPr>
            <w:r>
              <w:rPr>
                <w:rFonts w:ascii="Arial" w:cs="Arial" w:eastAsia="Arial" w:hAnsi="Arial"/>
                <w:sz w:val="18"/>
                <w:szCs w:val="18"/>
                <w:color w:val="auto"/>
              </w:rPr>
              <w:t>9.18</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20" w:type="dxa"/>
            <w:vAlign w:val="bottom"/>
            <w:gridSpan w:val="2"/>
          </w:tcPr>
          <w:p>
            <w:pPr>
              <w:jc w:val="right"/>
              <w:ind w:right="280"/>
              <w:spacing w:after="0"/>
              <w:rPr>
                <w:sz w:val="20"/>
                <w:szCs w:val="20"/>
                <w:color w:val="auto"/>
              </w:rPr>
            </w:pPr>
            <w:r>
              <w:rPr>
                <w:rFonts w:ascii="Arial" w:cs="Arial" w:eastAsia="Arial" w:hAnsi="Arial"/>
                <w:sz w:val="18"/>
                <w:szCs w:val="18"/>
                <w:color w:val="auto"/>
              </w:rPr>
              <w:t>6,373</w:t>
            </w:r>
          </w:p>
        </w:tc>
        <w:tc>
          <w:tcPr>
            <w:tcW w:w="6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w w:val="89"/>
              </w:rPr>
              <w:t>$ 10.52</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80" w:type="dxa"/>
            <w:vAlign w:val="bottom"/>
            <w:gridSpan w:val="2"/>
            <w:shd w:val="clear" w:color="auto" w:fill="CCEEFF"/>
          </w:tcPr>
          <w:p>
            <w:pPr>
              <w:jc w:val="right"/>
              <w:ind w:right="2232"/>
              <w:spacing w:after="0"/>
              <w:rPr>
                <w:sz w:val="20"/>
                <w:szCs w:val="20"/>
                <w:color w:val="auto"/>
              </w:rPr>
            </w:pPr>
            <w:r>
              <w:rPr>
                <w:rFonts w:ascii="Arial" w:cs="Arial" w:eastAsia="Arial" w:hAnsi="Arial"/>
                <w:sz w:val="18"/>
                <w:szCs w:val="18"/>
                <w:color w:val="auto"/>
              </w:rPr>
              <w:t>$14.15 — $22.40</w:t>
            </w:r>
          </w:p>
        </w:tc>
        <w:tc>
          <w:tcPr>
            <w:tcW w:w="11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2,040</w:t>
            </w:r>
          </w:p>
        </w:tc>
        <w:tc>
          <w:tcPr>
            <w:tcW w:w="6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18.38</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6,049</w:t>
            </w:r>
          </w:p>
        </w:tc>
        <w:tc>
          <w:tcPr>
            <w:tcW w:w="6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17.48</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40" w:type="dxa"/>
            <w:vAlign w:val="bottom"/>
          </w:tcPr>
          <w:p>
            <w:pPr>
              <w:ind w:left="440"/>
              <w:spacing w:after="0"/>
              <w:rPr>
                <w:sz w:val="20"/>
                <w:szCs w:val="20"/>
                <w:color w:val="auto"/>
              </w:rPr>
            </w:pPr>
            <w:r>
              <w:rPr>
                <w:rFonts w:ascii="Arial" w:cs="Arial" w:eastAsia="Arial" w:hAnsi="Arial"/>
                <w:sz w:val="18"/>
                <w:szCs w:val="18"/>
                <w:color w:val="auto"/>
                <w:w w:val="87"/>
              </w:rPr>
              <w:t>$23.56</w:t>
            </w:r>
          </w:p>
        </w:tc>
        <w:tc>
          <w:tcPr>
            <w:tcW w:w="3040" w:type="dxa"/>
            <w:vAlign w:val="bottom"/>
          </w:tcPr>
          <w:p>
            <w:pPr>
              <w:jc w:val="right"/>
              <w:ind w:right="2232"/>
              <w:spacing w:after="0"/>
              <w:rPr>
                <w:sz w:val="20"/>
                <w:szCs w:val="20"/>
                <w:color w:val="auto"/>
              </w:rPr>
            </w:pPr>
            <w:r>
              <w:rPr>
                <w:rFonts w:ascii="Arial" w:cs="Arial" w:eastAsia="Arial" w:hAnsi="Arial"/>
                <w:sz w:val="18"/>
                <w:szCs w:val="18"/>
                <w:color w:val="auto"/>
                <w:w w:val="89"/>
              </w:rPr>
              <w:t>— $32.90</w:t>
            </w:r>
          </w:p>
        </w:tc>
        <w:tc>
          <w:tcPr>
            <w:tcW w:w="1100" w:type="dxa"/>
            <w:vAlign w:val="bottom"/>
            <w:gridSpan w:val="2"/>
          </w:tcPr>
          <w:p>
            <w:pPr>
              <w:jc w:val="right"/>
              <w:ind w:right="280"/>
              <w:spacing w:after="0"/>
              <w:rPr>
                <w:sz w:val="20"/>
                <w:szCs w:val="20"/>
                <w:color w:val="auto"/>
              </w:rPr>
            </w:pPr>
            <w:r>
              <w:rPr>
                <w:rFonts w:ascii="Arial" w:cs="Arial" w:eastAsia="Arial" w:hAnsi="Arial"/>
                <w:sz w:val="18"/>
                <w:szCs w:val="18"/>
                <w:color w:val="auto"/>
              </w:rPr>
              <w:t>3,995</w:t>
            </w:r>
          </w:p>
        </w:tc>
        <w:tc>
          <w:tcPr>
            <w:tcW w:w="6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w w:val="93"/>
              </w:rPr>
              <w:t>30.57</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20" w:type="dxa"/>
            <w:vAlign w:val="bottom"/>
            <w:gridSpan w:val="2"/>
          </w:tcPr>
          <w:p>
            <w:pPr>
              <w:jc w:val="right"/>
              <w:ind w:right="280"/>
              <w:spacing w:after="0"/>
              <w:rPr>
                <w:sz w:val="20"/>
                <w:szCs w:val="20"/>
                <w:color w:val="auto"/>
              </w:rPr>
            </w:pPr>
            <w:r>
              <w:rPr>
                <w:rFonts w:ascii="Arial" w:cs="Arial" w:eastAsia="Arial" w:hAnsi="Arial"/>
                <w:sz w:val="18"/>
                <w:szCs w:val="18"/>
                <w:color w:val="auto"/>
              </w:rPr>
              <w:t>6,827</w:t>
            </w:r>
          </w:p>
        </w:tc>
        <w:tc>
          <w:tcPr>
            <w:tcW w:w="6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31.09</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40" w:type="dxa"/>
            <w:vAlign w:val="bottom"/>
            <w:shd w:val="clear" w:color="auto" w:fill="CCEEFF"/>
          </w:tcPr>
          <w:p>
            <w:pPr>
              <w:ind w:left="440"/>
              <w:spacing w:after="0"/>
              <w:rPr>
                <w:sz w:val="20"/>
                <w:szCs w:val="20"/>
                <w:color w:val="auto"/>
              </w:rPr>
            </w:pPr>
            <w:r>
              <w:rPr>
                <w:rFonts w:ascii="Arial" w:cs="Arial" w:eastAsia="Arial" w:hAnsi="Arial"/>
                <w:sz w:val="18"/>
                <w:szCs w:val="18"/>
                <w:color w:val="auto"/>
                <w:w w:val="87"/>
              </w:rPr>
              <w:t>$33.16</w:t>
            </w:r>
          </w:p>
        </w:tc>
        <w:tc>
          <w:tcPr>
            <w:tcW w:w="3040" w:type="dxa"/>
            <w:vAlign w:val="bottom"/>
            <w:shd w:val="clear" w:color="auto" w:fill="CCEEFF"/>
          </w:tcPr>
          <w:p>
            <w:pPr>
              <w:jc w:val="right"/>
              <w:ind w:right="2232"/>
              <w:spacing w:after="0"/>
              <w:rPr>
                <w:sz w:val="20"/>
                <w:szCs w:val="20"/>
                <w:color w:val="auto"/>
              </w:rPr>
            </w:pPr>
            <w:r>
              <w:rPr>
                <w:rFonts w:ascii="Arial" w:cs="Arial" w:eastAsia="Arial" w:hAnsi="Arial"/>
                <w:sz w:val="18"/>
                <w:szCs w:val="18"/>
                <w:color w:val="auto"/>
                <w:w w:val="89"/>
              </w:rPr>
              <w:t>— $45.29</w:t>
            </w:r>
          </w:p>
        </w:tc>
        <w:tc>
          <w:tcPr>
            <w:tcW w:w="11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6,867</w:t>
            </w:r>
          </w:p>
        </w:tc>
        <w:tc>
          <w:tcPr>
            <w:tcW w:w="6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40.57</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9,370</w:t>
            </w:r>
          </w:p>
        </w:tc>
        <w:tc>
          <w:tcPr>
            <w:tcW w:w="6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40.92</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40" w:type="dxa"/>
            <w:vAlign w:val="bottom"/>
          </w:tcPr>
          <w:p>
            <w:pPr>
              <w:ind w:left="440"/>
              <w:spacing w:after="0"/>
              <w:rPr>
                <w:sz w:val="20"/>
                <w:szCs w:val="20"/>
                <w:color w:val="auto"/>
              </w:rPr>
            </w:pPr>
            <w:r>
              <w:rPr>
                <w:rFonts w:ascii="Arial" w:cs="Arial" w:eastAsia="Arial" w:hAnsi="Arial"/>
                <w:sz w:val="18"/>
                <w:szCs w:val="18"/>
                <w:color w:val="auto"/>
                <w:w w:val="87"/>
              </w:rPr>
              <w:t>$47.24</w:t>
            </w:r>
          </w:p>
        </w:tc>
        <w:tc>
          <w:tcPr>
            <w:tcW w:w="3040" w:type="dxa"/>
            <w:vAlign w:val="bottom"/>
          </w:tcPr>
          <w:p>
            <w:pPr>
              <w:jc w:val="right"/>
              <w:ind w:right="2232"/>
              <w:spacing w:after="0"/>
              <w:rPr>
                <w:sz w:val="20"/>
                <w:szCs w:val="20"/>
                <w:color w:val="auto"/>
              </w:rPr>
            </w:pPr>
            <w:r>
              <w:rPr>
                <w:rFonts w:ascii="Arial" w:cs="Arial" w:eastAsia="Arial" w:hAnsi="Arial"/>
                <w:sz w:val="18"/>
                <w:szCs w:val="18"/>
                <w:color w:val="auto"/>
                <w:w w:val="89"/>
              </w:rPr>
              <w:t>— $49.80</w:t>
            </w:r>
          </w:p>
        </w:tc>
        <w:tc>
          <w:tcPr>
            <w:tcW w:w="1100" w:type="dxa"/>
            <w:vAlign w:val="bottom"/>
            <w:gridSpan w:val="2"/>
          </w:tcPr>
          <w:p>
            <w:pPr>
              <w:jc w:val="right"/>
              <w:ind w:right="280"/>
              <w:spacing w:after="0"/>
              <w:rPr>
                <w:sz w:val="20"/>
                <w:szCs w:val="20"/>
                <w:color w:val="auto"/>
              </w:rPr>
            </w:pPr>
            <w:r>
              <w:rPr>
                <w:rFonts w:ascii="Arial" w:cs="Arial" w:eastAsia="Arial" w:hAnsi="Arial"/>
                <w:sz w:val="18"/>
                <w:szCs w:val="18"/>
                <w:color w:val="auto"/>
              </w:rPr>
              <w:t>552</w:t>
            </w:r>
          </w:p>
        </w:tc>
        <w:tc>
          <w:tcPr>
            <w:tcW w:w="6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w w:val="93"/>
              </w:rPr>
              <w:t>48.45</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20" w:type="dxa"/>
            <w:vAlign w:val="bottom"/>
            <w:gridSpan w:val="2"/>
          </w:tcPr>
          <w:p>
            <w:pPr>
              <w:jc w:val="right"/>
              <w:ind w:right="280"/>
              <w:spacing w:after="0"/>
              <w:rPr>
                <w:sz w:val="20"/>
                <w:szCs w:val="20"/>
                <w:color w:val="auto"/>
              </w:rPr>
            </w:pPr>
            <w:r>
              <w:rPr>
                <w:rFonts w:ascii="Arial" w:cs="Arial" w:eastAsia="Arial" w:hAnsi="Arial"/>
                <w:sz w:val="18"/>
                <w:szCs w:val="18"/>
                <w:color w:val="auto"/>
              </w:rPr>
              <w:t>859</w:t>
            </w:r>
          </w:p>
        </w:tc>
        <w:tc>
          <w:tcPr>
            <w:tcW w:w="6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48.60</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940" w:type="dxa"/>
            <w:vAlign w:val="bottom"/>
          </w:tcPr>
          <w:p>
            <w:pPr>
              <w:spacing w:after="0"/>
              <w:rPr>
                <w:sz w:val="2"/>
                <w:szCs w:val="2"/>
                <w:color w:val="auto"/>
              </w:rPr>
            </w:pPr>
          </w:p>
        </w:tc>
        <w:tc>
          <w:tcPr>
            <w:tcW w:w="3040" w:type="dxa"/>
            <w:vAlign w:val="bottom"/>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6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660" w:type="dxa"/>
            <w:vAlign w:val="bottom"/>
          </w:tcPr>
          <w:p>
            <w:pPr>
              <w:spacing w:after="0"/>
              <w:rPr>
                <w:sz w:val="2"/>
                <w:szCs w:val="2"/>
                <w:color w:val="auto"/>
              </w:rPr>
            </w:pPr>
          </w:p>
        </w:tc>
        <w:tc>
          <w:tcPr>
            <w:tcW w:w="280" w:type="dxa"/>
            <w:vAlign w:val="bottom"/>
          </w:tcPr>
          <w:p>
            <w:pPr>
              <w:spacing w:after="0"/>
              <w:rPr>
                <w:sz w:val="2"/>
                <w:szCs w:val="2"/>
                <w:color w:val="auto"/>
              </w:rPr>
            </w:pPr>
          </w:p>
        </w:tc>
        <w:tc>
          <w:tcPr>
            <w:tcW w:w="5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0" w:type="dxa"/>
            <w:vAlign w:val="bottom"/>
          </w:tcPr>
          <w:p>
            <w:pPr>
              <w:spacing w:after="0"/>
              <w:rPr>
                <w:sz w:val="2"/>
                <w:szCs w:val="2"/>
                <w:color w:val="auto"/>
              </w:rPr>
            </w:pPr>
          </w:p>
        </w:tc>
        <w:tc>
          <w:tcPr>
            <w:tcW w:w="2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940" w:type="dxa"/>
            <w:vAlign w:val="bottom"/>
            <w:shd w:val="clear" w:color="auto" w:fill="CCEEFF"/>
          </w:tcPr>
          <w:p>
            <w:pPr>
              <w:spacing w:after="0"/>
              <w:rPr>
                <w:sz w:val="18"/>
                <w:szCs w:val="18"/>
                <w:color w:val="auto"/>
              </w:rPr>
            </w:pPr>
          </w:p>
        </w:tc>
        <w:tc>
          <w:tcPr>
            <w:tcW w:w="30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17,093</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w:t>
            </w: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29.15</w:t>
            </w: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70.7</w:t>
            </w:r>
          </w:p>
        </w:tc>
        <w:tc>
          <w:tcPr>
            <w:tcW w:w="11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29,478</w:t>
            </w:r>
          </w:p>
        </w:tc>
        <w:tc>
          <w:tcPr>
            <w:tcW w:w="9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4.2</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27.49</w:t>
            </w: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137.0</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940" w:type="dxa"/>
            <w:vAlign w:val="bottom"/>
          </w:tcPr>
          <w:p>
            <w:pPr>
              <w:spacing w:after="0" w:line="20" w:lineRule="exact"/>
              <w:rPr>
                <w:sz w:val="1"/>
                <w:szCs w:val="1"/>
                <w:color w:val="auto"/>
              </w:rPr>
            </w:pPr>
          </w:p>
        </w:tc>
        <w:tc>
          <w:tcPr>
            <w:tcW w:w="304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4" w:lineRule="exact"/>
        <w:rPr>
          <w:sz w:val="20"/>
          <w:szCs w:val="20"/>
          <w:color w:val="auto"/>
        </w:rPr>
      </w:pPr>
    </w:p>
    <w:p>
      <w:pPr>
        <w:ind w:left="460" w:right="300" w:hanging="452"/>
        <w:spacing w:after="0" w:line="228" w:lineRule="auto"/>
        <w:tabs>
          <w:tab w:leader="none" w:pos="460" w:val="left"/>
        </w:tabs>
        <w:numPr>
          <w:ilvl w:val="0"/>
          <w:numId w:val="13"/>
        </w:numPr>
        <w:rPr>
          <w:rFonts w:ascii="Arial" w:cs="Arial" w:eastAsia="Arial" w:hAnsi="Arial"/>
          <w:sz w:val="22"/>
          <w:szCs w:val="22"/>
          <w:color w:val="auto"/>
          <w:vertAlign w:val="superscript"/>
        </w:rPr>
      </w:pPr>
      <w:r>
        <w:rPr>
          <w:rFonts w:ascii="Arial" w:cs="Arial" w:eastAsia="Arial" w:hAnsi="Arial"/>
          <w:sz w:val="18"/>
          <w:szCs w:val="18"/>
          <w:color w:val="auto"/>
        </w:rPr>
        <w:t>Represents the total pre-tax intrinsic value, based on Autodesk’s closing stock price of $24.93 per share as of October 31, 2009, which would have been received by the option holders had all option holders exercised their options as of that date.</w:t>
      </w:r>
    </w:p>
    <w:p>
      <w:pPr>
        <w:spacing w:after="0" w:line="157" w:lineRule="exact"/>
        <w:rPr>
          <w:rFonts w:ascii="Arial" w:cs="Arial" w:eastAsia="Arial" w:hAnsi="Arial"/>
          <w:sz w:val="22"/>
          <w:szCs w:val="22"/>
          <w:color w:val="auto"/>
          <w:vertAlign w:val="superscript"/>
        </w:rPr>
      </w:pPr>
    </w:p>
    <w:p>
      <w:pPr>
        <w:ind w:left="460"/>
        <w:spacing w:after="0"/>
        <w:rPr>
          <w:rFonts w:ascii="Arial" w:cs="Arial" w:eastAsia="Arial" w:hAnsi="Arial"/>
          <w:sz w:val="22"/>
          <w:szCs w:val="22"/>
          <w:color w:val="auto"/>
          <w:vertAlign w:val="superscript"/>
        </w:rPr>
      </w:pPr>
      <w:r>
        <w:rPr>
          <w:rFonts w:ascii="Arial" w:cs="Arial" w:eastAsia="Arial" w:hAnsi="Arial"/>
          <w:sz w:val="18"/>
          <w:szCs w:val="18"/>
          <w:color w:val="auto"/>
        </w:rPr>
        <w:t>These options will expire if not exercised prior to specific dates ranging through September 2016.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-528320</wp:posOffset>
            </wp:positionV>
            <wp:extent cx="72898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232"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Restricted Stock:</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 summary of restricted stock award and restricted stock unit activity for the nine months ended October 31, 2009 was as follows:</w:t>
      </w:r>
    </w:p>
    <w:p>
      <w:pPr>
        <w:spacing w:after="0" w:line="195"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8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600" w:type="dxa"/>
            <w:vAlign w:val="bottom"/>
          </w:tcPr>
          <w:p>
            <w:pPr>
              <w:jc w:val="center"/>
              <w:spacing w:after="0"/>
              <w:rPr>
                <w:sz w:val="20"/>
                <w:szCs w:val="20"/>
                <w:color w:val="auto"/>
              </w:rPr>
            </w:pPr>
            <w:r>
              <w:rPr>
                <w:rFonts w:ascii="Arial" w:cs="Arial" w:eastAsia="Arial" w:hAnsi="Arial"/>
                <w:sz w:val="14"/>
                <w:szCs w:val="14"/>
                <w:b w:val="1"/>
                <w:bCs w:val="1"/>
                <w:color w:val="auto"/>
                <w:w w:val="88"/>
              </w:rPr>
              <w:t>Weighted</w:t>
            </w:r>
          </w:p>
        </w:tc>
      </w:tr>
      <w:tr>
        <w:trPr>
          <w:trHeight w:val="149"/>
        </w:trPr>
        <w:tc>
          <w:tcPr>
            <w:tcW w:w="83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6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3"/>
              </w:rPr>
              <w:t>average</w:t>
            </w:r>
          </w:p>
        </w:tc>
      </w:tr>
      <w:tr>
        <w:trPr>
          <w:trHeight w:val="149"/>
        </w:trPr>
        <w:tc>
          <w:tcPr>
            <w:tcW w:w="8300" w:type="dxa"/>
            <w:vAlign w:val="bottom"/>
          </w:tcPr>
          <w:p>
            <w:pPr>
              <w:spacing w:after="0"/>
              <w:rPr>
                <w:sz w:val="12"/>
                <w:szCs w:val="12"/>
                <w:color w:val="auto"/>
              </w:rPr>
            </w:pPr>
          </w:p>
        </w:tc>
        <w:tc>
          <w:tcPr>
            <w:tcW w:w="1240" w:type="dxa"/>
            <w:vAlign w:val="bottom"/>
            <w:gridSpan w:val="2"/>
          </w:tcPr>
          <w:p>
            <w:pPr>
              <w:jc w:val="center"/>
              <w:ind w:right="420"/>
              <w:spacing w:after="0" w:line="149" w:lineRule="exact"/>
              <w:rPr>
                <w:sz w:val="20"/>
                <w:szCs w:val="20"/>
                <w:color w:val="auto"/>
              </w:rPr>
            </w:pPr>
            <w:r>
              <w:rPr>
                <w:rFonts w:ascii="Arial" w:cs="Arial" w:eastAsia="Arial" w:hAnsi="Arial"/>
                <w:sz w:val="14"/>
                <w:szCs w:val="14"/>
                <w:b w:val="1"/>
                <w:bCs w:val="1"/>
                <w:color w:val="auto"/>
                <w:w w:val="86"/>
              </w:rPr>
              <w:t>Non-vested</w:t>
            </w:r>
          </w:p>
        </w:tc>
        <w:tc>
          <w:tcPr>
            <w:tcW w:w="360" w:type="dxa"/>
            <w:vAlign w:val="bottom"/>
          </w:tcPr>
          <w:p>
            <w:pPr>
              <w:spacing w:after="0"/>
              <w:rPr>
                <w:sz w:val="12"/>
                <w:szCs w:val="12"/>
                <w:color w:val="auto"/>
              </w:rPr>
            </w:pPr>
          </w:p>
        </w:tc>
        <w:tc>
          <w:tcPr>
            <w:tcW w:w="6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grant date</w:t>
            </w:r>
          </w:p>
        </w:tc>
      </w:tr>
      <w:tr>
        <w:trPr>
          <w:trHeight w:val="161"/>
        </w:trPr>
        <w:tc>
          <w:tcPr>
            <w:tcW w:w="8300" w:type="dxa"/>
            <w:vAlign w:val="bottom"/>
          </w:tcPr>
          <w:p>
            <w:pPr>
              <w:spacing w:after="0"/>
              <w:rPr>
                <w:sz w:val="14"/>
                <w:szCs w:val="14"/>
                <w:color w:val="auto"/>
              </w:rPr>
            </w:pPr>
          </w:p>
        </w:tc>
        <w:tc>
          <w:tcPr>
            <w:tcW w:w="124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83"/>
              </w:rPr>
              <w:t>Stock</w:t>
            </w:r>
          </w:p>
        </w:tc>
        <w:tc>
          <w:tcPr>
            <w:tcW w:w="360" w:type="dxa"/>
            <w:vAlign w:val="bottom"/>
          </w:tcPr>
          <w:p>
            <w:pPr>
              <w:spacing w:after="0"/>
              <w:rPr>
                <w:sz w:val="14"/>
                <w:szCs w:val="14"/>
                <w:color w:val="auto"/>
              </w:rPr>
            </w:pPr>
          </w:p>
        </w:tc>
        <w:tc>
          <w:tcPr>
            <w:tcW w:w="600" w:type="dxa"/>
            <w:vAlign w:val="bottom"/>
          </w:tcPr>
          <w:p>
            <w:pPr>
              <w:jc w:val="center"/>
              <w:spacing w:after="0"/>
              <w:rPr>
                <w:sz w:val="20"/>
                <w:szCs w:val="20"/>
                <w:color w:val="auto"/>
              </w:rPr>
            </w:pPr>
            <w:r>
              <w:rPr>
                <w:rFonts w:ascii="Arial" w:cs="Arial" w:eastAsia="Arial" w:hAnsi="Arial"/>
                <w:sz w:val="14"/>
                <w:szCs w:val="14"/>
                <w:b w:val="1"/>
                <w:bCs w:val="1"/>
                <w:color w:val="auto"/>
                <w:w w:val="91"/>
              </w:rPr>
              <w:t>fair value</w:t>
            </w:r>
          </w:p>
        </w:tc>
      </w:tr>
      <w:tr>
        <w:trPr>
          <w:trHeight w:val="142"/>
        </w:trPr>
        <w:tc>
          <w:tcPr>
            <w:tcW w:w="8300" w:type="dxa"/>
            <w:vAlign w:val="bottom"/>
          </w:tcPr>
          <w:p>
            <w:pPr>
              <w:spacing w:after="0"/>
              <w:rPr>
                <w:sz w:val="12"/>
                <w:szCs w:val="12"/>
                <w:color w:val="auto"/>
              </w:rPr>
            </w:pPr>
          </w:p>
        </w:tc>
        <w:tc>
          <w:tcPr>
            <w:tcW w:w="820" w:type="dxa"/>
            <w:vAlign w:val="bottom"/>
            <w:tcBorders>
              <w:top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84"/>
              </w:rPr>
              <w:t>(in thousands)</w:t>
            </w:r>
          </w:p>
        </w:tc>
        <w:tc>
          <w:tcPr>
            <w:tcW w:w="4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600" w:type="dxa"/>
            <w:vAlign w:val="bottom"/>
            <w:tcBorders>
              <w:top w:val="single" w:sz="8" w:color="auto"/>
            </w:tcBorders>
          </w:tcPr>
          <w:p>
            <w:pPr>
              <w:spacing w:after="0"/>
              <w:rPr>
                <w:sz w:val="12"/>
                <w:szCs w:val="12"/>
                <w:color w:val="auto"/>
              </w:rPr>
            </w:pPr>
          </w:p>
        </w:tc>
      </w:tr>
      <w:tr>
        <w:trPr>
          <w:trHeight w:val="216"/>
        </w:trPr>
        <w:tc>
          <w:tcPr>
            <w:tcW w:w="8300" w:type="dxa"/>
            <w:vAlign w:val="bottom"/>
            <w:shd w:val="clear" w:color="auto" w:fill="CCEEFF"/>
          </w:tcPr>
          <w:p>
            <w:pPr>
              <w:spacing w:after="0"/>
              <w:rPr>
                <w:sz w:val="20"/>
                <w:szCs w:val="20"/>
                <w:color w:val="auto"/>
              </w:rPr>
            </w:pPr>
            <w:r>
              <w:rPr>
                <w:rFonts w:ascii="Arial" w:cs="Arial" w:eastAsia="Arial" w:hAnsi="Arial"/>
                <w:sz w:val="18"/>
                <w:szCs w:val="18"/>
                <w:color w:val="auto"/>
              </w:rPr>
              <w:t>Non-vested restricted stock at January 31, 2009</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133</w:t>
            </w:r>
          </w:p>
        </w:tc>
        <w:tc>
          <w:tcPr>
            <w:tcW w:w="4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38.08</w:t>
            </w:r>
          </w:p>
        </w:tc>
      </w:tr>
      <w:tr>
        <w:trPr>
          <w:trHeight w:val="216"/>
        </w:trPr>
        <w:tc>
          <w:tcPr>
            <w:tcW w:w="8300" w:type="dxa"/>
            <w:vAlign w:val="bottom"/>
          </w:tcPr>
          <w:p>
            <w:pPr>
              <w:ind w:left="440"/>
              <w:spacing w:after="0"/>
              <w:rPr>
                <w:sz w:val="20"/>
                <w:szCs w:val="20"/>
                <w:color w:val="auto"/>
              </w:rPr>
            </w:pPr>
            <w:r>
              <w:rPr>
                <w:rFonts w:ascii="Arial" w:cs="Arial" w:eastAsia="Arial" w:hAnsi="Arial"/>
                <w:sz w:val="18"/>
                <w:szCs w:val="18"/>
                <w:color w:val="auto"/>
              </w:rPr>
              <w:t>Awarded</w:t>
            </w:r>
          </w:p>
        </w:tc>
        <w:tc>
          <w:tcPr>
            <w:tcW w:w="820" w:type="dxa"/>
            <w:vAlign w:val="bottom"/>
          </w:tcPr>
          <w:p>
            <w:pPr>
              <w:jc w:val="right"/>
              <w:spacing w:after="0"/>
              <w:rPr>
                <w:sz w:val="20"/>
                <w:szCs w:val="20"/>
                <w:color w:val="auto"/>
              </w:rPr>
            </w:pPr>
            <w:r>
              <w:rPr>
                <w:rFonts w:ascii="Arial" w:cs="Arial" w:eastAsia="Arial" w:hAnsi="Arial"/>
                <w:sz w:val="18"/>
                <w:szCs w:val="18"/>
                <w:color w:val="auto"/>
              </w:rPr>
              <w:t>107</w:t>
            </w:r>
          </w:p>
        </w:tc>
        <w:tc>
          <w:tcPr>
            <w:tcW w:w="420" w:type="dxa"/>
            <w:vAlign w:val="bottom"/>
          </w:tcPr>
          <w:p>
            <w:pPr>
              <w:spacing w:after="0"/>
              <w:rPr>
                <w:sz w:val="18"/>
                <w:szCs w:val="18"/>
                <w:color w:val="auto"/>
              </w:rPr>
            </w:pP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16.90</w:t>
            </w:r>
          </w:p>
        </w:tc>
      </w:tr>
      <w:tr>
        <w:trPr>
          <w:trHeight w:val="216"/>
        </w:trPr>
        <w:tc>
          <w:tcPr>
            <w:tcW w:w="83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Vested</w:t>
            </w:r>
          </w:p>
        </w:tc>
        <w:tc>
          <w:tcPr>
            <w:tcW w:w="12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(22)</w:t>
            </w: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17.89</w:t>
            </w:r>
          </w:p>
        </w:tc>
      </w:tr>
      <w:tr>
        <w:trPr>
          <w:trHeight w:val="222"/>
        </w:trPr>
        <w:tc>
          <w:tcPr>
            <w:tcW w:w="8300" w:type="dxa"/>
            <w:vAlign w:val="bottom"/>
          </w:tcPr>
          <w:p>
            <w:pPr>
              <w:spacing w:after="0"/>
              <w:rPr>
                <w:sz w:val="20"/>
                <w:szCs w:val="20"/>
                <w:color w:val="auto"/>
              </w:rPr>
            </w:pPr>
            <w:r>
              <w:rPr>
                <w:rFonts w:ascii="Arial" w:cs="Arial" w:eastAsia="Arial" w:hAnsi="Arial"/>
                <w:sz w:val="18"/>
                <w:szCs w:val="18"/>
                <w:color w:val="auto"/>
              </w:rPr>
              <w:t>Non-vested restricted stock at October 31, 2009</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218</w:t>
            </w:r>
          </w:p>
        </w:tc>
        <w:tc>
          <w:tcPr>
            <w:tcW w:w="4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600" w:type="dxa"/>
            <w:vAlign w:val="bottom"/>
          </w:tcPr>
          <w:p>
            <w:pPr>
              <w:spacing w:after="0"/>
              <w:rPr>
                <w:sz w:val="19"/>
                <w:szCs w:val="19"/>
                <w:color w:val="auto"/>
              </w:rPr>
            </w:pPr>
          </w:p>
        </w:tc>
      </w:tr>
      <w:tr>
        <w:trPr>
          <w:trHeight w:val="20"/>
        </w:trPr>
        <w:tc>
          <w:tcPr>
            <w:tcW w:w="830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r>
    </w:tbl>
    <w:p>
      <w:pPr>
        <w:spacing w:after="0" w:line="167" w:lineRule="exact"/>
        <w:rPr>
          <w:sz w:val="20"/>
          <w:szCs w:val="20"/>
          <w:color w:val="auto"/>
        </w:rPr>
      </w:pPr>
    </w:p>
    <w:p>
      <w:pPr>
        <w:ind w:right="20" w:firstLine="456"/>
        <w:spacing w:after="0" w:line="289" w:lineRule="auto"/>
        <w:rPr>
          <w:sz w:val="20"/>
          <w:szCs w:val="20"/>
          <w:color w:val="auto"/>
        </w:rPr>
      </w:pPr>
      <w:r>
        <w:rPr>
          <w:rFonts w:ascii="Arial" w:cs="Arial" w:eastAsia="Arial" w:hAnsi="Arial"/>
          <w:sz w:val="16"/>
          <w:szCs w:val="16"/>
          <w:color w:val="auto"/>
        </w:rPr>
        <w:t>During the nine months ended October 31, 2009, Autodesk granted 77,316 restricted stock units under the 2008 Plan. The restricted stock units vest over periods ranging from immediately upon grant to the third anniversary of the date of grant. Restricted stock units are not considered outstanding stock at the time of grant, as the holders of these units are not entitled to any of the rights of a stockholder, including voting rights. The fair value of the restricted stock is expensed ratably over the vesting period. Autodesk recorded share-based compensation expense related to restricted stock units of $0.3 million and $0.8 million during the three and nine months ended October 31, 2009, respectively. Autodesk recorded share-based compensation expense related to restricted stock units of $0.2 million and $0.4 million during the three and nine months ended October 31, 2008, respectively. As of October 31, 2009, total compensation cost related to non-vested awards not yet recognized of $1.8 million is expected to be recognized over a weighted average period of 1.8 years. At October 31, 2009, the number of units granted but unvested was 188,188.</w:t>
      </w:r>
    </w:p>
    <w:p>
      <w:pPr>
        <w:spacing w:after="0" w:line="118" w:lineRule="exact"/>
        <w:rPr>
          <w:sz w:val="20"/>
          <w:szCs w:val="20"/>
          <w:color w:val="auto"/>
        </w:rPr>
      </w:pPr>
    </w:p>
    <w:p>
      <w:pPr>
        <w:ind w:right="100" w:firstLine="456"/>
        <w:spacing w:after="0" w:line="312" w:lineRule="auto"/>
        <w:rPr>
          <w:sz w:val="20"/>
          <w:szCs w:val="20"/>
          <w:color w:val="auto"/>
        </w:rPr>
      </w:pPr>
      <w:r>
        <w:rPr>
          <w:rFonts w:ascii="Arial" w:cs="Arial" w:eastAsia="Arial" w:hAnsi="Arial"/>
          <w:sz w:val="15"/>
          <w:szCs w:val="15"/>
          <w:color w:val="auto"/>
        </w:rPr>
        <w:t>During the nine months ended October 31, 2009, Autodesk issued 30,001 restricted stock awards under the 2000 Plan. The restricted stock awards vest on the first anniversary of the date of grant. Restricted stock awards are considered outstanding at the time of grant, as the stock award holders are entitled to many of the rights of a stockholder, including voting rights. The fair value of the restricted stock is expensed ratably over the vesting period. Autodesk recorded share-based compensation expense related to restricted stock awards of $0.2 million and $0.6 million during the three and nine months ended October 31, 2009, respectively. Autodesk recorded share-based compensation expense related to restricted stock awards of $0.2 million and $0.5 million during the three and nine months ended October 31, 2008, respectively. As of October 31, 2009, total compensation cost related to non-vested awards not yet recognized of $0.4 million is expected to be recognized over a weighted average period of 0.6 years. At October 31, 2009, the number of awards granted but unvested was 30,001.</w:t>
      </w:r>
    </w:p>
    <w:p>
      <w:pPr>
        <w:spacing w:after="0" w:line="186"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1998 Employee Qualified Stock Purchase Plan (“ESP Plan”)</w:t>
      </w:r>
    </w:p>
    <w:p>
      <w:pPr>
        <w:spacing w:after="0" w:line="90" w:lineRule="exact"/>
        <w:rPr>
          <w:sz w:val="20"/>
          <w:szCs w:val="20"/>
          <w:color w:val="auto"/>
        </w:rPr>
      </w:pPr>
    </w:p>
    <w:p>
      <w:pPr>
        <w:jc w:val="both"/>
        <w:ind w:right="200" w:firstLine="456"/>
        <w:spacing w:after="0" w:line="259" w:lineRule="auto"/>
        <w:rPr>
          <w:sz w:val="20"/>
          <w:szCs w:val="20"/>
          <w:color w:val="auto"/>
        </w:rPr>
      </w:pPr>
      <w:r>
        <w:rPr>
          <w:rFonts w:ascii="Arial" w:cs="Arial" w:eastAsia="Arial" w:hAnsi="Arial"/>
          <w:sz w:val="18"/>
          <w:szCs w:val="18"/>
          <w:color w:val="auto"/>
        </w:rPr>
        <w:t>Under Autodesk’s ESP Plan, which was approved by stockholders in 1998, eligible employees may purchase shares of Autodesk’s common stock at their discretion using up to 15% of their compensation subject to certain limitations, at not less than 85% of fair market value as defined in the ESP Plan (“ESP Plan fair market value”). At October 31, 2009, a total of 26.4 million shares</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20"/>
          </w:cols>
          <w:pgMar w:left="240" w:top="459" w:right="23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ind w:right="140"/>
        <w:spacing w:after="0" w:line="306" w:lineRule="auto"/>
        <w:rPr>
          <w:sz w:val="20"/>
          <w:szCs w:val="20"/>
          <w:color w:val="auto"/>
        </w:rPr>
      </w:pPr>
      <w:r>
        <w:rPr>
          <w:rFonts w:ascii="Arial" w:cs="Arial" w:eastAsia="Arial" w:hAnsi="Arial"/>
          <w:sz w:val="16"/>
          <w:szCs w:val="16"/>
          <w:color w:val="auto"/>
        </w:rPr>
        <w:t>were available for future issuance. This amount automatically increases on the first trading day of each fiscal year by an amount equal to the lesser of 10 million shares or 2.0% of the total of (1) outstanding shares plus (2) any shares repurchased by Autodesk during the prior fiscal year. Under the ESP Plan, the Company issues shares on the first trading day following March 31 and September 30 of each fiscal year. The ESP Plan expires during fiscal 2018.</w:t>
      </w:r>
    </w:p>
    <w:p>
      <w:pPr>
        <w:spacing w:after="0" w:line="107" w:lineRule="exact"/>
        <w:rPr>
          <w:sz w:val="20"/>
          <w:szCs w:val="20"/>
          <w:color w:val="auto"/>
        </w:rPr>
      </w:pPr>
    </w:p>
    <w:p>
      <w:pPr>
        <w:ind w:right="160" w:firstLine="456"/>
        <w:spacing w:after="0" w:line="290" w:lineRule="auto"/>
        <w:rPr>
          <w:sz w:val="20"/>
          <w:szCs w:val="20"/>
          <w:color w:val="auto"/>
        </w:rPr>
      </w:pPr>
      <w:r>
        <w:rPr>
          <w:rFonts w:ascii="Arial" w:cs="Arial" w:eastAsia="Arial" w:hAnsi="Arial"/>
          <w:sz w:val="16"/>
          <w:szCs w:val="16"/>
          <w:color w:val="auto"/>
        </w:rPr>
        <w:t>Autodesk issued 1.4 million and 3.1 million shares under the ESP Plan during the three and nine months ended October 31, 2009, at average prices of $14.54 and $14.41 per share, respectively in each case. The weighted average grant date fair value of awards granted under the ESP Plan during both the three and nine months ended October 31, 2009, calculated as of the award grant date using the Black-Scholes-Merton option-pricing model, was $8.35 and $7.19 per share, respectively. Autodesk issued 1.0 million and 2.1 million shares under the ESP Plan during the three and nine months ended October 31, 2008, at average prices of $27.91 and $27.32 per share, respectively. The weighted average grant date fair value of awards granted under the ESP Plan during both the three and nine months ended October 31, 2008, calculated as of the award grant date using the Black-Scholes-Merton option-pricing model, was $10.58 and $10.40 per share, respectively.</w:t>
      </w:r>
    </w:p>
    <w:p>
      <w:pPr>
        <w:spacing w:after="0" w:line="118" w:lineRule="exact"/>
        <w:rPr>
          <w:sz w:val="20"/>
          <w:szCs w:val="20"/>
          <w:color w:val="auto"/>
        </w:rPr>
      </w:pPr>
    </w:p>
    <w:p>
      <w:pPr>
        <w:ind w:right="340" w:firstLine="456"/>
        <w:spacing w:after="0" w:line="268" w:lineRule="auto"/>
        <w:rPr>
          <w:sz w:val="20"/>
          <w:szCs w:val="20"/>
          <w:color w:val="auto"/>
        </w:rPr>
      </w:pPr>
      <w:r>
        <w:rPr>
          <w:rFonts w:ascii="Arial" w:cs="Arial" w:eastAsia="Arial" w:hAnsi="Arial"/>
          <w:sz w:val="18"/>
          <w:szCs w:val="18"/>
          <w:color w:val="auto"/>
        </w:rPr>
        <w:t>At October 31, 2009, a total of 64.0 million shares of Autodesk’s common stock have been reserved for future issuance under existing stock option and stock purchase plans.</w:t>
      </w:r>
    </w:p>
    <w:p>
      <w:pPr>
        <w:spacing w:after="0" w:line="213"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Adjustments to Expense During the Three and Nine Months Ended October 31, 2009</w:t>
      </w:r>
    </w:p>
    <w:p>
      <w:pPr>
        <w:spacing w:after="0" w:line="90"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Subsequent to the issuance of its July 31, 2009 unaudited condensed consolidated financial statements, Autodesk was notified by the Company’s third party software provider that it had made certain changes to how its software program calculates stock-based compensation expense. Specifically, the prior version of this software that the Company had been using calculated stock-based compensation expense by incorrectly applying a weighted average forfeiture rate to the vested portion of stock option awards until the grant’s final vest date, rather than calculating stock-based compensation expense based upon the actual vested portion of the grant date fair value, resulting in an understatement of stock-based compensation expense in certain periods prior to the grant’s final vest date. Consequently, the Company identified errors in the calculation of stock-based compensation expense for fiscal years ended January 31, 2009, 2008 and 2007, for the three months ended April 30, 2009, and for the three and six months ended July 31, 2009. The errors identified relate only to the timing of stock-based compensation expense recognition.</w:t>
      </w:r>
    </w:p>
    <w:p>
      <w:pPr>
        <w:spacing w:after="0" w:line="118"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Autodesk determined that the cumulative error from the understatement of stock-based compensation expense related to the periods discussed above totaled $7.9 million, net of tax effects through July 31, 2009. The impact of the errors on the fiscal years ended January 31, 2009, 2008 and 2007, is to decrease net income by $1.5 million, $3.5 million and $1.8 million, respectively. For the three months ended April 30, 2009 and three months ended July 31, 2009, the impact of the errors was to increase net loss by $0.6 million and decrease net income by $0.5 million, respectively.</w:t>
      </w:r>
    </w:p>
    <w:p>
      <w:pPr>
        <w:spacing w:after="0" w:line="113" w:lineRule="exact"/>
        <w:rPr>
          <w:sz w:val="20"/>
          <w:szCs w:val="20"/>
          <w:color w:val="auto"/>
        </w:rPr>
      </w:pPr>
    </w:p>
    <w:p>
      <w:pPr>
        <w:ind w:right="40" w:firstLine="456"/>
        <w:spacing w:after="0" w:line="254" w:lineRule="auto"/>
        <w:rPr>
          <w:sz w:val="20"/>
          <w:szCs w:val="20"/>
          <w:color w:val="auto"/>
        </w:rPr>
      </w:pPr>
      <w:r>
        <w:rPr>
          <w:rFonts w:ascii="Arial" w:cs="Arial" w:eastAsia="Arial" w:hAnsi="Arial"/>
          <w:sz w:val="18"/>
          <w:szCs w:val="18"/>
          <w:color w:val="auto"/>
        </w:rPr>
        <w:t>Management has determined that the impact of this error is not material to the previously issued annual and interim financial statements using the guidance of SEC Staff Accounting Bulletin (“SAB”) No. 99 (“SAB 99”) and SAB No. 108. Accordingly, the unaudited condensed consolidated financial statements for the three and nine months ended October 31, 2009 include the cumulative adjustment to increase stock-based compensation expense by $7.9 million net of tax effects (or $0.03 per share) to correct these errors. Autodesk does not believe the correction of these errors is material to the condensed consolidated financial statements for the three and nine months ended October 31, 2009 and does not believe that it will be material to the annual consolidated financial statements for the fiscal year ending January 31, 2010.</w:t>
      </w:r>
    </w:p>
    <w:p>
      <w:pPr>
        <w:spacing w:after="0" w:line="1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20"/>
          </w:cols>
          <w:pgMar w:left="240" w:top="459" w:right="23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Stock-based Compensation Expense</w:t>
      </w:r>
    </w:p>
    <w:p>
      <w:pPr>
        <w:spacing w:after="0" w:line="90"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Autodesk measures all stock-based payments to employees and directors, including grants of employee stock options, employee stock purchases related to the ESP Plan, and restricted stock, using a fair-value based method, and records the expense in Autodesk’s Condensed Consolidated Statements of Operations. The estimated fair value of stock-based awards is amortized to expense on a straight-line basis over the awards’ vesting period. The following table summarizes stock-based compensation expense for the three and nine months ended October 31, 2009 and 2008, respectively, as follows:</w:t>
      </w:r>
    </w:p>
    <w:p>
      <w:pPr>
        <w:spacing w:after="0" w:line="136"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860" w:type="dxa"/>
            <w:vAlign w:val="bottom"/>
          </w:tcPr>
          <w:p>
            <w:pPr>
              <w:spacing w:after="0"/>
              <w:rPr>
                <w:sz w:val="14"/>
                <w:szCs w:val="14"/>
                <w:color w:val="auto"/>
              </w:rPr>
            </w:pPr>
          </w:p>
        </w:tc>
        <w:tc>
          <w:tcPr>
            <w:tcW w:w="2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0" w:type="dxa"/>
            <w:vAlign w:val="bottom"/>
            <w:gridSpan w:val="2"/>
          </w:tcPr>
          <w:p>
            <w:pPr>
              <w:jc w:val="center"/>
              <w:ind w:right="1120"/>
              <w:spacing w:after="0"/>
              <w:rPr>
                <w:sz w:val="20"/>
                <w:szCs w:val="20"/>
                <w:color w:val="auto"/>
              </w:rPr>
            </w:pPr>
            <w:r>
              <w:rPr>
                <w:rFonts w:ascii="Arial" w:cs="Arial" w:eastAsia="Arial" w:hAnsi="Arial"/>
                <w:sz w:val="14"/>
                <w:szCs w:val="14"/>
                <w:b w:val="1"/>
                <w:bCs w:val="1"/>
                <w:color w:val="auto"/>
                <w:w w:val="86"/>
              </w:rPr>
              <w:t>Three months</w:t>
            </w:r>
          </w:p>
        </w:tc>
        <w:tc>
          <w:tcPr>
            <w:tcW w:w="100" w:type="dxa"/>
            <w:vAlign w:val="bottom"/>
          </w:tcPr>
          <w:p>
            <w:pPr>
              <w:spacing w:after="0"/>
              <w:rPr>
                <w:sz w:val="14"/>
                <w:szCs w:val="14"/>
                <w:color w:val="auto"/>
              </w:rPr>
            </w:pPr>
          </w:p>
        </w:tc>
        <w:tc>
          <w:tcPr>
            <w:tcW w:w="106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86"/>
              </w:rPr>
              <w:t>Three months</w:t>
            </w:r>
          </w:p>
        </w:tc>
      </w:tr>
      <w:tr>
        <w:trPr>
          <w:trHeight w:val="149"/>
        </w:trPr>
        <w:tc>
          <w:tcPr>
            <w:tcW w:w="20" w:type="dxa"/>
            <w:vAlign w:val="bottom"/>
          </w:tcPr>
          <w:p>
            <w:pPr>
              <w:spacing w:after="0"/>
              <w:rPr>
                <w:sz w:val="12"/>
                <w:szCs w:val="12"/>
                <w:color w:val="auto"/>
              </w:rPr>
            </w:pPr>
          </w:p>
        </w:tc>
        <w:tc>
          <w:tcPr>
            <w:tcW w:w="4860" w:type="dxa"/>
            <w:vAlign w:val="bottom"/>
          </w:tcPr>
          <w:p>
            <w:pPr>
              <w:spacing w:after="0"/>
              <w:rPr>
                <w:sz w:val="12"/>
                <w:szCs w:val="12"/>
                <w:color w:val="auto"/>
              </w:rPr>
            </w:pPr>
          </w:p>
        </w:tc>
        <w:tc>
          <w:tcPr>
            <w:tcW w:w="2360" w:type="dxa"/>
            <w:vAlign w:val="bottom"/>
          </w:tcPr>
          <w:p>
            <w:pPr>
              <w:spacing w:after="0"/>
              <w:rPr>
                <w:sz w:val="12"/>
                <w:szCs w:val="12"/>
                <w:color w:val="auto"/>
              </w:rPr>
            </w:pPr>
          </w:p>
        </w:tc>
        <w:tc>
          <w:tcPr>
            <w:tcW w:w="210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ended October 31,</w:t>
            </w:r>
          </w:p>
        </w:tc>
        <w:tc>
          <w:tcPr>
            <w:tcW w:w="116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w w:val="93"/>
              </w:rPr>
              <w:t>ended October 31,</w:t>
            </w:r>
          </w:p>
        </w:tc>
      </w:tr>
      <w:tr>
        <w:trPr>
          <w:trHeight w:val="161"/>
        </w:trPr>
        <w:tc>
          <w:tcPr>
            <w:tcW w:w="20" w:type="dxa"/>
            <w:vAlign w:val="bottom"/>
          </w:tcPr>
          <w:p>
            <w:pPr>
              <w:spacing w:after="0"/>
              <w:rPr>
                <w:sz w:val="14"/>
                <w:szCs w:val="14"/>
                <w:color w:val="auto"/>
              </w:rPr>
            </w:pPr>
          </w:p>
        </w:tc>
        <w:tc>
          <w:tcPr>
            <w:tcW w:w="4860" w:type="dxa"/>
            <w:vAlign w:val="bottom"/>
          </w:tcPr>
          <w:p>
            <w:pPr>
              <w:spacing w:after="0"/>
              <w:rPr>
                <w:sz w:val="14"/>
                <w:szCs w:val="14"/>
                <w:color w:val="auto"/>
              </w:rPr>
            </w:pPr>
          </w:p>
        </w:tc>
        <w:tc>
          <w:tcPr>
            <w:tcW w:w="23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center"/>
              <w:ind w:right="18"/>
              <w:spacing w:after="0"/>
              <w:rPr>
                <w:sz w:val="20"/>
                <w:szCs w:val="20"/>
                <w:color w:val="auto"/>
              </w:rPr>
            </w:pPr>
            <w:r>
              <w:rPr>
                <w:rFonts w:ascii="Arial" w:cs="Arial" w:eastAsia="Arial" w:hAnsi="Arial"/>
                <w:sz w:val="14"/>
                <w:szCs w:val="14"/>
                <w:b w:val="1"/>
                <w:bCs w:val="1"/>
                <w:color w:val="auto"/>
                <w:w w:val="83"/>
              </w:rPr>
              <w:t>2009</w:t>
            </w:r>
          </w:p>
        </w:tc>
        <w:tc>
          <w:tcPr>
            <w:tcW w:w="10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center"/>
              <w:ind w:right="18"/>
              <w:spacing w:after="0"/>
              <w:rPr>
                <w:sz w:val="20"/>
                <w:szCs w:val="20"/>
                <w:color w:val="auto"/>
              </w:rPr>
            </w:pPr>
            <w:r>
              <w:rPr>
                <w:rFonts w:ascii="Arial" w:cs="Arial" w:eastAsia="Arial" w:hAnsi="Arial"/>
                <w:sz w:val="14"/>
                <w:szCs w:val="14"/>
                <w:b w:val="1"/>
                <w:bCs w:val="1"/>
                <w:color w:val="auto"/>
                <w:w w:val="83"/>
              </w:rPr>
              <w:t>2008</w:t>
            </w:r>
          </w:p>
        </w:tc>
        <w:tc>
          <w:tcPr>
            <w:tcW w:w="100" w:type="dxa"/>
            <w:vAlign w:val="bottom"/>
          </w:tcPr>
          <w:p>
            <w:pPr>
              <w:spacing w:after="0"/>
              <w:rPr>
                <w:sz w:val="14"/>
                <w:szCs w:val="14"/>
                <w:color w:val="auto"/>
              </w:rPr>
            </w:pPr>
          </w:p>
        </w:tc>
      </w:tr>
      <w:tr>
        <w:trPr>
          <w:trHeight w:val="210"/>
        </w:trPr>
        <w:tc>
          <w:tcPr>
            <w:tcW w:w="20" w:type="dxa"/>
            <w:vAlign w:val="bottom"/>
          </w:tcPr>
          <w:p>
            <w:pPr>
              <w:spacing w:after="0"/>
              <w:rPr>
                <w:sz w:val="18"/>
                <w:szCs w:val="18"/>
                <w:color w:val="auto"/>
              </w:rPr>
            </w:pPr>
          </w:p>
        </w:tc>
        <w:tc>
          <w:tcPr>
            <w:tcW w:w="4860" w:type="dxa"/>
            <w:vAlign w:val="bottom"/>
            <w:shd w:val="clear" w:color="auto" w:fill="CCEEFF"/>
          </w:tcPr>
          <w:p>
            <w:pPr>
              <w:spacing w:after="0"/>
              <w:rPr>
                <w:sz w:val="20"/>
                <w:szCs w:val="20"/>
                <w:color w:val="auto"/>
              </w:rPr>
            </w:pPr>
            <w:r>
              <w:rPr>
                <w:rFonts w:ascii="Arial" w:cs="Arial" w:eastAsia="Arial" w:hAnsi="Arial"/>
                <w:sz w:val="18"/>
                <w:szCs w:val="18"/>
                <w:color w:val="auto"/>
              </w:rPr>
              <w:t>Cost of license and other revenue</w:t>
            </w:r>
          </w:p>
        </w:tc>
        <w:tc>
          <w:tcPr>
            <w:tcW w:w="2460" w:type="dxa"/>
            <w:vAlign w:val="bottom"/>
            <w:gridSpan w:val="2"/>
            <w:shd w:val="clear" w:color="auto" w:fill="CCEEFF"/>
          </w:tcPr>
          <w:p>
            <w:pPr>
              <w:ind w:left="2360"/>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w:t>
            </w:r>
          </w:p>
        </w:tc>
      </w:tr>
      <w:tr>
        <w:trPr>
          <w:trHeight w:val="216"/>
        </w:trPr>
        <w:tc>
          <w:tcPr>
            <w:tcW w:w="20" w:type="dxa"/>
            <w:vAlign w:val="bottom"/>
          </w:tcPr>
          <w:p>
            <w:pPr>
              <w:spacing w:after="0"/>
              <w:rPr>
                <w:sz w:val="18"/>
                <w:szCs w:val="18"/>
                <w:color w:val="auto"/>
              </w:rPr>
            </w:pPr>
          </w:p>
        </w:tc>
        <w:tc>
          <w:tcPr>
            <w:tcW w:w="4860" w:type="dxa"/>
            <w:vAlign w:val="bottom"/>
          </w:tcPr>
          <w:p>
            <w:pPr>
              <w:spacing w:after="0"/>
              <w:rPr>
                <w:sz w:val="20"/>
                <w:szCs w:val="20"/>
                <w:color w:val="auto"/>
              </w:rPr>
            </w:pPr>
            <w:r>
              <w:rPr>
                <w:rFonts w:ascii="Arial" w:cs="Arial" w:eastAsia="Arial" w:hAnsi="Arial"/>
                <w:sz w:val="18"/>
                <w:szCs w:val="18"/>
                <w:color w:val="auto"/>
              </w:rPr>
              <w:t>Marketing and sales</w:t>
            </w:r>
          </w:p>
        </w:tc>
        <w:tc>
          <w:tcPr>
            <w:tcW w:w="2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13.5</w:t>
            </w: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10.1</w:t>
            </w:r>
          </w:p>
        </w:tc>
      </w:tr>
      <w:tr>
        <w:trPr>
          <w:trHeight w:val="216"/>
        </w:trPr>
        <w:tc>
          <w:tcPr>
            <w:tcW w:w="20" w:type="dxa"/>
            <w:vAlign w:val="bottom"/>
          </w:tcPr>
          <w:p>
            <w:pPr>
              <w:spacing w:after="0"/>
              <w:rPr>
                <w:sz w:val="18"/>
                <w:szCs w:val="18"/>
                <w:color w:val="auto"/>
              </w:rPr>
            </w:pPr>
          </w:p>
        </w:tc>
        <w:tc>
          <w:tcPr>
            <w:tcW w:w="4860" w:type="dxa"/>
            <w:vAlign w:val="bottom"/>
            <w:shd w:val="clear" w:color="auto" w:fill="CCEEFF"/>
          </w:tcPr>
          <w:p>
            <w:pPr>
              <w:spacing w:after="0"/>
              <w:rPr>
                <w:sz w:val="20"/>
                <w:szCs w:val="20"/>
                <w:color w:val="auto"/>
              </w:rPr>
            </w:pPr>
            <w:r>
              <w:rPr>
                <w:rFonts w:ascii="Arial" w:cs="Arial" w:eastAsia="Arial" w:hAnsi="Arial"/>
                <w:sz w:val="18"/>
                <w:szCs w:val="18"/>
                <w:color w:val="auto"/>
              </w:rPr>
              <w:t>Research and development</w:t>
            </w:r>
          </w:p>
        </w:tc>
        <w:tc>
          <w:tcPr>
            <w:tcW w:w="2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w:t>
            </w: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7.2</w:t>
            </w:r>
          </w:p>
        </w:tc>
      </w:tr>
      <w:tr>
        <w:trPr>
          <w:trHeight w:val="223"/>
        </w:trPr>
        <w:tc>
          <w:tcPr>
            <w:tcW w:w="20" w:type="dxa"/>
            <w:vAlign w:val="bottom"/>
          </w:tcPr>
          <w:p>
            <w:pPr>
              <w:spacing w:after="0"/>
              <w:rPr>
                <w:sz w:val="19"/>
                <w:szCs w:val="19"/>
                <w:color w:val="auto"/>
              </w:rPr>
            </w:pPr>
          </w:p>
        </w:tc>
        <w:tc>
          <w:tcPr>
            <w:tcW w:w="4860" w:type="dxa"/>
            <w:vAlign w:val="bottom"/>
          </w:tcPr>
          <w:p>
            <w:pPr>
              <w:spacing w:after="0"/>
              <w:rPr>
                <w:sz w:val="20"/>
                <w:szCs w:val="20"/>
                <w:color w:val="auto"/>
              </w:rPr>
            </w:pPr>
            <w:r>
              <w:rPr>
                <w:rFonts w:ascii="Arial" w:cs="Arial" w:eastAsia="Arial" w:hAnsi="Arial"/>
                <w:sz w:val="18"/>
                <w:szCs w:val="18"/>
                <w:color w:val="auto"/>
              </w:rPr>
              <w:t>General and administrative</w:t>
            </w:r>
          </w:p>
        </w:tc>
        <w:tc>
          <w:tcPr>
            <w:tcW w:w="236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6.2</w:t>
            </w:r>
          </w:p>
        </w:tc>
        <w:tc>
          <w:tcPr>
            <w:tcW w:w="10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w:t>
            </w:r>
          </w:p>
        </w:tc>
        <w:tc>
          <w:tcPr>
            <w:tcW w:w="10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4860" w:type="dxa"/>
            <w:vAlign w:val="bottom"/>
            <w:shd w:val="clear" w:color="auto" w:fill="CCEEFF"/>
          </w:tcPr>
          <w:p>
            <w:pPr>
              <w:spacing w:after="0"/>
              <w:rPr>
                <w:sz w:val="20"/>
                <w:szCs w:val="20"/>
                <w:color w:val="auto"/>
              </w:rPr>
            </w:pPr>
            <w:r>
              <w:rPr>
                <w:rFonts w:ascii="Arial" w:cs="Arial" w:eastAsia="Arial" w:hAnsi="Arial"/>
                <w:sz w:val="18"/>
                <w:szCs w:val="18"/>
                <w:color w:val="auto"/>
              </w:rPr>
              <w:t>Stock-based compensation expense</w:t>
            </w:r>
          </w:p>
        </w:tc>
        <w:tc>
          <w:tcPr>
            <w:tcW w:w="2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30.3</w:t>
            </w: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22.5</w:t>
            </w:r>
          </w:p>
        </w:tc>
      </w:tr>
      <w:tr>
        <w:trPr>
          <w:trHeight w:val="223"/>
        </w:trPr>
        <w:tc>
          <w:tcPr>
            <w:tcW w:w="20" w:type="dxa"/>
            <w:vAlign w:val="bottom"/>
          </w:tcPr>
          <w:p>
            <w:pPr>
              <w:spacing w:after="0"/>
              <w:rPr>
                <w:sz w:val="19"/>
                <w:szCs w:val="19"/>
                <w:color w:val="auto"/>
              </w:rPr>
            </w:pPr>
          </w:p>
        </w:tc>
        <w:tc>
          <w:tcPr>
            <w:tcW w:w="4860" w:type="dxa"/>
            <w:vAlign w:val="bottom"/>
          </w:tcPr>
          <w:p>
            <w:pPr>
              <w:spacing w:after="0"/>
              <w:rPr>
                <w:sz w:val="20"/>
                <w:szCs w:val="20"/>
                <w:color w:val="auto"/>
              </w:rPr>
            </w:pPr>
            <w:r>
              <w:rPr>
                <w:rFonts w:ascii="Arial" w:cs="Arial" w:eastAsia="Arial" w:hAnsi="Arial"/>
                <w:sz w:val="18"/>
                <w:szCs w:val="18"/>
                <w:color w:val="auto"/>
              </w:rPr>
              <w:t>Tax benefit</w:t>
            </w:r>
          </w:p>
        </w:tc>
        <w:tc>
          <w:tcPr>
            <w:tcW w:w="2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0" w:type="dxa"/>
            <w:vAlign w:val="bottom"/>
            <w:gridSpan w:val="2"/>
          </w:tcPr>
          <w:p>
            <w:pPr>
              <w:jc w:val="right"/>
              <w:ind w:right="980"/>
              <w:spacing w:after="0"/>
              <w:rPr>
                <w:sz w:val="20"/>
                <w:szCs w:val="20"/>
                <w:color w:val="auto"/>
              </w:rPr>
            </w:pPr>
            <w:r>
              <w:rPr>
                <w:rFonts w:ascii="Arial" w:cs="Arial" w:eastAsia="Arial" w:hAnsi="Arial"/>
                <w:sz w:val="18"/>
                <w:szCs w:val="18"/>
                <w:color w:val="auto"/>
              </w:rPr>
              <w:t>(9.4)</w:t>
            </w:r>
          </w:p>
        </w:tc>
        <w:tc>
          <w:tcPr>
            <w:tcW w:w="100" w:type="dxa"/>
            <w:vAlign w:val="bottom"/>
          </w:tcPr>
          <w:p>
            <w:pPr>
              <w:spacing w:after="0"/>
              <w:rPr>
                <w:sz w:val="19"/>
                <w:szCs w:val="19"/>
                <w:color w:val="auto"/>
              </w:rPr>
            </w:pPr>
          </w:p>
        </w:tc>
        <w:tc>
          <w:tcPr>
            <w:tcW w:w="1060" w:type="dxa"/>
            <w:vAlign w:val="bottom"/>
            <w:gridSpan w:val="2"/>
          </w:tcPr>
          <w:p>
            <w:pPr>
              <w:jc w:val="right"/>
              <w:ind w:right="40"/>
              <w:spacing w:after="0"/>
              <w:rPr>
                <w:sz w:val="20"/>
                <w:szCs w:val="20"/>
                <w:color w:val="auto"/>
              </w:rPr>
            </w:pPr>
            <w:r>
              <w:rPr>
                <w:rFonts w:ascii="Arial" w:cs="Arial" w:eastAsia="Arial" w:hAnsi="Arial"/>
                <w:sz w:val="18"/>
                <w:szCs w:val="18"/>
                <w:color w:val="auto"/>
              </w:rPr>
              <w:t>(5.7)</w:t>
            </w:r>
          </w:p>
        </w:tc>
      </w:tr>
      <w:tr>
        <w:trPr>
          <w:trHeight w:val="216"/>
        </w:trPr>
        <w:tc>
          <w:tcPr>
            <w:tcW w:w="20" w:type="dxa"/>
            <w:vAlign w:val="bottom"/>
          </w:tcPr>
          <w:p>
            <w:pPr>
              <w:spacing w:after="0"/>
              <w:rPr>
                <w:sz w:val="18"/>
                <w:szCs w:val="18"/>
                <w:color w:val="auto"/>
              </w:rPr>
            </w:pPr>
          </w:p>
        </w:tc>
        <w:tc>
          <w:tcPr>
            <w:tcW w:w="4860" w:type="dxa"/>
            <w:vAlign w:val="bottom"/>
            <w:shd w:val="clear" w:color="auto" w:fill="CCEEFF"/>
          </w:tcPr>
          <w:p>
            <w:pPr>
              <w:spacing w:after="0"/>
              <w:rPr>
                <w:sz w:val="20"/>
                <w:szCs w:val="20"/>
                <w:color w:val="auto"/>
              </w:rPr>
            </w:pPr>
            <w:r>
              <w:rPr>
                <w:rFonts w:ascii="Arial" w:cs="Arial" w:eastAsia="Arial" w:hAnsi="Arial"/>
                <w:sz w:val="18"/>
                <w:szCs w:val="18"/>
                <w:color w:val="auto"/>
              </w:rPr>
              <w:t>Stock-based compensation expense</w:t>
            </w:r>
          </w:p>
        </w:tc>
        <w:tc>
          <w:tcPr>
            <w:tcW w:w="2360" w:type="dxa"/>
            <w:vAlign w:val="bottom"/>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20.9</w:t>
            </w:r>
          </w:p>
        </w:tc>
        <w:tc>
          <w:tcPr>
            <w:tcW w:w="1040" w:type="dxa"/>
            <w:vAlign w:val="bottom"/>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16.8</w:t>
            </w:r>
          </w:p>
        </w:tc>
        <w:tc>
          <w:tcPr>
            <w:tcW w:w="100" w:type="dxa"/>
            <w:vAlign w:val="bottom"/>
            <w:shd w:val="clear" w:color="auto" w:fill="CCEEFF"/>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4860" w:type="dxa"/>
            <w:vAlign w:val="bottom"/>
          </w:tcPr>
          <w:p>
            <w:pPr>
              <w:spacing w:after="0" w:line="20" w:lineRule="exact"/>
              <w:rPr>
                <w:sz w:val="1"/>
                <w:szCs w:val="1"/>
                <w:color w:val="auto"/>
              </w:rPr>
            </w:pPr>
          </w:p>
        </w:tc>
        <w:tc>
          <w:tcPr>
            <w:tcW w:w="23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346"/>
        </w:trPr>
        <w:tc>
          <w:tcPr>
            <w:tcW w:w="20" w:type="dxa"/>
            <w:vAlign w:val="bottom"/>
          </w:tcPr>
          <w:p>
            <w:pPr>
              <w:spacing w:after="0"/>
              <w:rPr>
                <w:sz w:val="24"/>
                <w:szCs w:val="24"/>
                <w:color w:val="auto"/>
              </w:rPr>
            </w:pPr>
          </w:p>
        </w:tc>
        <w:tc>
          <w:tcPr>
            <w:tcW w:w="4860" w:type="dxa"/>
            <w:vAlign w:val="bottom"/>
          </w:tcPr>
          <w:p>
            <w:pPr>
              <w:spacing w:after="0"/>
              <w:rPr>
                <w:sz w:val="24"/>
                <w:szCs w:val="24"/>
                <w:color w:val="auto"/>
              </w:rPr>
            </w:pPr>
          </w:p>
        </w:tc>
        <w:tc>
          <w:tcPr>
            <w:tcW w:w="2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0" w:type="dxa"/>
            <w:vAlign w:val="bottom"/>
            <w:gridSpan w:val="2"/>
          </w:tcPr>
          <w:p>
            <w:pPr>
              <w:jc w:val="center"/>
              <w:ind w:right="1140"/>
              <w:spacing w:after="0"/>
              <w:rPr>
                <w:sz w:val="20"/>
                <w:szCs w:val="20"/>
                <w:color w:val="auto"/>
              </w:rPr>
            </w:pPr>
            <w:r>
              <w:rPr>
                <w:rFonts w:ascii="Arial" w:cs="Arial" w:eastAsia="Arial" w:hAnsi="Arial"/>
                <w:sz w:val="14"/>
                <w:szCs w:val="14"/>
                <w:b w:val="1"/>
                <w:bCs w:val="1"/>
                <w:color w:val="auto"/>
                <w:w w:val="87"/>
              </w:rPr>
              <w:t>Nine months</w:t>
            </w:r>
          </w:p>
        </w:tc>
        <w:tc>
          <w:tcPr>
            <w:tcW w:w="100" w:type="dxa"/>
            <w:vAlign w:val="bottom"/>
          </w:tcPr>
          <w:p>
            <w:pPr>
              <w:spacing w:after="0"/>
              <w:rPr>
                <w:sz w:val="24"/>
                <w:szCs w:val="24"/>
                <w:color w:val="auto"/>
              </w:rPr>
            </w:pPr>
          </w:p>
        </w:tc>
        <w:tc>
          <w:tcPr>
            <w:tcW w:w="106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87"/>
              </w:rPr>
              <w:t>Nine months</w:t>
            </w:r>
          </w:p>
        </w:tc>
      </w:tr>
      <w:tr>
        <w:trPr>
          <w:trHeight w:val="149"/>
        </w:trPr>
        <w:tc>
          <w:tcPr>
            <w:tcW w:w="20" w:type="dxa"/>
            <w:vAlign w:val="bottom"/>
          </w:tcPr>
          <w:p>
            <w:pPr>
              <w:spacing w:after="0"/>
              <w:rPr>
                <w:sz w:val="12"/>
                <w:szCs w:val="12"/>
                <w:color w:val="auto"/>
              </w:rPr>
            </w:pPr>
          </w:p>
        </w:tc>
        <w:tc>
          <w:tcPr>
            <w:tcW w:w="4860" w:type="dxa"/>
            <w:vAlign w:val="bottom"/>
          </w:tcPr>
          <w:p>
            <w:pPr>
              <w:spacing w:after="0"/>
              <w:rPr>
                <w:sz w:val="12"/>
                <w:szCs w:val="12"/>
                <w:color w:val="auto"/>
              </w:rPr>
            </w:pPr>
          </w:p>
        </w:tc>
        <w:tc>
          <w:tcPr>
            <w:tcW w:w="23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0" w:type="dxa"/>
            <w:vAlign w:val="bottom"/>
            <w:gridSpan w:val="2"/>
          </w:tcPr>
          <w:p>
            <w:pPr>
              <w:jc w:val="center"/>
              <w:ind w:right="1140"/>
              <w:spacing w:after="0" w:line="149" w:lineRule="exact"/>
              <w:rPr>
                <w:sz w:val="20"/>
                <w:szCs w:val="20"/>
                <w:color w:val="auto"/>
              </w:rPr>
            </w:pPr>
            <w:r>
              <w:rPr>
                <w:rFonts w:ascii="Arial" w:cs="Arial" w:eastAsia="Arial" w:hAnsi="Arial"/>
                <w:sz w:val="14"/>
                <w:szCs w:val="14"/>
                <w:b w:val="1"/>
                <w:bCs w:val="1"/>
                <w:color w:val="auto"/>
                <w:w w:val="86"/>
              </w:rPr>
              <w:t>ended October</w:t>
            </w:r>
          </w:p>
        </w:tc>
        <w:tc>
          <w:tcPr>
            <w:tcW w:w="100" w:type="dxa"/>
            <w:vAlign w:val="bottom"/>
          </w:tcPr>
          <w:p>
            <w:pPr>
              <w:spacing w:after="0"/>
              <w:rPr>
                <w:sz w:val="12"/>
                <w:szCs w:val="12"/>
                <w:color w:val="auto"/>
              </w:rPr>
            </w:pPr>
          </w:p>
        </w:tc>
        <w:tc>
          <w:tcPr>
            <w:tcW w:w="106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86"/>
              </w:rPr>
              <w:t>ended October</w:t>
            </w:r>
          </w:p>
        </w:tc>
      </w:tr>
      <w:tr>
        <w:trPr>
          <w:trHeight w:val="149"/>
        </w:trPr>
        <w:tc>
          <w:tcPr>
            <w:tcW w:w="20" w:type="dxa"/>
            <w:vAlign w:val="bottom"/>
          </w:tcPr>
          <w:p>
            <w:pPr>
              <w:spacing w:after="0"/>
              <w:rPr>
                <w:sz w:val="12"/>
                <w:szCs w:val="12"/>
                <w:color w:val="auto"/>
              </w:rPr>
            </w:pPr>
          </w:p>
        </w:tc>
        <w:tc>
          <w:tcPr>
            <w:tcW w:w="4860" w:type="dxa"/>
            <w:vAlign w:val="bottom"/>
          </w:tcPr>
          <w:p>
            <w:pPr>
              <w:spacing w:after="0"/>
              <w:rPr>
                <w:sz w:val="12"/>
                <w:szCs w:val="12"/>
                <w:color w:val="auto"/>
              </w:rPr>
            </w:pPr>
          </w:p>
        </w:tc>
        <w:tc>
          <w:tcPr>
            <w:tcW w:w="23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60" w:type="dxa"/>
            <w:vAlign w:val="bottom"/>
          </w:tcPr>
          <w:p>
            <w:pPr>
              <w:jc w:val="center"/>
              <w:ind w:right="18"/>
              <w:spacing w:after="0" w:line="149" w:lineRule="exact"/>
              <w:rPr>
                <w:sz w:val="20"/>
                <w:szCs w:val="20"/>
                <w:color w:val="auto"/>
              </w:rPr>
            </w:pPr>
            <w:r>
              <w:rPr>
                <w:rFonts w:ascii="Arial" w:cs="Arial" w:eastAsia="Arial" w:hAnsi="Arial"/>
                <w:sz w:val="14"/>
                <w:szCs w:val="14"/>
                <w:b w:val="1"/>
                <w:bCs w:val="1"/>
                <w:color w:val="auto"/>
                <w:w w:val="92"/>
              </w:rPr>
              <w:t>31,</w:t>
            </w:r>
          </w:p>
        </w:tc>
        <w:tc>
          <w:tcPr>
            <w:tcW w:w="10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60" w:type="dxa"/>
            <w:vAlign w:val="bottom"/>
          </w:tcPr>
          <w:p>
            <w:pPr>
              <w:jc w:val="center"/>
              <w:ind w:right="18"/>
              <w:spacing w:after="0" w:line="149" w:lineRule="exact"/>
              <w:rPr>
                <w:sz w:val="20"/>
                <w:szCs w:val="20"/>
                <w:color w:val="auto"/>
              </w:rPr>
            </w:pPr>
            <w:r>
              <w:rPr>
                <w:rFonts w:ascii="Arial" w:cs="Arial" w:eastAsia="Arial" w:hAnsi="Arial"/>
                <w:sz w:val="14"/>
                <w:szCs w:val="14"/>
                <w:b w:val="1"/>
                <w:bCs w:val="1"/>
                <w:color w:val="auto"/>
                <w:w w:val="92"/>
              </w:rPr>
              <w:t>31,</w:t>
            </w:r>
          </w:p>
        </w:tc>
        <w:tc>
          <w:tcPr>
            <w:tcW w:w="100" w:type="dxa"/>
            <w:vAlign w:val="bottom"/>
          </w:tcPr>
          <w:p>
            <w:pPr>
              <w:spacing w:after="0"/>
              <w:rPr>
                <w:sz w:val="12"/>
                <w:szCs w:val="12"/>
                <w:color w:val="auto"/>
              </w:rPr>
            </w:pPr>
          </w:p>
        </w:tc>
      </w:tr>
      <w:tr>
        <w:trPr>
          <w:trHeight w:val="161"/>
        </w:trPr>
        <w:tc>
          <w:tcPr>
            <w:tcW w:w="20" w:type="dxa"/>
            <w:vAlign w:val="bottom"/>
          </w:tcPr>
          <w:p>
            <w:pPr>
              <w:spacing w:after="0"/>
              <w:rPr>
                <w:sz w:val="14"/>
                <w:szCs w:val="14"/>
                <w:color w:val="auto"/>
              </w:rPr>
            </w:pPr>
          </w:p>
        </w:tc>
        <w:tc>
          <w:tcPr>
            <w:tcW w:w="4860" w:type="dxa"/>
            <w:vAlign w:val="bottom"/>
          </w:tcPr>
          <w:p>
            <w:pPr>
              <w:spacing w:after="0"/>
              <w:rPr>
                <w:sz w:val="14"/>
                <w:szCs w:val="14"/>
                <w:color w:val="auto"/>
              </w:rPr>
            </w:pPr>
          </w:p>
        </w:tc>
        <w:tc>
          <w:tcPr>
            <w:tcW w:w="23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center"/>
              <w:ind w:right="18"/>
              <w:spacing w:after="0"/>
              <w:rPr>
                <w:sz w:val="20"/>
                <w:szCs w:val="20"/>
                <w:color w:val="auto"/>
              </w:rPr>
            </w:pPr>
            <w:r>
              <w:rPr>
                <w:rFonts w:ascii="Arial" w:cs="Arial" w:eastAsia="Arial" w:hAnsi="Arial"/>
                <w:sz w:val="14"/>
                <w:szCs w:val="14"/>
                <w:b w:val="1"/>
                <w:bCs w:val="1"/>
                <w:color w:val="auto"/>
                <w:w w:val="83"/>
              </w:rPr>
              <w:t>2009</w:t>
            </w:r>
          </w:p>
        </w:tc>
        <w:tc>
          <w:tcPr>
            <w:tcW w:w="10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center"/>
              <w:ind w:right="18"/>
              <w:spacing w:after="0"/>
              <w:rPr>
                <w:sz w:val="20"/>
                <w:szCs w:val="20"/>
                <w:color w:val="auto"/>
              </w:rPr>
            </w:pPr>
            <w:r>
              <w:rPr>
                <w:rFonts w:ascii="Arial" w:cs="Arial" w:eastAsia="Arial" w:hAnsi="Arial"/>
                <w:sz w:val="14"/>
                <w:szCs w:val="14"/>
                <w:b w:val="1"/>
                <w:bCs w:val="1"/>
                <w:color w:val="auto"/>
                <w:w w:val="83"/>
              </w:rPr>
              <w:t>2008</w:t>
            </w:r>
          </w:p>
        </w:tc>
        <w:tc>
          <w:tcPr>
            <w:tcW w:w="100" w:type="dxa"/>
            <w:vAlign w:val="bottom"/>
          </w:tcPr>
          <w:p>
            <w:pPr>
              <w:spacing w:after="0"/>
              <w:rPr>
                <w:sz w:val="14"/>
                <w:szCs w:val="14"/>
                <w:color w:val="auto"/>
              </w:rPr>
            </w:pPr>
          </w:p>
        </w:tc>
      </w:tr>
      <w:tr>
        <w:trPr>
          <w:trHeight w:val="210"/>
        </w:trPr>
        <w:tc>
          <w:tcPr>
            <w:tcW w:w="20" w:type="dxa"/>
            <w:vAlign w:val="bottom"/>
          </w:tcPr>
          <w:p>
            <w:pPr>
              <w:spacing w:after="0"/>
              <w:rPr>
                <w:sz w:val="18"/>
                <w:szCs w:val="18"/>
                <w:color w:val="auto"/>
              </w:rPr>
            </w:pPr>
          </w:p>
        </w:tc>
        <w:tc>
          <w:tcPr>
            <w:tcW w:w="4860" w:type="dxa"/>
            <w:vAlign w:val="bottom"/>
            <w:shd w:val="clear" w:color="auto" w:fill="CCEEFF"/>
          </w:tcPr>
          <w:p>
            <w:pPr>
              <w:spacing w:after="0"/>
              <w:rPr>
                <w:sz w:val="20"/>
                <w:szCs w:val="20"/>
                <w:color w:val="auto"/>
              </w:rPr>
            </w:pPr>
            <w:r>
              <w:rPr>
                <w:rFonts w:ascii="Arial" w:cs="Arial" w:eastAsia="Arial" w:hAnsi="Arial"/>
                <w:sz w:val="18"/>
                <w:szCs w:val="18"/>
                <w:color w:val="auto"/>
              </w:rPr>
              <w:t>Cost of license and other revenue</w:t>
            </w:r>
          </w:p>
        </w:tc>
        <w:tc>
          <w:tcPr>
            <w:tcW w:w="2460" w:type="dxa"/>
            <w:vAlign w:val="bottom"/>
            <w:gridSpan w:val="2"/>
            <w:shd w:val="clear" w:color="auto" w:fill="CCEEFF"/>
          </w:tcPr>
          <w:p>
            <w:pPr>
              <w:ind w:left="2360"/>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3.1</w:t>
            </w:r>
          </w:p>
        </w:tc>
      </w:tr>
      <w:tr>
        <w:trPr>
          <w:trHeight w:val="216"/>
        </w:trPr>
        <w:tc>
          <w:tcPr>
            <w:tcW w:w="20" w:type="dxa"/>
            <w:vAlign w:val="bottom"/>
          </w:tcPr>
          <w:p>
            <w:pPr>
              <w:spacing w:after="0"/>
              <w:rPr>
                <w:sz w:val="18"/>
                <w:szCs w:val="18"/>
                <w:color w:val="auto"/>
              </w:rPr>
            </w:pPr>
          </w:p>
        </w:tc>
        <w:tc>
          <w:tcPr>
            <w:tcW w:w="4860" w:type="dxa"/>
            <w:vAlign w:val="bottom"/>
          </w:tcPr>
          <w:p>
            <w:pPr>
              <w:spacing w:after="0"/>
              <w:rPr>
                <w:sz w:val="20"/>
                <w:szCs w:val="20"/>
                <w:color w:val="auto"/>
              </w:rPr>
            </w:pPr>
            <w:r>
              <w:rPr>
                <w:rFonts w:ascii="Arial" w:cs="Arial" w:eastAsia="Arial" w:hAnsi="Arial"/>
                <w:sz w:val="18"/>
                <w:szCs w:val="18"/>
                <w:color w:val="auto"/>
              </w:rPr>
              <w:t>Marketing and sales</w:t>
            </w:r>
          </w:p>
        </w:tc>
        <w:tc>
          <w:tcPr>
            <w:tcW w:w="2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32.5</w:t>
            </w: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30.6</w:t>
            </w:r>
          </w:p>
        </w:tc>
      </w:tr>
      <w:tr>
        <w:trPr>
          <w:trHeight w:val="216"/>
        </w:trPr>
        <w:tc>
          <w:tcPr>
            <w:tcW w:w="20" w:type="dxa"/>
            <w:vAlign w:val="bottom"/>
          </w:tcPr>
          <w:p>
            <w:pPr>
              <w:spacing w:after="0"/>
              <w:rPr>
                <w:sz w:val="18"/>
                <w:szCs w:val="18"/>
                <w:color w:val="auto"/>
              </w:rPr>
            </w:pPr>
          </w:p>
        </w:tc>
        <w:tc>
          <w:tcPr>
            <w:tcW w:w="4860" w:type="dxa"/>
            <w:vAlign w:val="bottom"/>
            <w:shd w:val="clear" w:color="auto" w:fill="CCEEFF"/>
          </w:tcPr>
          <w:p>
            <w:pPr>
              <w:spacing w:after="0"/>
              <w:rPr>
                <w:sz w:val="20"/>
                <w:szCs w:val="20"/>
                <w:color w:val="auto"/>
              </w:rPr>
            </w:pPr>
            <w:r>
              <w:rPr>
                <w:rFonts w:ascii="Arial" w:cs="Arial" w:eastAsia="Arial" w:hAnsi="Arial"/>
                <w:sz w:val="18"/>
                <w:szCs w:val="18"/>
                <w:color w:val="auto"/>
              </w:rPr>
              <w:t>Research and development</w:t>
            </w:r>
          </w:p>
        </w:tc>
        <w:tc>
          <w:tcPr>
            <w:tcW w:w="2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23.7</w:t>
            </w: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23.3</w:t>
            </w:r>
          </w:p>
        </w:tc>
      </w:tr>
      <w:tr>
        <w:trPr>
          <w:trHeight w:val="223"/>
        </w:trPr>
        <w:tc>
          <w:tcPr>
            <w:tcW w:w="20" w:type="dxa"/>
            <w:vAlign w:val="bottom"/>
          </w:tcPr>
          <w:p>
            <w:pPr>
              <w:spacing w:after="0"/>
              <w:rPr>
                <w:sz w:val="19"/>
                <w:szCs w:val="19"/>
                <w:color w:val="auto"/>
              </w:rPr>
            </w:pPr>
          </w:p>
        </w:tc>
        <w:tc>
          <w:tcPr>
            <w:tcW w:w="4860" w:type="dxa"/>
            <w:vAlign w:val="bottom"/>
          </w:tcPr>
          <w:p>
            <w:pPr>
              <w:spacing w:after="0"/>
              <w:rPr>
                <w:sz w:val="20"/>
                <w:szCs w:val="20"/>
                <w:color w:val="auto"/>
              </w:rPr>
            </w:pPr>
            <w:r>
              <w:rPr>
                <w:rFonts w:ascii="Arial" w:cs="Arial" w:eastAsia="Arial" w:hAnsi="Arial"/>
                <w:sz w:val="18"/>
                <w:szCs w:val="18"/>
                <w:color w:val="auto"/>
              </w:rPr>
              <w:t>General and administrative</w:t>
            </w:r>
          </w:p>
        </w:tc>
        <w:tc>
          <w:tcPr>
            <w:tcW w:w="236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16.1</w:t>
            </w:r>
          </w:p>
        </w:tc>
        <w:tc>
          <w:tcPr>
            <w:tcW w:w="10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13.9</w:t>
            </w:r>
          </w:p>
        </w:tc>
        <w:tc>
          <w:tcPr>
            <w:tcW w:w="10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4860" w:type="dxa"/>
            <w:vAlign w:val="bottom"/>
            <w:shd w:val="clear" w:color="auto" w:fill="CCEEFF"/>
          </w:tcPr>
          <w:p>
            <w:pPr>
              <w:spacing w:after="0"/>
              <w:rPr>
                <w:sz w:val="20"/>
                <w:szCs w:val="20"/>
                <w:color w:val="auto"/>
              </w:rPr>
            </w:pPr>
            <w:r>
              <w:rPr>
                <w:rFonts w:ascii="Arial" w:cs="Arial" w:eastAsia="Arial" w:hAnsi="Arial"/>
                <w:sz w:val="18"/>
                <w:szCs w:val="18"/>
                <w:color w:val="auto"/>
              </w:rPr>
              <w:t>Stock-based compensation expense</w:t>
            </w:r>
          </w:p>
        </w:tc>
        <w:tc>
          <w:tcPr>
            <w:tcW w:w="2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74.7</w:t>
            </w: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70.9</w:t>
            </w:r>
          </w:p>
        </w:tc>
      </w:tr>
      <w:tr>
        <w:trPr>
          <w:trHeight w:val="223"/>
        </w:trPr>
        <w:tc>
          <w:tcPr>
            <w:tcW w:w="20" w:type="dxa"/>
            <w:vAlign w:val="bottom"/>
          </w:tcPr>
          <w:p>
            <w:pPr>
              <w:spacing w:after="0"/>
              <w:rPr>
                <w:sz w:val="19"/>
                <w:szCs w:val="19"/>
                <w:color w:val="auto"/>
              </w:rPr>
            </w:pPr>
          </w:p>
        </w:tc>
        <w:tc>
          <w:tcPr>
            <w:tcW w:w="4860" w:type="dxa"/>
            <w:vAlign w:val="bottom"/>
          </w:tcPr>
          <w:p>
            <w:pPr>
              <w:spacing w:after="0"/>
              <w:rPr>
                <w:sz w:val="20"/>
                <w:szCs w:val="20"/>
                <w:color w:val="auto"/>
              </w:rPr>
            </w:pPr>
            <w:r>
              <w:rPr>
                <w:rFonts w:ascii="Arial" w:cs="Arial" w:eastAsia="Arial" w:hAnsi="Arial"/>
                <w:sz w:val="18"/>
                <w:szCs w:val="18"/>
                <w:color w:val="auto"/>
              </w:rPr>
              <w:t>Tax benefit</w:t>
            </w:r>
          </w:p>
        </w:tc>
        <w:tc>
          <w:tcPr>
            <w:tcW w:w="2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0" w:type="dxa"/>
            <w:vAlign w:val="bottom"/>
            <w:gridSpan w:val="2"/>
          </w:tcPr>
          <w:p>
            <w:pPr>
              <w:jc w:val="right"/>
              <w:ind w:right="980"/>
              <w:spacing w:after="0"/>
              <w:rPr>
                <w:sz w:val="20"/>
                <w:szCs w:val="20"/>
                <w:color w:val="auto"/>
              </w:rPr>
            </w:pPr>
            <w:r>
              <w:rPr>
                <w:rFonts w:ascii="Arial" w:cs="Arial" w:eastAsia="Arial" w:hAnsi="Arial"/>
                <w:sz w:val="18"/>
                <w:szCs w:val="18"/>
                <w:color w:val="auto"/>
              </w:rPr>
              <w:t>(19.4)</w:t>
            </w:r>
          </w:p>
        </w:tc>
        <w:tc>
          <w:tcPr>
            <w:tcW w:w="100" w:type="dxa"/>
            <w:vAlign w:val="bottom"/>
          </w:tcPr>
          <w:p>
            <w:pPr>
              <w:spacing w:after="0"/>
              <w:rPr>
                <w:sz w:val="19"/>
                <w:szCs w:val="19"/>
                <w:color w:val="auto"/>
              </w:rPr>
            </w:pPr>
          </w:p>
        </w:tc>
        <w:tc>
          <w:tcPr>
            <w:tcW w:w="1060" w:type="dxa"/>
            <w:vAlign w:val="bottom"/>
            <w:gridSpan w:val="2"/>
          </w:tcPr>
          <w:p>
            <w:pPr>
              <w:jc w:val="right"/>
              <w:ind w:right="40"/>
              <w:spacing w:after="0"/>
              <w:rPr>
                <w:sz w:val="20"/>
                <w:szCs w:val="20"/>
                <w:color w:val="auto"/>
              </w:rPr>
            </w:pPr>
            <w:r>
              <w:rPr>
                <w:rFonts w:ascii="Arial" w:cs="Arial" w:eastAsia="Arial" w:hAnsi="Arial"/>
                <w:sz w:val="18"/>
                <w:szCs w:val="18"/>
                <w:color w:val="auto"/>
              </w:rPr>
              <w:t>(16.2)</w:t>
            </w:r>
          </w:p>
        </w:tc>
      </w:tr>
      <w:tr>
        <w:trPr>
          <w:trHeight w:val="216"/>
        </w:trPr>
        <w:tc>
          <w:tcPr>
            <w:tcW w:w="20" w:type="dxa"/>
            <w:vAlign w:val="bottom"/>
          </w:tcPr>
          <w:p>
            <w:pPr>
              <w:spacing w:after="0"/>
              <w:rPr>
                <w:sz w:val="18"/>
                <w:szCs w:val="18"/>
                <w:color w:val="auto"/>
              </w:rPr>
            </w:pPr>
          </w:p>
        </w:tc>
        <w:tc>
          <w:tcPr>
            <w:tcW w:w="4860" w:type="dxa"/>
            <w:vAlign w:val="bottom"/>
            <w:shd w:val="clear" w:color="auto" w:fill="CCEEFF"/>
          </w:tcPr>
          <w:p>
            <w:pPr>
              <w:spacing w:after="0"/>
              <w:rPr>
                <w:sz w:val="20"/>
                <w:szCs w:val="20"/>
                <w:color w:val="auto"/>
              </w:rPr>
            </w:pPr>
            <w:r>
              <w:rPr>
                <w:rFonts w:ascii="Arial" w:cs="Arial" w:eastAsia="Arial" w:hAnsi="Arial"/>
                <w:sz w:val="18"/>
                <w:szCs w:val="18"/>
                <w:color w:val="auto"/>
              </w:rPr>
              <w:t>Stock-based compensation expense</w:t>
            </w:r>
          </w:p>
        </w:tc>
        <w:tc>
          <w:tcPr>
            <w:tcW w:w="2360" w:type="dxa"/>
            <w:vAlign w:val="bottom"/>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55.3</w:t>
            </w:r>
          </w:p>
        </w:tc>
        <w:tc>
          <w:tcPr>
            <w:tcW w:w="1040" w:type="dxa"/>
            <w:vAlign w:val="bottom"/>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54.7</w:t>
            </w:r>
          </w:p>
        </w:tc>
        <w:tc>
          <w:tcPr>
            <w:tcW w:w="100" w:type="dxa"/>
            <w:vAlign w:val="bottom"/>
            <w:shd w:val="clear" w:color="auto" w:fill="CCEEFF"/>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4860" w:type="dxa"/>
            <w:vAlign w:val="bottom"/>
          </w:tcPr>
          <w:p>
            <w:pPr>
              <w:spacing w:after="0" w:line="20" w:lineRule="exact"/>
              <w:rPr>
                <w:sz w:val="1"/>
                <w:szCs w:val="1"/>
                <w:color w:val="auto"/>
              </w:rPr>
            </w:pPr>
          </w:p>
        </w:tc>
        <w:tc>
          <w:tcPr>
            <w:tcW w:w="23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67" w:lineRule="exact"/>
        <w:rPr>
          <w:sz w:val="20"/>
          <w:szCs w:val="20"/>
          <w:color w:val="auto"/>
        </w:rPr>
      </w:pPr>
    </w:p>
    <w:p>
      <w:pPr>
        <w:ind w:right="140" w:firstLine="456"/>
        <w:spacing w:after="0" w:line="298" w:lineRule="auto"/>
        <w:rPr>
          <w:sz w:val="20"/>
          <w:szCs w:val="20"/>
          <w:color w:val="auto"/>
        </w:rPr>
      </w:pPr>
      <w:r>
        <w:rPr>
          <w:rFonts w:ascii="Arial" w:cs="Arial" w:eastAsia="Arial" w:hAnsi="Arial"/>
          <w:sz w:val="16"/>
          <w:szCs w:val="16"/>
          <w:color w:val="auto"/>
        </w:rPr>
        <w:t>As discussed above, Autodesk determined that the cumulative error from the understatement of stock-based compensation expense related to the periods prior to the third quarter of Fiscal 2010 totaled $7.9 million, net of tax effects. Accordingly, additional expenses of $0.4 million for Cost of license and other revenue, $5.1 million for Marketing and sales, $3.4 million for Research and development, $2.4 million for General and Administrative and $3.4 million for additional Tax benefit are included in the functional expenses in the table above for both the three and nine month periods ended October 31, 2009.</w:t>
      </w:r>
    </w:p>
    <w:p>
      <w:pPr>
        <w:spacing w:after="0" w:line="9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320"/>
          </w:cols>
          <w:pgMar w:left="240" w:top="459" w:right="33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60" w:firstLine="456"/>
        <w:spacing w:after="0" w:line="268" w:lineRule="auto"/>
        <w:rPr>
          <w:sz w:val="20"/>
          <w:szCs w:val="20"/>
          <w:color w:val="auto"/>
        </w:rPr>
      </w:pPr>
      <w:r>
        <w:rPr>
          <w:rFonts w:ascii="Arial" w:cs="Arial" w:eastAsia="Arial" w:hAnsi="Arial"/>
          <w:sz w:val="18"/>
          <w:szCs w:val="18"/>
          <w:color w:val="auto"/>
        </w:rPr>
        <w:t>Autodesk used the Black-Scholes-Merton option-pricing model to estimate the fair value of stock-based awards and the fair value of awards under the ESP Plan based on the following assumptions:</w:t>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0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360" w:type="dxa"/>
            <w:vAlign w:val="bottom"/>
            <w:gridSpan w:val="3"/>
          </w:tcPr>
          <w:p>
            <w:pPr>
              <w:jc w:val="center"/>
              <w:ind w:left="41"/>
              <w:spacing w:after="0"/>
              <w:rPr>
                <w:sz w:val="20"/>
                <w:szCs w:val="20"/>
                <w:color w:val="auto"/>
              </w:rPr>
            </w:pPr>
            <w:r>
              <w:rPr>
                <w:rFonts w:ascii="Arial" w:cs="Arial" w:eastAsia="Arial" w:hAnsi="Arial"/>
                <w:sz w:val="14"/>
                <w:szCs w:val="14"/>
                <w:b w:val="1"/>
                <w:bCs w:val="1"/>
                <w:color w:val="auto"/>
                <w:w w:val="86"/>
              </w:rPr>
              <w:t>Three months</w:t>
            </w:r>
          </w:p>
        </w:tc>
        <w:tc>
          <w:tcPr>
            <w:tcW w:w="6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400" w:type="dxa"/>
            <w:vAlign w:val="bottom"/>
            <w:gridSpan w:val="3"/>
          </w:tcPr>
          <w:p>
            <w:pPr>
              <w:jc w:val="center"/>
              <w:ind w:left="2"/>
              <w:spacing w:after="0"/>
              <w:rPr>
                <w:sz w:val="20"/>
                <w:szCs w:val="20"/>
                <w:color w:val="auto"/>
              </w:rPr>
            </w:pPr>
            <w:r>
              <w:rPr>
                <w:rFonts w:ascii="Arial" w:cs="Arial" w:eastAsia="Arial" w:hAnsi="Arial"/>
                <w:sz w:val="14"/>
                <w:szCs w:val="14"/>
                <w:b w:val="1"/>
                <w:bCs w:val="1"/>
                <w:color w:val="auto"/>
                <w:w w:val="86"/>
              </w:rPr>
              <w:t>Three months</w:t>
            </w:r>
          </w:p>
        </w:tc>
        <w:tc>
          <w:tcPr>
            <w:tcW w:w="660" w:type="dxa"/>
            <w:vAlign w:val="bottom"/>
          </w:tcPr>
          <w:p>
            <w:pPr>
              <w:spacing w:after="0"/>
              <w:rPr>
                <w:sz w:val="14"/>
                <w:szCs w:val="14"/>
                <w:color w:val="auto"/>
              </w:rPr>
            </w:pPr>
          </w:p>
        </w:tc>
      </w:tr>
      <w:tr>
        <w:trPr>
          <w:trHeight w:val="161"/>
        </w:trPr>
        <w:tc>
          <w:tcPr>
            <w:tcW w:w="6040" w:type="dxa"/>
            <w:vAlign w:val="bottom"/>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2040" w:type="dxa"/>
            <w:vAlign w:val="bottom"/>
            <w:tcBorders>
              <w:bottom w:val="single" w:sz="8" w:color="auto"/>
            </w:tcBorders>
            <w:gridSpan w:val="4"/>
          </w:tcPr>
          <w:p>
            <w:pPr>
              <w:jc w:val="center"/>
              <w:ind w:right="472"/>
              <w:spacing w:after="0"/>
              <w:rPr>
                <w:sz w:val="20"/>
                <w:szCs w:val="20"/>
                <w:color w:val="auto"/>
              </w:rPr>
            </w:pPr>
            <w:r>
              <w:rPr>
                <w:rFonts w:ascii="Arial" w:cs="Arial" w:eastAsia="Arial" w:hAnsi="Arial"/>
                <w:sz w:val="14"/>
                <w:szCs w:val="14"/>
                <w:b w:val="1"/>
                <w:bCs w:val="1"/>
                <w:color w:val="auto"/>
                <w:w w:val="86"/>
              </w:rPr>
              <w:t>ended October 31, 2009</w:t>
            </w:r>
          </w:p>
        </w:tc>
        <w:tc>
          <w:tcPr>
            <w:tcW w:w="120" w:type="dxa"/>
            <w:vAlign w:val="bottom"/>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1400" w:type="dxa"/>
            <w:vAlign w:val="bottom"/>
            <w:tcBorders>
              <w:bottom w:val="single" w:sz="8" w:color="auto"/>
            </w:tcBorders>
            <w:gridSpan w:val="3"/>
          </w:tcPr>
          <w:p>
            <w:pPr>
              <w:jc w:val="center"/>
              <w:ind w:left="2"/>
              <w:spacing w:after="0"/>
              <w:rPr>
                <w:sz w:val="20"/>
                <w:szCs w:val="20"/>
                <w:color w:val="auto"/>
              </w:rPr>
            </w:pPr>
            <w:r>
              <w:rPr>
                <w:rFonts w:ascii="Arial" w:cs="Arial" w:eastAsia="Arial" w:hAnsi="Arial"/>
                <w:sz w:val="14"/>
                <w:szCs w:val="14"/>
                <w:b w:val="1"/>
                <w:bCs w:val="1"/>
                <w:color w:val="auto"/>
                <w:w w:val="86"/>
              </w:rPr>
              <w:t>ended October 31,2008</w:t>
            </w:r>
          </w:p>
        </w:tc>
        <w:tc>
          <w:tcPr>
            <w:tcW w:w="660" w:type="dxa"/>
            <w:vAlign w:val="bottom"/>
            <w:tcBorders>
              <w:bottom w:val="single" w:sz="8" w:color="auto"/>
            </w:tcBorders>
          </w:tcPr>
          <w:p>
            <w:pPr>
              <w:spacing w:after="0"/>
              <w:rPr>
                <w:sz w:val="14"/>
                <w:szCs w:val="14"/>
                <w:color w:val="auto"/>
              </w:rPr>
            </w:pPr>
          </w:p>
        </w:tc>
      </w:tr>
      <w:tr>
        <w:trPr>
          <w:trHeight w:val="129"/>
        </w:trPr>
        <w:tc>
          <w:tcPr>
            <w:tcW w:w="6040" w:type="dxa"/>
            <w:vAlign w:val="bottom"/>
          </w:tcPr>
          <w:p>
            <w:pPr>
              <w:spacing w:after="0"/>
              <w:rPr>
                <w:sz w:val="11"/>
                <w:szCs w:val="11"/>
                <w:color w:val="auto"/>
              </w:rPr>
            </w:pPr>
          </w:p>
        </w:tc>
        <w:tc>
          <w:tcPr>
            <w:tcW w:w="1260" w:type="dxa"/>
            <w:vAlign w:val="bottom"/>
            <w:gridSpan w:val="2"/>
          </w:tcPr>
          <w:p>
            <w:pPr>
              <w:jc w:val="center"/>
              <w:spacing w:after="0" w:line="129" w:lineRule="exact"/>
              <w:rPr>
                <w:sz w:val="20"/>
                <w:szCs w:val="20"/>
                <w:color w:val="auto"/>
              </w:rPr>
            </w:pPr>
            <w:r>
              <w:rPr>
                <w:rFonts w:ascii="Arial" w:cs="Arial" w:eastAsia="Arial" w:hAnsi="Arial"/>
                <w:sz w:val="14"/>
                <w:szCs w:val="14"/>
                <w:b w:val="1"/>
                <w:bCs w:val="1"/>
                <w:color w:val="auto"/>
                <w:w w:val="87"/>
              </w:rPr>
              <w:t>Stock Option</w:t>
            </w: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60" w:type="dxa"/>
            <w:vAlign w:val="bottom"/>
            <w:gridSpan w:val="2"/>
          </w:tcPr>
          <w:p>
            <w:pPr>
              <w:jc w:val="center"/>
              <w:spacing w:after="0" w:line="129" w:lineRule="exact"/>
              <w:rPr>
                <w:sz w:val="20"/>
                <w:szCs w:val="20"/>
                <w:color w:val="auto"/>
              </w:rPr>
            </w:pPr>
            <w:r>
              <w:rPr>
                <w:rFonts w:ascii="Arial" w:cs="Arial" w:eastAsia="Arial" w:hAnsi="Arial"/>
                <w:sz w:val="14"/>
                <w:szCs w:val="14"/>
                <w:b w:val="1"/>
                <w:bCs w:val="1"/>
                <w:color w:val="auto"/>
                <w:w w:val="87"/>
              </w:rPr>
              <w:t>Stock Option</w:t>
            </w: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r>
      <w:tr>
        <w:trPr>
          <w:trHeight w:val="161"/>
        </w:trPr>
        <w:tc>
          <w:tcPr>
            <w:tcW w:w="6040" w:type="dxa"/>
            <w:vAlign w:val="bottom"/>
          </w:tcPr>
          <w:p>
            <w:pPr>
              <w:spacing w:after="0"/>
              <w:rPr>
                <w:sz w:val="14"/>
                <w:szCs w:val="14"/>
                <w:color w:val="auto"/>
              </w:rPr>
            </w:pPr>
          </w:p>
        </w:tc>
        <w:tc>
          <w:tcPr>
            <w:tcW w:w="126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85"/>
              </w:rPr>
              <w:t>Plans</w:t>
            </w:r>
          </w:p>
        </w:tc>
        <w:tc>
          <w:tcPr>
            <w:tcW w:w="100" w:type="dxa"/>
            <w:vAlign w:val="bottom"/>
          </w:tcPr>
          <w:p>
            <w:pPr>
              <w:spacing w:after="0"/>
              <w:rPr>
                <w:sz w:val="14"/>
                <w:szCs w:val="14"/>
                <w:color w:val="auto"/>
              </w:rPr>
            </w:pPr>
          </w:p>
        </w:tc>
        <w:tc>
          <w:tcPr>
            <w:tcW w:w="1260" w:type="dxa"/>
            <w:vAlign w:val="bottom"/>
            <w:tcBorders>
              <w:bottom w:val="single" w:sz="8" w:color="auto"/>
            </w:tcBorders>
            <w:gridSpan w:val="2"/>
          </w:tcPr>
          <w:p>
            <w:pPr>
              <w:ind w:left="360"/>
              <w:spacing w:after="0"/>
              <w:rPr>
                <w:sz w:val="20"/>
                <w:szCs w:val="20"/>
                <w:color w:val="auto"/>
              </w:rPr>
            </w:pPr>
            <w:r>
              <w:rPr>
                <w:rFonts w:ascii="Arial" w:cs="Arial" w:eastAsia="Arial" w:hAnsi="Arial"/>
                <w:sz w:val="14"/>
                <w:szCs w:val="14"/>
                <w:b w:val="1"/>
                <w:bCs w:val="1"/>
                <w:color w:val="auto"/>
              </w:rPr>
              <w:t>ESP Plan</w:t>
            </w:r>
          </w:p>
        </w:tc>
        <w:tc>
          <w:tcPr>
            <w:tcW w:w="120" w:type="dxa"/>
            <w:vAlign w:val="bottom"/>
          </w:tcPr>
          <w:p>
            <w:pPr>
              <w:spacing w:after="0"/>
              <w:rPr>
                <w:sz w:val="14"/>
                <w:szCs w:val="14"/>
                <w:color w:val="auto"/>
              </w:rPr>
            </w:pPr>
          </w:p>
        </w:tc>
        <w:tc>
          <w:tcPr>
            <w:tcW w:w="126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80"/>
              </w:rPr>
              <w:t>Plans</w:t>
            </w:r>
          </w:p>
        </w:tc>
        <w:tc>
          <w:tcPr>
            <w:tcW w:w="120" w:type="dxa"/>
            <w:vAlign w:val="bottom"/>
          </w:tcPr>
          <w:p>
            <w:pPr>
              <w:spacing w:after="0"/>
              <w:rPr>
                <w:sz w:val="14"/>
                <w:szCs w:val="14"/>
                <w:color w:val="auto"/>
              </w:rPr>
            </w:pPr>
          </w:p>
        </w:tc>
        <w:tc>
          <w:tcPr>
            <w:tcW w:w="1260" w:type="dxa"/>
            <w:vAlign w:val="bottom"/>
            <w:tcBorders>
              <w:bottom w:val="single" w:sz="8" w:color="auto"/>
            </w:tcBorders>
            <w:gridSpan w:val="2"/>
          </w:tcPr>
          <w:p>
            <w:pPr>
              <w:ind w:left="360"/>
              <w:spacing w:after="0"/>
              <w:rPr>
                <w:sz w:val="20"/>
                <w:szCs w:val="20"/>
                <w:color w:val="auto"/>
              </w:rPr>
            </w:pPr>
            <w:r>
              <w:rPr>
                <w:rFonts w:ascii="Arial" w:cs="Arial" w:eastAsia="Arial" w:hAnsi="Arial"/>
                <w:sz w:val="14"/>
                <w:szCs w:val="14"/>
                <w:b w:val="1"/>
                <w:bCs w:val="1"/>
                <w:color w:val="auto"/>
              </w:rPr>
              <w:t>ESP Plan</w:t>
            </w:r>
          </w:p>
        </w:tc>
      </w:tr>
      <w:tr>
        <w:trPr>
          <w:trHeight w:val="210"/>
        </w:trPr>
        <w:tc>
          <w:tcPr>
            <w:tcW w:w="6040" w:type="dxa"/>
            <w:vAlign w:val="bottom"/>
            <w:shd w:val="clear" w:color="auto" w:fill="CCEEFF"/>
          </w:tcPr>
          <w:p>
            <w:pPr>
              <w:spacing w:after="0"/>
              <w:rPr>
                <w:sz w:val="20"/>
                <w:szCs w:val="20"/>
                <w:color w:val="auto"/>
              </w:rPr>
            </w:pPr>
            <w:r>
              <w:rPr>
                <w:rFonts w:ascii="Arial" w:cs="Arial" w:eastAsia="Arial" w:hAnsi="Arial"/>
                <w:sz w:val="18"/>
                <w:szCs w:val="18"/>
                <w:color w:val="auto"/>
              </w:rPr>
              <w:t>Range of expected volatilities</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0.45</w:t>
            </w:r>
          </w:p>
        </w:tc>
        <w:tc>
          <w:tcPr>
            <w:tcW w:w="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- 0.47</w:t>
            </w: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0.43</w:t>
            </w:r>
          </w:p>
        </w:tc>
        <w:tc>
          <w:tcPr>
            <w:tcW w:w="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- 0.55</w:t>
            </w:r>
          </w:p>
        </w:tc>
        <w:tc>
          <w:tcPr>
            <w:tcW w:w="1380" w:type="dxa"/>
            <w:vAlign w:val="bottom"/>
            <w:gridSpan w:val="3"/>
            <w:shd w:val="clear" w:color="auto" w:fill="CCEEFF"/>
          </w:tcPr>
          <w:p>
            <w:pPr>
              <w:jc w:val="center"/>
              <w:ind w:left="32"/>
              <w:spacing w:after="0"/>
              <w:rPr>
                <w:sz w:val="20"/>
                <w:szCs w:val="20"/>
                <w:color w:val="auto"/>
              </w:rPr>
            </w:pPr>
            <w:r>
              <w:rPr>
                <w:rFonts w:ascii="Arial" w:cs="Arial" w:eastAsia="Arial" w:hAnsi="Arial"/>
                <w:sz w:val="18"/>
                <w:szCs w:val="18"/>
                <w:color w:val="auto"/>
                <w:w w:val="85"/>
              </w:rPr>
              <w:t>0.38</w:t>
            </w: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0.38</w:t>
            </w:r>
          </w:p>
        </w:tc>
        <w:tc>
          <w:tcPr>
            <w:tcW w:w="660" w:type="dxa"/>
            <w:vAlign w:val="bottom"/>
            <w:shd w:val="clear" w:color="auto" w:fill="CCEEFF"/>
          </w:tcPr>
          <w:p>
            <w:pPr>
              <w:spacing w:after="0"/>
              <w:rPr>
                <w:sz w:val="20"/>
                <w:szCs w:val="20"/>
                <w:color w:val="auto"/>
              </w:rPr>
            </w:pPr>
            <w:r>
              <w:rPr>
                <w:rFonts w:ascii="Arial" w:cs="Arial" w:eastAsia="Arial" w:hAnsi="Arial"/>
                <w:sz w:val="18"/>
                <w:szCs w:val="18"/>
                <w:color w:val="auto"/>
              </w:rPr>
              <w:t>- 0.41</w:t>
            </w:r>
          </w:p>
        </w:tc>
      </w:tr>
      <w:tr>
        <w:trPr>
          <w:trHeight w:val="216"/>
        </w:trPr>
        <w:tc>
          <w:tcPr>
            <w:tcW w:w="6040" w:type="dxa"/>
            <w:vAlign w:val="bottom"/>
          </w:tcPr>
          <w:p>
            <w:pPr>
              <w:spacing w:after="0"/>
              <w:rPr>
                <w:sz w:val="20"/>
                <w:szCs w:val="20"/>
                <w:color w:val="auto"/>
              </w:rPr>
            </w:pPr>
            <w:r>
              <w:rPr>
                <w:rFonts w:ascii="Arial" w:cs="Arial" w:eastAsia="Arial" w:hAnsi="Arial"/>
                <w:sz w:val="18"/>
                <w:szCs w:val="18"/>
                <w:color w:val="auto"/>
              </w:rPr>
              <w:t>Range of expected lives (in years)</w:t>
            </w:r>
          </w:p>
        </w:tc>
        <w:tc>
          <w:tcPr>
            <w:tcW w:w="580" w:type="dxa"/>
            <w:vAlign w:val="bottom"/>
          </w:tcPr>
          <w:p>
            <w:pPr>
              <w:jc w:val="right"/>
              <w:spacing w:after="0"/>
              <w:rPr>
                <w:sz w:val="20"/>
                <w:szCs w:val="20"/>
                <w:color w:val="auto"/>
              </w:rPr>
            </w:pPr>
            <w:r>
              <w:rPr>
                <w:rFonts w:ascii="Arial" w:cs="Arial" w:eastAsia="Arial" w:hAnsi="Arial"/>
                <w:sz w:val="18"/>
                <w:szCs w:val="18"/>
                <w:color w:val="auto"/>
              </w:rPr>
              <w:t>2.7</w:t>
            </w:r>
          </w:p>
        </w:tc>
        <w:tc>
          <w:tcPr>
            <w:tcW w:w="680" w:type="dxa"/>
            <w:vAlign w:val="bottom"/>
          </w:tcPr>
          <w:p>
            <w:pPr>
              <w:ind w:left="20"/>
              <w:spacing w:after="0"/>
              <w:rPr>
                <w:sz w:val="20"/>
                <w:szCs w:val="20"/>
                <w:color w:val="auto"/>
              </w:rPr>
            </w:pPr>
            <w:r>
              <w:rPr>
                <w:rFonts w:ascii="Arial" w:cs="Arial" w:eastAsia="Arial" w:hAnsi="Arial"/>
                <w:sz w:val="18"/>
                <w:szCs w:val="18"/>
                <w:color w:val="auto"/>
              </w:rPr>
              <w:t>- 4.0</w:t>
            </w: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0.5</w:t>
            </w:r>
          </w:p>
        </w:tc>
        <w:tc>
          <w:tcPr>
            <w:tcW w:w="680" w:type="dxa"/>
            <w:vAlign w:val="bottom"/>
          </w:tcPr>
          <w:p>
            <w:pPr>
              <w:ind w:left="20"/>
              <w:spacing w:after="0"/>
              <w:rPr>
                <w:sz w:val="20"/>
                <w:szCs w:val="20"/>
                <w:color w:val="auto"/>
              </w:rPr>
            </w:pPr>
            <w:r>
              <w:rPr>
                <w:rFonts w:ascii="Arial" w:cs="Arial" w:eastAsia="Arial" w:hAnsi="Arial"/>
                <w:sz w:val="18"/>
                <w:szCs w:val="18"/>
                <w:color w:val="auto"/>
              </w:rPr>
              <w:t>- 2.0</w:t>
            </w: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2.7</w:t>
            </w:r>
          </w:p>
        </w:tc>
        <w:tc>
          <w:tcPr>
            <w:tcW w:w="680" w:type="dxa"/>
            <w:vAlign w:val="bottom"/>
          </w:tcPr>
          <w:p>
            <w:pPr>
              <w:ind w:left="20"/>
              <w:spacing w:after="0"/>
              <w:rPr>
                <w:sz w:val="20"/>
                <w:szCs w:val="20"/>
                <w:color w:val="auto"/>
              </w:rPr>
            </w:pPr>
            <w:r>
              <w:rPr>
                <w:rFonts w:ascii="Arial" w:cs="Arial" w:eastAsia="Arial" w:hAnsi="Arial"/>
                <w:sz w:val="18"/>
                <w:szCs w:val="18"/>
                <w:color w:val="auto"/>
              </w:rPr>
              <w:t>- 4.0</w:t>
            </w: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0.5</w:t>
            </w:r>
          </w:p>
        </w:tc>
        <w:tc>
          <w:tcPr>
            <w:tcW w:w="660" w:type="dxa"/>
            <w:vAlign w:val="bottom"/>
          </w:tcPr>
          <w:p>
            <w:pPr>
              <w:spacing w:after="0"/>
              <w:rPr>
                <w:sz w:val="20"/>
                <w:szCs w:val="20"/>
                <w:color w:val="auto"/>
              </w:rPr>
            </w:pPr>
            <w:r>
              <w:rPr>
                <w:rFonts w:ascii="Arial" w:cs="Arial" w:eastAsia="Arial" w:hAnsi="Arial"/>
                <w:sz w:val="18"/>
                <w:szCs w:val="18"/>
                <w:color w:val="auto"/>
              </w:rPr>
              <w:t>- 2.0</w:t>
            </w:r>
          </w:p>
        </w:tc>
      </w:tr>
      <w:tr>
        <w:trPr>
          <w:trHeight w:val="216"/>
        </w:trPr>
        <w:tc>
          <w:tcPr>
            <w:tcW w:w="6040" w:type="dxa"/>
            <w:vAlign w:val="bottom"/>
            <w:shd w:val="clear" w:color="auto" w:fill="CCEEFF"/>
          </w:tcPr>
          <w:p>
            <w:pPr>
              <w:spacing w:after="0"/>
              <w:rPr>
                <w:sz w:val="20"/>
                <w:szCs w:val="20"/>
                <w:color w:val="auto"/>
              </w:rPr>
            </w:pPr>
            <w:r>
              <w:rPr>
                <w:rFonts w:ascii="Arial" w:cs="Arial" w:eastAsia="Arial" w:hAnsi="Arial"/>
                <w:sz w:val="18"/>
                <w:szCs w:val="18"/>
                <w:color w:val="auto"/>
              </w:rPr>
              <w:t>Expected dividends</w:t>
            </w:r>
          </w:p>
        </w:tc>
        <w:tc>
          <w:tcPr>
            <w:tcW w:w="1260" w:type="dxa"/>
            <w:vAlign w:val="bottom"/>
            <w:gridSpan w:val="2"/>
            <w:shd w:val="clear" w:color="auto" w:fill="CCEEFF"/>
          </w:tcPr>
          <w:p>
            <w:pPr>
              <w:jc w:val="center"/>
              <w:spacing w:after="0"/>
              <w:rPr>
                <w:sz w:val="20"/>
                <w:szCs w:val="20"/>
                <w:color w:val="auto"/>
              </w:rPr>
            </w:pPr>
            <w:r>
              <w:rPr>
                <w:rFonts w:ascii="Arial" w:cs="Arial" w:eastAsia="Arial" w:hAnsi="Arial"/>
                <w:sz w:val="18"/>
                <w:szCs w:val="18"/>
                <w:color w:val="auto"/>
                <w:w w:val="84"/>
              </w:rPr>
              <w:t>0%</w:t>
            </w:r>
          </w:p>
        </w:tc>
        <w:tc>
          <w:tcPr>
            <w:tcW w:w="1360" w:type="dxa"/>
            <w:vAlign w:val="bottom"/>
            <w:gridSpan w:val="3"/>
            <w:shd w:val="clear" w:color="auto" w:fill="CCEEFF"/>
          </w:tcPr>
          <w:p>
            <w:pPr>
              <w:jc w:val="center"/>
              <w:ind w:left="32"/>
              <w:spacing w:after="0"/>
              <w:rPr>
                <w:sz w:val="20"/>
                <w:szCs w:val="20"/>
                <w:color w:val="auto"/>
              </w:rPr>
            </w:pPr>
            <w:r>
              <w:rPr>
                <w:rFonts w:ascii="Arial" w:cs="Arial" w:eastAsia="Arial" w:hAnsi="Arial"/>
                <w:sz w:val="18"/>
                <w:szCs w:val="18"/>
                <w:color w:val="auto"/>
                <w:w w:val="92"/>
              </w:rPr>
              <w:t>0%</w:t>
            </w:r>
          </w:p>
        </w:tc>
        <w:tc>
          <w:tcPr>
            <w:tcW w:w="1380" w:type="dxa"/>
            <w:vAlign w:val="bottom"/>
            <w:gridSpan w:val="3"/>
            <w:shd w:val="clear" w:color="auto" w:fill="CCEEFF"/>
          </w:tcPr>
          <w:p>
            <w:pPr>
              <w:jc w:val="center"/>
              <w:ind w:left="32"/>
              <w:spacing w:after="0"/>
              <w:rPr>
                <w:sz w:val="20"/>
                <w:szCs w:val="20"/>
                <w:color w:val="auto"/>
              </w:rPr>
            </w:pPr>
            <w:r>
              <w:rPr>
                <w:rFonts w:ascii="Arial" w:cs="Arial" w:eastAsia="Arial" w:hAnsi="Arial"/>
                <w:sz w:val="18"/>
                <w:szCs w:val="18"/>
                <w:color w:val="auto"/>
                <w:w w:val="84"/>
              </w:rPr>
              <w:t>0%</w:t>
            </w:r>
          </w:p>
        </w:tc>
        <w:tc>
          <w:tcPr>
            <w:tcW w:w="1380" w:type="dxa"/>
            <w:vAlign w:val="bottom"/>
            <w:gridSpan w:val="3"/>
            <w:shd w:val="clear" w:color="auto" w:fill="CCEEFF"/>
          </w:tcPr>
          <w:p>
            <w:pPr>
              <w:jc w:val="center"/>
              <w:ind w:left="12"/>
              <w:spacing w:after="0"/>
              <w:rPr>
                <w:sz w:val="20"/>
                <w:szCs w:val="20"/>
                <w:color w:val="auto"/>
              </w:rPr>
            </w:pPr>
            <w:r>
              <w:rPr>
                <w:rFonts w:ascii="Arial" w:cs="Arial" w:eastAsia="Arial" w:hAnsi="Arial"/>
                <w:sz w:val="18"/>
                <w:szCs w:val="18"/>
                <w:color w:val="auto"/>
                <w:w w:val="92"/>
              </w:rPr>
              <w:t>0%</w:t>
            </w:r>
          </w:p>
        </w:tc>
      </w:tr>
      <w:tr>
        <w:trPr>
          <w:trHeight w:val="216"/>
        </w:trPr>
        <w:tc>
          <w:tcPr>
            <w:tcW w:w="6040" w:type="dxa"/>
            <w:vAlign w:val="bottom"/>
          </w:tcPr>
          <w:p>
            <w:pPr>
              <w:spacing w:after="0"/>
              <w:rPr>
                <w:sz w:val="20"/>
                <w:szCs w:val="20"/>
                <w:color w:val="auto"/>
              </w:rPr>
            </w:pPr>
            <w:r>
              <w:rPr>
                <w:rFonts w:ascii="Arial" w:cs="Arial" w:eastAsia="Arial" w:hAnsi="Arial"/>
                <w:sz w:val="18"/>
                <w:szCs w:val="18"/>
                <w:color w:val="auto"/>
              </w:rPr>
              <w:t>Range of risk-free interest rates</w:t>
            </w:r>
          </w:p>
        </w:tc>
        <w:tc>
          <w:tcPr>
            <w:tcW w:w="580" w:type="dxa"/>
            <w:vAlign w:val="bottom"/>
          </w:tcPr>
          <w:p>
            <w:pPr>
              <w:jc w:val="right"/>
              <w:spacing w:after="0"/>
              <w:rPr>
                <w:sz w:val="20"/>
                <w:szCs w:val="20"/>
                <w:color w:val="auto"/>
              </w:rPr>
            </w:pPr>
            <w:r>
              <w:rPr>
                <w:rFonts w:ascii="Arial" w:cs="Arial" w:eastAsia="Arial" w:hAnsi="Arial"/>
                <w:sz w:val="18"/>
                <w:szCs w:val="18"/>
                <w:color w:val="auto"/>
              </w:rPr>
              <w:t>1.25%</w:t>
            </w:r>
          </w:p>
        </w:tc>
        <w:tc>
          <w:tcPr>
            <w:tcW w:w="680" w:type="dxa"/>
            <w:vAlign w:val="bottom"/>
          </w:tcPr>
          <w:p>
            <w:pPr>
              <w:ind w:left="20"/>
              <w:spacing w:after="0"/>
              <w:rPr>
                <w:sz w:val="20"/>
                <w:szCs w:val="20"/>
                <w:color w:val="auto"/>
              </w:rPr>
            </w:pPr>
            <w:r>
              <w:rPr>
                <w:rFonts w:ascii="Arial" w:cs="Arial" w:eastAsia="Arial" w:hAnsi="Arial"/>
                <w:sz w:val="18"/>
                <w:szCs w:val="18"/>
                <w:color w:val="auto"/>
              </w:rPr>
              <w:t>- 1.98%</w:t>
            </w: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0.20%</w:t>
            </w:r>
          </w:p>
        </w:tc>
        <w:tc>
          <w:tcPr>
            <w:tcW w:w="680" w:type="dxa"/>
            <w:vAlign w:val="bottom"/>
          </w:tcPr>
          <w:p>
            <w:pPr>
              <w:ind w:left="20"/>
              <w:spacing w:after="0"/>
              <w:rPr>
                <w:sz w:val="20"/>
                <w:szCs w:val="20"/>
                <w:color w:val="auto"/>
              </w:rPr>
            </w:pPr>
            <w:r>
              <w:rPr>
                <w:rFonts w:ascii="Arial" w:cs="Arial" w:eastAsia="Arial" w:hAnsi="Arial"/>
                <w:sz w:val="18"/>
                <w:szCs w:val="18"/>
                <w:color w:val="auto"/>
              </w:rPr>
              <w:t>- 0.98%</w:t>
            </w: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1.98%</w:t>
            </w:r>
          </w:p>
        </w:tc>
        <w:tc>
          <w:tcPr>
            <w:tcW w:w="680" w:type="dxa"/>
            <w:vAlign w:val="bottom"/>
          </w:tcPr>
          <w:p>
            <w:pPr>
              <w:ind w:left="20"/>
              <w:spacing w:after="0"/>
              <w:rPr>
                <w:sz w:val="20"/>
                <w:szCs w:val="20"/>
                <w:color w:val="auto"/>
              </w:rPr>
            </w:pPr>
            <w:r>
              <w:rPr>
                <w:rFonts w:ascii="Arial" w:cs="Arial" w:eastAsia="Arial" w:hAnsi="Arial"/>
                <w:sz w:val="18"/>
                <w:szCs w:val="18"/>
                <w:color w:val="auto"/>
              </w:rPr>
              <w:t>- 2.40%</w:t>
            </w: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1.29%</w:t>
            </w:r>
          </w:p>
        </w:tc>
        <w:tc>
          <w:tcPr>
            <w:tcW w:w="660" w:type="dxa"/>
            <w:vAlign w:val="bottom"/>
          </w:tcPr>
          <w:p>
            <w:pPr>
              <w:spacing w:after="0"/>
              <w:rPr>
                <w:sz w:val="20"/>
                <w:szCs w:val="20"/>
                <w:color w:val="auto"/>
              </w:rPr>
            </w:pPr>
            <w:r>
              <w:rPr>
                <w:rFonts w:ascii="Arial" w:cs="Arial" w:eastAsia="Arial" w:hAnsi="Arial"/>
                <w:sz w:val="18"/>
                <w:szCs w:val="18"/>
                <w:color w:val="auto"/>
              </w:rPr>
              <w:t>- 1.85%</w:t>
            </w:r>
          </w:p>
        </w:tc>
      </w:tr>
      <w:tr>
        <w:trPr>
          <w:trHeight w:val="216"/>
        </w:trPr>
        <w:tc>
          <w:tcPr>
            <w:tcW w:w="6040" w:type="dxa"/>
            <w:vAlign w:val="bottom"/>
            <w:shd w:val="clear" w:color="auto" w:fill="CCEEFF"/>
          </w:tcPr>
          <w:p>
            <w:pPr>
              <w:spacing w:after="0"/>
              <w:rPr>
                <w:sz w:val="20"/>
                <w:szCs w:val="20"/>
                <w:color w:val="auto"/>
              </w:rPr>
            </w:pPr>
            <w:r>
              <w:rPr>
                <w:rFonts w:ascii="Arial" w:cs="Arial" w:eastAsia="Arial" w:hAnsi="Arial"/>
                <w:sz w:val="18"/>
                <w:szCs w:val="18"/>
                <w:color w:val="auto"/>
              </w:rPr>
              <w:t>Expected forfeitures</w:t>
            </w:r>
          </w:p>
        </w:tc>
        <w:tc>
          <w:tcPr>
            <w:tcW w:w="1260" w:type="dxa"/>
            <w:vAlign w:val="bottom"/>
            <w:gridSpan w:val="2"/>
            <w:shd w:val="clear" w:color="auto" w:fill="CCEEFF"/>
          </w:tcPr>
          <w:p>
            <w:pPr>
              <w:jc w:val="center"/>
              <w:spacing w:after="0"/>
              <w:rPr>
                <w:sz w:val="20"/>
                <w:szCs w:val="20"/>
                <w:color w:val="auto"/>
              </w:rPr>
            </w:pPr>
            <w:r>
              <w:rPr>
                <w:rFonts w:ascii="Arial" w:cs="Arial" w:eastAsia="Arial" w:hAnsi="Arial"/>
                <w:sz w:val="18"/>
                <w:szCs w:val="18"/>
                <w:color w:val="auto"/>
                <w:w w:val="90"/>
              </w:rPr>
              <w:t>13.5%</w:t>
            </w:r>
          </w:p>
        </w:tc>
        <w:tc>
          <w:tcPr>
            <w:tcW w:w="1360" w:type="dxa"/>
            <w:vAlign w:val="bottom"/>
            <w:gridSpan w:val="3"/>
            <w:shd w:val="clear" w:color="auto" w:fill="CCEEFF"/>
          </w:tcPr>
          <w:p>
            <w:pPr>
              <w:jc w:val="center"/>
              <w:ind w:left="32"/>
              <w:spacing w:after="0"/>
              <w:rPr>
                <w:sz w:val="20"/>
                <w:szCs w:val="20"/>
                <w:color w:val="auto"/>
              </w:rPr>
            </w:pPr>
            <w:r>
              <w:rPr>
                <w:rFonts w:ascii="Arial" w:cs="Arial" w:eastAsia="Arial" w:hAnsi="Arial"/>
                <w:sz w:val="18"/>
                <w:szCs w:val="18"/>
                <w:color w:val="auto"/>
                <w:w w:val="86"/>
              </w:rPr>
              <w:t>13.5%</w:t>
            </w:r>
          </w:p>
        </w:tc>
        <w:tc>
          <w:tcPr>
            <w:tcW w:w="1380" w:type="dxa"/>
            <w:vAlign w:val="bottom"/>
            <w:gridSpan w:val="3"/>
            <w:shd w:val="clear" w:color="auto" w:fill="CCEEFF"/>
          </w:tcPr>
          <w:p>
            <w:pPr>
              <w:jc w:val="center"/>
              <w:ind w:left="32"/>
              <w:spacing w:after="0"/>
              <w:rPr>
                <w:sz w:val="20"/>
                <w:szCs w:val="20"/>
                <w:color w:val="auto"/>
              </w:rPr>
            </w:pPr>
            <w:r>
              <w:rPr>
                <w:rFonts w:ascii="Arial" w:cs="Arial" w:eastAsia="Arial" w:hAnsi="Arial"/>
                <w:sz w:val="18"/>
                <w:szCs w:val="18"/>
                <w:color w:val="auto"/>
                <w:w w:val="90"/>
              </w:rPr>
              <w:t>13.6%</w:t>
            </w:r>
          </w:p>
        </w:tc>
        <w:tc>
          <w:tcPr>
            <w:tcW w:w="1380" w:type="dxa"/>
            <w:vAlign w:val="bottom"/>
            <w:gridSpan w:val="3"/>
            <w:shd w:val="clear" w:color="auto" w:fill="CCEEFF"/>
          </w:tcPr>
          <w:p>
            <w:pPr>
              <w:jc w:val="center"/>
              <w:ind w:left="32"/>
              <w:spacing w:after="0"/>
              <w:rPr>
                <w:sz w:val="20"/>
                <w:szCs w:val="20"/>
                <w:color w:val="auto"/>
              </w:rPr>
            </w:pPr>
            <w:r>
              <w:rPr>
                <w:rFonts w:ascii="Arial" w:cs="Arial" w:eastAsia="Arial" w:hAnsi="Arial"/>
                <w:sz w:val="18"/>
                <w:szCs w:val="18"/>
                <w:color w:val="auto"/>
                <w:w w:val="90"/>
              </w:rPr>
              <w:t>13.6%</w:t>
            </w:r>
          </w:p>
        </w:tc>
      </w:tr>
      <w:tr>
        <w:trPr>
          <w:trHeight w:val="352"/>
        </w:trPr>
        <w:tc>
          <w:tcPr>
            <w:tcW w:w="60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360" w:type="dxa"/>
            <w:vAlign w:val="bottom"/>
            <w:gridSpan w:val="3"/>
          </w:tcPr>
          <w:p>
            <w:pPr>
              <w:jc w:val="center"/>
              <w:ind w:left="21"/>
              <w:spacing w:after="0"/>
              <w:rPr>
                <w:sz w:val="20"/>
                <w:szCs w:val="20"/>
                <w:color w:val="auto"/>
              </w:rPr>
            </w:pPr>
            <w:r>
              <w:rPr>
                <w:rFonts w:ascii="Arial" w:cs="Arial" w:eastAsia="Arial" w:hAnsi="Arial"/>
                <w:sz w:val="14"/>
                <w:szCs w:val="14"/>
                <w:b w:val="1"/>
                <w:bCs w:val="1"/>
                <w:color w:val="auto"/>
                <w:w w:val="87"/>
              </w:rPr>
              <w:t>Nine months</w:t>
            </w:r>
          </w:p>
        </w:tc>
        <w:tc>
          <w:tcPr>
            <w:tcW w:w="6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400" w:type="dxa"/>
            <w:vAlign w:val="bottom"/>
            <w:gridSpan w:val="3"/>
          </w:tcPr>
          <w:p>
            <w:pPr>
              <w:jc w:val="center"/>
              <w:ind w:left="2"/>
              <w:spacing w:after="0"/>
              <w:rPr>
                <w:sz w:val="20"/>
                <w:szCs w:val="20"/>
                <w:color w:val="auto"/>
              </w:rPr>
            </w:pPr>
            <w:r>
              <w:rPr>
                <w:rFonts w:ascii="Arial" w:cs="Arial" w:eastAsia="Arial" w:hAnsi="Arial"/>
                <w:sz w:val="14"/>
                <w:szCs w:val="14"/>
                <w:b w:val="1"/>
                <w:bCs w:val="1"/>
                <w:color w:val="auto"/>
                <w:w w:val="84"/>
              </w:rPr>
              <w:t>Nine months</w:t>
            </w:r>
          </w:p>
        </w:tc>
        <w:tc>
          <w:tcPr>
            <w:tcW w:w="660" w:type="dxa"/>
            <w:vAlign w:val="bottom"/>
          </w:tcPr>
          <w:p>
            <w:pPr>
              <w:spacing w:after="0"/>
              <w:rPr>
                <w:sz w:val="24"/>
                <w:szCs w:val="24"/>
                <w:color w:val="auto"/>
              </w:rPr>
            </w:pPr>
          </w:p>
        </w:tc>
      </w:tr>
      <w:tr>
        <w:trPr>
          <w:trHeight w:val="161"/>
        </w:trPr>
        <w:tc>
          <w:tcPr>
            <w:tcW w:w="6040" w:type="dxa"/>
            <w:vAlign w:val="bottom"/>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2040" w:type="dxa"/>
            <w:vAlign w:val="bottom"/>
            <w:tcBorders>
              <w:bottom w:val="single" w:sz="8" w:color="auto"/>
            </w:tcBorders>
            <w:gridSpan w:val="4"/>
          </w:tcPr>
          <w:p>
            <w:pPr>
              <w:jc w:val="center"/>
              <w:ind w:right="472"/>
              <w:spacing w:after="0"/>
              <w:rPr>
                <w:sz w:val="20"/>
                <w:szCs w:val="20"/>
                <w:color w:val="auto"/>
              </w:rPr>
            </w:pPr>
            <w:r>
              <w:rPr>
                <w:rFonts w:ascii="Arial" w:cs="Arial" w:eastAsia="Arial" w:hAnsi="Arial"/>
                <w:sz w:val="14"/>
                <w:szCs w:val="14"/>
                <w:b w:val="1"/>
                <w:bCs w:val="1"/>
                <w:color w:val="auto"/>
                <w:w w:val="86"/>
              </w:rPr>
              <w:t>ended October 31, 2009</w:t>
            </w:r>
          </w:p>
        </w:tc>
        <w:tc>
          <w:tcPr>
            <w:tcW w:w="120" w:type="dxa"/>
            <w:vAlign w:val="bottom"/>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2060" w:type="dxa"/>
            <w:vAlign w:val="bottom"/>
            <w:tcBorders>
              <w:bottom w:val="single" w:sz="8" w:color="auto"/>
            </w:tcBorders>
            <w:gridSpan w:val="4"/>
          </w:tcPr>
          <w:p>
            <w:pPr>
              <w:jc w:val="center"/>
              <w:ind w:right="492"/>
              <w:spacing w:after="0"/>
              <w:rPr>
                <w:sz w:val="20"/>
                <w:szCs w:val="20"/>
                <w:color w:val="auto"/>
              </w:rPr>
            </w:pPr>
            <w:r>
              <w:rPr>
                <w:rFonts w:ascii="Arial" w:cs="Arial" w:eastAsia="Arial" w:hAnsi="Arial"/>
                <w:sz w:val="14"/>
                <w:szCs w:val="14"/>
                <w:b w:val="1"/>
                <w:bCs w:val="1"/>
                <w:color w:val="auto"/>
                <w:w w:val="86"/>
              </w:rPr>
              <w:t>ended October 31, 2008</w:t>
            </w:r>
          </w:p>
        </w:tc>
      </w:tr>
      <w:tr>
        <w:trPr>
          <w:trHeight w:val="129"/>
        </w:trPr>
        <w:tc>
          <w:tcPr>
            <w:tcW w:w="6040" w:type="dxa"/>
            <w:vAlign w:val="bottom"/>
          </w:tcPr>
          <w:p>
            <w:pPr>
              <w:spacing w:after="0"/>
              <w:rPr>
                <w:sz w:val="11"/>
                <w:szCs w:val="11"/>
                <w:color w:val="auto"/>
              </w:rPr>
            </w:pPr>
          </w:p>
        </w:tc>
        <w:tc>
          <w:tcPr>
            <w:tcW w:w="1260" w:type="dxa"/>
            <w:vAlign w:val="bottom"/>
            <w:gridSpan w:val="2"/>
          </w:tcPr>
          <w:p>
            <w:pPr>
              <w:jc w:val="center"/>
              <w:spacing w:after="0" w:line="129" w:lineRule="exact"/>
              <w:rPr>
                <w:sz w:val="20"/>
                <w:szCs w:val="20"/>
                <w:color w:val="auto"/>
              </w:rPr>
            </w:pPr>
            <w:r>
              <w:rPr>
                <w:rFonts w:ascii="Arial" w:cs="Arial" w:eastAsia="Arial" w:hAnsi="Arial"/>
                <w:sz w:val="14"/>
                <w:szCs w:val="14"/>
                <w:b w:val="1"/>
                <w:bCs w:val="1"/>
                <w:color w:val="auto"/>
                <w:w w:val="87"/>
              </w:rPr>
              <w:t>Stock Option</w:t>
            </w: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60" w:type="dxa"/>
            <w:vAlign w:val="bottom"/>
            <w:gridSpan w:val="2"/>
          </w:tcPr>
          <w:p>
            <w:pPr>
              <w:jc w:val="center"/>
              <w:spacing w:after="0" w:line="129" w:lineRule="exact"/>
              <w:rPr>
                <w:sz w:val="20"/>
                <w:szCs w:val="20"/>
                <w:color w:val="auto"/>
              </w:rPr>
            </w:pPr>
            <w:r>
              <w:rPr>
                <w:rFonts w:ascii="Arial" w:cs="Arial" w:eastAsia="Arial" w:hAnsi="Arial"/>
                <w:sz w:val="14"/>
                <w:szCs w:val="14"/>
                <w:b w:val="1"/>
                <w:bCs w:val="1"/>
                <w:color w:val="auto"/>
                <w:w w:val="87"/>
              </w:rPr>
              <w:t>Stock Option</w:t>
            </w: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r>
      <w:tr>
        <w:trPr>
          <w:trHeight w:val="161"/>
        </w:trPr>
        <w:tc>
          <w:tcPr>
            <w:tcW w:w="6040" w:type="dxa"/>
            <w:vAlign w:val="bottom"/>
          </w:tcPr>
          <w:p>
            <w:pPr>
              <w:spacing w:after="0"/>
              <w:rPr>
                <w:sz w:val="14"/>
                <w:szCs w:val="14"/>
                <w:color w:val="auto"/>
              </w:rPr>
            </w:pPr>
          </w:p>
        </w:tc>
        <w:tc>
          <w:tcPr>
            <w:tcW w:w="126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85"/>
              </w:rPr>
              <w:t>Plans</w:t>
            </w:r>
          </w:p>
        </w:tc>
        <w:tc>
          <w:tcPr>
            <w:tcW w:w="100" w:type="dxa"/>
            <w:vAlign w:val="bottom"/>
          </w:tcPr>
          <w:p>
            <w:pPr>
              <w:spacing w:after="0"/>
              <w:rPr>
                <w:sz w:val="14"/>
                <w:szCs w:val="14"/>
                <w:color w:val="auto"/>
              </w:rPr>
            </w:pPr>
          </w:p>
        </w:tc>
        <w:tc>
          <w:tcPr>
            <w:tcW w:w="1260" w:type="dxa"/>
            <w:vAlign w:val="bottom"/>
            <w:tcBorders>
              <w:bottom w:val="single" w:sz="8" w:color="auto"/>
            </w:tcBorders>
            <w:gridSpan w:val="2"/>
          </w:tcPr>
          <w:p>
            <w:pPr>
              <w:ind w:left="360"/>
              <w:spacing w:after="0"/>
              <w:rPr>
                <w:sz w:val="20"/>
                <w:szCs w:val="20"/>
                <w:color w:val="auto"/>
              </w:rPr>
            </w:pPr>
            <w:r>
              <w:rPr>
                <w:rFonts w:ascii="Arial" w:cs="Arial" w:eastAsia="Arial" w:hAnsi="Arial"/>
                <w:sz w:val="14"/>
                <w:szCs w:val="14"/>
                <w:b w:val="1"/>
                <w:bCs w:val="1"/>
                <w:color w:val="auto"/>
              </w:rPr>
              <w:t>ESP Plan</w:t>
            </w:r>
          </w:p>
        </w:tc>
        <w:tc>
          <w:tcPr>
            <w:tcW w:w="120" w:type="dxa"/>
            <w:vAlign w:val="bottom"/>
          </w:tcPr>
          <w:p>
            <w:pPr>
              <w:spacing w:after="0"/>
              <w:rPr>
                <w:sz w:val="14"/>
                <w:szCs w:val="14"/>
                <w:color w:val="auto"/>
              </w:rPr>
            </w:pPr>
          </w:p>
        </w:tc>
        <w:tc>
          <w:tcPr>
            <w:tcW w:w="126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80"/>
              </w:rPr>
              <w:t>Plans</w:t>
            </w:r>
          </w:p>
        </w:tc>
        <w:tc>
          <w:tcPr>
            <w:tcW w:w="120" w:type="dxa"/>
            <w:vAlign w:val="bottom"/>
          </w:tcPr>
          <w:p>
            <w:pPr>
              <w:spacing w:after="0"/>
              <w:rPr>
                <w:sz w:val="14"/>
                <w:szCs w:val="14"/>
                <w:color w:val="auto"/>
              </w:rPr>
            </w:pPr>
          </w:p>
        </w:tc>
        <w:tc>
          <w:tcPr>
            <w:tcW w:w="1260" w:type="dxa"/>
            <w:vAlign w:val="bottom"/>
            <w:tcBorders>
              <w:bottom w:val="single" w:sz="8" w:color="auto"/>
            </w:tcBorders>
            <w:gridSpan w:val="2"/>
          </w:tcPr>
          <w:p>
            <w:pPr>
              <w:ind w:left="360"/>
              <w:spacing w:after="0"/>
              <w:rPr>
                <w:sz w:val="20"/>
                <w:szCs w:val="20"/>
                <w:color w:val="auto"/>
              </w:rPr>
            </w:pPr>
            <w:r>
              <w:rPr>
                <w:rFonts w:ascii="Arial" w:cs="Arial" w:eastAsia="Arial" w:hAnsi="Arial"/>
                <w:sz w:val="14"/>
                <w:szCs w:val="14"/>
                <w:b w:val="1"/>
                <w:bCs w:val="1"/>
                <w:color w:val="auto"/>
              </w:rPr>
              <w:t>ESP Plan</w:t>
            </w:r>
          </w:p>
        </w:tc>
      </w:tr>
      <w:tr>
        <w:trPr>
          <w:trHeight w:val="210"/>
        </w:trPr>
        <w:tc>
          <w:tcPr>
            <w:tcW w:w="6040" w:type="dxa"/>
            <w:vAlign w:val="bottom"/>
            <w:shd w:val="clear" w:color="auto" w:fill="CCEEFF"/>
          </w:tcPr>
          <w:p>
            <w:pPr>
              <w:spacing w:after="0"/>
              <w:rPr>
                <w:sz w:val="20"/>
                <w:szCs w:val="20"/>
                <w:color w:val="auto"/>
              </w:rPr>
            </w:pPr>
            <w:r>
              <w:rPr>
                <w:rFonts w:ascii="Arial" w:cs="Arial" w:eastAsia="Arial" w:hAnsi="Arial"/>
                <w:sz w:val="18"/>
                <w:szCs w:val="18"/>
                <w:color w:val="auto"/>
              </w:rPr>
              <w:t>Range of expected volatilities</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0.45</w:t>
            </w:r>
          </w:p>
        </w:tc>
        <w:tc>
          <w:tcPr>
            <w:tcW w:w="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- 0.55</w:t>
            </w: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0.43</w:t>
            </w:r>
          </w:p>
        </w:tc>
        <w:tc>
          <w:tcPr>
            <w:tcW w:w="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- 0.73</w:t>
            </w: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0.37</w:t>
            </w:r>
          </w:p>
        </w:tc>
        <w:tc>
          <w:tcPr>
            <w:tcW w:w="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- 0.38</w:t>
            </w: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0.36</w:t>
            </w:r>
          </w:p>
        </w:tc>
        <w:tc>
          <w:tcPr>
            <w:tcW w:w="660" w:type="dxa"/>
            <w:vAlign w:val="bottom"/>
            <w:shd w:val="clear" w:color="auto" w:fill="CCEEFF"/>
          </w:tcPr>
          <w:p>
            <w:pPr>
              <w:spacing w:after="0"/>
              <w:rPr>
                <w:sz w:val="20"/>
                <w:szCs w:val="20"/>
                <w:color w:val="auto"/>
              </w:rPr>
            </w:pPr>
            <w:r>
              <w:rPr>
                <w:rFonts w:ascii="Arial" w:cs="Arial" w:eastAsia="Arial" w:hAnsi="Arial"/>
                <w:sz w:val="18"/>
                <w:szCs w:val="18"/>
                <w:color w:val="auto"/>
              </w:rPr>
              <w:t>- 0.41</w:t>
            </w:r>
          </w:p>
        </w:tc>
      </w:tr>
      <w:tr>
        <w:trPr>
          <w:trHeight w:val="216"/>
        </w:trPr>
        <w:tc>
          <w:tcPr>
            <w:tcW w:w="6040" w:type="dxa"/>
            <w:vAlign w:val="bottom"/>
          </w:tcPr>
          <w:p>
            <w:pPr>
              <w:spacing w:after="0"/>
              <w:rPr>
                <w:sz w:val="20"/>
                <w:szCs w:val="20"/>
                <w:color w:val="auto"/>
              </w:rPr>
            </w:pPr>
            <w:r>
              <w:rPr>
                <w:rFonts w:ascii="Arial" w:cs="Arial" w:eastAsia="Arial" w:hAnsi="Arial"/>
                <w:sz w:val="18"/>
                <w:szCs w:val="18"/>
                <w:color w:val="auto"/>
              </w:rPr>
              <w:t>Range of expected lives (in years)</w:t>
            </w:r>
          </w:p>
        </w:tc>
        <w:tc>
          <w:tcPr>
            <w:tcW w:w="580" w:type="dxa"/>
            <w:vAlign w:val="bottom"/>
          </w:tcPr>
          <w:p>
            <w:pPr>
              <w:jc w:val="right"/>
              <w:spacing w:after="0"/>
              <w:rPr>
                <w:sz w:val="20"/>
                <w:szCs w:val="20"/>
                <w:color w:val="auto"/>
              </w:rPr>
            </w:pPr>
            <w:r>
              <w:rPr>
                <w:rFonts w:ascii="Arial" w:cs="Arial" w:eastAsia="Arial" w:hAnsi="Arial"/>
                <w:sz w:val="18"/>
                <w:szCs w:val="18"/>
                <w:color w:val="auto"/>
              </w:rPr>
              <w:t>2.7</w:t>
            </w:r>
          </w:p>
        </w:tc>
        <w:tc>
          <w:tcPr>
            <w:tcW w:w="680" w:type="dxa"/>
            <w:vAlign w:val="bottom"/>
          </w:tcPr>
          <w:p>
            <w:pPr>
              <w:ind w:left="20"/>
              <w:spacing w:after="0"/>
              <w:rPr>
                <w:sz w:val="20"/>
                <w:szCs w:val="20"/>
                <w:color w:val="auto"/>
              </w:rPr>
            </w:pPr>
            <w:r>
              <w:rPr>
                <w:rFonts w:ascii="Arial" w:cs="Arial" w:eastAsia="Arial" w:hAnsi="Arial"/>
                <w:sz w:val="18"/>
                <w:szCs w:val="18"/>
                <w:color w:val="auto"/>
              </w:rPr>
              <w:t>- 4.0</w:t>
            </w: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0.5</w:t>
            </w:r>
          </w:p>
        </w:tc>
        <w:tc>
          <w:tcPr>
            <w:tcW w:w="680" w:type="dxa"/>
            <w:vAlign w:val="bottom"/>
          </w:tcPr>
          <w:p>
            <w:pPr>
              <w:ind w:left="20"/>
              <w:spacing w:after="0"/>
              <w:rPr>
                <w:sz w:val="20"/>
                <w:szCs w:val="20"/>
                <w:color w:val="auto"/>
              </w:rPr>
            </w:pPr>
            <w:r>
              <w:rPr>
                <w:rFonts w:ascii="Arial" w:cs="Arial" w:eastAsia="Arial" w:hAnsi="Arial"/>
                <w:sz w:val="18"/>
                <w:szCs w:val="18"/>
                <w:color w:val="auto"/>
              </w:rPr>
              <w:t>- 2.0</w:t>
            </w: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2.7</w:t>
            </w:r>
          </w:p>
        </w:tc>
        <w:tc>
          <w:tcPr>
            <w:tcW w:w="680" w:type="dxa"/>
            <w:vAlign w:val="bottom"/>
          </w:tcPr>
          <w:p>
            <w:pPr>
              <w:ind w:left="20"/>
              <w:spacing w:after="0"/>
              <w:rPr>
                <w:sz w:val="20"/>
                <w:szCs w:val="20"/>
                <w:color w:val="auto"/>
              </w:rPr>
            </w:pPr>
            <w:r>
              <w:rPr>
                <w:rFonts w:ascii="Arial" w:cs="Arial" w:eastAsia="Arial" w:hAnsi="Arial"/>
                <w:sz w:val="18"/>
                <w:szCs w:val="18"/>
                <w:color w:val="auto"/>
              </w:rPr>
              <w:t>- 4.0</w:t>
            </w: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0.5</w:t>
            </w:r>
          </w:p>
        </w:tc>
        <w:tc>
          <w:tcPr>
            <w:tcW w:w="660" w:type="dxa"/>
            <w:vAlign w:val="bottom"/>
          </w:tcPr>
          <w:p>
            <w:pPr>
              <w:spacing w:after="0"/>
              <w:rPr>
                <w:sz w:val="20"/>
                <w:szCs w:val="20"/>
                <w:color w:val="auto"/>
              </w:rPr>
            </w:pPr>
            <w:r>
              <w:rPr>
                <w:rFonts w:ascii="Arial" w:cs="Arial" w:eastAsia="Arial" w:hAnsi="Arial"/>
                <w:sz w:val="18"/>
                <w:szCs w:val="18"/>
                <w:color w:val="auto"/>
              </w:rPr>
              <w:t>- 2.0</w:t>
            </w:r>
          </w:p>
        </w:tc>
      </w:tr>
      <w:tr>
        <w:trPr>
          <w:trHeight w:val="216"/>
        </w:trPr>
        <w:tc>
          <w:tcPr>
            <w:tcW w:w="6040" w:type="dxa"/>
            <w:vAlign w:val="bottom"/>
            <w:shd w:val="clear" w:color="auto" w:fill="CCEEFF"/>
          </w:tcPr>
          <w:p>
            <w:pPr>
              <w:spacing w:after="0"/>
              <w:rPr>
                <w:sz w:val="20"/>
                <w:szCs w:val="20"/>
                <w:color w:val="auto"/>
              </w:rPr>
            </w:pPr>
            <w:r>
              <w:rPr>
                <w:rFonts w:ascii="Arial" w:cs="Arial" w:eastAsia="Arial" w:hAnsi="Arial"/>
                <w:sz w:val="18"/>
                <w:szCs w:val="18"/>
                <w:color w:val="auto"/>
              </w:rPr>
              <w:t>Expected dividends</w:t>
            </w:r>
          </w:p>
        </w:tc>
        <w:tc>
          <w:tcPr>
            <w:tcW w:w="1260" w:type="dxa"/>
            <w:vAlign w:val="bottom"/>
            <w:gridSpan w:val="2"/>
            <w:shd w:val="clear" w:color="auto" w:fill="CCEEFF"/>
          </w:tcPr>
          <w:p>
            <w:pPr>
              <w:jc w:val="center"/>
              <w:spacing w:after="0"/>
              <w:rPr>
                <w:sz w:val="20"/>
                <w:szCs w:val="20"/>
                <w:color w:val="auto"/>
              </w:rPr>
            </w:pPr>
            <w:r>
              <w:rPr>
                <w:rFonts w:ascii="Arial" w:cs="Arial" w:eastAsia="Arial" w:hAnsi="Arial"/>
                <w:sz w:val="18"/>
                <w:szCs w:val="18"/>
                <w:color w:val="auto"/>
                <w:w w:val="84"/>
              </w:rPr>
              <w:t>0%</w:t>
            </w:r>
          </w:p>
        </w:tc>
        <w:tc>
          <w:tcPr>
            <w:tcW w:w="1360" w:type="dxa"/>
            <w:vAlign w:val="bottom"/>
            <w:gridSpan w:val="3"/>
            <w:shd w:val="clear" w:color="auto" w:fill="CCEEFF"/>
          </w:tcPr>
          <w:p>
            <w:pPr>
              <w:jc w:val="center"/>
              <w:ind w:left="32"/>
              <w:spacing w:after="0"/>
              <w:rPr>
                <w:sz w:val="20"/>
                <w:szCs w:val="20"/>
                <w:color w:val="auto"/>
              </w:rPr>
            </w:pPr>
            <w:r>
              <w:rPr>
                <w:rFonts w:ascii="Arial" w:cs="Arial" w:eastAsia="Arial" w:hAnsi="Arial"/>
                <w:sz w:val="18"/>
                <w:szCs w:val="18"/>
                <w:color w:val="auto"/>
                <w:w w:val="92"/>
              </w:rPr>
              <w:t>0%</w:t>
            </w:r>
          </w:p>
        </w:tc>
        <w:tc>
          <w:tcPr>
            <w:tcW w:w="1380" w:type="dxa"/>
            <w:vAlign w:val="bottom"/>
            <w:gridSpan w:val="3"/>
            <w:shd w:val="clear" w:color="auto" w:fill="CCEEFF"/>
          </w:tcPr>
          <w:p>
            <w:pPr>
              <w:jc w:val="center"/>
              <w:ind w:left="32"/>
              <w:spacing w:after="0"/>
              <w:rPr>
                <w:sz w:val="20"/>
                <w:szCs w:val="20"/>
                <w:color w:val="auto"/>
              </w:rPr>
            </w:pPr>
            <w:r>
              <w:rPr>
                <w:rFonts w:ascii="Arial" w:cs="Arial" w:eastAsia="Arial" w:hAnsi="Arial"/>
                <w:sz w:val="18"/>
                <w:szCs w:val="18"/>
                <w:color w:val="auto"/>
                <w:w w:val="84"/>
              </w:rPr>
              <w:t>0%</w:t>
            </w:r>
          </w:p>
        </w:tc>
        <w:tc>
          <w:tcPr>
            <w:tcW w:w="1380" w:type="dxa"/>
            <w:vAlign w:val="bottom"/>
            <w:gridSpan w:val="3"/>
            <w:shd w:val="clear" w:color="auto" w:fill="CCEEFF"/>
          </w:tcPr>
          <w:p>
            <w:pPr>
              <w:jc w:val="center"/>
              <w:ind w:left="12"/>
              <w:spacing w:after="0"/>
              <w:rPr>
                <w:sz w:val="20"/>
                <w:szCs w:val="20"/>
                <w:color w:val="auto"/>
              </w:rPr>
            </w:pPr>
            <w:r>
              <w:rPr>
                <w:rFonts w:ascii="Arial" w:cs="Arial" w:eastAsia="Arial" w:hAnsi="Arial"/>
                <w:sz w:val="18"/>
                <w:szCs w:val="18"/>
                <w:color w:val="auto"/>
                <w:w w:val="92"/>
              </w:rPr>
              <w:t>0%</w:t>
            </w:r>
          </w:p>
        </w:tc>
      </w:tr>
      <w:tr>
        <w:trPr>
          <w:trHeight w:val="216"/>
        </w:trPr>
        <w:tc>
          <w:tcPr>
            <w:tcW w:w="6040" w:type="dxa"/>
            <w:vAlign w:val="bottom"/>
          </w:tcPr>
          <w:p>
            <w:pPr>
              <w:spacing w:after="0"/>
              <w:rPr>
                <w:sz w:val="20"/>
                <w:szCs w:val="20"/>
                <w:color w:val="auto"/>
              </w:rPr>
            </w:pPr>
            <w:r>
              <w:rPr>
                <w:rFonts w:ascii="Arial" w:cs="Arial" w:eastAsia="Arial" w:hAnsi="Arial"/>
                <w:sz w:val="18"/>
                <w:szCs w:val="18"/>
                <w:color w:val="auto"/>
              </w:rPr>
              <w:t>Range of risk-free interest rates</w:t>
            </w:r>
          </w:p>
        </w:tc>
        <w:tc>
          <w:tcPr>
            <w:tcW w:w="1260" w:type="dxa"/>
            <w:vAlign w:val="bottom"/>
            <w:gridSpan w:val="2"/>
          </w:tcPr>
          <w:p>
            <w:pPr>
              <w:jc w:val="center"/>
              <w:spacing w:after="0"/>
              <w:rPr>
                <w:sz w:val="20"/>
                <w:szCs w:val="20"/>
                <w:color w:val="auto"/>
              </w:rPr>
            </w:pPr>
            <w:r>
              <w:rPr>
                <w:rFonts w:ascii="Arial" w:cs="Arial" w:eastAsia="Arial" w:hAnsi="Arial"/>
                <w:sz w:val="18"/>
                <w:szCs w:val="18"/>
                <w:color w:val="auto"/>
                <w:w w:val="88"/>
              </w:rPr>
              <w:t>1.21 - 2.42%</w:t>
            </w:r>
          </w:p>
        </w:tc>
        <w:tc>
          <w:tcPr>
            <w:tcW w:w="1360" w:type="dxa"/>
            <w:vAlign w:val="bottom"/>
            <w:gridSpan w:val="3"/>
          </w:tcPr>
          <w:p>
            <w:pPr>
              <w:jc w:val="center"/>
              <w:ind w:left="32"/>
              <w:spacing w:after="0"/>
              <w:rPr>
                <w:sz w:val="20"/>
                <w:szCs w:val="20"/>
                <w:color w:val="auto"/>
              </w:rPr>
            </w:pPr>
            <w:r>
              <w:rPr>
                <w:rFonts w:ascii="Arial" w:cs="Arial" w:eastAsia="Arial" w:hAnsi="Arial"/>
                <w:sz w:val="18"/>
                <w:szCs w:val="18"/>
                <w:color w:val="auto"/>
                <w:w w:val="90"/>
              </w:rPr>
              <w:t>0.20 - 0.98%</w:t>
            </w:r>
          </w:p>
        </w:tc>
        <w:tc>
          <w:tcPr>
            <w:tcW w:w="1380" w:type="dxa"/>
            <w:vAlign w:val="bottom"/>
            <w:gridSpan w:val="3"/>
          </w:tcPr>
          <w:p>
            <w:pPr>
              <w:jc w:val="center"/>
              <w:ind w:left="32"/>
              <w:spacing w:after="0"/>
              <w:rPr>
                <w:sz w:val="20"/>
                <w:szCs w:val="20"/>
                <w:color w:val="auto"/>
              </w:rPr>
            </w:pPr>
            <w:r>
              <w:rPr>
                <w:rFonts w:ascii="Arial" w:cs="Arial" w:eastAsia="Arial" w:hAnsi="Arial"/>
                <w:sz w:val="18"/>
                <w:szCs w:val="18"/>
                <w:color w:val="auto"/>
                <w:w w:val="88"/>
              </w:rPr>
              <w:t>1.82 - 3.40%</w:t>
            </w:r>
          </w:p>
        </w:tc>
        <w:tc>
          <w:tcPr>
            <w:tcW w:w="1380" w:type="dxa"/>
            <w:vAlign w:val="bottom"/>
            <w:gridSpan w:val="3"/>
          </w:tcPr>
          <w:p>
            <w:pPr>
              <w:jc w:val="center"/>
              <w:ind w:left="32"/>
              <w:spacing w:after="0"/>
              <w:rPr>
                <w:sz w:val="20"/>
                <w:szCs w:val="20"/>
                <w:color w:val="auto"/>
              </w:rPr>
            </w:pPr>
            <w:r>
              <w:rPr>
                <w:rFonts w:ascii="Arial" w:cs="Arial" w:eastAsia="Arial" w:hAnsi="Arial"/>
                <w:sz w:val="18"/>
                <w:szCs w:val="18"/>
                <w:color w:val="auto"/>
                <w:w w:val="88"/>
              </w:rPr>
              <w:t>1.29 - 1.85%</w:t>
            </w:r>
          </w:p>
        </w:tc>
      </w:tr>
      <w:tr>
        <w:trPr>
          <w:trHeight w:val="216"/>
        </w:trPr>
        <w:tc>
          <w:tcPr>
            <w:tcW w:w="6040" w:type="dxa"/>
            <w:vAlign w:val="bottom"/>
            <w:shd w:val="clear" w:color="auto" w:fill="CCEEFF"/>
          </w:tcPr>
          <w:p>
            <w:pPr>
              <w:spacing w:after="0"/>
              <w:rPr>
                <w:sz w:val="20"/>
                <w:szCs w:val="20"/>
                <w:color w:val="auto"/>
              </w:rPr>
            </w:pPr>
            <w:r>
              <w:rPr>
                <w:rFonts w:ascii="Arial" w:cs="Arial" w:eastAsia="Arial" w:hAnsi="Arial"/>
                <w:sz w:val="18"/>
                <w:szCs w:val="18"/>
                <w:color w:val="auto"/>
              </w:rPr>
              <w:t>Expected forfeitures</w:t>
            </w:r>
          </w:p>
        </w:tc>
        <w:tc>
          <w:tcPr>
            <w:tcW w:w="1260" w:type="dxa"/>
            <w:vAlign w:val="bottom"/>
            <w:gridSpan w:val="2"/>
            <w:shd w:val="clear" w:color="auto" w:fill="CCEEFF"/>
          </w:tcPr>
          <w:p>
            <w:pPr>
              <w:jc w:val="center"/>
              <w:spacing w:after="0"/>
              <w:rPr>
                <w:sz w:val="20"/>
                <w:szCs w:val="20"/>
                <w:color w:val="auto"/>
              </w:rPr>
            </w:pPr>
            <w:r>
              <w:rPr>
                <w:rFonts w:ascii="Arial" w:cs="Arial" w:eastAsia="Arial" w:hAnsi="Arial"/>
                <w:sz w:val="18"/>
                <w:szCs w:val="18"/>
                <w:color w:val="auto"/>
                <w:w w:val="90"/>
              </w:rPr>
              <w:t>13.5%</w:t>
            </w:r>
          </w:p>
        </w:tc>
        <w:tc>
          <w:tcPr>
            <w:tcW w:w="1360" w:type="dxa"/>
            <w:vAlign w:val="bottom"/>
            <w:gridSpan w:val="3"/>
            <w:shd w:val="clear" w:color="auto" w:fill="CCEEFF"/>
          </w:tcPr>
          <w:p>
            <w:pPr>
              <w:jc w:val="center"/>
              <w:ind w:left="32"/>
              <w:spacing w:after="0"/>
              <w:rPr>
                <w:sz w:val="20"/>
                <w:szCs w:val="20"/>
                <w:color w:val="auto"/>
              </w:rPr>
            </w:pPr>
            <w:r>
              <w:rPr>
                <w:rFonts w:ascii="Arial" w:cs="Arial" w:eastAsia="Arial" w:hAnsi="Arial"/>
                <w:sz w:val="18"/>
                <w:szCs w:val="18"/>
                <w:color w:val="auto"/>
                <w:w w:val="86"/>
              </w:rPr>
              <w:t>13.5%</w:t>
            </w:r>
          </w:p>
        </w:tc>
        <w:tc>
          <w:tcPr>
            <w:tcW w:w="1380" w:type="dxa"/>
            <w:vAlign w:val="bottom"/>
            <w:gridSpan w:val="3"/>
            <w:shd w:val="clear" w:color="auto" w:fill="CCEEFF"/>
          </w:tcPr>
          <w:p>
            <w:pPr>
              <w:jc w:val="center"/>
              <w:ind w:left="32"/>
              <w:spacing w:after="0"/>
              <w:rPr>
                <w:sz w:val="20"/>
                <w:szCs w:val="20"/>
                <w:color w:val="auto"/>
              </w:rPr>
            </w:pPr>
            <w:r>
              <w:rPr>
                <w:rFonts w:ascii="Arial" w:cs="Arial" w:eastAsia="Arial" w:hAnsi="Arial"/>
                <w:sz w:val="18"/>
                <w:szCs w:val="18"/>
                <w:color w:val="auto"/>
                <w:w w:val="90"/>
              </w:rPr>
              <w:t>13.6%</w:t>
            </w:r>
          </w:p>
        </w:tc>
        <w:tc>
          <w:tcPr>
            <w:tcW w:w="1380" w:type="dxa"/>
            <w:vAlign w:val="bottom"/>
            <w:gridSpan w:val="3"/>
            <w:shd w:val="clear" w:color="auto" w:fill="CCEEFF"/>
          </w:tcPr>
          <w:p>
            <w:pPr>
              <w:jc w:val="center"/>
              <w:ind w:left="32"/>
              <w:spacing w:after="0"/>
              <w:rPr>
                <w:sz w:val="20"/>
                <w:szCs w:val="20"/>
                <w:color w:val="auto"/>
              </w:rPr>
            </w:pPr>
            <w:r>
              <w:rPr>
                <w:rFonts w:ascii="Arial" w:cs="Arial" w:eastAsia="Arial" w:hAnsi="Arial"/>
                <w:sz w:val="18"/>
                <w:szCs w:val="18"/>
                <w:color w:val="auto"/>
                <w:w w:val="90"/>
              </w:rPr>
              <w:t>13.6%</w:t>
            </w:r>
          </w:p>
        </w:tc>
      </w:tr>
    </w:tbl>
    <w:p>
      <w:pPr>
        <w:spacing w:after="0" w:line="154"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color w:val="auto"/>
        </w:rPr>
        <w:t>Autodesk estimates expected volatility for stock-based awards granted under the Company’s stock plans and ESP Plan awards based on two measures. The first is a measure of historical volatility in the trading market for the Company’s common stock, and the second is the implied volatility of traded forward call options to purchase shares of the Company’s common stock.</w:t>
      </w:r>
    </w:p>
    <w:p>
      <w:pPr>
        <w:spacing w:after="0" w:line="140" w:lineRule="exact"/>
        <w:rPr>
          <w:sz w:val="20"/>
          <w:szCs w:val="20"/>
          <w:color w:val="auto"/>
        </w:rPr>
      </w:pPr>
    </w:p>
    <w:p>
      <w:pPr>
        <w:ind w:right="580" w:firstLine="456"/>
        <w:spacing w:after="0" w:line="268" w:lineRule="auto"/>
        <w:rPr>
          <w:sz w:val="20"/>
          <w:szCs w:val="20"/>
          <w:color w:val="auto"/>
        </w:rPr>
      </w:pPr>
      <w:r>
        <w:rPr>
          <w:rFonts w:ascii="Arial" w:cs="Arial" w:eastAsia="Arial" w:hAnsi="Arial"/>
          <w:sz w:val="18"/>
          <w:szCs w:val="18"/>
          <w:color w:val="auto"/>
        </w:rPr>
        <w:t>Autodesk estimates the expected life of stock-based awards granted under the Company’s stock plans using both exercise behavior and post-vesting termination behavior, as well as consideration of outstanding options.</w:t>
      </w:r>
    </w:p>
    <w:p>
      <w:pPr>
        <w:spacing w:after="0" w:line="132" w:lineRule="exact"/>
        <w:rPr>
          <w:sz w:val="20"/>
          <w:szCs w:val="20"/>
          <w:color w:val="auto"/>
        </w:rPr>
      </w:pPr>
    </w:p>
    <w:p>
      <w:pPr>
        <w:ind w:right="80" w:firstLine="456"/>
        <w:spacing w:after="0" w:line="268" w:lineRule="auto"/>
        <w:rPr>
          <w:sz w:val="20"/>
          <w:szCs w:val="20"/>
          <w:color w:val="auto"/>
        </w:rPr>
      </w:pPr>
      <w:r>
        <w:rPr>
          <w:rFonts w:ascii="Arial" w:cs="Arial" w:eastAsia="Arial" w:hAnsi="Arial"/>
          <w:sz w:val="18"/>
          <w:szCs w:val="18"/>
          <w:color w:val="auto"/>
        </w:rPr>
        <w:t>Autodesk does not currently pay, and does not anticipate paying, any cash dividends in the foreseeable future. Consequently, an expected dividend yield of zero is used in the Black-Scholes-Merton option valuation model.</w:t>
      </w:r>
    </w:p>
    <w:p>
      <w:pPr>
        <w:spacing w:after="0" w:line="132" w:lineRule="exact"/>
        <w:rPr>
          <w:sz w:val="20"/>
          <w:szCs w:val="20"/>
          <w:color w:val="auto"/>
        </w:rPr>
      </w:pPr>
    </w:p>
    <w:p>
      <w:pPr>
        <w:ind w:right="160" w:firstLine="456"/>
        <w:spacing w:after="0" w:line="268" w:lineRule="auto"/>
        <w:rPr>
          <w:sz w:val="20"/>
          <w:szCs w:val="20"/>
          <w:color w:val="auto"/>
        </w:rPr>
      </w:pPr>
      <w:r>
        <w:rPr>
          <w:rFonts w:ascii="Arial" w:cs="Arial" w:eastAsia="Arial" w:hAnsi="Arial"/>
          <w:sz w:val="18"/>
          <w:szCs w:val="18"/>
          <w:color w:val="auto"/>
        </w:rPr>
        <w:t>The risk-free interest rate used in the Black-Scholes-Merton option valuation model for stock-based awards granted under the Company’s stock plans and ESP Plan awards is the historical yield on U.S. Treasury securities with equivalent remaining lives.</w:t>
      </w:r>
    </w:p>
    <w:p>
      <w:pPr>
        <w:spacing w:after="0" w:line="132" w:lineRule="exact"/>
        <w:rPr>
          <w:sz w:val="20"/>
          <w:szCs w:val="20"/>
          <w:color w:val="auto"/>
        </w:rPr>
      </w:pPr>
    </w:p>
    <w:p>
      <w:pPr>
        <w:ind w:right="80" w:firstLine="456"/>
        <w:spacing w:after="0" w:line="256" w:lineRule="auto"/>
        <w:rPr>
          <w:sz w:val="20"/>
          <w:szCs w:val="20"/>
          <w:color w:val="auto"/>
        </w:rPr>
      </w:pPr>
      <w:r>
        <w:rPr>
          <w:rFonts w:ascii="Arial" w:cs="Arial" w:eastAsia="Arial" w:hAnsi="Arial"/>
          <w:sz w:val="18"/>
          <w:szCs w:val="18"/>
          <w:color w:val="auto"/>
        </w:rPr>
        <w:t>Autodesk only recognizes expense for the stock-based awards that are ultimately expected to vest. Therefore, Autodesk has developed an estimate of the number of awards expected to cancel prior to vesting (“forfeiture rate”). The forfeiture rate is estimated based on historical pre-vest cancellation experience, and is applied to all stock-based awards. The Company estimates forfeitures at the time of grant and revises those estimates in subsequent periods if actual forfeitures differ from those estimates.</w:t>
      </w:r>
    </w:p>
    <w:p>
      <w:pPr>
        <w:spacing w:after="0" w:line="265" w:lineRule="exact"/>
        <w:rPr>
          <w:sz w:val="20"/>
          <w:szCs w:val="20"/>
          <w:color w:val="auto"/>
        </w:rPr>
      </w:pPr>
    </w:p>
    <w:p>
      <w:pPr>
        <w:ind w:left="460" w:hanging="452"/>
        <w:spacing w:after="0"/>
        <w:tabs>
          <w:tab w:leader="none" w:pos="460" w:val="left"/>
        </w:tabs>
        <w:numPr>
          <w:ilvl w:val="0"/>
          <w:numId w:val="14"/>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Income Taxes</w:t>
      </w:r>
    </w:p>
    <w:p>
      <w:pPr>
        <w:spacing w:after="0" w:line="90" w:lineRule="exact"/>
        <w:rPr>
          <w:sz w:val="20"/>
          <w:szCs w:val="20"/>
          <w:color w:val="auto"/>
        </w:rPr>
      </w:pPr>
    </w:p>
    <w:p>
      <w:pPr>
        <w:ind w:right="20" w:firstLine="456"/>
        <w:spacing w:after="0" w:line="286" w:lineRule="auto"/>
        <w:rPr>
          <w:sz w:val="20"/>
          <w:szCs w:val="20"/>
          <w:color w:val="auto"/>
        </w:rPr>
      </w:pPr>
      <w:r>
        <w:rPr>
          <w:rFonts w:ascii="Arial" w:cs="Arial" w:eastAsia="Arial" w:hAnsi="Arial"/>
          <w:sz w:val="16"/>
          <w:szCs w:val="16"/>
          <w:color w:val="auto"/>
        </w:rPr>
        <w:t>Autodesk’s effective tax rate was 8% during the three months ended October 31, 2009, and 70% during the nine months ended October 31, 2009, compared to 23% and 26% in the respective periods of the prior fiscal year. Autodesk’s effective tax rate decreased 15 percentage points during the three months ended October 31, 2009, as compared to the same period in the prior fiscal year, primarily due to a discrete tax benefit related to additional stock-based compensation expense recorded during the three months ended October 31, 2009 related to the correction of an error described in Note 6, “Stock-Based Compensation.” Autodesk’s effective tax rate increased 44 percentage points during the nine months ended October 31, 2009 as compared to the same period in the prior fiscal year as a result of a $20.9 million discrete non-cash tax charge from recording a valuation allowance against California deferred tax assets offset by a discrete tax benefit of $7.7 million associated with the impairment of goodwill recorded during the first quarter of fiscal 2010, the tax impact of non-deductible in-process research and development expenses recorded during the second quarter of fiscal 2009, and a discrete tax benefit of $4.4 million related to the stock-based compensation expense adjustment recorded during the third quarter of fiscal 2010. Excluding the impact of discrete tax items, the effective tax rates for the three and nine month periods ended October 31, 2009 were lower than the Federal statutory tax rate of 35% primarily due to foreign income taxed at lower rates and Federal and state research tax credits partially offset by the tax impact of stock-based compensation expense.</w:t>
      </w:r>
    </w:p>
    <w:p>
      <w:pPr>
        <w:spacing w:after="0" w:line="127" w:lineRule="exact"/>
        <w:rPr>
          <w:sz w:val="20"/>
          <w:szCs w:val="20"/>
          <w:color w:val="auto"/>
        </w:rPr>
      </w:pPr>
    </w:p>
    <w:p>
      <w:pPr>
        <w:ind w:right="40" w:firstLine="456"/>
        <w:spacing w:after="0" w:line="256" w:lineRule="auto"/>
        <w:rPr>
          <w:sz w:val="20"/>
          <w:szCs w:val="20"/>
          <w:color w:val="auto"/>
        </w:rPr>
      </w:pPr>
      <w:r>
        <w:rPr>
          <w:rFonts w:ascii="Arial" w:cs="Arial" w:eastAsia="Arial" w:hAnsi="Arial"/>
          <w:sz w:val="18"/>
          <w:szCs w:val="18"/>
          <w:color w:val="auto"/>
        </w:rPr>
        <w:t>During the first quarter of fiscal 2010, the State of California enacted significant California tax law changes. As a result of the enacted legislation, the Company expects that in fiscal years 2012 and beyond the Company’s income subject to tax in California will be less than under prior tax law and accordingly its California deferred tax assets are less likely to be realized. During the first quarter of fiscal 2010, the Company recorded a net discrete tax charge of $20.9 million related to the re-measurement of the Company’s</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20"/>
          </w:cols>
          <w:pgMar w:left="240" w:top="459" w:right="239"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ind w:right="300"/>
        <w:spacing w:after="0" w:line="370" w:lineRule="auto"/>
        <w:rPr>
          <w:sz w:val="20"/>
          <w:szCs w:val="20"/>
          <w:color w:val="auto"/>
        </w:rPr>
      </w:pPr>
      <w:r>
        <w:rPr>
          <w:rFonts w:ascii="Arial" w:cs="Arial" w:eastAsia="Arial" w:hAnsi="Arial"/>
          <w:sz w:val="15"/>
          <w:szCs w:val="15"/>
          <w:color w:val="auto"/>
        </w:rPr>
        <w:t>California deferred tax assets to account for this change in tax law, as well as an increase in the valuation allowance for the Company’s California deferred tax assets that existed as of January 31, 2009. The Company will continue to assess the valuation allowance on its California deferred tax assets in future periods.</w:t>
      </w:r>
    </w:p>
    <w:p>
      <w:pPr>
        <w:spacing w:after="0" w:line="62"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amount of unrecognized tax benefits was determined in accordance with ASC 740-10, “Income Taxes.” As of October 31, 2009, the Company had</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$192.0 million of gross unrecognized tax benefits, excluding interest, of which approximately $178.6 million represents the amount of unrecognized tax benefits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that would impact the effective tax rate, if recognized. The remaining $13.4 million relates to items that would result in balance sheet reclassification only, with</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no impact to income tax expense. It is possible that the amount of unrecognized tax benefits will change in the next twelve months; however an estimate of the</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range of the possible change cannot be made at this time.</w:t>
      </w:r>
    </w:p>
    <w:p>
      <w:pPr>
        <w:spacing w:after="0" w:line="165" w:lineRule="exact"/>
        <w:rPr>
          <w:sz w:val="20"/>
          <w:szCs w:val="20"/>
          <w:color w:val="auto"/>
        </w:rPr>
      </w:pPr>
    </w:p>
    <w:p>
      <w:pPr>
        <w:ind w:right="20" w:firstLine="456"/>
        <w:spacing w:after="0" w:line="268" w:lineRule="auto"/>
        <w:rPr>
          <w:sz w:val="20"/>
          <w:szCs w:val="20"/>
          <w:color w:val="auto"/>
        </w:rPr>
      </w:pPr>
      <w:r>
        <w:rPr>
          <w:rFonts w:ascii="Arial" w:cs="Arial" w:eastAsia="Arial" w:hAnsi="Arial"/>
          <w:sz w:val="18"/>
          <w:szCs w:val="18"/>
          <w:color w:val="auto"/>
        </w:rPr>
        <w:t>At October 31, 2009, Autodesk had net deferred tax assets of $142.5 million. The Company believes that it will generate sufficient future taxable income in appropriate tax jurisdictions to realize these assets.</w:t>
      </w:r>
    </w:p>
    <w:p>
      <w:pPr>
        <w:spacing w:after="0" w:line="254" w:lineRule="exact"/>
        <w:rPr>
          <w:sz w:val="20"/>
          <w:szCs w:val="20"/>
          <w:color w:val="auto"/>
        </w:rPr>
      </w:pPr>
    </w:p>
    <w:p>
      <w:pPr>
        <w:ind w:left="460" w:hanging="452"/>
        <w:spacing w:after="0"/>
        <w:tabs>
          <w:tab w:leader="none" w:pos="460" w:val="left"/>
        </w:tabs>
        <w:numPr>
          <w:ilvl w:val="0"/>
          <w:numId w:val="15"/>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Restructuring Reserve</w:t>
      </w:r>
    </w:p>
    <w:p>
      <w:pPr>
        <w:spacing w:after="0" w:line="90" w:lineRule="exact"/>
        <w:rPr>
          <w:sz w:val="20"/>
          <w:szCs w:val="20"/>
          <w:color w:val="auto"/>
        </w:rPr>
      </w:pPr>
    </w:p>
    <w:p>
      <w:pPr>
        <w:ind w:right="380" w:firstLine="456"/>
        <w:spacing w:after="0" w:line="332" w:lineRule="auto"/>
        <w:rPr>
          <w:sz w:val="20"/>
          <w:szCs w:val="20"/>
          <w:color w:val="auto"/>
        </w:rPr>
      </w:pPr>
      <w:r>
        <w:rPr>
          <w:rFonts w:ascii="Arial" w:cs="Arial" w:eastAsia="Arial" w:hAnsi="Arial"/>
          <w:sz w:val="16"/>
          <w:szCs w:val="16"/>
          <w:color w:val="auto"/>
        </w:rPr>
        <w:t>In the fourth quarter of fiscal 2009, Autodesk initiated a restructuring program in order to reduce operating costs. This program reduced the number of employees by approximately 700 positions globally and resulted in the consolidation of approximately 27 leased facilities (“Fiscal 2009 Plan”).</w:t>
      </w:r>
    </w:p>
    <w:p>
      <w:pPr>
        <w:spacing w:after="0" w:line="85" w:lineRule="exact"/>
        <w:rPr>
          <w:sz w:val="20"/>
          <w:szCs w:val="20"/>
          <w:color w:val="auto"/>
        </w:rPr>
      </w:pPr>
    </w:p>
    <w:p>
      <w:pPr>
        <w:jc w:val="both"/>
        <w:ind w:right="480" w:firstLine="456"/>
        <w:spacing w:after="0" w:line="259" w:lineRule="auto"/>
        <w:rPr>
          <w:sz w:val="20"/>
          <w:szCs w:val="20"/>
          <w:color w:val="auto"/>
        </w:rPr>
      </w:pPr>
      <w:r>
        <w:rPr>
          <w:rFonts w:ascii="Arial" w:cs="Arial" w:eastAsia="Arial" w:hAnsi="Arial"/>
          <w:sz w:val="18"/>
          <w:szCs w:val="18"/>
          <w:color w:val="auto"/>
        </w:rPr>
        <w:t>In the second quarter of fiscal 2010, Autodesk initiated an additional restructuring program, which resulted in a staff reduction of approximately 430 positions globally and resulted in the consolidation of approximately 32 leased facilities around the world in order to reduce Autodesk’s operating expenses (“Fiscal 2010 Plan”).</w:t>
      </w:r>
    </w:p>
    <w:p>
      <w:pPr>
        <w:spacing w:after="0" w:line="140" w:lineRule="exact"/>
        <w:rPr>
          <w:sz w:val="20"/>
          <w:szCs w:val="20"/>
          <w:color w:val="auto"/>
        </w:rPr>
      </w:pPr>
    </w:p>
    <w:p>
      <w:pPr>
        <w:ind w:right="200" w:firstLine="456"/>
        <w:spacing w:after="0" w:line="294" w:lineRule="auto"/>
        <w:rPr>
          <w:sz w:val="20"/>
          <w:szCs w:val="20"/>
          <w:color w:val="auto"/>
        </w:rPr>
      </w:pPr>
      <w:r>
        <w:rPr>
          <w:rFonts w:ascii="Arial" w:cs="Arial" w:eastAsia="Arial" w:hAnsi="Arial"/>
          <w:sz w:val="16"/>
          <w:szCs w:val="16"/>
          <w:color w:val="auto"/>
        </w:rPr>
        <w:t>In connection with these restructuring plans, Autodesk recorded restructuring and impairment charges of $4.9 million and $47.8 million during the three and nine months ended October 31, 2009, respectively. Of these amounts, $3.5 million and $24.2 million were recorded for one-time employee termination benefits and other costs during the three and nine months ended October 31, 2009, respectively, and $1.4 million and $23.5 million were recorded for facilities-related costs during the three and nine months ended October 31, 2009, respectively. The remainder of the termination benefits will substantially be paid during the fourth quarter of fiscal 2010. Autodesk expects to pay the facility related liabilities through fiscal 2018.</w:t>
      </w:r>
    </w:p>
    <w:p>
      <w:pPr>
        <w:spacing w:after="0" w:line="116"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following table summarizes the restructuring activity recorded in the Condensed Consolidated Balance Sheets during the nine months ended</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October 31, 2009:</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2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40" w:type="dxa"/>
            <w:vAlign w:val="bottom"/>
            <w:gridSpan w:val="2"/>
          </w:tcPr>
          <w:p>
            <w:pPr>
              <w:jc w:val="right"/>
              <w:ind w:right="680"/>
              <w:spacing w:after="0"/>
              <w:rPr>
                <w:sz w:val="20"/>
                <w:szCs w:val="20"/>
                <w:color w:val="auto"/>
              </w:rPr>
            </w:pPr>
            <w:r>
              <w:rPr>
                <w:rFonts w:ascii="Arial" w:cs="Arial" w:eastAsia="Arial" w:hAnsi="Arial"/>
                <w:sz w:val="14"/>
                <w:szCs w:val="14"/>
                <w:b w:val="1"/>
                <w:bCs w:val="1"/>
                <w:color w:val="auto"/>
                <w:w w:val="91"/>
              </w:rPr>
              <w:t>Balance at</w:t>
            </w:r>
          </w:p>
        </w:tc>
        <w:tc>
          <w:tcPr>
            <w:tcW w:w="1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0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Adjustments</w:t>
            </w:r>
            <w:r>
              <w:rPr>
                <w:rFonts w:ascii="Arial" w:cs="Arial" w:eastAsia="Arial" w:hAnsi="Arial"/>
                <w:sz w:val="22"/>
                <w:szCs w:val="22"/>
                <w:b w:val="1"/>
                <w:bCs w:val="1"/>
                <w:color w:val="auto"/>
                <w:vertAlign w:val="superscript"/>
              </w:rPr>
              <w:t>(1)</w:t>
            </w:r>
          </w:p>
        </w:tc>
        <w:tc>
          <w:tcPr>
            <w:tcW w:w="2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w w:val="88"/>
              </w:rPr>
              <w:t>Balance at</w:t>
            </w:r>
          </w:p>
        </w:tc>
        <w:tc>
          <w:tcPr>
            <w:tcW w:w="0" w:type="dxa"/>
            <w:vAlign w:val="bottom"/>
          </w:tcPr>
          <w:p>
            <w:pPr>
              <w:spacing w:after="0"/>
              <w:rPr>
                <w:sz w:val="1"/>
                <w:szCs w:val="1"/>
                <w:color w:val="auto"/>
              </w:rPr>
            </w:pPr>
          </w:p>
        </w:tc>
      </w:tr>
      <w:tr>
        <w:trPr>
          <w:trHeight w:val="161"/>
        </w:trPr>
        <w:tc>
          <w:tcPr>
            <w:tcW w:w="5260" w:type="dxa"/>
            <w:vAlign w:val="bottom"/>
          </w:tcPr>
          <w:p>
            <w:pPr>
              <w:spacing w:after="0"/>
              <w:rPr>
                <w:sz w:val="14"/>
                <w:szCs w:val="14"/>
                <w:color w:val="auto"/>
              </w:rPr>
            </w:pPr>
          </w:p>
        </w:tc>
        <w:tc>
          <w:tcPr>
            <w:tcW w:w="1480" w:type="dxa"/>
            <w:vAlign w:val="bottom"/>
            <w:gridSpan w:val="3"/>
          </w:tcPr>
          <w:p>
            <w:pPr>
              <w:spacing w:after="0"/>
              <w:rPr>
                <w:sz w:val="20"/>
                <w:szCs w:val="20"/>
                <w:color w:val="auto"/>
              </w:rPr>
            </w:pPr>
            <w:r>
              <w:rPr>
                <w:rFonts w:ascii="Arial" w:cs="Arial" w:eastAsia="Arial" w:hAnsi="Arial"/>
                <w:sz w:val="14"/>
                <w:szCs w:val="14"/>
                <w:b w:val="1"/>
                <w:bCs w:val="1"/>
                <w:color w:val="auto"/>
              </w:rPr>
              <w:t>January 31, 2009</w:t>
            </w:r>
          </w:p>
        </w:tc>
        <w:tc>
          <w:tcPr>
            <w:tcW w:w="1060" w:type="dxa"/>
            <w:vAlign w:val="bottom"/>
            <w:gridSpan w:val="3"/>
          </w:tcPr>
          <w:p>
            <w:pPr>
              <w:spacing w:after="0"/>
              <w:rPr>
                <w:sz w:val="20"/>
                <w:szCs w:val="20"/>
                <w:color w:val="auto"/>
              </w:rPr>
            </w:pPr>
            <w:r>
              <w:rPr>
                <w:rFonts w:ascii="Arial" w:cs="Arial" w:eastAsia="Arial" w:hAnsi="Arial"/>
                <w:sz w:val="14"/>
                <w:szCs w:val="14"/>
                <w:b w:val="1"/>
                <w:bCs w:val="1"/>
                <w:color w:val="auto"/>
              </w:rPr>
              <w:t>Additions</w:t>
            </w:r>
          </w:p>
        </w:tc>
        <w:tc>
          <w:tcPr>
            <w:tcW w:w="900" w:type="dxa"/>
            <w:vAlign w:val="bottom"/>
            <w:gridSpan w:val="3"/>
          </w:tcPr>
          <w:p>
            <w:pPr>
              <w:spacing w:after="0"/>
              <w:rPr>
                <w:sz w:val="20"/>
                <w:szCs w:val="20"/>
                <w:color w:val="auto"/>
              </w:rPr>
            </w:pPr>
            <w:r>
              <w:rPr>
                <w:rFonts w:ascii="Arial" w:cs="Arial" w:eastAsia="Arial" w:hAnsi="Arial"/>
                <w:sz w:val="14"/>
                <w:szCs w:val="14"/>
                <w:b w:val="1"/>
                <w:bCs w:val="1"/>
                <w:color w:val="auto"/>
              </w:rPr>
              <w:t>Payments</w:t>
            </w:r>
          </w:p>
        </w:tc>
        <w:tc>
          <w:tcPr>
            <w:tcW w:w="260" w:type="dxa"/>
            <w:vAlign w:val="bottom"/>
          </w:tcPr>
          <w:p>
            <w:pPr>
              <w:spacing w:after="0"/>
              <w:rPr>
                <w:sz w:val="14"/>
                <w:szCs w:val="14"/>
                <w:color w:val="auto"/>
              </w:rPr>
            </w:pPr>
          </w:p>
        </w:tc>
        <w:tc>
          <w:tcPr>
            <w:tcW w:w="1200" w:type="dxa"/>
            <w:vAlign w:val="bottom"/>
            <w:gridSpan w:val="3"/>
            <w:vMerge w:val="continue"/>
          </w:tcPr>
          <w:p>
            <w:pPr>
              <w:spacing w:after="0"/>
              <w:rPr>
                <w:sz w:val="14"/>
                <w:szCs w:val="14"/>
                <w:color w:val="auto"/>
              </w:rPr>
            </w:pPr>
          </w:p>
        </w:tc>
        <w:tc>
          <w:tcPr>
            <w:tcW w:w="280" w:type="dxa"/>
            <w:vAlign w:val="bottom"/>
          </w:tcPr>
          <w:p>
            <w:pPr>
              <w:spacing w:after="0"/>
              <w:rPr>
                <w:sz w:val="14"/>
                <w:szCs w:val="14"/>
                <w:color w:val="auto"/>
              </w:rPr>
            </w:pPr>
          </w:p>
        </w:tc>
        <w:tc>
          <w:tcPr>
            <w:tcW w:w="1000" w:type="dxa"/>
            <w:vAlign w:val="bottom"/>
            <w:gridSpan w:val="3"/>
          </w:tcPr>
          <w:p>
            <w:pPr>
              <w:spacing w:after="0"/>
              <w:rPr>
                <w:sz w:val="20"/>
                <w:szCs w:val="20"/>
                <w:color w:val="auto"/>
              </w:rPr>
            </w:pPr>
            <w:r>
              <w:rPr>
                <w:rFonts w:ascii="Arial" w:cs="Arial" w:eastAsia="Arial" w:hAnsi="Arial"/>
                <w:sz w:val="14"/>
                <w:szCs w:val="14"/>
                <w:b w:val="1"/>
                <w:bCs w:val="1"/>
                <w:color w:val="auto"/>
                <w:w w:val="87"/>
              </w:rPr>
              <w:t>October 31, 2009</w:t>
            </w:r>
          </w:p>
        </w:tc>
        <w:tc>
          <w:tcPr>
            <w:tcW w:w="0" w:type="dxa"/>
            <w:vAlign w:val="bottom"/>
          </w:tcPr>
          <w:p>
            <w:pPr>
              <w:spacing w:after="0"/>
              <w:rPr>
                <w:sz w:val="1"/>
                <w:szCs w:val="1"/>
                <w:color w:val="auto"/>
              </w:rPr>
            </w:pPr>
          </w:p>
        </w:tc>
      </w:tr>
      <w:tr>
        <w:trPr>
          <w:trHeight w:val="210"/>
        </w:trPr>
        <w:tc>
          <w:tcPr>
            <w:tcW w:w="5260" w:type="dxa"/>
            <w:vAlign w:val="bottom"/>
            <w:shd w:val="clear" w:color="auto" w:fill="CCEEFF"/>
          </w:tcPr>
          <w:p>
            <w:pPr>
              <w:spacing w:after="0"/>
              <w:rPr>
                <w:sz w:val="20"/>
                <w:szCs w:val="20"/>
                <w:color w:val="auto"/>
              </w:rPr>
            </w:pPr>
            <w:r>
              <w:rPr>
                <w:rFonts w:ascii="Arial" w:cs="Arial" w:eastAsia="Arial" w:hAnsi="Arial"/>
                <w:sz w:val="18"/>
                <w:szCs w:val="18"/>
                <w:color w:val="auto"/>
              </w:rPr>
              <w:t>Fiscal 2010 Plan</w:t>
            </w:r>
          </w:p>
        </w:tc>
        <w:tc>
          <w:tcPr>
            <w:tcW w:w="14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400" w:type="dxa"/>
            <w:vAlign w:val="bottom"/>
            <w:tcBorders>
              <w:top w:val="single" w:sz="8" w:color="auto"/>
            </w:tcBorders>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60" w:type="dxa"/>
            <w:vAlign w:val="bottom"/>
          </w:tcPr>
          <w:p>
            <w:pPr>
              <w:ind w:left="440"/>
              <w:spacing w:after="0"/>
              <w:rPr>
                <w:sz w:val="20"/>
                <w:szCs w:val="20"/>
                <w:color w:val="auto"/>
              </w:rPr>
            </w:pPr>
            <w:r>
              <w:rPr>
                <w:rFonts w:ascii="Arial" w:cs="Arial" w:eastAsia="Arial" w:hAnsi="Arial"/>
                <w:sz w:val="18"/>
                <w:szCs w:val="18"/>
                <w:color w:val="auto"/>
              </w:rPr>
              <w:t>Employee Severance and Benefits</w:t>
            </w: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1340" w:type="dxa"/>
            <w:vAlign w:val="bottom"/>
            <w:gridSpan w:val="2"/>
          </w:tcPr>
          <w:p>
            <w:pPr>
              <w:jc w:val="right"/>
              <w:ind w:right="5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480"/>
              <w:spacing w:after="0"/>
              <w:rPr>
                <w:sz w:val="20"/>
                <w:szCs w:val="20"/>
                <w:color w:val="auto"/>
              </w:rPr>
            </w:pPr>
            <w:r>
              <w:rPr>
                <w:rFonts w:ascii="Arial" w:cs="Arial" w:eastAsia="Arial" w:hAnsi="Arial"/>
                <w:sz w:val="18"/>
                <w:szCs w:val="18"/>
                <w:color w:val="auto"/>
              </w:rPr>
              <w:t>19.8</w:t>
            </w: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280"/>
              <w:spacing w:after="0"/>
              <w:rPr>
                <w:sz w:val="20"/>
                <w:szCs w:val="20"/>
                <w:color w:val="auto"/>
              </w:rPr>
            </w:pPr>
            <w:r>
              <w:rPr>
                <w:rFonts w:ascii="Arial" w:cs="Arial" w:eastAsia="Arial" w:hAnsi="Arial"/>
                <w:sz w:val="18"/>
                <w:szCs w:val="18"/>
                <w:color w:val="auto"/>
                <w:w w:val="97"/>
              </w:rPr>
              <w:t>(15.1)</w:t>
            </w:r>
          </w:p>
        </w:tc>
        <w:tc>
          <w:tcPr>
            <w:tcW w:w="600" w:type="dxa"/>
            <w:vAlign w:val="bottom"/>
            <w:gridSpan w:val="2"/>
          </w:tcPr>
          <w:p>
            <w:pPr>
              <w:ind w:left="260"/>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260"/>
              <w:spacing w:after="0"/>
              <w:rPr>
                <w:sz w:val="20"/>
                <w:szCs w:val="20"/>
                <w:color w:val="auto"/>
              </w:rPr>
            </w:pPr>
            <w:r>
              <w:rPr>
                <w:rFonts w:ascii="Arial" w:cs="Arial" w:eastAsia="Arial" w:hAnsi="Arial"/>
                <w:sz w:val="18"/>
                <w:szCs w:val="18"/>
                <w:color w:val="auto"/>
              </w:rPr>
              <w:t>(0.8)</w:t>
            </w:r>
          </w:p>
        </w:tc>
        <w:tc>
          <w:tcPr>
            <w:tcW w:w="42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3.9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Facilities and Other</w:t>
            </w:r>
          </w:p>
        </w:tc>
        <w:tc>
          <w:tcPr>
            <w:tcW w:w="14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9.7</w:t>
            </w:r>
          </w:p>
        </w:tc>
        <w:tc>
          <w:tcPr>
            <w:tcW w:w="1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(2.2)</w:t>
            </w:r>
          </w:p>
        </w:tc>
        <w:tc>
          <w:tcPr>
            <w:tcW w:w="2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(0.1)</w:t>
            </w: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60" w:type="dxa"/>
            <w:vAlign w:val="bottom"/>
          </w:tcPr>
          <w:p>
            <w:pPr>
              <w:spacing w:after="0"/>
              <w:rPr>
                <w:sz w:val="20"/>
                <w:szCs w:val="20"/>
                <w:color w:val="auto"/>
              </w:rPr>
            </w:pPr>
            <w:r>
              <w:rPr>
                <w:rFonts w:ascii="Arial" w:cs="Arial" w:eastAsia="Arial" w:hAnsi="Arial"/>
                <w:sz w:val="18"/>
                <w:szCs w:val="18"/>
                <w:color w:val="auto"/>
              </w:rPr>
              <w:t>Fiscal 2009 Plan</w:t>
            </w:r>
          </w:p>
        </w:tc>
        <w:tc>
          <w:tcPr>
            <w:tcW w:w="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Employee Severance and Benefits</w:t>
            </w:r>
          </w:p>
        </w:tc>
        <w:tc>
          <w:tcPr>
            <w:tcW w:w="14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35.4</w:t>
            </w:r>
          </w:p>
        </w:tc>
        <w:tc>
          <w:tcPr>
            <w:tcW w:w="1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5.8</w:t>
            </w:r>
          </w:p>
        </w:tc>
        <w:tc>
          <w:tcPr>
            <w:tcW w:w="1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97"/>
              </w:rPr>
              <w:t>(37.3)</w:t>
            </w:r>
          </w:p>
        </w:tc>
        <w:tc>
          <w:tcPr>
            <w:tcW w:w="2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(2.3)</w:t>
            </w: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60" w:type="dxa"/>
            <w:vAlign w:val="bottom"/>
          </w:tcPr>
          <w:p>
            <w:pPr>
              <w:ind w:left="440"/>
              <w:spacing w:after="0"/>
              <w:rPr>
                <w:sz w:val="20"/>
                <w:szCs w:val="20"/>
                <w:color w:val="auto"/>
              </w:rPr>
            </w:pPr>
            <w:r>
              <w:rPr>
                <w:rFonts w:ascii="Arial" w:cs="Arial" w:eastAsia="Arial" w:hAnsi="Arial"/>
                <w:sz w:val="18"/>
                <w:szCs w:val="18"/>
                <w:color w:val="auto"/>
              </w:rPr>
              <w:t>Facilities and Other</w:t>
            </w:r>
          </w:p>
        </w:tc>
        <w:tc>
          <w:tcPr>
            <w:tcW w:w="140" w:type="dxa"/>
            <w:vAlign w:val="bottom"/>
          </w:tcPr>
          <w:p>
            <w:pPr>
              <w:spacing w:after="0"/>
              <w:rPr>
                <w:sz w:val="18"/>
                <w:szCs w:val="18"/>
                <w:color w:val="auto"/>
              </w:rPr>
            </w:pPr>
          </w:p>
        </w:tc>
        <w:tc>
          <w:tcPr>
            <w:tcW w:w="1340" w:type="dxa"/>
            <w:vAlign w:val="bottom"/>
            <w:gridSpan w:val="2"/>
          </w:tcPr>
          <w:p>
            <w:pPr>
              <w:jc w:val="right"/>
              <w:ind w:right="480"/>
              <w:spacing w:after="0"/>
              <w:rPr>
                <w:sz w:val="20"/>
                <w:szCs w:val="20"/>
                <w:color w:val="auto"/>
              </w:rPr>
            </w:pPr>
            <w:r>
              <w:rPr>
                <w:rFonts w:ascii="Arial" w:cs="Arial" w:eastAsia="Arial" w:hAnsi="Arial"/>
                <w:sz w:val="18"/>
                <w:szCs w:val="18"/>
                <w:color w:val="auto"/>
              </w:rPr>
              <w:t>2.8</w:t>
            </w:r>
          </w:p>
        </w:tc>
        <w:tc>
          <w:tcPr>
            <w:tcW w:w="180" w:type="dxa"/>
            <w:vAlign w:val="bottom"/>
          </w:tcPr>
          <w:p>
            <w:pPr>
              <w:spacing w:after="0"/>
              <w:rPr>
                <w:sz w:val="18"/>
                <w:szCs w:val="18"/>
                <w:color w:val="auto"/>
              </w:rPr>
            </w:pPr>
          </w:p>
        </w:tc>
        <w:tc>
          <w:tcPr>
            <w:tcW w:w="880" w:type="dxa"/>
            <w:vAlign w:val="bottom"/>
            <w:gridSpan w:val="2"/>
          </w:tcPr>
          <w:p>
            <w:pPr>
              <w:jc w:val="right"/>
              <w:ind w:right="480"/>
              <w:spacing w:after="0"/>
              <w:rPr>
                <w:sz w:val="20"/>
                <w:szCs w:val="20"/>
                <w:color w:val="auto"/>
              </w:rPr>
            </w:pPr>
            <w:r>
              <w:rPr>
                <w:rFonts w:ascii="Arial" w:cs="Arial" w:eastAsia="Arial" w:hAnsi="Arial"/>
                <w:sz w:val="18"/>
                <w:szCs w:val="18"/>
                <w:color w:val="auto"/>
              </w:rPr>
              <w:t>12.0</w:t>
            </w:r>
          </w:p>
        </w:tc>
        <w:tc>
          <w:tcPr>
            <w:tcW w:w="140" w:type="dxa"/>
            <w:vAlign w:val="bottom"/>
          </w:tcPr>
          <w:p>
            <w:pPr>
              <w:spacing w:after="0"/>
              <w:rPr>
                <w:sz w:val="18"/>
                <w:szCs w:val="18"/>
                <w:color w:val="auto"/>
              </w:rPr>
            </w:pPr>
          </w:p>
        </w:tc>
        <w:tc>
          <w:tcPr>
            <w:tcW w:w="760" w:type="dxa"/>
            <w:vAlign w:val="bottom"/>
            <w:gridSpan w:val="2"/>
          </w:tcPr>
          <w:p>
            <w:pPr>
              <w:jc w:val="right"/>
              <w:ind w:right="280"/>
              <w:spacing w:after="0"/>
              <w:rPr>
                <w:sz w:val="20"/>
                <w:szCs w:val="20"/>
                <w:color w:val="auto"/>
              </w:rPr>
            </w:pPr>
            <w:r>
              <w:rPr>
                <w:rFonts w:ascii="Arial" w:cs="Arial" w:eastAsia="Arial" w:hAnsi="Arial"/>
                <w:sz w:val="18"/>
                <w:szCs w:val="18"/>
                <w:color w:val="auto"/>
              </w:rPr>
              <w:t>(4.9)</w:t>
            </w:r>
          </w:p>
        </w:tc>
        <w:tc>
          <w:tcPr>
            <w:tcW w:w="2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60" w:type="dxa"/>
            <w:vAlign w:val="bottom"/>
            <w:gridSpan w:val="2"/>
          </w:tcPr>
          <w:p>
            <w:pPr>
              <w:jc w:val="right"/>
              <w:ind w:right="260"/>
              <w:spacing w:after="0"/>
              <w:rPr>
                <w:sz w:val="20"/>
                <w:szCs w:val="20"/>
                <w:color w:val="auto"/>
              </w:rPr>
            </w:pPr>
            <w:r>
              <w:rPr>
                <w:rFonts w:ascii="Arial" w:cs="Arial" w:eastAsia="Arial" w:hAnsi="Arial"/>
                <w:sz w:val="18"/>
                <w:szCs w:val="18"/>
                <w:color w:val="auto"/>
              </w:rPr>
              <w:t>(0.1)</w:t>
            </w: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9.8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60" w:type="dxa"/>
            <w:vAlign w:val="bottom"/>
            <w:shd w:val="clear" w:color="auto" w:fill="CCEEFF"/>
          </w:tcPr>
          <w:p>
            <w:pPr>
              <w:spacing w:after="0"/>
              <w:rPr>
                <w:sz w:val="20"/>
                <w:szCs w:val="20"/>
                <w:color w:val="auto"/>
              </w:rPr>
            </w:pPr>
            <w:r>
              <w:rPr>
                <w:rFonts w:ascii="Arial" w:cs="Arial" w:eastAsia="Arial" w:hAnsi="Arial"/>
                <w:sz w:val="18"/>
                <w:szCs w:val="18"/>
                <w:color w:val="auto"/>
              </w:rPr>
              <w:t>Other</w:t>
            </w: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60" w:type="dxa"/>
            <w:vAlign w:val="bottom"/>
          </w:tcPr>
          <w:p>
            <w:pPr>
              <w:ind w:left="440"/>
              <w:spacing w:after="0"/>
              <w:rPr>
                <w:sz w:val="20"/>
                <w:szCs w:val="20"/>
                <w:color w:val="auto"/>
              </w:rPr>
            </w:pPr>
            <w:r>
              <w:rPr>
                <w:rFonts w:ascii="Arial" w:cs="Arial" w:eastAsia="Arial" w:hAnsi="Arial"/>
                <w:sz w:val="18"/>
                <w:szCs w:val="18"/>
                <w:color w:val="auto"/>
              </w:rPr>
              <w:t>Employee Severance and Benefits</w:t>
            </w:r>
          </w:p>
        </w:tc>
        <w:tc>
          <w:tcPr>
            <w:tcW w:w="140" w:type="dxa"/>
            <w:vAlign w:val="bottom"/>
          </w:tcPr>
          <w:p>
            <w:pPr>
              <w:spacing w:after="0"/>
              <w:rPr>
                <w:sz w:val="18"/>
                <w:szCs w:val="18"/>
                <w:color w:val="auto"/>
              </w:rPr>
            </w:pPr>
          </w:p>
        </w:tc>
        <w:tc>
          <w:tcPr>
            <w:tcW w:w="1340" w:type="dxa"/>
            <w:vAlign w:val="bottom"/>
            <w:gridSpan w:val="2"/>
          </w:tcPr>
          <w:p>
            <w:pPr>
              <w:jc w:val="right"/>
              <w:ind w:right="480"/>
              <w:spacing w:after="0"/>
              <w:rPr>
                <w:sz w:val="20"/>
                <w:szCs w:val="20"/>
                <w:color w:val="auto"/>
              </w:rPr>
            </w:pPr>
            <w:r>
              <w:rPr>
                <w:rFonts w:ascii="Arial" w:cs="Arial" w:eastAsia="Arial" w:hAnsi="Arial"/>
                <w:sz w:val="18"/>
                <w:szCs w:val="18"/>
                <w:color w:val="auto"/>
              </w:rPr>
              <w:t>0.9</w:t>
            </w:r>
          </w:p>
        </w:tc>
        <w:tc>
          <w:tcPr>
            <w:tcW w:w="180" w:type="dxa"/>
            <w:vAlign w:val="bottom"/>
          </w:tcPr>
          <w:p>
            <w:pPr>
              <w:spacing w:after="0"/>
              <w:rPr>
                <w:sz w:val="18"/>
                <w:szCs w:val="18"/>
                <w:color w:val="auto"/>
              </w:rPr>
            </w:pPr>
          </w:p>
        </w:tc>
        <w:tc>
          <w:tcPr>
            <w:tcW w:w="880" w:type="dxa"/>
            <w:vAlign w:val="bottom"/>
            <w:gridSpan w:val="2"/>
          </w:tcPr>
          <w:p>
            <w:pPr>
              <w:ind w:left="1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760" w:type="dxa"/>
            <w:vAlign w:val="bottom"/>
            <w:gridSpan w:val="2"/>
          </w:tcPr>
          <w:p>
            <w:pPr>
              <w:jc w:val="right"/>
              <w:ind w:right="280"/>
              <w:spacing w:after="0"/>
              <w:rPr>
                <w:sz w:val="20"/>
                <w:szCs w:val="20"/>
                <w:color w:val="auto"/>
              </w:rPr>
            </w:pPr>
            <w:r>
              <w:rPr>
                <w:rFonts w:ascii="Arial" w:cs="Arial" w:eastAsia="Arial" w:hAnsi="Arial"/>
                <w:sz w:val="18"/>
                <w:szCs w:val="18"/>
                <w:color w:val="auto"/>
              </w:rPr>
              <w:t>(0.5)</w:t>
            </w:r>
          </w:p>
        </w:tc>
        <w:tc>
          <w:tcPr>
            <w:tcW w:w="2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60" w:type="dxa"/>
            <w:vAlign w:val="bottom"/>
            <w:gridSpan w:val="2"/>
          </w:tcPr>
          <w:p>
            <w:pPr>
              <w:jc w:val="right"/>
              <w:ind w:right="260"/>
              <w:spacing w:after="0"/>
              <w:rPr>
                <w:sz w:val="20"/>
                <w:szCs w:val="20"/>
                <w:color w:val="auto"/>
              </w:rPr>
            </w:pPr>
            <w:r>
              <w:rPr>
                <w:rFonts w:ascii="Arial" w:cs="Arial" w:eastAsia="Arial" w:hAnsi="Arial"/>
                <w:sz w:val="18"/>
                <w:szCs w:val="18"/>
                <w:color w:val="auto"/>
              </w:rPr>
              <w:t>(0.4)</w:t>
            </w: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Facilities and Other</w:t>
            </w:r>
          </w:p>
        </w:tc>
        <w:tc>
          <w:tcPr>
            <w:tcW w:w="14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4.8</w:t>
            </w:r>
          </w:p>
        </w:tc>
        <w:tc>
          <w:tcPr>
            <w:tcW w:w="1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(1.5)</w:t>
            </w:r>
          </w:p>
        </w:tc>
        <w:tc>
          <w:tcPr>
            <w:tcW w:w="2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(0.8)</w:t>
            </w: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2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5260" w:type="dxa"/>
            <w:vAlign w:val="bottom"/>
          </w:tcPr>
          <w:p>
            <w:pPr>
              <w:spacing w:after="0"/>
              <w:rPr>
                <w:sz w:val="19"/>
                <w:szCs w:val="19"/>
                <w:color w:val="auto"/>
              </w:rPr>
            </w:pP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1340" w:type="dxa"/>
            <w:vAlign w:val="bottom"/>
            <w:gridSpan w:val="2"/>
          </w:tcPr>
          <w:p>
            <w:pPr>
              <w:jc w:val="right"/>
              <w:ind w:right="480"/>
              <w:spacing w:after="0"/>
              <w:rPr>
                <w:sz w:val="20"/>
                <w:szCs w:val="20"/>
                <w:color w:val="auto"/>
              </w:rPr>
            </w:pPr>
            <w:r>
              <w:rPr>
                <w:rFonts w:ascii="Arial" w:cs="Arial" w:eastAsia="Arial" w:hAnsi="Arial"/>
                <w:sz w:val="18"/>
                <w:szCs w:val="18"/>
                <w:color w:val="auto"/>
              </w:rPr>
              <w:t>43.9</w:t>
            </w: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480"/>
              <w:spacing w:after="0"/>
              <w:rPr>
                <w:sz w:val="20"/>
                <w:szCs w:val="20"/>
                <w:color w:val="auto"/>
              </w:rPr>
            </w:pPr>
            <w:r>
              <w:rPr>
                <w:rFonts w:ascii="Arial" w:cs="Arial" w:eastAsia="Arial" w:hAnsi="Arial"/>
                <w:sz w:val="18"/>
                <w:szCs w:val="18"/>
                <w:color w:val="auto"/>
              </w:rPr>
              <w:t>47.3</w:t>
            </w: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280"/>
              <w:spacing w:after="0"/>
              <w:rPr>
                <w:sz w:val="20"/>
                <w:szCs w:val="20"/>
                <w:color w:val="auto"/>
              </w:rPr>
            </w:pPr>
            <w:r>
              <w:rPr>
                <w:rFonts w:ascii="Arial" w:cs="Arial" w:eastAsia="Arial" w:hAnsi="Arial"/>
                <w:sz w:val="18"/>
                <w:szCs w:val="18"/>
                <w:color w:val="auto"/>
                <w:w w:val="97"/>
              </w:rPr>
              <w:t>(61.5)</w:t>
            </w:r>
          </w:p>
        </w:tc>
        <w:tc>
          <w:tcPr>
            <w:tcW w:w="600" w:type="dxa"/>
            <w:vAlign w:val="bottom"/>
            <w:gridSpan w:val="2"/>
          </w:tcPr>
          <w:p>
            <w:pPr>
              <w:ind w:left="260"/>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260"/>
              <w:spacing w:after="0"/>
              <w:rPr>
                <w:sz w:val="20"/>
                <w:szCs w:val="20"/>
                <w:color w:val="auto"/>
              </w:rPr>
            </w:pPr>
            <w:r>
              <w:rPr>
                <w:rFonts w:ascii="Arial" w:cs="Arial" w:eastAsia="Arial" w:hAnsi="Arial"/>
                <w:sz w:val="18"/>
                <w:szCs w:val="18"/>
                <w:color w:val="auto"/>
              </w:rPr>
              <w:t>(4.5)</w:t>
            </w:r>
          </w:p>
        </w:tc>
        <w:tc>
          <w:tcPr>
            <w:tcW w:w="42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20"/>
              <w:spacing w:after="0"/>
              <w:rPr>
                <w:sz w:val="20"/>
                <w:szCs w:val="20"/>
                <w:color w:val="auto"/>
              </w:rPr>
            </w:pPr>
            <w:r>
              <w:rPr>
                <w:rFonts w:ascii="Arial" w:cs="Arial" w:eastAsia="Arial" w:hAnsi="Arial"/>
                <w:sz w:val="18"/>
                <w:szCs w:val="18"/>
                <w:color w:val="auto"/>
              </w:rPr>
              <w:t>25.2</w:t>
            </w:r>
          </w:p>
        </w:tc>
        <w:tc>
          <w:tcPr>
            <w:tcW w:w="0" w:type="dxa"/>
            <w:vAlign w:val="bottom"/>
          </w:tcPr>
          <w:p>
            <w:pPr>
              <w:spacing w:after="0"/>
              <w:rPr>
                <w:sz w:val="1"/>
                <w:szCs w:val="1"/>
                <w:color w:val="auto"/>
              </w:rPr>
            </w:pPr>
          </w:p>
        </w:tc>
      </w:tr>
      <w:tr>
        <w:trPr>
          <w:trHeight w:val="20"/>
        </w:trPr>
        <w:tc>
          <w:tcPr>
            <w:tcW w:w="52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5260" w:type="dxa"/>
            <w:vAlign w:val="bottom"/>
            <w:shd w:val="clear" w:color="auto" w:fill="CCEEFF"/>
          </w:tcPr>
          <w:p>
            <w:pPr>
              <w:spacing w:after="0"/>
              <w:rPr>
                <w:sz w:val="20"/>
                <w:szCs w:val="20"/>
                <w:color w:val="auto"/>
              </w:rPr>
            </w:pPr>
            <w:r>
              <w:rPr>
                <w:rFonts w:ascii="Arial" w:cs="Arial" w:eastAsia="Arial" w:hAnsi="Arial"/>
                <w:sz w:val="18"/>
                <w:szCs w:val="18"/>
                <w:color w:val="auto"/>
              </w:rPr>
              <w:t>Current portion</w:t>
            </w:r>
            <w:r>
              <w:rPr>
                <w:rFonts w:ascii="Arial" w:cs="Arial" w:eastAsia="Arial" w:hAnsi="Arial"/>
                <w:sz w:val="11"/>
                <w:szCs w:val="11"/>
                <w:color w:val="auto"/>
              </w:rPr>
              <w:t>(2)</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34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38.4</w:t>
            </w:r>
          </w:p>
        </w:tc>
        <w:tc>
          <w:tcPr>
            <w:tcW w:w="1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42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60" w:type="dxa"/>
            <w:vAlign w:val="bottom"/>
          </w:tcPr>
          <w:p>
            <w:pPr>
              <w:spacing w:after="0"/>
              <w:rPr>
                <w:sz w:val="20"/>
                <w:szCs w:val="20"/>
                <w:color w:val="auto"/>
              </w:rPr>
            </w:pPr>
            <w:r>
              <w:rPr>
                <w:rFonts w:ascii="Arial" w:cs="Arial" w:eastAsia="Arial" w:hAnsi="Arial"/>
                <w:sz w:val="18"/>
                <w:szCs w:val="18"/>
                <w:color w:val="auto"/>
              </w:rPr>
              <w:t>Non-current portion</w:t>
            </w:r>
            <w:r>
              <w:rPr>
                <w:rFonts w:ascii="Arial" w:cs="Arial" w:eastAsia="Arial" w:hAnsi="Arial"/>
                <w:sz w:val="11"/>
                <w:szCs w:val="11"/>
                <w:color w:val="auto"/>
              </w:rPr>
              <w:t>(2)</w:t>
            </w:r>
          </w:p>
        </w:tc>
        <w:tc>
          <w:tcPr>
            <w:tcW w:w="140" w:type="dxa"/>
            <w:vAlign w:val="bottom"/>
          </w:tcPr>
          <w:p>
            <w:pPr>
              <w:spacing w:after="0"/>
              <w:rPr>
                <w:sz w:val="18"/>
                <w:szCs w:val="18"/>
                <w:color w:val="auto"/>
              </w:rPr>
            </w:pPr>
          </w:p>
        </w:tc>
        <w:tc>
          <w:tcPr>
            <w:tcW w:w="1340" w:type="dxa"/>
            <w:vAlign w:val="bottom"/>
            <w:gridSpan w:val="2"/>
          </w:tcPr>
          <w:p>
            <w:pPr>
              <w:jc w:val="right"/>
              <w:ind w:right="480"/>
              <w:spacing w:after="0"/>
              <w:rPr>
                <w:sz w:val="20"/>
                <w:szCs w:val="20"/>
                <w:color w:val="auto"/>
              </w:rPr>
            </w:pPr>
            <w:r>
              <w:rPr>
                <w:rFonts w:ascii="Arial" w:cs="Arial" w:eastAsia="Arial" w:hAnsi="Arial"/>
                <w:sz w:val="18"/>
                <w:szCs w:val="18"/>
                <w:color w:val="auto"/>
              </w:rPr>
              <w:t>5.5</w:t>
            </w:r>
          </w:p>
        </w:tc>
        <w:tc>
          <w:tcPr>
            <w:tcW w:w="1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9.6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52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480" w:type="dxa"/>
            <w:vAlign w:val="bottom"/>
          </w:tcPr>
          <w:p>
            <w:pPr>
              <w:spacing w:after="0"/>
              <w:rPr>
                <w:sz w:val="2"/>
                <w:szCs w:val="2"/>
                <w:color w:val="auto"/>
              </w:rPr>
            </w:pPr>
          </w:p>
        </w:tc>
        <w:tc>
          <w:tcPr>
            <w:tcW w:w="180" w:type="dxa"/>
            <w:vAlign w:val="bottom"/>
          </w:tcPr>
          <w:p>
            <w:pPr>
              <w:spacing w:after="0"/>
              <w:rPr>
                <w:sz w:val="2"/>
                <w:szCs w:val="2"/>
                <w:color w:val="auto"/>
              </w:rPr>
            </w:pPr>
          </w:p>
        </w:tc>
        <w:tc>
          <w:tcPr>
            <w:tcW w:w="4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40" w:type="dxa"/>
            <w:vAlign w:val="bottom"/>
          </w:tcPr>
          <w:p>
            <w:pPr>
              <w:spacing w:after="0"/>
              <w:rPr>
                <w:sz w:val="2"/>
                <w:szCs w:val="2"/>
                <w:color w:val="auto"/>
              </w:rPr>
            </w:pPr>
          </w:p>
        </w:tc>
        <w:tc>
          <w:tcPr>
            <w:tcW w:w="420" w:type="dxa"/>
            <w:vAlign w:val="bottom"/>
          </w:tcPr>
          <w:p>
            <w:pPr>
              <w:spacing w:after="0"/>
              <w:rPr>
                <w:sz w:val="2"/>
                <w:szCs w:val="2"/>
                <w:color w:val="auto"/>
              </w:rPr>
            </w:pPr>
          </w:p>
        </w:tc>
        <w:tc>
          <w:tcPr>
            <w:tcW w:w="340" w:type="dxa"/>
            <w:vAlign w:val="bottom"/>
          </w:tcPr>
          <w:p>
            <w:pPr>
              <w:spacing w:after="0"/>
              <w:rPr>
                <w:sz w:val="2"/>
                <w:szCs w:val="2"/>
                <w:color w:val="auto"/>
              </w:rPr>
            </w:pPr>
          </w:p>
        </w:tc>
        <w:tc>
          <w:tcPr>
            <w:tcW w:w="260" w:type="dxa"/>
            <w:vAlign w:val="bottom"/>
          </w:tcPr>
          <w:p>
            <w:pPr>
              <w:spacing w:after="0"/>
              <w:rPr>
                <w:sz w:val="2"/>
                <w:szCs w:val="2"/>
                <w:color w:val="auto"/>
              </w:rPr>
            </w:pPr>
          </w:p>
        </w:tc>
        <w:tc>
          <w:tcPr>
            <w:tcW w:w="340" w:type="dxa"/>
            <w:vAlign w:val="bottom"/>
          </w:tcPr>
          <w:p>
            <w:pPr>
              <w:spacing w:after="0"/>
              <w:rPr>
                <w:sz w:val="2"/>
                <w:szCs w:val="2"/>
                <w:color w:val="auto"/>
              </w:rPr>
            </w:pPr>
          </w:p>
        </w:tc>
        <w:tc>
          <w:tcPr>
            <w:tcW w:w="540" w:type="dxa"/>
            <w:vAlign w:val="bottom"/>
          </w:tcPr>
          <w:p>
            <w:pPr>
              <w:spacing w:after="0"/>
              <w:rPr>
                <w:sz w:val="2"/>
                <w:szCs w:val="2"/>
                <w:color w:val="auto"/>
              </w:rPr>
            </w:pPr>
          </w:p>
        </w:tc>
        <w:tc>
          <w:tcPr>
            <w:tcW w:w="3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2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5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34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43.9</w:t>
            </w:r>
          </w:p>
        </w:tc>
        <w:tc>
          <w:tcPr>
            <w:tcW w:w="1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42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25.2</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2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23" w:lineRule="exact"/>
        <w:rPr>
          <w:sz w:val="20"/>
          <w:szCs w:val="20"/>
          <w:color w:val="auto"/>
        </w:rPr>
      </w:pPr>
    </w:p>
    <w:p>
      <w:pPr>
        <w:ind w:left="460" w:hanging="452"/>
        <w:spacing w:after="0"/>
        <w:tabs>
          <w:tab w:leader="none" w:pos="460" w:val="left"/>
        </w:tabs>
        <w:numPr>
          <w:ilvl w:val="0"/>
          <w:numId w:val="16"/>
        </w:numPr>
        <w:rPr>
          <w:rFonts w:ascii="Arial" w:cs="Arial" w:eastAsia="Arial" w:hAnsi="Arial"/>
          <w:sz w:val="22"/>
          <w:szCs w:val="22"/>
          <w:color w:val="auto"/>
          <w:vertAlign w:val="superscript"/>
        </w:rPr>
      </w:pPr>
      <w:r>
        <w:rPr>
          <w:rFonts w:ascii="Arial" w:cs="Arial" w:eastAsia="Arial" w:hAnsi="Arial"/>
          <w:sz w:val="18"/>
          <w:szCs w:val="18"/>
          <w:color w:val="auto"/>
        </w:rPr>
        <w:t>Adjustments include the impact of foreign currency translation.</w:t>
      </w:r>
    </w:p>
    <w:p>
      <w:pPr>
        <w:spacing w:after="0" w:line="7" w:lineRule="exact"/>
        <w:rPr>
          <w:rFonts w:ascii="Arial" w:cs="Arial" w:eastAsia="Arial" w:hAnsi="Arial"/>
          <w:sz w:val="22"/>
          <w:szCs w:val="22"/>
          <w:color w:val="auto"/>
          <w:vertAlign w:val="superscript"/>
        </w:rPr>
      </w:pPr>
    </w:p>
    <w:p>
      <w:pPr>
        <w:ind w:left="460" w:right="200" w:hanging="452"/>
        <w:spacing w:after="0" w:line="221" w:lineRule="auto"/>
        <w:tabs>
          <w:tab w:leader="none" w:pos="460" w:val="left"/>
        </w:tabs>
        <w:numPr>
          <w:ilvl w:val="0"/>
          <w:numId w:val="16"/>
        </w:numPr>
        <w:rPr>
          <w:rFonts w:ascii="Arial" w:cs="Arial" w:eastAsia="Arial" w:hAnsi="Arial"/>
          <w:sz w:val="22"/>
          <w:szCs w:val="22"/>
          <w:color w:val="auto"/>
          <w:vertAlign w:val="superscript"/>
        </w:rPr>
      </w:pPr>
      <w:r>
        <w:rPr>
          <w:rFonts w:ascii="Arial" w:cs="Arial" w:eastAsia="Arial" w:hAnsi="Arial"/>
          <w:sz w:val="18"/>
          <w:szCs w:val="18"/>
          <w:color w:val="auto"/>
        </w:rPr>
        <w:t>The current and non-current portion of the reserve is recorded in the Condensed Consolidated Balance Sheet under “Other accrued liabilities” and “Other liabilities,” respectively.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-434975</wp:posOffset>
            </wp:positionV>
            <wp:extent cx="728980"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37" w:lineRule="exact"/>
        <w:rPr>
          <w:sz w:val="20"/>
          <w:szCs w:val="20"/>
          <w:color w:val="auto"/>
        </w:rPr>
      </w:pPr>
    </w:p>
    <w:p>
      <w:pPr>
        <w:ind w:right="160" w:firstLine="456"/>
        <w:spacing w:after="0" w:line="259" w:lineRule="auto"/>
        <w:rPr>
          <w:sz w:val="20"/>
          <w:szCs w:val="20"/>
          <w:color w:val="auto"/>
        </w:rPr>
      </w:pPr>
      <w:r>
        <w:rPr>
          <w:rFonts w:ascii="Arial" w:cs="Arial" w:eastAsia="Arial" w:hAnsi="Arial"/>
          <w:sz w:val="18"/>
          <w:szCs w:val="18"/>
          <w:color w:val="auto"/>
        </w:rPr>
        <w:t>If Autodesk’s revenue should further decline or not begin to grow, the Company may further reduce its operating expenses to align them with its financial condition, including the possibility of a further restructuring. In taking these actions, Autodesk may incur additional costs that could negatively impact its net income and cash flows from operating activities.</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20"/>
          </w:cols>
          <w:pgMar w:left="240" w:top="459" w:right="239"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hanging="452"/>
        <w:spacing w:after="0"/>
        <w:tabs>
          <w:tab w:leader="none" w:pos="460" w:val="left"/>
        </w:tabs>
        <w:numPr>
          <w:ilvl w:val="0"/>
          <w:numId w:val="17"/>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Deferred Compensation</w:t>
      </w:r>
    </w:p>
    <w:p>
      <w:pPr>
        <w:spacing w:after="0" w:line="90" w:lineRule="exact"/>
        <w:rPr>
          <w:sz w:val="20"/>
          <w:szCs w:val="20"/>
          <w:color w:val="auto"/>
        </w:rPr>
      </w:pPr>
    </w:p>
    <w:p>
      <w:pPr>
        <w:ind w:right="40" w:firstLine="456"/>
        <w:spacing w:after="0" w:line="291" w:lineRule="auto"/>
        <w:rPr>
          <w:sz w:val="20"/>
          <w:szCs w:val="20"/>
          <w:color w:val="auto"/>
        </w:rPr>
      </w:pPr>
      <w:r>
        <w:rPr>
          <w:rFonts w:ascii="Arial" w:cs="Arial" w:eastAsia="Arial" w:hAnsi="Arial"/>
          <w:sz w:val="16"/>
          <w:szCs w:val="16"/>
          <w:color w:val="auto"/>
        </w:rPr>
        <w:t>At October 31, 2009, Autodesk had marketable securities totaling $355.1 million, of which $26.9 million related to investments in debt and equity securities that are held in a rabbi trust under non-qualified deferred compensation plans. The total related deferred compensation liability was $26.9 million at October 31, 2009, of which $1.8 million was classified as current and $25.1 million was classified as non-current liabilities. The value of debt and equity securities held in the rabbi trust at January 31, 2009 was $19.9 million. The total related deferred compensation liability at January 31, 2009 was $19.9 million, of which $1.2 million was classified as current and $18.7 million was classified as non-current liabilities. The current and non-current portions of the liability are recorded in the Condensed Consolidated Balance Sheets under “Accrued compensation” and “Other liabilities,” respectively.</w:t>
      </w:r>
    </w:p>
    <w:p>
      <w:pPr>
        <w:spacing w:after="0" w:line="242" w:lineRule="exact"/>
        <w:rPr>
          <w:sz w:val="20"/>
          <w:szCs w:val="20"/>
          <w:color w:val="auto"/>
        </w:rPr>
      </w:pPr>
    </w:p>
    <w:p>
      <w:pPr>
        <w:ind w:left="460" w:hanging="452"/>
        <w:spacing w:after="0"/>
        <w:tabs>
          <w:tab w:leader="none" w:pos="460" w:val="left"/>
        </w:tabs>
        <w:numPr>
          <w:ilvl w:val="0"/>
          <w:numId w:val="18"/>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Computer Equipment, Software, Furniture and Leasehold Improvements, Net</w:t>
      </w:r>
    </w:p>
    <w:p>
      <w:pPr>
        <w:spacing w:after="0" w:line="90" w:lineRule="exact"/>
        <w:rPr>
          <w:rFonts w:ascii="Arial" w:cs="Arial" w:eastAsia="Arial" w:hAnsi="Arial"/>
          <w:sz w:val="18"/>
          <w:szCs w:val="18"/>
          <w:b w:val="1"/>
          <w:bCs w:val="1"/>
          <w:color w:val="auto"/>
        </w:rPr>
      </w:pPr>
    </w:p>
    <w:p>
      <w:pPr>
        <w:ind w:left="460"/>
        <w:spacing w:after="0"/>
        <w:rPr>
          <w:rFonts w:ascii="Arial" w:cs="Arial" w:eastAsia="Arial" w:hAnsi="Arial"/>
          <w:sz w:val="18"/>
          <w:szCs w:val="18"/>
          <w:b w:val="1"/>
          <w:bCs w:val="1"/>
          <w:color w:val="auto"/>
        </w:rPr>
      </w:pPr>
      <w:r>
        <w:rPr>
          <w:rFonts w:ascii="Arial" w:cs="Arial" w:eastAsia="Arial" w:hAnsi="Arial"/>
          <w:sz w:val="16"/>
          <w:szCs w:val="16"/>
          <w:color w:val="auto"/>
        </w:rPr>
        <w:t>Computer software and hardware, leasehold improvements, furniture and equipment and the related accumulated depreciation were as follows:</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9400" w:type="dxa"/>
            <w:vAlign w:val="bottom"/>
          </w:tcPr>
          <w:p>
            <w:pPr>
              <w:spacing w:after="0"/>
              <w:rPr>
                <w:sz w:val="14"/>
                <w:szCs w:val="14"/>
                <w:color w:val="auto"/>
              </w:rPr>
            </w:pPr>
          </w:p>
        </w:tc>
        <w:tc>
          <w:tcPr>
            <w:tcW w:w="1200" w:type="dxa"/>
            <w:vAlign w:val="bottom"/>
            <w:gridSpan w:val="3"/>
          </w:tcPr>
          <w:p>
            <w:pPr>
              <w:spacing w:after="0"/>
              <w:rPr>
                <w:sz w:val="20"/>
                <w:szCs w:val="20"/>
                <w:color w:val="auto"/>
              </w:rPr>
            </w:pPr>
            <w:r>
              <w:rPr>
                <w:rFonts w:ascii="Arial" w:cs="Arial" w:eastAsia="Arial" w:hAnsi="Arial"/>
                <w:sz w:val="14"/>
                <w:szCs w:val="14"/>
                <w:b w:val="1"/>
                <w:bCs w:val="1"/>
                <w:color w:val="auto"/>
              </w:rPr>
              <w:t>October 31,</w:t>
            </w:r>
          </w:p>
        </w:tc>
        <w:tc>
          <w:tcPr>
            <w:tcW w:w="800" w:type="dxa"/>
            <w:vAlign w:val="bottom"/>
            <w:gridSpan w:val="3"/>
          </w:tcPr>
          <w:p>
            <w:pPr>
              <w:spacing w:after="0"/>
              <w:rPr>
                <w:sz w:val="20"/>
                <w:szCs w:val="20"/>
                <w:color w:val="auto"/>
              </w:rPr>
            </w:pPr>
            <w:r>
              <w:rPr>
                <w:rFonts w:ascii="Arial" w:cs="Arial" w:eastAsia="Arial" w:hAnsi="Arial"/>
                <w:sz w:val="14"/>
                <w:szCs w:val="14"/>
                <w:b w:val="1"/>
                <w:bCs w:val="1"/>
                <w:color w:val="auto"/>
              </w:rPr>
              <w:t>January 31,</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940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right"/>
              <w:ind w:right="115"/>
              <w:spacing w:after="0"/>
              <w:rPr>
                <w:sz w:val="20"/>
                <w:szCs w:val="20"/>
                <w:color w:val="auto"/>
              </w:rPr>
            </w:pPr>
            <w:r>
              <w:rPr>
                <w:rFonts w:ascii="Arial" w:cs="Arial" w:eastAsia="Arial" w:hAnsi="Arial"/>
                <w:sz w:val="14"/>
                <w:szCs w:val="14"/>
                <w:b w:val="1"/>
                <w:bCs w:val="1"/>
                <w:color w:val="auto"/>
              </w:rPr>
              <w:t>2009</w:t>
            </w:r>
          </w:p>
        </w:tc>
        <w:tc>
          <w:tcPr>
            <w:tcW w:w="52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right"/>
              <w:ind w:right="135"/>
              <w:spacing w:after="0"/>
              <w:rPr>
                <w:sz w:val="20"/>
                <w:szCs w:val="20"/>
                <w:color w:val="auto"/>
              </w:rPr>
            </w:pPr>
            <w:r>
              <w:rPr>
                <w:rFonts w:ascii="Arial" w:cs="Arial" w:eastAsia="Arial" w:hAnsi="Arial"/>
                <w:sz w:val="14"/>
                <w:szCs w:val="14"/>
                <w:b w:val="1"/>
                <w:bCs w:val="1"/>
                <w:color w:val="auto"/>
                <w:w w:val="96"/>
              </w:rPr>
              <w:t>2009</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9400" w:type="dxa"/>
            <w:vAlign w:val="bottom"/>
            <w:shd w:val="clear" w:color="auto" w:fill="CCEEFF"/>
          </w:tcPr>
          <w:p>
            <w:pPr>
              <w:spacing w:after="0"/>
              <w:rPr>
                <w:sz w:val="20"/>
                <w:szCs w:val="20"/>
                <w:color w:val="auto"/>
              </w:rPr>
            </w:pPr>
            <w:r>
              <w:rPr>
                <w:rFonts w:ascii="Arial" w:cs="Arial" w:eastAsia="Arial" w:hAnsi="Arial"/>
                <w:sz w:val="18"/>
                <w:szCs w:val="18"/>
                <w:color w:val="auto"/>
              </w:rPr>
              <w:t>Computer software, at cost</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127.1</w:t>
            </w:r>
          </w:p>
        </w:tc>
        <w:tc>
          <w:tcPr>
            <w:tcW w:w="5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00" w:type="dxa"/>
            <w:vAlign w:val="bottom"/>
          </w:tcPr>
          <w:p>
            <w:pPr>
              <w:spacing w:after="0"/>
              <w:rPr>
                <w:sz w:val="20"/>
                <w:szCs w:val="20"/>
                <w:color w:val="auto"/>
              </w:rPr>
            </w:pPr>
            <w:r>
              <w:rPr>
                <w:rFonts w:ascii="Arial" w:cs="Arial" w:eastAsia="Arial" w:hAnsi="Arial"/>
                <w:sz w:val="18"/>
                <w:szCs w:val="18"/>
                <w:color w:val="auto"/>
              </w:rPr>
              <w:t>Computer hardware, at cost</w:t>
            </w:r>
          </w:p>
        </w:tc>
        <w:tc>
          <w:tcPr>
            <w:tcW w:w="14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109.3</w:t>
            </w:r>
          </w:p>
        </w:tc>
        <w:tc>
          <w:tcPr>
            <w:tcW w:w="5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103.1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00" w:type="dxa"/>
            <w:vAlign w:val="bottom"/>
            <w:shd w:val="clear" w:color="auto" w:fill="CCEEFF"/>
          </w:tcPr>
          <w:p>
            <w:pPr>
              <w:spacing w:after="0"/>
              <w:rPr>
                <w:sz w:val="20"/>
                <w:szCs w:val="20"/>
                <w:color w:val="auto"/>
              </w:rPr>
            </w:pPr>
            <w:r>
              <w:rPr>
                <w:rFonts w:ascii="Arial" w:cs="Arial" w:eastAsia="Arial" w:hAnsi="Arial"/>
                <w:sz w:val="18"/>
                <w:szCs w:val="18"/>
                <w:color w:val="auto"/>
              </w:rPr>
              <w:t>Leasehold improvements, land and buildings, at cost</w:t>
            </w: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111.2</w:t>
            </w:r>
          </w:p>
        </w:tc>
        <w:tc>
          <w:tcPr>
            <w:tcW w:w="5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115.0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400" w:type="dxa"/>
            <w:vAlign w:val="bottom"/>
          </w:tcPr>
          <w:p>
            <w:pPr>
              <w:spacing w:after="0"/>
              <w:rPr>
                <w:sz w:val="20"/>
                <w:szCs w:val="20"/>
                <w:color w:val="auto"/>
              </w:rPr>
            </w:pPr>
            <w:r>
              <w:rPr>
                <w:rFonts w:ascii="Arial" w:cs="Arial" w:eastAsia="Arial" w:hAnsi="Arial"/>
                <w:sz w:val="18"/>
                <w:szCs w:val="18"/>
                <w:color w:val="auto"/>
              </w:rPr>
              <w:t>Furniture and equipment, at cost</w:t>
            </w:r>
          </w:p>
        </w:tc>
        <w:tc>
          <w:tcPr>
            <w:tcW w:w="14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43.3</w:t>
            </w:r>
          </w:p>
        </w:tc>
        <w:tc>
          <w:tcPr>
            <w:tcW w:w="52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390.9</w:t>
            </w:r>
          </w:p>
        </w:tc>
        <w:tc>
          <w:tcPr>
            <w:tcW w:w="5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394.7</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400" w:type="dxa"/>
            <w:vAlign w:val="bottom"/>
          </w:tcPr>
          <w:p>
            <w:pPr>
              <w:spacing w:after="0"/>
              <w:rPr>
                <w:sz w:val="20"/>
                <w:szCs w:val="20"/>
                <w:color w:val="auto"/>
              </w:rPr>
            </w:pPr>
            <w:r>
              <w:rPr>
                <w:rFonts w:ascii="Arial" w:cs="Arial" w:eastAsia="Arial" w:hAnsi="Arial"/>
                <w:sz w:val="18"/>
                <w:szCs w:val="18"/>
                <w:color w:val="auto"/>
              </w:rPr>
              <w:t>Less: Accumulated depreciation</w:t>
            </w:r>
          </w:p>
        </w:tc>
        <w:tc>
          <w:tcPr>
            <w:tcW w:w="140" w:type="dxa"/>
            <w:vAlign w:val="bottom"/>
          </w:tcPr>
          <w:p>
            <w:pPr>
              <w:spacing w:after="0"/>
              <w:rPr>
                <w:sz w:val="19"/>
                <w:szCs w:val="19"/>
                <w:color w:val="auto"/>
              </w:rPr>
            </w:pPr>
          </w:p>
        </w:tc>
        <w:tc>
          <w:tcPr>
            <w:tcW w:w="1060" w:type="dxa"/>
            <w:vAlign w:val="bottom"/>
            <w:gridSpan w:val="2"/>
          </w:tcPr>
          <w:p>
            <w:pPr>
              <w:jc w:val="right"/>
              <w:ind w:right="460"/>
              <w:spacing w:after="0"/>
              <w:rPr>
                <w:sz w:val="20"/>
                <w:szCs w:val="20"/>
                <w:color w:val="auto"/>
              </w:rPr>
            </w:pPr>
            <w:r>
              <w:rPr>
                <w:rFonts w:ascii="Arial" w:cs="Arial" w:eastAsia="Arial" w:hAnsi="Arial"/>
                <w:sz w:val="18"/>
                <w:szCs w:val="18"/>
                <w:color w:val="auto"/>
              </w:rPr>
              <w:t>(279.0)</w:t>
            </w:r>
          </w:p>
        </w:tc>
        <w:tc>
          <w:tcPr>
            <w:tcW w:w="160" w:type="dxa"/>
            <w:vAlign w:val="bottom"/>
          </w:tcPr>
          <w:p>
            <w:pPr>
              <w:spacing w:after="0"/>
              <w:rPr>
                <w:sz w:val="19"/>
                <w:szCs w:val="19"/>
                <w:color w:val="auto"/>
              </w:rPr>
            </w:pPr>
          </w:p>
        </w:tc>
        <w:tc>
          <w:tcPr>
            <w:tcW w:w="640" w:type="dxa"/>
            <w:vAlign w:val="bottom"/>
            <w:gridSpan w:val="2"/>
          </w:tcPr>
          <w:p>
            <w:pPr>
              <w:jc w:val="right"/>
              <w:ind w:right="40"/>
              <w:spacing w:after="0"/>
              <w:rPr>
                <w:sz w:val="20"/>
                <w:szCs w:val="20"/>
                <w:color w:val="auto"/>
              </w:rPr>
            </w:pPr>
            <w:r>
              <w:rPr>
                <w:rFonts w:ascii="Arial" w:cs="Arial" w:eastAsia="Arial" w:hAnsi="Arial"/>
                <w:sz w:val="18"/>
                <w:szCs w:val="18"/>
                <w:color w:val="auto"/>
              </w:rPr>
              <w:t>(274.1)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00" w:type="dxa"/>
            <w:vAlign w:val="bottom"/>
            <w:shd w:val="clear" w:color="auto" w:fill="CCEEFF"/>
          </w:tcPr>
          <w:p>
            <w:pPr>
              <w:spacing w:after="0"/>
              <w:rPr>
                <w:sz w:val="20"/>
                <w:szCs w:val="20"/>
                <w:color w:val="auto"/>
              </w:rPr>
            </w:pPr>
            <w:r>
              <w:rPr>
                <w:rFonts w:ascii="Arial" w:cs="Arial" w:eastAsia="Arial" w:hAnsi="Arial"/>
                <w:sz w:val="18"/>
                <w:szCs w:val="18"/>
                <w:color w:val="auto"/>
              </w:rPr>
              <w:t>Computer software, hardware, leasehold improvements, furniture and equipment, net</w:t>
            </w:r>
          </w:p>
        </w:tc>
        <w:tc>
          <w:tcPr>
            <w:tcW w:w="14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111.9</w:t>
            </w:r>
          </w:p>
        </w:tc>
        <w:tc>
          <w:tcPr>
            <w:tcW w:w="520" w:type="dxa"/>
            <w:vAlign w:val="bottom"/>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120.6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9420" w:type="dxa"/>
            <w:vAlign w:val="bottom"/>
            <w:gridSpan w:val="2"/>
            <w:vMerge w:val="restart"/>
          </w:tcPr>
          <w:p>
            <w:pPr>
              <w:jc w:val="right"/>
              <w:ind w:right="3532"/>
              <w:spacing w:after="0"/>
              <w:rPr>
                <w:sz w:val="20"/>
                <w:szCs w:val="20"/>
                <w:color w:val="auto"/>
              </w:rPr>
            </w:pPr>
            <w:r>
              <w:rPr>
                <w:rFonts w:ascii="Arial" w:cs="Arial" w:eastAsia="Arial" w:hAnsi="Arial"/>
                <w:sz w:val="18"/>
                <w:szCs w:val="18"/>
                <w:color w:val="auto"/>
              </w:rPr>
              <w:t>20</w:t>
            </w:r>
          </w:p>
        </w:tc>
        <w:tc>
          <w:tcPr>
            <w:tcW w:w="1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7"/>
        </w:trPr>
        <w:tc>
          <w:tcPr>
            <w:tcW w:w="9420" w:type="dxa"/>
            <w:vAlign w:val="bottom"/>
            <w:gridSpan w:val="2"/>
            <w:vMerge w:val="continue"/>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hanging="452"/>
        <w:spacing w:after="0"/>
        <w:tabs>
          <w:tab w:leader="none" w:pos="460" w:val="left"/>
        </w:tabs>
        <w:numPr>
          <w:ilvl w:val="0"/>
          <w:numId w:val="19"/>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Purchased Technologies, Net</w:t>
      </w:r>
    </w:p>
    <w:p>
      <w:pPr>
        <w:spacing w:after="0" w:line="90" w:lineRule="exact"/>
        <w:rPr>
          <w:rFonts w:ascii="Arial" w:cs="Arial" w:eastAsia="Arial" w:hAnsi="Arial"/>
          <w:sz w:val="18"/>
          <w:szCs w:val="18"/>
          <w:b w:val="1"/>
          <w:bCs w:val="1"/>
          <w:color w:val="auto"/>
        </w:rPr>
      </w:pPr>
    </w:p>
    <w:p>
      <w:pPr>
        <w:ind w:left="460"/>
        <w:spacing w:after="0"/>
        <w:rPr>
          <w:rFonts w:ascii="Arial" w:cs="Arial" w:eastAsia="Arial" w:hAnsi="Arial"/>
          <w:sz w:val="18"/>
          <w:szCs w:val="18"/>
          <w:b w:val="1"/>
          <w:bCs w:val="1"/>
          <w:color w:val="auto"/>
        </w:rPr>
      </w:pPr>
      <w:r>
        <w:rPr>
          <w:rFonts w:ascii="Arial" w:cs="Arial" w:eastAsia="Arial" w:hAnsi="Arial"/>
          <w:sz w:val="18"/>
          <w:szCs w:val="18"/>
          <w:color w:val="auto"/>
        </w:rPr>
        <w:t>Purchased technologies and the related accumulated amortization were as follows:</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9400" w:type="dxa"/>
            <w:vAlign w:val="bottom"/>
          </w:tcPr>
          <w:p>
            <w:pPr>
              <w:spacing w:after="0"/>
              <w:rPr>
                <w:sz w:val="14"/>
                <w:szCs w:val="14"/>
                <w:color w:val="auto"/>
              </w:rPr>
            </w:pPr>
          </w:p>
        </w:tc>
        <w:tc>
          <w:tcPr>
            <w:tcW w:w="1200" w:type="dxa"/>
            <w:vAlign w:val="bottom"/>
            <w:gridSpan w:val="3"/>
          </w:tcPr>
          <w:p>
            <w:pPr>
              <w:spacing w:after="0"/>
              <w:rPr>
                <w:sz w:val="20"/>
                <w:szCs w:val="20"/>
                <w:color w:val="auto"/>
              </w:rPr>
            </w:pPr>
            <w:r>
              <w:rPr>
                <w:rFonts w:ascii="Arial" w:cs="Arial" w:eastAsia="Arial" w:hAnsi="Arial"/>
                <w:sz w:val="14"/>
                <w:szCs w:val="14"/>
                <w:b w:val="1"/>
                <w:bCs w:val="1"/>
                <w:color w:val="auto"/>
              </w:rPr>
              <w:t>October 31,</w:t>
            </w:r>
          </w:p>
        </w:tc>
        <w:tc>
          <w:tcPr>
            <w:tcW w:w="800" w:type="dxa"/>
            <w:vAlign w:val="bottom"/>
            <w:gridSpan w:val="3"/>
          </w:tcPr>
          <w:p>
            <w:pPr>
              <w:spacing w:after="0"/>
              <w:rPr>
                <w:sz w:val="20"/>
                <w:szCs w:val="20"/>
                <w:color w:val="auto"/>
              </w:rPr>
            </w:pPr>
            <w:r>
              <w:rPr>
                <w:rFonts w:ascii="Arial" w:cs="Arial" w:eastAsia="Arial" w:hAnsi="Arial"/>
                <w:sz w:val="14"/>
                <w:szCs w:val="14"/>
                <w:b w:val="1"/>
                <w:bCs w:val="1"/>
                <w:color w:val="auto"/>
              </w:rPr>
              <w:t>January 31,</w:t>
            </w:r>
          </w:p>
        </w:tc>
      </w:tr>
      <w:tr>
        <w:trPr>
          <w:trHeight w:val="161"/>
        </w:trPr>
        <w:tc>
          <w:tcPr>
            <w:tcW w:w="20" w:type="dxa"/>
            <w:vAlign w:val="bottom"/>
          </w:tcPr>
          <w:p>
            <w:pPr>
              <w:spacing w:after="0"/>
              <w:rPr>
                <w:sz w:val="14"/>
                <w:szCs w:val="14"/>
                <w:color w:val="auto"/>
              </w:rPr>
            </w:pPr>
          </w:p>
        </w:tc>
        <w:tc>
          <w:tcPr>
            <w:tcW w:w="940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right"/>
              <w:ind w:right="117"/>
              <w:spacing w:after="0"/>
              <w:rPr>
                <w:sz w:val="20"/>
                <w:szCs w:val="20"/>
                <w:color w:val="auto"/>
              </w:rPr>
            </w:pPr>
            <w:r>
              <w:rPr>
                <w:rFonts w:ascii="Arial" w:cs="Arial" w:eastAsia="Arial" w:hAnsi="Arial"/>
                <w:sz w:val="14"/>
                <w:szCs w:val="14"/>
                <w:b w:val="1"/>
                <w:bCs w:val="1"/>
                <w:color w:val="auto"/>
              </w:rPr>
              <w:t>2009</w:t>
            </w:r>
          </w:p>
        </w:tc>
        <w:tc>
          <w:tcPr>
            <w:tcW w:w="52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right"/>
              <w:ind w:right="137"/>
              <w:spacing w:after="0"/>
              <w:rPr>
                <w:sz w:val="20"/>
                <w:szCs w:val="20"/>
                <w:color w:val="auto"/>
              </w:rPr>
            </w:pPr>
            <w:r>
              <w:rPr>
                <w:rFonts w:ascii="Arial" w:cs="Arial" w:eastAsia="Arial" w:hAnsi="Arial"/>
                <w:sz w:val="14"/>
                <w:szCs w:val="14"/>
                <w:b w:val="1"/>
                <w:bCs w:val="1"/>
                <w:color w:val="auto"/>
                <w:w w:val="96"/>
              </w:rPr>
              <w:t>2009</w:t>
            </w:r>
          </w:p>
        </w:tc>
        <w:tc>
          <w:tcPr>
            <w:tcW w:w="100" w:type="dxa"/>
            <w:vAlign w:val="bottom"/>
          </w:tcPr>
          <w:p>
            <w:pPr>
              <w:spacing w:after="0"/>
              <w:rPr>
                <w:sz w:val="14"/>
                <w:szCs w:val="14"/>
                <w:color w:val="auto"/>
              </w:rPr>
            </w:pPr>
          </w:p>
        </w:tc>
      </w:tr>
      <w:tr>
        <w:trPr>
          <w:trHeight w:val="210"/>
        </w:trPr>
        <w:tc>
          <w:tcPr>
            <w:tcW w:w="20" w:type="dxa"/>
            <w:vAlign w:val="bottom"/>
          </w:tcPr>
          <w:p>
            <w:pPr>
              <w:spacing w:after="0"/>
              <w:rPr>
                <w:sz w:val="18"/>
                <w:szCs w:val="18"/>
                <w:color w:val="auto"/>
              </w:rPr>
            </w:pPr>
          </w:p>
        </w:tc>
        <w:tc>
          <w:tcPr>
            <w:tcW w:w="9400" w:type="dxa"/>
            <w:vAlign w:val="bottom"/>
            <w:shd w:val="clear" w:color="auto" w:fill="CCEEFF"/>
          </w:tcPr>
          <w:p>
            <w:pPr>
              <w:spacing w:after="0"/>
              <w:rPr>
                <w:sz w:val="20"/>
                <w:szCs w:val="20"/>
                <w:color w:val="auto"/>
              </w:rPr>
            </w:pPr>
            <w:r>
              <w:rPr>
                <w:rFonts w:ascii="Arial" w:cs="Arial" w:eastAsia="Arial" w:hAnsi="Arial"/>
                <w:sz w:val="18"/>
                <w:szCs w:val="18"/>
                <w:color w:val="auto"/>
              </w:rPr>
              <w:t>Purchased technologies</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326.3</w:t>
            </w:r>
          </w:p>
        </w:tc>
        <w:tc>
          <w:tcPr>
            <w:tcW w:w="5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302.4</w:t>
            </w:r>
          </w:p>
        </w:tc>
      </w:tr>
      <w:tr>
        <w:trPr>
          <w:trHeight w:val="223"/>
        </w:trPr>
        <w:tc>
          <w:tcPr>
            <w:tcW w:w="20" w:type="dxa"/>
            <w:vAlign w:val="bottom"/>
          </w:tcPr>
          <w:p>
            <w:pPr>
              <w:spacing w:after="0"/>
              <w:rPr>
                <w:sz w:val="19"/>
                <w:szCs w:val="19"/>
                <w:color w:val="auto"/>
              </w:rPr>
            </w:pPr>
          </w:p>
        </w:tc>
        <w:tc>
          <w:tcPr>
            <w:tcW w:w="9400" w:type="dxa"/>
            <w:vAlign w:val="bottom"/>
          </w:tcPr>
          <w:p>
            <w:pPr>
              <w:spacing w:after="0"/>
              <w:rPr>
                <w:sz w:val="20"/>
                <w:szCs w:val="20"/>
                <w:color w:val="auto"/>
              </w:rPr>
            </w:pPr>
            <w:r>
              <w:rPr>
                <w:rFonts w:ascii="Arial" w:cs="Arial" w:eastAsia="Arial" w:hAnsi="Arial"/>
                <w:sz w:val="18"/>
                <w:szCs w:val="18"/>
                <w:color w:val="auto"/>
              </w:rPr>
              <w:t>Less: Accumulated amortization</w:t>
            </w:r>
          </w:p>
        </w:tc>
        <w:tc>
          <w:tcPr>
            <w:tcW w:w="140" w:type="dxa"/>
            <w:vAlign w:val="bottom"/>
          </w:tcPr>
          <w:p>
            <w:pPr>
              <w:spacing w:after="0"/>
              <w:rPr>
                <w:sz w:val="19"/>
                <w:szCs w:val="19"/>
                <w:color w:val="auto"/>
              </w:rPr>
            </w:pPr>
          </w:p>
        </w:tc>
        <w:tc>
          <w:tcPr>
            <w:tcW w:w="1060" w:type="dxa"/>
            <w:vAlign w:val="bottom"/>
            <w:gridSpan w:val="2"/>
          </w:tcPr>
          <w:p>
            <w:pPr>
              <w:jc w:val="right"/>
              <w:ind w:right="460"/>
              <w:spacing w:after="0"/>
              <w:rPr>
                <w:sz w:val="20"/>
                <w:szCs w:val="20"/>
                <w:color w:val="auto"/>
              </w:rPr>
            </w:pPr>
            <w:r>
              <w:rPr>
                <w:rFonts w:ascii="Arial" w:cs="Arial" w:eastAsia="Arial" w:hAnsi="Arial"/>
                <w:sz w:val="18"/>
                <w:szCs w:val="18"/>
                <w:color w:val="auto"/>
              </w:rPr>
              <w:t>(237.4)</w:t>
            </w:r>
          </w:p>
        </w:tc>
        <w:tc>
          <w:tcPr>
            <w:tcW w:w="160" w:type="dxa"/>
            <w:vAlign w:val="bottom"/>
          </w:tcPr>
          <w:p>
            <w:pPr>
              <w:spacing w:after="0"/>
              <w:rPr>
                <w:sz w:val="19"/>
                <w:szCs w:val="19"/>
                <w:color w:val="auto"/>
              </w:rPr>
            </w:pPr>
          </w:p>
        </w:tc>
        <w:tc>
          <w:tcPr>
            <w:tcW w:w="640" w:type="dxa"/>
            <w:vAlign w:val="bottom"/>
            <w:gridSpan w:val="2"/>
          </w:tcPr>
          <w:p>
            <w:pPr>
              <w:jc w:val="right"/>
              <w:ind w:right="40"/>
              <w:spacing w:after="0"/>
              <w:rPr>
                <w:sz w:val="20"/>
                <w:szCs w:val="20"/>
                <w:color w:val="auto"/>
              </w:rPr>
            </w:pPr>
            <w:r>
              <w:rPr>
                <w:rFonts w:ascii="Arial" w:cs="Arial" w:eastAsia="Arial" w:hAnsi="Arial"/>
                <w:sz w:val="18"/>
                <w:szCs w:val="18"/>
                <w:color w:val="auto"/>
              </w:rPr>
              <w:t>(189.1)</w:t>
            </w:r>
          </w:p>
        </w:tc>
      </w:tr>
      <w:tr>
        <w:trPr>
          <w:trHeight w:val="216"/>
        </w:trPr>
        <w:tc>
          <w:tcPr>
            <w:tcW w:w="20" w:type="dxa"/>
            <w:vAlign w:val="bottom"/>
          </w:tcPr>
          <w:p>
            <w:pPr>
              <w:spacing w:after="0"/>
              <w:rPr>
                <w:sz w:val="18"/>
                <w:szCs w:val="18"/>
                <w:color w:val="auto"/>
              </w:rPr>
            </w:pPr>
          </w:p>
        </w:tc>
        <w:tc>
          <w:tcPr>
            <w:tcW w:w="9400" w:type="dxa"/>
            <w:vAlign w:val="bottom"/>
            <w:shd w:val="clear" w:color="auto" w:fill="CCEEFF"/>
          </w:tcPr>
          <w:p>
            <w:pPr>
              <w:spacing w:after="0"/>
              <w:rPr>
                <w:sz w:val="20"/>
                <w:szCs w:val="20"/>
                <w:color w:val="auto"/>
              </w:rPr>
            </w:pPr>
            <w:r>
              <w:rPr>
                <w:rFonts w:ascii="Arial" w:cs="Arial" w:eastAsia="Arial" w:hAnsi="Arial"/>
                <w:sz w:val="18"/>
                <w:szCs w:val="18"/>
                <w:color w:val="auto"/>
              </w:rPr>
              <w:t>Purchased technologies, net</w:t>
            </w:r>
          </w:p>
        </w:tc>
        <w:tc>
          <w:tcPr>
            <w:tcW w:w="14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88.9</w:t>
            </w:r>
          </w:p>
        </w:tc>
        <w:tc>
          <w:tcPr>
            <w:tcW w:w="520" w:type="dxa"/>
            <w:vAlign w:val="bottom"/>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113.3</w:t>
            </w:r>
          </w:p>
        </w:tc>
        <w:tc>
          <w:tcPr>
            <w:tcW w:w="100" w:type="dxa"/>
            <w:vAlign w:val="bottom"/>
            <w:shd w:val="clear" w:color="auto" w:fill="CCEEFF"/>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94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89" w:lineRule="exact"/>
        <w:rPr>
          <w:sz w:val="20"/>
          <w:szCs w:val="20"/>
          <w:color w:val="auto"/>
        </w:rPr>
      </w:pPr>
    </w:p>
    <w:p>
      <w:pPr>
        <w:ind w:left="460" w:hanging="452"/>
        <w:spacing w:after="0"/>
        <w:tabs>
          <w:tab w:leader="none" w:pos="460" w:val="left"/>
        </w:tabs>
        <w:numPr>
          <w:ilvl w:val="0"/>
          <w:numId w:val="20"/>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Goodwill</w:t>
      </w:r>
    </w:p>
    <w:p>
      <w:pPr>
        <w:spacing w:after="0" w:line="90" w:lineRule="exact"/>
        <w:rPr>
          <w:rFonts w:ascii="Arial" w:cs="Arial" w:eastAsia="Arial" w:hAnsi="Arial"/>
          <w:sz w:val="18"/>
          <w:szCs w:val="18"/>
          <w:b w:val="1"/>
          <w:bCs w:val="1"/>
          <w:color w:val="auto"/>
        </w:rPr>
      </w:pPr>
    </w:p>
    <w:p>
      <w:pPr>
        <w:ind w:left="460"/>
        <w:spacing w:after="0"/>
        <w:rPr>
          <w:rFonts w:ascii="Arial" w:cs="Arial" w:eastAsia="Arial" w:hAnsi="Arial"/>
          <w:sz w:val="18"/>
          <w:szCs w:val="18"/>
          <w:b w:val="1"/>
          <w:bCs w:val="1"/>
          <w:color w:val="auto"/>
        </w:rPr>
      </w:pPr>
      <w:r>
        <w:rPr>
          <w:rFonts w:ascii="Arial" w:cs="Arial" w:eastAsia="Arial" w:hAnsi="Arial"/>
          <w:sz w:val="18"/>
          <w:szCs w:val="18"/>
          <w:color w:val="auto"/>
        </w:rPr>
        <w:t>The changes in the carrying amount of goodwill during the nine months ended October 31, 2009 were as follows:</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00" w:type="dxa"/>
            <w:vAlign w:val="bottom"/>
            <w:gridSpan w:val="2"/>
          </w:tcPr>
          <w:p>
            <w:pPr>
              <w:jc w:val="center"/>
              <w:ind w:right="700"/>
              <w:spacing w:after="0"/>
              <w:rPr>
                <w:sz w:val="20"/>
                <w:szCs w:val="20"/>
                <w:color w:val="auto"/>
              </w:rPr>
            </w:pPr>
            <w:r>
              <w:rPr>
                <w:rFonts w:ascii="Arial" w:cs="Arial" w:eastAsia="Arial" w:hAnsi="Arial"/>
                <w:sz w:val="14"/>
                <w:szCs w:val="14"/>
                <w:b w:val="1"/>
                <w:bCs w:val="1"/>
                <w:color w:val="auto"/>
                <w:w w:val="91"/>
              </w:rPr>
              <w:t>Platform</w:t>
            </w:r>
          </w:p>
        </w:tc>
        <w:tc>
          <w:tcPr>
            <w:tcW w:w="1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49"/>
        </w:trPr>
        <w:tc>
          <w:tcPr>
            <w:tcW w:w="5120" w:type="dxa"/>
            <w:vAlign w:val="bottom"/>
          </w:tcPr>
          <w:p>
            <w:pPr>
              <w:spacing w:after="0"/>
              <w:rPr>
                <w:sz w:val="12"/>
                <w:szCs w:val="12"/>
                <w:color w:val="auto"/>
              </w:rPr>
            </w:pPr>
          </w:p>
        </w:tc>
        <w:tc>
          <w:tcPr>
            <w:tcW w:w="1400" w:type="dxa"/>
            <w:vAlign w:val="bottom"/>
            <w:gridSpan w:val="3"/>
          </w:tcPr>
          <w:p>
            <w:pPr>
              <w:jc w:val="center"/>
              <w:ind w:right="620"/>
              <w:spacing w:after="0" w:line="149" w:lineRule="exact"/>
              <w:rPr>
                <w:sz w:val="20"/>
                <w:szCs w:val="20"/>
                <w:color w:val="auto"/>
              </w:rPr>
            </w:pPr>
            <w:r>
              <w:rPr>
                <w:rFonts w:ascii="Arial" w:cs="Arial" w:eastAsia="Arial" w:hAnsi="Arial"/>
                <w:sz w:val="14"/>
                <w:szCs w:val="14"/>
                <w:b w:val="1"/>
                <w:bCs w:val="1"/>
                <w:color w:val="auto"/>
                <w:w w:val="84"/>
              </w:rPr>
              <w:t>Solutions and</w:t>
            </w:r>
          </w:p>
        </w:tc>
        <w:tc>
          <w:tcPr>
            <w:tcW w:w="100" w:type="dxa"/>
            <w:vAlign w:val="bottom"/>
          </w:tcPr>
          <w:p>
            <w:pPr>
              <w:spacing w:after="0"/>
              <w:rPr>
                <w:sz w:val="12"/>
                <w:szCs w:val="12"/>
                <w:color w:val="auto"/>
              </w:rPr>
            </w:pPr>
          </w:p>
        </w:tc>
        <w:tc>
          <w:tcPr>
            <w:tcW w:w="860" w:type="dxa"/>
            <w:vAlign w:val="bottom"/>
          </w:tcPr>
          <w:p>
            <w:pPr>
              <w:jc w:val="right"/>
              <w:ind w:right="17"/>
              <w:spacing w:after="0" w:line="149" w:lineRule="exact"/>
              <w:rPr>
                <w:sz w:val="20"/>
                <w:szCs w:val="20"/>
                <w:color w:val="auto"/>
              </w:rPr>
            </w:pPr>
            <w:r>
              <w:rPr>
                <w:rFonts w:ascii="Arial" w:cs="Arial" w:eastAsia="Arial" w:hAnsi="Arial"/>
                <w:sz w:val="14"/>
                <w:szCs w:val="14"/>
                <w:b w:val="1"/>
                <w:bCs w:val="1"/>
                <w:color w:val="auto"/>
                <w:w w:val="85"/>
              </w:rPr>
              <w:t>Architecture,</w:t>
            </w:r>
          </w:p>
        </w:tc>
        <w:tc>
          <w:tcPr>
            <w:tcW w:w="5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49"/>
        </w:trPr>
        <w:tc>
          <w:tcPr>
            <w:tcW w:w="5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00" w:type="dxa"/>
            <w:vAlign w:val="bottom"/>
            <w:gridSpan w:val="2"/>
          </w:tcPr>
          <w:p>
            <w:pPr>
              <w:jc w:val="center"/>
              <w:ind w:right="720"/>
              <w:spacing w:after="0" w:line="149" w:lineRule="exact"/>
              <w:rPr>
                <w:sz w:val="20"/>
                <w:szCs w:val="20"/>
                <w:color w:val="auto"/>
              </w:rPr>
            </w:pPr>
            <w:r>
              <w:rPr>
                <w:rFonts w:ascii="Arial" w:cs="Arial" w:eastAsia="Arial" w:hAnsi="Arial"/>
                <w:sz w:val="14"/>
                <w:szCs w:val="14"/>
                <w:b w:val="1"/>
                <w:bCs w:val="1"/>
                <w:color w:val="auto"/>
                <w:w w:val="89"/>
              </w:rPr>
              <w:t>Emerging</w:t>
            </w:r>
          </w:p>
        </w:tc>
        <w:tc>
          <w:tcPr>
            <w:tcW w:w="960" w:type="dxa"/>
            <w:vAlign w:val="bottom"/>
            <w:gridSpan w:val="2"/>
          </w:tcPr>
          <w:p>
            <w:pPr>
              <w:spacing w:after="0" w:line="149" w:lineRule="exact"/>
              <w:rPr>
                <w:sz w:val="20"/>
                <w:szCs w:val="20"/>
                <w:color w:val="auto"/>
              </w:rPr>
            </w:pPr>
            <w:r>
              <w:rPr>
                <w:rFonts w:ascii="Arial" w:cs="Arial" w:eastAsia="Arial" w:hAnsi="Arial"/>
                <w:sz w:val="14"/>
                <w:szCs w:val="14"/>
                <w:b w:val="1"/>
                <w:bCs w:val="1"/>
                <w:color w:val="auto"/>
                <w:w w:val="85"/>
              </w:rPr>
              <w:t>Engineering and</w:t>
            </w:r>
          </w:p>
        </w:tc>
        <w:tc>
          <w:tcPr>
            <w:tcW w:w="5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80" w:type="dxa"/>
            <w:vAlign w:val="bottom"/>
            <w:gridSpan w:val="2"/>
          </w:tcPr>
          <w:p>
            <w:pPr>
              <w:jc w:val="right"/>
              <w:ind w:right="460"/>
              <w:spacing w:after="0" w:line="149" w:lineRule="exact"/>
              <w:rPr>
                <w:sz w:val="20"/>
                <w:szCs w:val="20"/>
                <w:color w:val="auto"/>
              </w:rPr>
            </w:pPr>
            <w:r>
              <w:rPr>
                <w:rFonts w:ascii="Arial" w:cs="Arial" w:eastAsia="Arial" w:hAnsi="Arial"/>
                <w:sz w:val="14"/>
                <w:szCs w:val="14"/>
                <w:b w:val="1"/>
                <w:bCs w:val="1"/>
                <w:color w:val="auto"/>
                <w:w w:val="87"/>
              </w:rPr>
              <w:t>Media and</w:t>
            </w:r>
          </w:p>
        </w:tc>
        <w:tc>
          <w:tcPr>
            <w:tcW w:w="2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61"/>
        </w:trPr>
        <w:tc>
          <w:tcPr>
            <w:tcW w:w="5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tcPr>
          <w:p>
            <w:pPr>
              <w:jc w:val="center"/>
              <w:ind w:right="19"/>
              <w:spacing w:after="0"/>
              <w:rPr>
                <w:sz w:val="20"/>
                <w:szCs w:val="20"/>
                <w:color w:val="auto"/>
              </w:rPr>
            </w:pPr>
            <w:r>
              <w:rPr>
                <w:rFonts w:ascii="Arial" w:cs="Arial" w:eastAsia="Arial" w:hAnsi="Arial"/>
                <w:sz w:val="14"/>
                <w:szCs w:val="14"/>
                <w:b w:val="1"/>
                <w:bCs w:val="1"/>
                <w:color w:val="auto"/>
                <w:w w:val="80"/>
              </w:rPr>
              <w:t>Business</w:t>
            </w:r>
          </w:p>
        </w:tc>
        <w:tc>
          <w:tcPr>
            <w:tcW w:w="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tcPr>
          <w:p>
            <w:pPr>
              <w:jc w:val="right"/>
              <w:ind w:right="17"/>
              <w:spacing w:after="0"/>
              <w:rPr>
                <w:sz w:val="20"/>
                <w:szCs w:val="20"/>
                <w:color w:val="auto"/>
              </w:rPr>
            </w:pPr>
            <w:r>
              <w:rPr>
                <w:rFonts w:ascii="Arial" w:cs="Arial" w:eastAsia="Arial" w:hAnsi="Arial"/>
                <w:sz w:val="14"/>
                <w:szCs w:val="14"/>
                <w:b w:val="1"/>
                <w:bCs w:val="1"/>
                <w:color w:val="auto"/>
                <w:w w:val="84"/>
              </w:rPr>
              <w:t>Construction</w:t>
            </w:r>
          </w:p>
        </w:tc>
        <w:tc>
          <w:tcPr>
            <w:tcW w:w="500" w:type="dxa"/>
            <w:vAlign w:val="bottom"/>
          </w:tcPr>
          <w:p>
            <w:pPr>
              <w:spacing w:after="0"/>
              <w:rPr>
                <w:sz w:val="14"/>
                <w:szCs w:val="14"/>
                <w:color w:val="auto"/>
              </w:rPr>
            </w:pPr>
          </w:p>
        </w:tc>
        <w:tc>
          <w:tcPr>
            <w:tcW w:w="880" w:type="dxa"/>
            <w:vAlign w:val="bottom"/>
            <w:gridSpan w:val="2"/>
          </w:tcPr>
          <w:p>
            <w:pPr>
              <w:spacing w:after="0"/>
              <w:rPr>
                <w:sz w:val="20"/>
                <w:szCs w:val="20"/>
                <w:color w:val="auto"/>
              </w:rPr>
            </w:pPr>
            <w:r>
              <w:rPr>
                <w:rFonts w:ascii="Arial" w:cs="Arial" w:eastAsia="Arial" w:hAnsi="Arial"/>
                <w:sz w:val="14"/>
                <w:szCs w:val="14"/>
                <w:b w:val="1"/>
                <w:bCs w:val="1"/>
                <w:color w:val="auto"/>
                <w:w w:val="89"/>
              </w:rPr>
              <w:t>Manufacturing</w:t>
            </w:r>
          </w:p>
        </w:tc>
        <w:tc>
          <w:tcPr>
            <w:tcW w:w="2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80" w:type="dxa"/>
            <w:vAlign w:val="bottom"/>
            <w:gridSpan w:val="3"/>
          </w:tcPr>
          <w:p>
            <w:pPr>
              <w:spacing w:after="0"/>
              <w:rPr>
                <w:sz w:val="20"/>
                <w:szCs w:val="20"/>
                <w:color w:val="auto"/>
              </w:rPr>
            </w:pPr>
            <w:r>
              <w:rPr>
                <w:rFonts w:ascii="Arial" w:cs="Arial" w:eastAsia="Arial" w:hAnsi="Arial"/>
                <w:sz w:val="14"/>
                <w:szCs w:val="14"/>
                <w:b w:val="1"/>
                <w:bCs w:val="1"/>
                <w:color w:val="auto"/>
              </w:rPr>
              <w:t>Entertainment</w:t>
            </w:r>
          </w:p>
        </w:tc>
        <w:tc>
          <w:tcPr>
            <w:tcW w:w="280" w:type="dxa"/>
            <w:vAlign w:val="bottom"/>
          </w:tcPr>
          <w:p>
            <w:pPr>
              <w:spacing w:after="0"/>
              <w:rPr>
                <w:sz w:val="14"/>
                <w:szCs w:val="14"/>
                <w:color w:val="auto"/>
              </w:rPr>
            </w:pPr>
          </w:p>
        </w:tc>
        <w:tc>
          <w:tcPr>
            <w:tcW w:w="60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rPr>
              <w:t>Total</w:t>
            </w:r>
          </w:p>
        </w:tc>
      </w:tr>
      <w:tr>
        <w:trPr>
          <w:trHeight w:val="20"/>
        </w:trPr>
        <w:tc>
          <w:tcPr>
            <w:tcW w:w="51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5120" w:type="dxa"/>
            <w:vAlign w:val="bottom"/>
            <w:shd w:val="clear" w:color="auto" w:fill="CCEEFF"/>
          </w:tcPr>
          <w:p>
            <w:pPr>
              <w:spacing w:after="0"/>
              <w:rPr>
                <w:sz w:val="20"/>
                <w:szCs w:val="20"/>
                <w:color w:val="auto"/>
              </w:rPr>
            </w:pPr>
            <w:r>
              <w:rPr>
                <w:rFonts w:ascii="Arial" w:cs="Arial" w:eastAsia="Arial" w:hAnsi="Arial"/>
                <w:sz w:val="18"/>
                <w:szCs w:val="18"/>
                <w:color w:val="auto"/>
              </w:rPr>
              <w:t>Balance as of January 31, 2009</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shd w:val="clear" w:color="auto" w:fill="CCEEFF"/>
          </w:tcPr>
          <w:p>
            <w:pPr>
              <w:jc w:val="center"/>
              <w:ind w:left="299"/>
              <w:spacing w:after="0"/>
              <w:rPr>
                <w:sz w:val="20"/>
                <w:szCs w:val="20"/>
                <w:color w:val="auto"/>
              </w:rPr>
            </w:pPr>
            <w:r>
              <w:rPr>
                <w:rFonts w:ascii="Arial" w:cs="Arial" w:eastAsia="Arial" w:hAnsi="Arial"/>
                <w:sz w:val="18"/>
                <w:szCs w:val="18"/>
                <w:color w:val="auto"/>
                <w:w w:val="85"/>
              </w:rPr>
              <w:t>36.3</w:t>
            </w: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209.4</w:t>
            </w:r>
          </w:p>
        </w:tc>
        <w:tc>
          <w:tcPr>
            <w:tcW w:w="780" w:type="dxa"/>
            <w:vAlign w:val="bottom"/>
            <w:gridSpan w:val="2"/>
            <w:shd w:val="clear" w:color="auto" w:fill="CCEEFF"/>
          </w:tcPr>
          <w:p>
            <w:pPr>
              <w:ind w:left="500"/>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275.8</w:t>
            </w:r>
          </w:p>
        </w:tc>
        <w:tc>
          <w:tcPr>
            <w:tcW w:w="36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w w:val="7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21.0</w:t>
            </w:r>
          </w:p>
        </w:tc>
        <w:tc>
          <w:tcPr>
            <w:tcW w:w="340" w:type="dxa"/>
            <w:vAlign w:val="bottom"/>
            <w:shd w:val="clear" w:color="auto" w:fill="CCEEFF"/>
          </w:tcPr>
          <w:p>
            <w:pPr>
              <w:spacing w:after="0"/>
              <w:rPr>
                <w:sz w:val="18"/>
                <w:szCs w:val="18"/>
                <w:color w:val="auto"/>
              </w:rPr>
            </w:pPr>
          </w:p>
        </w:tc>
        <w:tc>
          <w:tcPr>
            <w:tcW w:w="8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$542.5</w:t>
            </w:r>
          </w:p>
        </w:tc>
      </w:tr>
      <w:tr>
        <w:trPr>
          <w:trHeight w:val="216"/>
        </w:trPr>
        <w:tc>
          <w:tcPr>
            <w:tcW w:w="5120" w:type="dxa"/>
            <w:vAlign w:val="bottom"/>
          </w:tcPr>
          <w:p>
            <w:pPr>
              <w:ind w:left="440"/>
              <w:spacing w:after="0"/>
              <w:rPr>
                <w:sz w:val="20"/>
                <w:szCs w:val="20"/>
                <w:color w:val="auto"/>
              </w:rPr>
            </w:pPr>
            <w:r>
              <w:rPr>
                <w:rFonts w:ascii="Arial" w:cs="Arial" w:eastAsia="Arial" w:hAnsi="Arial"/>
                <w:sz w:val="18"/>
                <w:szCs w:val="18"/>
                <w:color w:val="auto"/>
              </w:rPr>
              <w:t>Transfer of assets between segments</w:t>
            </w:r>
          </w:p>
        </w:tc>
        <w:tc>
          <w:tcPr>
            <w:tcW w:w="100" w:type="dxa"/>
            <w:vAlign w:val="bottom"/>
          </w:tcPr>
          <w:p>
            <w:pPr>
              <w:spacing w:after="0"/>
              <w:rPr>
                <w:sz w:val="18"/>
                <w:szCs w:val="18"/>
                <w:color w:val="auto"/>
              </w:rPr>
            </w:pPr>
          </w:p>
        </w:tc>
        <w:tc>
          <w:tcPr>
            <w:tcW w:w="1300" w:type="dxa"/>
            <w:vAlign w:val="bottom"/>
            <w:gridSpan w:val="2"/>
          </w:tcPr>
          <w:p>
            <w:pPr>
              <w:jc w:val="center"/>
              <w:ind w:right="240"/>
              <w:spacing w:after="0"/>
              <w:rPr>
                <w:sz w:val="20"/>
                <w:szCs w:val="20"/>
                <w:color w:val="auto"/>
              </w:rPr>
            </w:pPr>
            <w:r>
              <w:rPr>
                <w:rFonts w:ascii="Arial" w:cs="Arial" w:eastAsia="Arial" w:hAnsi="Arial"/>
                <w:sz w:val="18"/>
                <w:szCs w:val="18"/>
                <w:color w:val="auto"/>
                <w:w w:val="89"/>
              </w:rPr>
              <w:t>(10.1)</w:t>
            </w:r>
          </w:p>
        </w:tc>
        <w:tc>
          <w:tcPr>
            <w:tcW w:w="1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10.1</w:t>
            </w:r>
          </w:p>
        </w:tc>
        <w:tc>
          <w:tcPr>
            <w:tcW w:w="5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40" w:type="dxa"/>
            <w:vAlign w:val="bottom"/>
            <w:gridSpan w:val="2"/>
          </w:tcPr>
          <w:p>
            <w:pPr>
              <w:ind w:left="34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6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r>
      <w:tr>
        <w:trPr>
          <w:trHeight w:val="216"/>
        </w:trPr>
        <w:tc>
          <w:tcPr>
            <w:tcW w:w="51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Impairment</w:t>
            </w:r>
          </w:p>
        </w:tc>
        <w:tc>
          <w:tcPr>
            <w:tcW w:w="1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center"/>
              <w:ind w:right="280"/>
              <w:spacing w:after="0"/>
              <w:rPr>
                <w:sz w:val="20"/>
                <w:szCs w:val="20"/>
                <w:color w:val="auto"/>
              </w:rPr>
            </w:pPr>
            <w:r>
              <w:rPr>
                <w:rFonts w:ascii="Arial" w:cs="Arial" w:eastAsia="Arial" w:hAnsi="Arial"/>
                <w:sz w:val="18"/>
                <w:szCs w:val="18"/>
                <w:color w:val="auto"/>
                <w:w w:val="99"/>
              </w:rPr>
              <w:t>—</w:t>
            </w: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17"/>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(21.0)</w:t>
            </w:r>
          </w:p>
        </w:tc>
        <w:tc>
          <w:tcPr>
            <w:tcW w:w="88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(21.0)</w:t>
            </w:r>
          </w:p>
        </w:tc>
      </w:tr>
      <w:tr>
        <w:trPr>
          <w:trHeight w:val="216"/>
        </w:trPr>
        <w:tc>
          <w:tcPr>
            <w:tcW w:w="5120" w:type="dxa"/>
            <w:vAlign w:val="bottom"/>
          </w:tcPr>
          <w:p>
            <w:pPr>
              <w:ind w:left="440"/>
              <w:spacing w:after="0"/>
              <w:rPr>
                <w:sz w:val="20"/>
                <w:szCs w:val="20"/>
                <w:color w:val="auto"/>
              </w:rPr>
            </w:pPr>
            <w:r>
              <w:rPr>
                <w:rFonts w:ascii="Arial" w:cs="Arial" w:eastAsia="Arial" w:hAnsi="Arial"/>
                <w:sz w:val="18"/>
                <w:szCs w:val="18"/>
                <w:color w:val="auto"/>
              </w:rPr>
              <w:t>Addition arising from acquisition</w:t>
            </w:r>
          </w:p>
        </w:tc>
        <w:tc>
          <w:tcPr>
            <w:tcW w:w="100" w:type="dxa"/>
            <w:vAlign w:val="bottom"/>
          </w:tcPr>
          <w:p>
            <w:pPr>
              <w:spacing w:after="0"/>
              <w:rPr>
                <w:sz w:val="18"/>
                <w:szCs w:val="18"/>
                <w:color w:val="auto"/>
              </w:rPr>
            </w:pPr>
          </w:p>
        </w:tc>
        <w:tc>
          <w:tcPr>
            <w:tcW w:w="1300" w:type="dxa"/>
            <w:vAlign w:val="bottom"/>
            <w:gridSpan w:val="2"/>
          </w:tcPr>
          <w:p>
            <w:pPr>
              <w:jc w:val="center"/>
              <w:ind w:right="280"/>
              <w:spacing w:after="0"/>
              <w:rPr>
                <w:sz w:val="20"/>
                <w:szCs w:val="20"/>
                <w:color w:val="auto"/>
              </w:rPr>
            </w:pPr>
            <w:r>
              <w:rPr>
                <w:rFonts w:ascii="Arial" w:cs="Arial" w:eastAsia="Arial" w:hAnsi="Arial"/>
                <w:sz w:val="18"/>
                <w:szCs w:val="18"/>
                <w:color w:val="auto"/>
                <w:w w:val="99"/>
              </w:rPr>
              <w:t>—</w:t>
            </w:r>
          </w:p>
        </w:tc>
        <w:tc>
          <w:tcPr>
            <w:tcW w:w="1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3.0</w:t>
            </w:r>
          </w:p>
        </w:tc>
        <w:tc>
          <w:tcPr>
            <w:tcW w:w="5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40" w:type="dxa"/>
            <w:vAlign w:val="bottom"/>
            <w:gridSpan w:val="2"/>
          </w:tcPr>
          <w:p>
            <w:pPr>
              <w:ind w:left="34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880" w:type="dxa"/>
            <w:vAlign w:val="bottom"/>
            <w:gridSpan w:val="3"/>
          </w:tcPr>
          <w:p>
            <w:pPr>
              <w:jc w:val="right"/>
              <w:ind w:right="100"/>
              <w:spacing w:after="0"/>
              <w:rPr>
                <w:sz w:val="20"/>
                <w:szCs w:val="20"/>
                <w:color w:val="auto"/>
              </w:rPr>
            </w:pPr>
            <w:r>
              <w:rPr>
                <w:rFonts w:ascii="Arial" w:cs="Arial" w:eastAsia="Arial" w:hAnsi="Arial"/>
                <w:sz w:val="18"/>
                <w:szCs w:val="18"/>
                <w:color w:val="auto"/>
              </w:rPr>
              <w:t>3.0</w:t>
            </w:r>
          </w:p>
        </w:tc>
      </w:tr>
      <w:tr>
        <w:trPr>
          <w:trHeight w:val="208"/>
        </w:trPr>
        <w:tc>
          <w:tcPr>
            <w:tcW w:w="51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Effect of foreign currency translation, purchase accounting</w:t>
            </w: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24"/>
        </w:trPr>
        <w:tc>
          <w:tcPr>
            <w:tcW w:w="5120" w:type="dxa"/>
            <w:vAlign w:val="bottom"/>
            <w:shd w:val="clear" w:color="auto" w:fill="CCEEFF"/>
          </w:tcPr>
          <w:p>
            <w:pPr>
              <w:ind w:left="660"/>
              <w:spacing w:after="0"/>
              <w:rPr>
                <w:sz w:val="20"/>
                <w:szCs w:val="20"/>
                <w:color w:val="auto"/>
              </w:rPr>
            </w:pPr>
            <w:r>
              <w:rPr>
                <w:rFonts w:ascii="Arial" w:cs="Arial" w:eastAsia="Arial" w:hAnsi="Arial"/>
                <w:sz w:val="18"/>
                <w:szCs w:val="18"/>
                <w:color w:val="auto"/>
              </w:rPr>
              <w:t>adjustments and other</w:t>
            </w:r>
          </w:p>
        </w:tc>
        <w:tc>
          <w:tcPr>
            <w:tcW w:w="100" w:type="dxa"/>
            <w:vAlign w:val="bottom"/>
            <w:tcBorders>
              <w:bottom w:val="single" w:sz="8" w:color="auto"/>
            </w:tcBorders>
            <w:shd w:val="clear" w:color="auto" w:fill="CCEEFF"/>
          </w:tcPr>
          <w:p>
            <w:pPr>
              <w:spacing w:after="0"/>
              <w:rPr>
                <w:sz w:val="19"/>
                <w:szCs w:val="19"/>
                <w:color w:val="auto"/>
              </w:rPr>
            </w:pPr>
          </w:p>
        </w:tc>
        <w:tc>
          <w:tcPr>
            <w:tcW w:w="680" w:type="dxa"/>
            <w:vAlign w:val="bottom"/>
            <w:tcBorders>
              <w:bottom w:val="single" w:sz="8" w:color="auto"/>
            </w:tcBorders>
            <w:shd w:val="clear" w:color="auto" w:fill="CCEEFF"/>
          </w:tcPr>
          <w:p>
            <w:pPr>
              <w:jc w:val="center"/>
              <w:ind w:left="259"/>
              <w:spacing w:after="0"/>
              <w:rPr>
                <w:sz w:val="20"/>
                <w:szCs w:val="20"/>
                <w:color w:val="auto"/>
              </w:rPr>
            </w:pPr>
            <w:r>
              <w:rPr>
                <w:rFonts w:ascii="Arial" w:cs="Arial" w:eastAsia="Arial" w:hAnsi="Arial"/>
                <w:sz w:val="18"/>
                <w:szCs w:val="18"/>
                <w:color w:val="auto"/>
                <w:w w:val="99"/>
              </w:rPr>
              <w:t>—</w:t>
            </w:r>
          </w:p>
        </w:tc>
        <w:tc>
          <w:tcPr>
            <w:tcW w:w="620" w:type="dxa"/>
            <w:vAlign w:val="bottom"/>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w:t>
            </w:r>
          </w:p>
        </w:tc>
        <w:tc>
          <w:tcPr>
            <w:tcW w:w="5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2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w:t>
            </w:r>
          </w:p>
        </w:tc>
        <w:tc>
          <w:tcPr>
            <w:tcW w:w="100" w:type="dxa"/>
            <w:vAlign w:val="bottom"/>
            <w:shd w:val="clear" w:color="auto" w:fill="CCEEFF"/>
          </w:tcPr>
          <w:p>
            <w:pPr>
              <w:spacing w:after="0"/>
              <w:rPr>
                <w:sz w:val="19"/>
                <w:szCs w:val="19"/>
                <w:color w:val="auto"/>
              </w:rPr>
            </w:pPr>
          </w:p>
        </w:tc>
      </w:tr>
      <w:tr>
        <w:trPr>
          <w:trHeight w:val="222"/>
        </w:trPr>
        <w:tc>
          <w:tcPr>
            <w:tcW w:w="5120" w:type="dxa"/>
            <w:vAlign w:val="bottom"/>
          </w:tcPr>
          <w:p>
            <w:pPr>
              <w:spacing w:after="0"/>
              <w:rPr>
                <w:sz w:val="20"/>
                <w:szCs w:val="20"/>
                <w:color w:val="auto"/>
              </w:rPr>
            </w:pPr>
            <w:r>
              <w:rPr>
                <w:rFonts w:ascii="Arial" w:cs="Arial" w:eastAsia="Arial" w:hAnsi="Arial"/>
                <w:sz w:val="18"/>
                <w:szCs w:val="18"/>
                <w:color w:val="auto"/>
              </w:rPr>
              <w:t>Balance as of October 31, 2009</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tcPr>
          <w:p>
            <w:pPr>
              <w:jc w:val="center"/>
              <w:ind w:left="299"/>
              <w:spacing w:after="0"/>
              <w:rPr>
                <w:sz w:val="20"/>
                <w:szCs w:val="20"/>
                <w:color w:val="auto"/>
              </w:rPr>
            </w:pPr>
            <w:r>
              <w:rPr>
                <w:rFonts w:ascii="Arial" w:cs="Arial" w:eastAsia="Arial" w:hAnsi="Arial"/>
                <w:sz w:val="18"/>
                <w:szCs w:val="18"/>
                <w:color w:val="auto"/>
                <w:w w:val="85"/>
              </w:rPr>
              <w:t>26.2</w:t>
            </w:r>
          </w:p>
        </w:tc>
        <w:tc>
          <w:tcPr>
            <w:tcW w:w="620" w:type="dxa"/>
            <w:vAlign w:val="bottom"/>
          </w:tcPr>
          <w:p>
            <w:pPr>
              <w:spacing w:after="0"/>
              <w:rPr>
                <w:sz w:val="19"/>
                <w:szCs w:val="19"/>
                <w:color w:val="auto"/>
              </w:rPr>
            </w:pP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226.2</w:t>
            </w:r>
          </w:p>
        </w:tc>
        <w:tc>
          <w:tcPr>
            <w:tcW w:w="780" w:type="dxa"/>
            <w:vAlign w:val="bottom"/>
            <w:gridSpan w:val="2"/>
          </w:tcPr>
          <w:p>
            <w:pPr>
              <w:ind w:left="500"/>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240"/>
              <w:spacing w:after="0"/>
              <w:rPr>
                <w:sz w:val="20"/>
                <w:szCs w:val="20"/>
                <w:color w:val="auto"/>
              </w:rPr>
            </w:pPr>
            <w:r>
              <w:rPr>
                <w:rFonts w:ascii="Arial" w:cs="Arial" w:eastAsia="Arial" w:hAnsi="Arial"/>
                <w:sz w:val="18"/>
                <w:szCs w:val="18"/>
                <w:color w:val="auto"/>
              </w:rPr>
              <w:t>278.1</w:t>
            </w:r>
          </w:p>
        </w:tc>
        <w:tc>
          <w:tcPr>
            <w:tcW w:w="360" w:type="dxa"/>
            <w:vAlign w:val="bottom"/>
            <w:gridSpan w:val="2"/>
          </w:tcPr>
          <w:p>
            <w:pPr>
              <w:ind w:left="260"/>
              <w:spacing w:after="0"/>
              <w:rPr>
                <w:sz w:val="20"/>
                <w:szCs w:val="20"/>
                <w:color w:val="auto"/>
              </w:rPr>
            </w:pPr>
            <w:r>
              <w:rPr>
                <w:rFonts w:ascii="Arial" w:cs="Arial" w:eastAsia="Arial" w:hAnsi="Arial"/>
                <w:sz w:val="18"/>
                <w:szCs w:val="18"/>
                <w:color w:val="auto"/>
                <w:w w:val="79"/>
              </w:rPr>
              <w:t>$</w:t>
            </w:r>
          </w:p>
        </w:tc>
        <w:tc>
          <w:tcPr>
            <w:tcW w:w="108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880" w:type="dxa"/>
            <w:vAlign w:val="bottom"/>
            <w:gridSpan w:val="3"/>
          </w:tcPr>
          <w:p>
            <w:pPr>
              <w:jc w:val="right"/>
              <w:ind w:right="10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530.5</w:t>
            </w:r>
          </w:p>
        </w:tc>
      </w:tr>
      <w:tr>
        <w:trPr>
          <w:trHeight w:val="20"/>
        </w:trPr>
        <w:tc>
          <w:tcPr>
            <w:tcW w:w="5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67" w:lineRule="exact"/>
        <w:rPr>
          <w:sz w:val="20"/>
          <w:szCs w:val="20"/>
          <w:color w:val="auto"/>
        </w:rPr>
      </w:pPr>
    </w:p>
    <w:p>
      <w:pPr>
        <w:ind w:right="20" w:firstLine="456"/>
        <w:spacing w:after="0" w:line="253" w:lineRule="auto"/>
        <w:rPr>
          <w:sz w:val="20"/>
          <w:szCs w:val="20"/>
          <w:color w:val="auto"/>
        </w:rPr>
      </w:pPr>
      <w:r>
        <w:rPr>
          <w:rFonts w:ascii="Arial" w:cs="Arial" w:eastAsia="Arial" w:hAnsi="Arial"/>
          <w:sz w:val="18"/>
          <w:szCs w:val="18"/>
          <w:color w:val="auto"/>
        </w:rPr>
        <w:t>Autodesk recorded an impairment charge of $21.0 million during the first quarter of fiscal 2010, representing the entire goodwill balance of the Media and Entertainment (“M&amp;E”) segment as of April 30, 2009. This goodwill balance related to the M&amp;E segment’s fourth quarter fiscal 2009 acquisition of substantially all of the assets of Softimage. In May 2009, the Company concluded that an impairment of goodwill had occurred as of April 30, 2009 due to revisions to the Company’s revenue and cash flow projections prepared in the second half of the first quarter of fiscal 2010 in response to the significant and sustained revenue declines it was experiencing in all segments and geographies in the first quarter of fiscal 2010. The revenue and cash flow projections were substantially impacted for all segments; the M&amp;E segment was the only segment that had a current fair value of its future discounted cash flows that fell below the carrying value of its assets.</w:t>
      </w:r>
    </w:p>
    <w:p>
      <w:pPr>
        <w:spacing w:after="0" w:line="147"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color w:val="auto"/>
        </w:rPr>
        <w:t>When assessing goodwill for impairment, Autodesk uses discounted cash flow models that include assumptions regarding projected cash flows (“Income Approach”) and corroborates it with the estimated consideration that the Company would receive if there were to be a sale of the reporting segment (“Market Approach”). Variances in these assumptions could have a significant impact on Autodesk’s conclusion as to whether goodwill is impaired, or the amount of any impairment charge. Impairment charges, if any, result from instances where the fair values of net assets associated with goodwill are less than their carrying values. The process of evaluating the potential impairment of goodwill is subjective and requires significant judgment at many points during the analysis. The value of Autodesk’s goodwill could also be impacted by future adverse changes such as: (i) declines in Autodesk’s actual operating results, (ii) a sustained decline in Autodesk’s market capitalization, (iii) further significant slowdown in the worldwide economy or the industries Autodesk serves, or (iv) changes in Autodesk’s business strategy or internal operating results forecasts. As of October 31, 2009, a hypothetical 10% decrease in the fair value of Autodesk’s reporting units would not have an impact on the carrying value of goodwill nor result in additional impairment of goodwill.</w:t>
      </w:r>
    </w:p>
    <w:p>
      <w:pPr>
        <w:spacing w:after="0" w:line="241" w:lineRule="exact"/>
        <w:rPr>
          <w:sz w:val="20"/>
          <w:szCs w:val="20"/>
          <w:color w:val="auto"/>
        </w:rPr>
      </w:pPr>
    </w:p>
    <w:p>
      <w:pPr>
        <w:ind w:left="460" w:hanging="452"/>
        <w:spacing w:after="0"/>
        <w:tabs>
          <w:tab w:leader="none" w:pos="460" w:val="left"/>
        </w:tabs>
        <w:numPr>
          <w:ilvl w:val="0"/>
          <w:numId w:val="21"/>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Borrowing Arrangements</w:t>
      </w:r>
    </w:p>
    <w:p>
      <w:pPr>
        <w:spacing w:after="0" w:line="90" w:lineRule="exact"/>
        <w:rPr>
          <w:sz w:val="20"/>
          <w:szCs w:val="20"/>
          <w:color w:val="auto"/>
        </w:rPr>
      </w:pPr>
    </w:p>
    <w:p>
      <w:pPr>
        <w:ind w:right="340" w:firstLine="456"/>
        <w:spacing w:after="0" w:line="298" w:lineRule="auto"/>
        <w:rPr>
          <w:sz w:val="20"/>
          <w:szCs w:val="20"/>
          <w:color w:val="auto"/>
        </w:rPr>
      </w:pPr>
      <w:r>
        <w:rPr>
          <w:rFonts w:ascii="Arial" w:cs="Arial" w:eastAsia="Arial" w:hAnsi="Arial"/>
          <w:sz w:val="16"/>
          <w:szCs w:val="16"/>
          <w:color w:val="auto"/>
        </w:rPr>
        <w:t>Autodesk’s U.S. line of credit facility permits unsecured short-term borrowings of up to $250.0 million and is available for working capital or other business needs. The credit agreement contains customary covenants, which could restrict liens, certain types of additional debt and dispositions of assets if Autodesk fails to maintain its financial covenants. The line of credit is syndicated with various financial institutions, including Citicorp USA, Inc., a Citibank affiliate, which is the lead lender and agent. Autodesk had no outstanding borrowings on this line at October 31, 2009. This facility expires in August 2012.</w:t>
      </w:r>
    </w:p>
    <w:p>
      <w:pPr>
        <w:spacing w:after="0" w:line="113" w:lineRule="exact"/>
        <w:rPr>
          <w:sz w:val="20"/>
          <w:szCs w:val="20"/>
          <w:color w:val="auto"/>
        </w:rPr>
      </w:pPr>
    </w:p>
    <w:p>
      <w:pPr>
        <w:ind w:right="20" w:firstLine="456"/>
        <w:spacing w:after="0" w:line="332" w:lineRule="auto"/>
        <w:rPr>
          <w:sz w:val="20"/>
          <w:szCs w:val="20"/>
          <w:color w:val="auto"/>
        </w:rPr>
      </w:pPr>
      <w:r>
        <w:rPr>
          <w:rFonts w:ascii="Arial" w:cs="Arial" w:eastAsia="Arial" w:hAnsi="Arial"/>
          <w:sz w:val="16"/>
          <w:szCs w:val="16"/>
          <w:color w:val="auto"/>
        </w:rPr>
        <w:t>Autodesk’s China line of credit facility permits unsecured short-term borrowings of up to $5.0 million and is available for working capital needs. At October 31, 2009, Autodesk had no outstanding borrowings on this line of credit, which contains customary covenants. This facility has no contractual expiration.</w:t>
      </w:r>
    </w:p>
    <w:p>
      <w:pPr>
        <w:spacing w:after="0" w:line="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20"/>
          </w:cols>
          <w:pgMar w:left="240" w:top="459" w:right="239"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20" w:firstLine="456"/>
        <w:spacing w:after="0" w:line="268" w:lineRule="auto"/>
        <w:rPr>
          <w:sz w:val="20"/>
          <w:szCs w:val="20"/>
          <w:color w:val="auto"/>
        </w:rPr>
      </w:pPr>
      <w:r>
        <w:rPr>
          <w:rFonts w:ascii="Arial" w:cs="Arial" w:eastAsia="Arial" w:hAnsi="Arial"/>
          <w:sz w:val="18"/>
          <w:szCs w:val="18"/>
          <w:color w:val="auto"/>
        </w:rPr>
        <w:t>The weighted average interest rate on Autodesk’s line of credit facilities was 1.01% at January 31, 2009. Autodesk had no borrowings outstanding on its lines of credit at October 31, 2009.</w:t>
      </w:r>
    </w:p>
    <w:p>
      <w:pPr>
        <w:spacing w:after="0" w:line="254" w:lineRule="exact"/>
        <w:rPr>
          <w:sz w:val="20"/>
          <w:szCs w:val="20"/>
          <w:color w:val="auto"/>
        </w:rPr>
      </w:pPr>
    </w:p>
    <w:p>
      <w:pPr>
        <w:ind w:left="240" w:right="8540" w:hanging="232"/>
        <w:spacing w:after="0" w:line="413" w:lineRule="auto"/>
        <w:tabs>
          <w:tab w:leader="none" w:pos="458" w:val="left"/>
        </w:tabs>
        <w:numPr>
          <w:ilvl w:val="0"/>
          <w:numId w:val="22"/>
        </w:numPr>
        <w:rPr>
          <w:rFonts w:ascii="Arial" w:cs="Arial" w:eastAsia="Arial" w:hAnsi="Arial"/>
          <w:sz w:val="15"/>
          <w:szCs w:val="15"/>
          <w:b w:val="1"/>
          <w:bCs w:val="1"/>
          <w:color w:val="auto"/>
        </w:rPr>
      </w:pPr>
      <w:r>
        <w:rPr>
          <w:rFonts w:ascii="Arial" w:cs="Arial" w:eastAsia="Arial" w:hAnsi="Arial"/>
          <w:sz w:val="15"/>
          <w:szCs w:val="15"/>
          <w:b w:val="1"/>
          <w:bCs w:val="1"/>
          <w:i w:val="1"/>
          <w:iCs w:val="1"/>
          <w:color w:val="auto"/>
        </w:rPr>
        <w:t xml:space="preserve">Commitments and Contingencies </w:t>
      </w:r>
      <w:r>
        <w:rPr>
          <w:rFonts w:ascii="Arial" w:cs="Arial" w:eastAsia="Arial" w:hAnsi="Arial"/>
          <w:sz w:val="15"/>
          <w:szCs w:val="15"/>
          <w:i w:val="1"/>
          <w:iCs w:val="1"/>
          <w:color w:val="auto"/>
        </w:rPr>
        <w:t>Guarantees and Indemnifications</w:t>
      </w:r>
    </w:p>
    <w:p>
      <w:pPr>
        <w:spacing w:after="0" w:line="1"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In the normal course of business, Autodesk provides indemnifications of varying scopes, including limited product warranties and indemnification of customers against claims of intellectual property infringement made by third parties arising from the use of Autodesk’s products or services. Autodesk accrues for known indemnification issues if a loss is probable and can be reasonably estimated. Historically, costs related to these indemnifications have not been significant, but because potential future costs are highly variable, Autodesk is unable to estimate the maximum potential effect of these indemnifications on its future results of operations.</w:t>
      </w:r>
    </w:p>
    <w:p>
      <w:pPr>
        <w:spacing w:after="0" w:line="143" w:lineRule="exact"/>
        <w:rPr>
          <w:sz w:val="20"/>
          <w:szCs w:val="20"/>
          <w:color w:val="auto"/>
        </w:rPr>
      </w:pPr>
    </w:p>
    <w:p>
      <w:pPr>
        <w:ind w:right="200" w:firstLine="456"/>
        <w:spacing w:after="0" w:line="256" w:lineRule="auto"/>
        <w:rPr>
          <w:sz w:val="20"/>
          <w:szCs w:val="20"/>
          <w:color w:val="auto"/>
        </w:rPr>
      </w:pPr>
      <w:r>
        <w:rPr>
          <w:rFonts w:ascii="Arial" w:cs="Arial" w:eastAsia="Arial" w:hAnsi="Arial"/>
          <w:sz w:val="18"/>
          <w:szCs w:val="18"/>
          <w:color w:val="auto"/>
        </w:rPr>
        <w:t>In connection with the purchase, sale or license transactions of assets or businesses with third parties, Autodesk has received or assumed customary indemnification agreements related to the assets or businesses purchased, sold or licensed. Historically, costs related to indemnifications or guarantees assumed have not been significant, but because potential future costs are highly variable, Autodesk is unable to estimate the maximum potential effect of these indemnifications on its future results of operations.</w:t>
      </w:r>
    </w:p>
    <w:p>
      <w:pPr>
        <w:spacing w:after="0" w:line="143" w:lineRule="exact"/>
        <w:rPr>
          <w:sz w:val="20"/>
          <w:szCs w:val="20"/>
          <w:color w:val="auto"/>
        </w:rPr>
      </w:pPr>
    </w:p>
    <w:p>
      <w:pPr>
        <w:ind w:right="220" w:firstLine="456"/>
        <w:spacing w:after="0" w:line="294" w:lineRule="auto"/>
        <w:rPr>
          <w:sz w:val="20"/>
          <w:szCs w:val="20"/>
          <w:color w:val="auto"/>
        </w:rPr>
      </w:pPr>
      <w:r>
        <w:rPr>
          <w:rFonts w:ascii="Arial" w:cs="Arial" w:eastAsia="Arial" w:hAnsi="Arial"/>
          <w:sz w:val="16"/>
          <w:szCs w:val="16"/>
          <w:color w:val="auto"/>
        </w:rPr>
        <w:t>As permitted under Delaware law, Autodesk has agreements whereby it indemnifies its officers and directors for certain events or occurrences while the officer or director is, or was, serving at Autodesk’s request in such capacity. The maximum potential amount of future payments Autodesk could be required to make under these indemnification agreements is unlimited; however, Autodesk has Directors’ and Officers’ Liability insurance coverage that is intended to reduce its financial exposure and may enable Autodesk to recover a portion of any future amounts paid. Autodesk believes the estimated fair value of these indemnification agreements in excess of applicable insurance coverage is not significant.</w:t>
      </w:r>
    </w:p>
    <w:p>
      <w:pPr>
        <w:spacing w:after="0" w:line="197"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Legal Proceedings</w:t>
      </w:r>
    </w:p>
    <w:p>
      <w:pPr>
        <w:spacing w:after="0" w:line="90" w:lineRule="exact"/>
        <w:rPr>
          <w:sz w:val="20"/>
          <w:szCs w:val="20"/>
          <w:color w:val="auto"/>
        </w:rPr>
      </w:pPr>
    </w:p>
    <w:p>
      <w:pPr>
        <w:ind w:right="100" w:firstLine="456"/>
        <w:spacing w:after="0" w:line="255" w:lineRule="auto"/>
        <w:rPr>
          <w:sz w:val="20"/>
          <w:szCs w:val="20"/>
          <w:color w:val="auto"/>
        </w:rPr>
      </w:pPr>
      <w:r>
        <w:rPr>
          <w:rFonts w:ascii="Arial" w:cs="Arial" w:eastAsia="Arial" w:hAnsi="Arial"/>
          <w:sz w:val="18"/>
          <w:szCs w:val="18"/>
          <w:color w:val="auto"/>
        </w:rPr>
        <w:t>Autodesk is involved in legal proceedings from time to time arising from the normal course of business activities including claims of alleged infringement of intellectual property rights, commercial, employment, piracy prosecution and other matters. In the Company’s opinion, resolution of pending matters is not expected to have a material adverse impact on its consolidated results of operations, cash flows or its financial position. However, it is possible that an unfavorable resolution of one or more such proceedings could in the future materially affect its future results of operations, cash flows or financial position in a particular period.</w:t>
      </w:r>
    </w:p>
    <w:p>
      <w:pPr>
        <w:spacing w:after="0" w:line="264" w:lineRule="exact"/>
        <w:rPr>
          <w:sz w:val="20"/>
          <w:szCs w:val="20"/>
          <w:color w:val="auto"/>
        </w:rPr>
      </w:pPr>
    </w:p>
    <w:p>
      <w:pPr>
        <w:ind w:left="460" w:hanging="452"/>
        <w:spacing w:after="0"/>
        <w:tabs>
          <w:tab w:leader="none" w:pos="460" w:val="left"/>
        </w:tabs>
        <w:numPr>
          <w:ilvl w:val="0"/>
          <w:numId w:val="23"/>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Stock Repurchase Program</w:t>
      </w:r>
    </w:p>
    <w:p>
      <w:pPr>
        <w:spacing w:after="0" w:line="90" w:lineRule="exact"/>
        <w:rPr>
          <w:sz w:val="20"/>
          <w:szCs w:val="20"/>
          <w:color w:val="auto"/>
        </w:rPr>
      </w:pPr>
    </w:p>
    <w:p>
      <w:pPr>
        <w:ind w:right="360" w:firstLine="456"/>
        <w:spacing w:after="0" w:line="305" w:lineRule="auto"/>
        <w:rPr>
          <w:sz w:val="20"/>
          <w:szCs w:val="20"/>
          <w:color w:val="auto"/>
        </w:rPr>
      </w:pPr>
      <w:r>
        <w:rPr>
          <w:rFonts w:ascii="Arial" w:cs="Arial" w:eastAsia="Arial" w:hAnsi="Arial"/>
          <w:sz w:val="15"/>
          <w:szCs w:val="15"/>
          <w:color w:val="auto"/>
        </w:rPr>
        <w:t>Autodesk has a stock repurchase program that helps offset the dilution to net income per share caused by the issuance of stock under the Company’s employee stock plans and returns excess cash generated from its business to stockholders. During the quarter ended October 31, 2009, Autodesk repurchased</w:t>
      </w:r>
    </w:p>
    <w:p>
      <w:pPr>
        <w:ind w:right="60"/>
        <w:spacing w:after="0" w:line="290" w:lineRule="auto"/>
        <w:rPr>
          <w:sz w:val="20"/>
          <w:szCs w:val="20"/>
          <w:color w:val="auto"/>
        </w:rPr>
      </w:pPr>
      <w:r>
        <w:rPr>
          <w:rFonts w:ascii="Arial" w:cs="Arial" w:eastAsia="Arial" w:hAnsi="Arial"/>
          <w:sz w:val="16"/>
          <w:szCs w:val="16"/>
          <w:color w:val="auto"/>
        </w:rPr>
        <w:t>1.7 million shares of its common stock on the open market at an average repurchase price of $23.56 per share and subsequently retired those shares. Common stock and additional paid-in capital and retained earnings were reduced by $23.8 million and $15.6 million, respectively, during the quarter ended October 31, 2009, as a result of the stock repurchases. As of October 31, 2009, 14.5 million shares remained available for repurchase under this program. The number of shares acquired and the timing of the purchases are based on several factors, including anticipated employee stock purchases during the period, the level of the Company’s cash balances, general business and market conditions, the market price of Autodesk stock, cash on hand and available in the U.S., Company-defined trading windows and other investment opportunities.</w:t>
      </w:r>
    </w:p>
    <w:p>
      <w:pPr>
        <w:spacing w:after="0" w:line="10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00"/>
          </w:cols>
          <w:pgMar w:left="240" w:top="459" w:right="259"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hanging="452"/>
        <w:spacing w:after="0"/>
        <w:tabs>
          <w:tab w:leader="none" w:pos="460" w:val="left"/>
        </w:tabs>
        <w:numPr>
          <w:ilvl w:val="0"/>
          <w:numId w:val="24"/>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Comprehensive Income</w:t>
      </w:r>
    </w:p>
    <w:p>
      <w:pPr>
        <w:spacing w:after="0" w:line="90" w:lineRule="exact"/>
        <w:rPr>
          <w:rFonts w:ascii="Arial" w:cs="Arial" w:eastAsia="Arial" w:hAnsi="Arial"/>
          <w:sz w:val="18"/>
          <w:szCs w:val="18"/>
          <w:b w:val="1"/>
          <w:bCs w:val="1"/>
          <w:color w:val="auto"/>
        </w:rPr>
      </w:pPr>
    </w:p>
    <w:p>
      <w:pPr>
        <w:ind w:left="460"/>
        <w:spacing w:after="0"/>
        <w:rPr>
          <w:rFonts w:ascii="Arial" w:cs="Arial" w:eastAsia="Arial" w:hAnsi="Arial"/>
          <w:sz w:val="18"/>
          <w:szCs w:val="18"/>
          <w:b w:val="1"/>
          <w:bCs w:val="1"/>
          <w:color w:val="auto"/>
        </w:rPr>
      </w:pPr>
      <w:r>
        <w:rPr>
          <w:rFonts w:ascii="Arial" w:cs="Arial" w:eastAsia="Arial" w:hAnsi="Arial"/>
          <w:sz w:val="18"/>
          <w:szCs w:val="18"/>
          <w:color w:val="auto"/>
        </w:rPr>
        <w:t>The changes in the components of other comprehensive income (loss), net of taxes, were as follows: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3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400" w:type="dxa"/>
            <w:vAlign w:val="bottom"/>
            <w:gridSpan w:val="6"/>
          </w:tcPr>
          <w:p>
            <w:pPr>
              <w:jc w:val="right"/>
              <w:ind w:right="460"/>
              <w:spacing w:after="0"/>
              <w:rPr>
                <w:sz w:val="20"/>
                <w:szCs w:val="20"/>
                <w:color w:val="auto"/>
              </w:rPr>
            </w:pPr>
            <w:r>
              <w:rPr>
                <w:rFonts w:ascii="Arial" w:cs="Arial" w:eastAsia="Arial" w:hAnsi="Arial"/>
                <w:sz w:val="14"/>
                <w:szCs w:val="14"/>
                <w:b w:val="1"/>
                <w:bCs w:val="1"/>
                <w:color w:val="auto"/>
                <w:w w:val="87"/>
              </w:rPr>
              <w:t>Three months ended October 31,</w:t>
            </w:r>
          </w:p>
        </w:tc>
        <w:tc>
          <w:tcPr>
            <w:tcW w:w="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160" w:type="dxa"/>
            <w:vAlign w:val="bottom"/>
            <w:gridSpan w:val="6"/>
          </w:tcPr>
          <w:p>
            <w:pPr>
              <w:jc w:val="right"/>
              <w:ind w:right="300"/>
              <w:spacing w:after="0"/>
              <w:rPr>
                <w:sz w:val="20"/>
                <w:szCs w:val="20"/>
                <w:color w:val="auto"/>
              </w:rPr>
            </w:pPr>
            <w:r>
              <w:rPr>
                <w:rFonts w:ascii="Arial" w:cs="Arial" w:eastAsia="Arial" w:hAnsi="Arial"/>
                <w:sz w:val="14"/>
                <w:szCs w:val="14"/>
                <w:b w:val="1"/>
                <w:bCs w:val="1"/>
                <w:color w:val="auto"/>
                <w:w w:val="87"/>
              </w:rPr>
              <w:t>Nine months ended October 31,</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320" w:type="dxa"/>
            <w:vAlign w:val="bottom"/>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580" w:type="dxa"/>
            <w:vAlign w:val="bottom"/>
            <w:tcBorders>
              <w:top w:val="single" w:sz="8" w:color="auto"/>
              <w:bottom w:val="single" w:sz="8" w:color="auto"/>
            </w:tcBorders>
          </w:tcPr>
          <w:p>
            <w:pPr>
              <w:jc w:val="right"/>
              <w:ind w:right="137"/>
              <w:spacing w:after="0" w:line="142" w:lineRule="exact"/>
              <w:rPr>
                <w:sz w:val="20"/>
                <w:szCs w:val="20"/>
                <w:color w:val="auto"/>
              </w:rPr>
            </w:pPr>
            <w:r>
              <w:rPr>
                <w:rFonts w:ascii="Arial" w:cs="Arial" w:eastAsia="Arial" w:hAnsi="Arial"/>
                <w:sz w:val="14"/>
                <w:szCs w:val="14"/>
                <w:b w:val="1"/>
                <w:bCs w:val="1"/>
                <w:color w:val="auto"/>
              </w:rPr>
              <w:t>2009</w:t>
            </w:r>
          </w:p>
        </w:tc>
        <w:tc>
          <w:tcPr>
            <w:tcW w:w="340" w:type="dxa"/>
            <w:vAlign w:val="bottom"/>
            <w:tcBorders>
              <w:top w:val="single" w:sz="8" w:color="auto"/>
            </w:tcBorders>
          </w:tcPr>
          <w:p>
            <w:pPr>
              <w:spacing w:after="0"/>
              <w:rPr>
                <w:sz w:val="12"/>
                <w:szCs w:val="12"/>
                <w:color w:val="auto"/>
              </w:rPr>
            </w:pPr>
          </w:p>
        </w:tc>
        <w:tc>
          <w:tcPr>
            <w:tcW w:w="280" w:type="dxa"/>
            <w:vAlign w:val="bottom"/>
            <w:tcBorders>
              <w:top w:val="single" w:sz="8" w:color="auto"/>
            </w:tcBorders>
          </w:tcPr>
          <w:p>
            <w:pPr>
              <w:spacing w:after="0"/>
              <w:rPr>
                <w:sz w:val="12"/>
                <w:szCs w:val="12"/>
                <w:color w:val="auto"/>
              </w:rPr>
            </w:pPr>
          </w:p>
        </w:tc>
        <w:tc>
          <w:tcPr>
            <w:tcW w:w="200" w:type="dxa"/>
            <w:vAlign w:val="bottom"/>
            <w:tcBorders>
              <w:top w:val="single" w:sz="8" w:color="auto"/>
              <w:bottom w:val="single" w:sz="8" w:color="auto"/>
            </w:tcBorders>
          </w:tcPr>
          <w:p>
            <w:pPr>
              <w:spacing w:after="0"/>
              <w:rPr>
                <w:sz w:val="12"/>
                <w:szCs w:val="12"/>
                <w:color w:val="auto"/>
              </w:rPr>
            </w:pPr>
          </w:p>
        </w:tc>
        <w:tc>
          <w:tcPr>
            <w:tcW w:w="720" w:type="dxa"/>
            <w:vAlign w:val="bottom"/>
            <w:tcBorders>
              <w:top w:val="single" w:sz="8" w:color="auto"/>
              <w:bottom w:val="single" w:sz="8" w:color="auto"/>
            </w:tcBorders>
          </w:tcPr>
          <w:p>
            <w:pPr>
              <w:jc w:val="right"/>
              <w:ind w:right="235"/>
              <w:spacing w:after="0" w:line="142" w:lineRule="exact"/>
              <w:rPr>
                <w:sz w:val="20"/>
                <w:szCs w:val="20"/>
                <w:color w:val="auto"/>
              </w:rPr>
            </w:pPr>
            <w:r>
              <w:rPr>
                <w:rFonts w:ascii="Arial" w:cs="Arial" w:eastAsia="Arial" w:hAnsi="Arial"/>
                <w:sz w:val="14"/>
                <w:szCs w:val="14"/>
                <w:b w:val="1"/>
                <w:bCs w:val="1"/>
                <w:color w:val="auto"/>
              </w:rPr>
              <w:t>2008</w:t>
            </w:r>
          </w:p>
        </w:tc>
        <w:tc>
          <w:tcPr>
            <w:tcW w:w="2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560" w:type="dxa"/>
            <w:vAlign w:val="bottom"/>
            <w:tcBorders>
              <w:top w:val="single" w:sz="8" w:color="auto"/>
              <w:bottom w:val="single" w:sz="8" w:color="auto"/>
            </w:tcBorders>
          </w:tcPr>
          <w:p>
            <w:pPr>
              <w:jc w:val="right"/>
              <w:ind w:right="137"/>
              <w:spacing w:after="0" w:line="142" w:lineRule="exact"/>
              <w:rPr>
                <w:sz w:val="20"/>
                <w:szCs w:val="20"/>
                <w:color w:val="auto"/>
              </w:rPr>
            </w:pPr>
            <w:r>
              <w:rPr>
                <w:rFonts w:ascii="Arial" w:cs="Arial" w:eastAsia="Arial" w:hAnsi="Arial"/>
                <w:sz w:val="14"/>
                <w:szCs w:val="14"/>
                <w:b w:val="1"/>
                <w:bCs w:val="1"/>
                <w:color w:val="auto"/>
              </w:rPr>
              <w:t>2009</w:t>
            </w:r>
          </w:p>
        </w:tc>
        <w:tc>
          <w:tcPr>
            <w:tcW w:w="340" w:type="dxa"/>
            <w:vAlign w:val="bottom"/>
            <w:tcBorders>
              <w:top w:val="single" w:sz="8" w:color="auto"/>
            </w:tcBorders>
          </w:tcPr>
          <w:p>
            <w:pPr>
              <w:spacing w:after="0"/>
              <w:rPr>
                <w:sz w:val="12"/>
                <w:szCs w:val="12"/>
                <w:color w:val="auto"/>
              </w:rPr>
            </w:pPr>
          </w:p>
        </w:tc>
        <w:tc>
          <w:tcPr>
            <w:tcW w:w="280" w:type="dxa"/>
            <w:vAlign w:val="bottom"/>
            <w:tcBorders>
              <w:top w:val="single" w:sz="8" w:color="auto"/>
            </w:tcBorders>
          </w:tcPr>
          <w:p>
            <w:pPr>
              <w:spacing w:after="0"/>
              <w:rPr>
                <w:sz w:val="12"/>
                <w:szCs w:val="12"/>
                <w:color w:val="auto"/>
              </w:rPr>
            </w:pPr>
          </w:p>
        </w:tc>
        <w:tc>
          <w:tcPr>
            <w:tcW w:w="180" w:type="dxa"/>
            <w:vAlign w:val="bottom"/>
            <w:tcBorders>
              <w:top w:val="single" w:sz="8" w:color="auto"/>
              <w:bottom w:val="single" w:sz="8" w:color="auto"/>
            </w:tcBorders>
          </w:tcPr>
          <w:p>
            <w:pPr>
              <w:spacing w:after="0"/>
              <w:rPr>
                <w:sz w:val="12"/>
                <w:szCs w:val="12"/>
                <w:color w:val="auto"/>
              </w:rPr>
            </w:pPr>
          </w:p>
        </w:tc>
        <w:tc>
          <w:tcPr>
            <w:tcW w:w="700" w:type="dxa"/>
            <w:vAlign w:val="bottom"/>
            <w:tcBorders>
              <w:top w:val="single" w:sz="8" w:color="auto"/>
              <w:bottom w:val="single" w:sz="8" w:color="auto"/>
            </w:tcBorders>
          </w:tcPr>
          <w:p>
            <w:pPr>
              <w:jc w:val="right"/>
              <w:ind w:right="235"/>
              <w:spacing w:after="0" w:line="142" w:lineRule="exact"/>
              <w:rPr>
                <w:sz w:val="20"/>
                <w:szCs w:val="20"/>
                <w:color w:val="auto"/>
              </w:rPr>
            </w:pPr>
            <w:r>
              <w:rPr>
                <w:rFonts w:ascii="Arial" w:cs="Arial" w:eastAsia="Arial" w:hAnsi="Arial"/>
                <w:sz w:val="14"/>
                <w:szCs w:val="14"/>
                <w:b w:val="1"/>
                <w:bCs w:val="1"/>
                <w:color w:val="auto"/>
              </w:rPr>
              <w:t>2008</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32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29.5</w:t>
            </w:r>
          </w:p>
        </w:tc>
        <w:tc>
          <w:tcPr>
            <w:tcW w:w="4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104.5</w:t>
            </w:r>
          </w:p>
        </w:tc>
        <w:tc>
          <w:tcPr>
            <w:tcW w:w="3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w:t>
            </w:r>
          </w:p>
        </w:tc>
        <w:tc>
          <w:tcPr>
            <w:tcW w:w="340" w:type="dxa"/>
            <w:vAlign w:val="bottom"/>
            <w:shd w:val="clear" w:color="auto" w:fill="CCEEFF"/>
          </w:tcPr>
          <w:p>
            <w:pPr>
              <w:spacing w:after="0"/>
              <w:rPr>
                <w:sz w:val="18"/>
                <w:szCs w:val="18"/>
                <w:color w:val="auto"/>
              </w:rPr>
            </w:pPr>
          </w:p>
        </w:tc>
        <w:tc>
          <w:tcPr>
            <w:tcW w:w="4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289.0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20" w:type="dxa"/>
            <w:vAlign w:val="bottom"/>
          </w:tcPr>
          <w:p>
            <w:pPr>
              <w:spacing w:after="0"/>
              <w:rPr>
                <w:sz w:val="20"/>
                <w:szCs w:val="20"/>
                <w:color w:val="auto"/>
              </w:rPr>
            </w:pPr>
            <w:r>
              <w:rPr>
                <w:rFonts w:ascii="Arial" w:cs="Arial" w:eastAsia="Arial" w:hAnsi="Arial"/>
                <w:sz w:val="18"/>
                <w:szCs w:val="18"/>
                <w:color w:val="auto"/>
              </w:rPr>
              <w:t>Other comprehensive income (loss):</w:t>
            </w:r>
          </w:p>
        </w:tc>
        <w:tc>
          <w:tcPr>
            <w:tcW w:w="1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Net gain (loss) on derivative instruments, net of taxes</w:t>
            </w:r>
          </w:p>
        </w:tc>
        <w:tc>
          <w:tcPr>
            <w:tcW w:w="1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(2.4)</w:t>
            </w:r>
          </w:p>
        </w:tc>
        <w:tc>
          <w:tcPr>
            <w:tcW w:w="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11.5</w:t>
            </w: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(6.3)</w:t>
            </w: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11.5</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6320" w:type="dxa"/>
            <w:vAlign w:val="bottom"/>
          </w:tcPr>
          <w:p>
            <w:pPr>
              <w:ind w:left="420"/>
              <w:spacing w:after="0"/>
              <w:rPr>
                <w:sz w:val="20"/>
                <w:szCs w:val="20"/>
                <w:color w:val="auto"/>
              </w:rPr>
            </w:pPr>
            <w:r>
              <w:rPr>
                <w:rFonts w:ascii="Arial" w:cs="Arial" w:eastAsia="Arial" w:hAnsi="Arial"/>
                <w:sz w:val="18"/>
                <w:szCs w:val="18"/>
                <w:color w:val="auto"/>
                <w:w w:val="94"/>
              </w:rPr>
              <w:t>Change in net unrealized gain (loss) on available-for-sale securities, net of tax</w:t>
            </w:r>
          </w:p>
        </w:tc>
        <w:tc>
          <w:tcPr>
            <w:tcW w:w="1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320" w:type="dxa"/>
            <w:vAlign w:val="bottom"/>
          </w:tcPr>
          <w:p>
            <w:pPr>
              <w:ind w:left="640"/>
              <w:spacing w:after="0"/>
              <w:rPr>
                <w:sz w:val="20"/>
                <w:szCs w:val="20"/>
                <w:color w:val="auto"/>
              </w:rPr>
            </w:pPr>
            <w:r>
              <w:rPr>
                <w:rFonts w:ascii="Arial" w:cs="Arial" w:eastAsia="Arial" w:hAnsi="Arial"/>
                <w:sz w:val="18"/>
                <w:szCs w:val="18"/>
                <w:color w:val="auto"/>
              </w:rPr>
              <w:t>benefit</w:t>
            </w:r>
          </w:p>
        </w:tc>
        <w:tc>
          <w:tcPr>
            <w:tcW w:w="140" w:type="dxa"/>
            <w:vAlign w:val="bottom"/>
          </w:tcPr>
          <w:p>
            <w:pPr>
              <w:spacing w:after="0"/>
              <w:rPr>
                <w:sz w:val="19"/>
                <w:szCs w:val="19"/>
                <w:color w:val="auto"/>
              </w:rPr>
            </w:pPr>
          </w:p>
        </w:tc>
        <w:tc>
          <w:tcPr>
            <w:tcW w:w="920" w:type="dxa"/>
            <w:vAlign w:val="bottom"/>
            <w:gridSpan w:val="2"/>
          </w:tcPr>
          <w:p>
            <w:pPr>
              <w:jc w:val="right"/>
              <w:ind w:right="340"/>
              <w:spacing w:after="0"/>
              <w:rPr>
                <w:sz w:val="20"/>
                <w:szCs w:val="20"/>
                <w:color w:val="auto"/>
              </w:rPr>
            </w:pPr>
            <w:r>
              <w:rPr>
                <w:rFonts w:ascii="Arial" w:cs="Arial" w:eastAsia="Arial" w:hAnsi="Arial"/>
                <w:sz w:val="18"/>
                <w:szCs w:val="18"/>
                <w:color w:val="auto"/>
              </w:rPr>
              <w:t>0.9</w:t>
            </w:r>
          </w:p>
        </w:tc>
        <w:tc>
          <w:tcPr>
            <w:tcW w:w="2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1.1</w:t>
            </w:r>
          </w:p>
        </w:tc>
        <w:tc>
          <w:tcPr>
            <w:tcW w:w="3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0" w:type="dxa"/>
            <w:vAlign w:val="bottom"/>
            <w:gridSpan w:val="2"/>
          </w:tcPr>
          <w:p>
            <w:pPr>
              <w:jc w:val="right"/>
              <w:ind w:right="40"/>
              <w:spacing w:after="0"/>
              <w:rPr>
                <w:sz w:val="20"/>
                <w:szCs w:val="20"/>
                <w:color w:val="auto"/>
              </w:rPr>
            </w:pPr>
            <w:r>
              <w:rPr>
                <w:rFonts w:ascii="Arial" w:cs="Arial" w:eastAsia="Arial" w:hAnsi="Arial"/>
                <w:sz w:val="18"/>
                <w:szCs w:val="18"/>
                <w:color w:val="auto"/>
              </w:rPr>
              <w:t>(0.1)</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63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Net change in cumulative foreign currency translation gain (loss)</w:t>
            </w:r>
          </w:p>
        </w:tc>
        <w:tc>
          <w:tcPr>
            <w:tcW w:w="14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w:t>
            </w:r>
          </w:p>
        </w:tc>
        <w:tc>
          <w:tcPr>
            <w:tcW w:w="3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(37.5)</w:t>
            </w: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20.1</w:t>
            </w:r>
          </w:p>
        </w:tc>
        <w:tc>
          <w:tcPr>
            <w:tcW w:w="3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(31.3)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320" w:type="dxa"/>
            <w:vAlign w:val="bottom"/>
            <w:vMerge w:val="restart"/>
          </w:tcPr>
          <w:p>
            <w:pPr>
              <w:ind w:left="860"/>
              <w:spacing w:after="0"/>
              <w:rPr>
                <w:sz w:val="20"/>
                <w:szCs w:val="20"/>
                <w:color w:val="auto"/>
              </w:rPr>
            </w:pPr>
            <w:r>
              <w:rPr>
                <w:rFonts w:ascii="Arial" w:cs="Arial" w:eastAsia="Arial" w:hAnsi="Arial"/>
                <w:sz w:val="18"/>
                <w:szCs w:val="18"/>
                <w:color w:val="auto"/>
              </w:rPr>
              <w:t>Other comprehensive income (loss)</w:t>
            </w:r>
          </w:p>
        </w:tc>
        <w:tc>
          <w:tcPr>
            <w:tcW w:w="14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20" w:type="dxa"/>
            <w:vAlign w:val="bottom"/>
          </w:tcPr>
          <w:p>
            <w:pPr>
              <w:spacing w:after="0"/>
              <w:rPr>
                <w:sz w:val="19"/>
                <w:szCs w:val="19"/>
                <w:color w:val="auto"/>
              </w:rPr>
            </w:pPr>
          </w:p>
        </w:tc>
        <w:tc>
          <w:tcPr>
            <w:tcW w:w="6320" w:type="dxa"/>
            <w:vAlign w:val="bottom"/>
            <w:vMerge w:val="continue"/>
          </w:tcPr>
          <w:p>
            <w:pPr>
              <w:spacing w:after="0"/>
              <w:rPr>
                <w:sz w:val="19"/>
                <w:szCs w:val="19"/>
                <w:color w:val="auto"/>
              </w:rPr>
            </w:pPr>
          </w:p>
        </w:tc>
        <w:tc>
          <w:tcPr>
            <w:tcW w:w="14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5.1</w:t>
            </w:r>
          </w:p>
        </w:tc>
        <w:tc>
          <w:tcPr>
            <w:tcW w:w="3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(26.0)</w:t>
            </w:r>
          </w:p>
        </w:tc>
        <w:tc>
          <w:tcPr>
            <w:tcW w:w="2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14.9</w:t>
            </w:r>
          </w:p>
        </w:tc>
        <w:tc>
          <w:tcPr>
            <w:tcW w:w="3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0" w:type="dxa"/>
            <w:vAlign w:val="bottom"/>
            <w:gridSpan w:val="2"/>
          </w:tcPr>
          <w:p>
            <w:pPr>
              <w:jc w:val="right"/>
              <w:ind w:right="40"/>
              <w:spacing w:after="0"/>
              <w:rPr>
                <w:sz w:val="20"/>
                <w:szCs w:val="20"/>
                <w:color w:val="auto"/>
              </w:rPr>
            </w:pPr>
            <w:r>
              <w:rPr>
                <w:rFonts w:ascii="Arial" w:cs="Arial" w:eastAsia="Arial" w:hAnsi="Arial"/>
                <w:sz w:val="18"/>
                <w:szCs w:val="18"/>
                <w:color w:val="auto"/>
              </w:rPr>
              <w:t>(19.9)</w:t>
            </w:r>
          </w:p>
        </w:tc>
        <w:tc>
          <w:tcPr>
            <w:tcW w:w="0" w:type="dxa"/>
            <w:vAlign w:val="bottom"/>
          </w:tcPr>
          <w:p>
            <w:pPr>
              <w:spacing w:after="0"/>
              <w:rPr>
                <w:sz w:val="1"/>
                <w:szCs w:val="1"/>
                <w:color w:val="auto"/>
              </w:rPr>
            </w:pPr>
          </w:p>
        </w:tc>
      </w:tr>
      <w:tr>
        <w:trPr>
          <w:trHeight w:val="28"/>
        </w:trPr>
        <w:tc>
          <w:tcPr>
            <w:tcW w:w="20" w:type="dxa"/>
            <w:vAlign w:val="bottom"/>
            <w:vMerge w:val="restart"/>
          </w:tcPr>
          <w:p>
            <w:pPr>
              <w:spacing w:after="0"/>
              <w:rPr>
                <w:sz w:val="2"/>
                <w:szCs w:val="2"/>
                <w:color w:val="auto"/>
              </w:rPr>
            </w:pPr>
          </w:p>
        </w:tc>
        <w:tc>
          <w:tcPr>
            <w:tcW w:w="63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28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320" w:type="dxa"/>
            <w:vAlign w:val="bottom"/>
            <w:shd w:val="clear" w:color="auto" w:fill="CCEEFF"/>
          </w:tcPr>
          <w:p>
            <w:pPr>
              <w:spacing w:after="0"/>
              <w:rPr>
                <w:sz w:val="20"/>
                <w:szCs w:val="20"/>
                <w:color w:val="auto"/>
              </w:rPr>
            </w:pPr>
            <w:r>
              <w:rPr>
                <w:rFonts w:ascii="Arial" w:cs="Arial" w:eastAsia="Arial" w:hAnsi="Arial"/>
                <w:sz w:val="18"/>
                <w:szCs w:val="18"/>
                <w:color w:val="auto"/>
              </w:rPr>
              <w:t>Total comprehensive income</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34.6</w:t>
            </w:r>
          </w:p>
        </w:tc>
        <w:tc>
          <w:tcPr>
            <w:tcW w:w="34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78.5</w:t>
            </w:r>
          </w:p>
        </w:tc>
        <w:tc>
          <w:tcPr>
            <w:tcW w:w="3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22.8</w:t>
            </w:r>
          </w:p>
        </w:tc>
        <w:tc>
          <w:tcPr>
            <w:tcW w:w="340" w:type="dxa"/>
            <w:vAlign w:val="bottom"/>
            <w:shd w:val="clear" w:color="auto" w:fill="CCEEFF"/>
          </w:tcPr>
          <w:p>
            <w:pPr>
              <w:spacing w:after="0"/>
              <w:rPr>
                <w:sz w:val="18"/>
                <w:szCs w:val="18"/>
                <w:color w:val="auto"/>
              </w:rPr>
            </w:pPr>
          </w:p>
        </w:tc>
        <w:tc>
          <w:tcPr>
            <w:tcW w:w="4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269.1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3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right="240" w:firstLine="456"/>
        <w:spacing w:after="0" w:line="306" w:lineRule="auto"/>
        <w:rPr>
          <w:sz w:val="20"/>
          <w:szCs w:val="20"/>
          <w:color w:val="auto"/>
        </w:rPr>
      </w:pPr>
      <w:r>
        <w:rPr>
          <w:rFonts w:ascii="Arial" w:cs="Arial" w:eastAsia="Arial" w:hAnsi="Arial"/>
          <w:sz w:val="16"/>
          <w:szCs w:val="16"/>
          <w:color w:val="auto"/>
        </w:rPr>
        <w:t>During the three and nine months ended October 31, 2009, Autodesk entered into foreign currency instruments to hedge its exposure to foreign currency exchange. These hedges resulted in $2.4 million and $6.3 million of other comprehensive loss during the three and nine months ended October 31, 2009, respectively. See Note 4, “Financial Instruments and Hedging Activities,” for further information regarding Autodesk’s foreign currency instruments.</w:t>
      </w:r>
    </w:p>
    <w:p>
      <w:pPr>
        <w:spacing w:after="0" w:line="228" w:lineRule="exact"/>
        <w:rPr>
          <w:sz w:val="20"/>
          <w:szCs w:val="20"/>
          <w:color w:val="auto"/>
        </w:rPr>
      </w:pPr>
    </w:p>
    <w:p>
      <w:pPr>
        <w:ind w:left="460" w:hanging="452"/>
        <w:spacing w:after="0"/>
        <w:tabs>
          <w:tab w:leader="none" w:pos="460" w:val="left"/>
        </w:tabs>
        <w:numPr>
          <w:ilvl w:val="0"/>
          <w:numId w:val="25"/>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Net Income Per Share</w:t>
      </w:r>
    </w:p>
    <w:p>
      <w:pPr>
        <w:spacing w:after="0" w:line="90" w:lineRule="exact"/>
        <w:rPr>
          <w:sz w:val="20"/>
          <w:szCs w:val="20"/>
          <w:color w:val="auto"/>
        </w:rPr>
      </w:pPr>
    </w:p>
    <w:p>
      <w:pPr>
        <w:ind w:right="40" w:firstLine="456"/>
        <w:spacing w:after="0" w:line="323" w:lineRule="auto"/>
        <w:rPr>
          <w:sz w:val="20"/>
          <w:szCs w:val="20"/>
          <w:color w:val="auto"/>
        </w:rPr>
      </w:pPr>
      <w:r>
        <w:rPr>
          <w:rFonts w:ascii="Arial" w:cs="Arial" w:eastAsia="Arial" w:hAnsi="Arial"/>
          <w:sz w:val="15"/>
          <w:szCs w:val="15"/>
          <w:color w:val="auto"/>
        </w:rPr>
        <w:t>Basic net income per share is computed using the weighted average number of shares of common stock outstanding for the period, including restricted stock awards and excluding unvested stock options and restricted stock units. Diluted net income per share is based upon the weighted average shares of common stock outstanding for the period and dilutive potential common shares, including the effect of unvested stock options and restricted stock units under the treasury stock method. The following table sets forth the computation of the numerators and denominators used in the basic and diluted net income per share amounts:</w:t>
      </w:r>
    </w:p>
    <w:p>
      <w:pPr>
        <w:spacing w:after="0" w:line="12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600" w:type="dxa"/>
            <w:vAlign w:val="bottom"/>
          </w:tcPr>
          <w:p>
            <w:pPr>
              <w:spacing w:after="0"/>
              <w:rPr>
                <w:sz w:val="14"/>
                <w:szCs w:val="14"/>
                <w:color w:val="auto"/>
              </w:rPr>
            </w:pPr>
          </w:p>
        </w:tc>
        <w:tc>
          <w:tcPr>
            <w:tcW w:w="1440" w:type="dxa"/>
            <w:vAlign w:val="bottom"/>
            <w:gridSpan w:val="6"/>
          </w:tcPr>
          <w:p>
            <w:pPr>
              <w:jc w:val="center"/>
              <w:ind w:right="100"/>
              <w:spacing w:after="0"/>
              <w:rPr>
                <w:sz w:val="20"/>
                <w:szCs w:val="20"/>
                <w:color w:val="auto"/>
              </w:rPr>
            </w:pPr>
            <w:r>
              <w:rPr>
                <w:rFonts w:ascii="Arial" w:cs="Arial" w:eastAsia="Arial" w:hAnsi="Arial"/>
                <w:sz w:val="14"/>
                <w:szCs w:val="14"/>
                <w:b w:val="1"/>
                <w:bCs w:val="1"/>
                <w:color w:val="auto"/>
                <w:w w:val="85"/>
              </w:rPr>
              <w:t>Three months ended</w:t>
            </w:r>
          </w:p>
        </w:tc>
        <w:tc>
          <w:tcPr>
            <w:tcW w:w="120" w:type="dxa"/>
            <w:vAlign w:val="bottom"/>
          </w:tcPr>
          <w:p>
            <w:pPr>
              <w:spacing w:after="0"/>
              <w:rPr>
                <w:sz w:val="14"/>
                <w:szCs w:val="14"/>
                <w:color w:val="auto"/>
              </w:rPr>
            </w:pPr>
          </w:p>
        </w:tc>
        <w:tc>
          <w:tcPr>
            <w:tcW w:w="1280" w:type="dxa"/>
            <w:vAlign w:val="bottom"/>
            <w:gridSpan w:val="6"/>
          </w:tcPr>
          <w:p>
            <w:pPr>
              <w:jc w:val="right"/>
              <w:ind w:right="100"/>
              <w:spacing w:after="0"/>
              <w:rPr>
                <w:sz w:val="20"/>
                <w:szCs w:val="20"/>
                <w:color w:val="auto"/>
              </w:rPr>
            </w:pPr>
            <w:r>
              <w:rPr>
                <w:rFonts w:ascii="Arial" w:cs="Arial" w:eastAsia="Arial" w:hAnsi="Arial"/>
                <w:sz w:val="14"/>
                <w:szCs w:val="14"/>
                <w:b w:val="1"/>
                <w:bCs w:val="1"/>
                <w:color w:val="auto"/>
                <w:w w:val="89"/>
              </w:rPr>
              <w:t>Nine months ended</w:t>
            </w:r>
          </w:p>
        </w:tc>
        <w:tc>
          <w:tcPr>
            <w:tcW w:w="0" w:type="dxa"/>
            <w:vAlign w:val="bottom"/>
          </w:tcPr>
          <w:p>
            <w:pPr>
              <w:spacing w:after="0"/>
              <w:rPr>
                <w:sz w:val="1"/>
                <w:szCs w:val="1"/>
                <w:color w:val="auto"/>
              </w:rPr>
            </w:pPr>
          </w:p>
        </w:tc>
      </w:tr>
      <w:tr>
        <w:trPr>
          <w:trHeight w:val="161"/>
        </w:trPr>
        <w:tc>
          <w:tcPr>
            <w:tcW w:w="86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40" w:type="dxa"/>
            <w:vAlign w:val="bottom"/>
            <w:gridSpan w:val="5"/>
          </w:tcPr>
          <w:p>
            <w:pPr>
              <w:jc w:val="center"/>
              <w:ind w:right="220"/>
              <w:spacing w:after="0"/>
              <w:rPr>
                <w:sz w:val="20"/>
                <w:szCs w:val="20"/>
                <w:color w:val="auto"/>
              </w:rPr>
            </w:pPr>
            <w:r>
              <w:rPr>
                <w:rFonts w:ascii="Arial" w:cs="Arial" w:eastAsia="Arial" w:hAnsi="Arial"/>
                <w:sz w:val="14"/>
                <w:szCs w:val="14"/>
                <w:b w:val="1"/>
                <w:bCs w:val="1"/>
                <w:color w:val="auto"/>
                <w:w w:val="88"/>
              </w:rPr>
              <w:t>October 31,</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80" w:type="dxa"/>
            <w:vAlign w:val="bottom"/>
            <w:gridSpan w:val="5"/>
          </w:tcPr>
          <w:p>
            <w:pPr>
              <w:jc w:val="right"/>
              <w:ind w:right="320"/>
              <w:spacing w:after="0"/>
              <w:rPr>
                <w:sz w:val="20"/>
                <w:szCs w:val="20"/>
                <w:color w:val="auto"/>
              </w:rPr>
            </w:pPr>
            <w:r>
              <w:rPr>
                <w:rFonts w:ascii="Arial" w:cs="Arial" w:eastAsia="Arial" w:hAnsi="Arial"/>
                <w:sz w:val="14"/>
                <w:szCs w:val="14"/>
                <w:b w:val="1"/>
                <w:bCs w:val="1"/>
                <w:color w:val="auto"/>
              </w:rPr>
              <w:t>October 31,</w:t>
            </w:r>
          </w:p>
        </w:tc>
        <w:tc>
          <w:tcPr>
            <w:tcW w:w="0" w:type="dxa"/>
            <w:vAlign w:val="bottom"/>
          </w:tcPr>
          <w:p>
            <w:pPr>
              <w:spacing w:after="0"/>
              <w:rPr>
                <w:sz w:val="1"/>
                <w:szCs w:val="1"/>
                <w:color w:val="auto"/>
              </w:rPr>
            </w:pPr>
          </w:p>
        </w:tc>
      </w:tr>
      <w:tr>
        <w:trPr>
          <w:trHeight w:val="142"/>
        </w:trPr>
        <w:tc>
          <w:tcPr>
            <w:tcW w:w="8600" w:type="dxa"/>
            <w:vAlign w:val="bottom"/>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440" w:type="dxa"/>
            <w:vAlign w:val="bottom"/>
            <w:tcBorders>
              <w:top w:val="single" w:sz="8" w:color="auto"/>
              <w:bottom w:val="single" w:sz="8" w:color="auto"/>
            </w:tcBorders>
          </w:tcPr>
          <w:p>
            <w:pPr>
              <w:jc w:val="right"/>
              <w:ind w:right="57"/>
              <w:spacing w:after="0" w:line="142" w:lineRule="exact"/>
              <w:rPr>
                <w:sz w:val="20"/>
                <w:szCs w:val="20"/>
                <w:color w:val="auto"/>
              </w:rPr>
            </w:pPr>
            <w:r>
              <w:rPr>
                <w:rFonts w:ascii="Arial" w:cs="Arial" w:eastAsia="Arial" w:hAnsi="Arial"/>
                <w:sz w:val="14"/>
                <w:szCs w:val="14"/>
                <w:b w:val="1"/>
                <w:bCs w:val="1"/>
                <w:color w:val="auto"/>
                <w:w w:val="89"/>
              </w:rPr>
              <w:t>2009</w:t>
            </w:r>
          </w:p>
        </w:tc>
        <w:tc>
          <w:tcPr>
            <w:tcW w:w="220" w:type="dxa"/>
            <w:vAlign w:val="bottom"/>
            <w:tcBorders>
              <w:top w:val="single" w:sz="8" w:color="auto"/>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460" w:type="dxa"/>
            <w:vAlign w:val="bottom"/>
            <w:tcBorders>
              <w:top w:val="single" w:sz="8" w:color="auto"/>
              <w:bottom w:val="single" w:sz="8" w:color="auto"/>
            </w:tcBorders>
          </w:tcPr>
          <w:p>
            <w:pPr>
              <w:jc w:val="right"/>
              <w:ind w:right="75"/>
              <w:spacing w:after="0" w:line="142" w:lineRule="exact"/>
              <w:rPr>
                <w:sz w:val="20"/>
                <w:szCs w:val="20"/>
                <w:color w:val="auto"/>
              </w:rPr>
            </w:pPr>
            <w:r>
              <w:rPr>
                <w:rFonts w:ascii="Arial" w:cs="Arial" w:eastAsia="Arial" w:hAnsi="Arial"/>
                <w:sz w:val="14"/>
                <w:szCs w:val="14"/>
                <w:b w:val="1"/>
                <w:bCs w:val="1"/>
                <w:color w:val="auto"/>
                <w:w w:val="89"/>
              </w:rPr>
              <w:t>2008</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400" w:type="dxa"/>
            <w:vAlign w:val="bottom"/>
            <w:tcBorders>
              <w:top w:val="single" w:sz="8" w:color="auto"/>
              <w:bottom w:val="single" w:sz="8" w:color="auto"/>
            </w:tcBorders>
          </w:tcPr>
          <w:p>
            <w:pPr>
              <w:jc w:val="right"/>
              <w:ind w:right="37"/>
              <w:spacing w:after="0" w:line="142" w:lineRule="exact"/>
              <w:rPr>
                <w:sz w:val="20"/>
                <w:szCs w:val="20"/>
                <w:color w:val="auto"/>
              </w:rPr>
            </w:pPr>
            <w:r>
              <w:rPr>
                <w:rFonts w:ascii="Arial" w:cs="Arial" w:eastAsia="Arial" w:hAnsi="Arial"/>
                <w:sz w:val="14"/>
                <w:szCs w:val="14"/>
                <w:b w:val="1"/>
                <w:bCs w:val="1"/>
                <w:color w:val="auto"/>
                <w:w w:val="83"/>
              </w:rPr>
              <w:t>2009</w:t>
            </w:r>
          </w:p>
        </w:tc>
        <w:tc>
          <w:tcPr>
            <w:tcW w:w="220" w:type="dxa"/>
            <w:vAlign w:val="bottom"/>
            <w:tcBorders>
              <w:top w:val="single" w:sz="8" w:color="auto"/>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420" w:type="dxa"/>
            <w:vAlign w:val="bottom"/>
            <w:tcBorders>
              <w:top w:val="single" w:sz="8" w:color="auto"/>
              <w:bottom w:val="single" w:sz="8" w:color="auto"/>
            </w:tcBorders>
          </w:tcPr>
          <w:p>
            <w:pPr>
              <w:jc w:val="right"/>
              <w:ind w:right="55"/>
              <w:spacing w:after="0" w:line="142" w:lineRule="exact"/>
              <w:rPr>
                <w:sz w:val="20"/>
                <w:szCs w:val="20"/>
                <w:color w:val="auto"/>
              </w:rPr>
            </w:pPr>
            <w:r>
              <w:rPr>
                <w:rFonts w:ascii="Arial" w:cs="Arial" w:eastAsia="Arial" w:hAnsi="Arial"/>
                <w:sz w:val="14"/>
                <w:szCs w:val="14"/>
                <w:b w:val="1"/>
                <w:bCs w:val="1"/>
                <w:color w:val="auto"/>
                <w:w w:val="83"/>
              </w:rPr>
              <w:t>2008</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8600" w:type="dxa"/>
            <w:vAlign w:val="bottom"/>
            <w:shd w:val="clear" w:color="auto" w:fill="CCEEFF"/>
          </w:tcPr>
          <w:p>
            <w:pPr>
              <w:spacing w:after="0"/>
              <w:rPr>
                <w:sz w:val="20"/>
                <w:szCs w:val="20"/>
                <w:color w:val="auto"/>
              </w:rPr>
            </w:pPr>
            <w:r>
              <w:rPr>
                <w:rFonts w:ascii="Arial" w:cs="Arial" w:eastAsia="Arial" w:hAnsi="Arial"/>
                <w:sz w:val="18"/>
                <w:szCs w:val="18"/>
                <w:color w:val="auto"/>
              </w:rPr>
              <w:t>Numerator:</w:t>
            </w: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00" w:type="dxa"/>
            <w:vAlign w:val="bottom"/>
          </w:tcPr>
          <w:p>
            <w:pPr>
              <w:ind w:left="440"/>
              <w:spacing w:after="0"/>
              <w:rPr>
                <w:sz w:val="20"/>
                <w:szCs w:val="20"/>
                <w:color w:val="auto"/>
              </w:rPr>
            </w:pPr>
            <w:r>
              <w:rPr>
                <w:rFonts w:ascii="Arial" w:cs="Arial" w:eastAsia="Arial" w:hAnsi="Arial"/>
                <w:sz w:val="18"/>
                <w:szCs w:val="18"/>
                <w:color w:val="auto"/>
              </w:rPr>
              <w:t>Net income</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440" w:type="dxa"/>
            <w:vAlign w:val="bottom"/>
          </w:tcPr>
          <w:p>
            <w:pPr>
              <w:jc w:val="right"/>
              <w:spacing w:after="0"/>
              <w:rPr>
                <w:sz w:val="20"/>
                <w:szCs w:val="20"/>
                <w:color w:val="auto"/>
              </w:rPr>
            </w:pPr>
            <w:r>
              <w:rPr>
                <w:rFonts w:ascii="Arial" w:cs="Arial" w:eastAsia="Arial" w:hAnsi="Arial"/>
                <w:sz w:val="18"/>
                <w:szCs w:val="18"/>
                <w:color w:val="auto"/>
              </w:rPr>
              <w:t>29.5</w:t>
            </w:r>
          </w:p>
        </w:tc>
        <w:tc>
          <w:tcPr>
            <w:tcW w:w="34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560" w:type="dxa"/>
            <w:vAlign w:val="bottom"/>
            <w:gridSpan w:val="2"/>
          </w:tcPr>
          <w:p>
            <w:pPr>
              <w:jc w:val="right"/>
              <w:ind w:right="100"/>
              <w:spacing w:after="0"/>
              <w:rPr>
                <w:sz w:val="20"/>
                <w:szCs w:val="20"/>
                <w:color w:val="auto"/>
              </w:rPr>
            </w:pPr>
            <w:r>
              <w:rPr>
                <w:rFonts w:ascii="Arial" w:cs="Arial" w:eastAsia="Arial" w:hAnsi="Arial"/>
                <w:sz w:val="18"/>
                <w:szCs w:val="18"/>
                <w:color w:val="auto"/>
                <w:w w:val="97"/>
              </w:rPr>
              <w:t>104.5</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00" w:type="dxa"/>
            <w:vAlign w:val="bottom"/>
          </w:tcPr>
          <w:p>
            <w:pPr>
              <w:jc w:val="right"/>
              <w:spacing w:after="0"/>
              <w:rPr>
                <w:sz w:val="20"/>
                <w:szCs w:val="20"/>
                <w:color w:val="auto"/>
              </w:rPr>
            </w:pPr>
            <w:r>
              <w:rPr>
                <w:rFonts w:ascii="Arial" w:cs="Arial" w:eastAsia="Arial" w:hAnsi="Arial"/>
                <w:sz w:val="18"/>
                <w:szCs w:val="18"/>
                <w:color w:val="auto"/>
              </w:rPr>
              <w:t>7.9</w:t>
            </w:r>
          </w:p>
        </w:tc>
        <w:tc>
          <w:tcPr>
            <w:tcW w:w="34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420" w:type="dxa"/>
            <w:vAlign w:val="bottom"/>
          </w:tcPr>
          <w:p>
            <w:pPr>
              <w:jc w:val="right"/>
              <w:spacing w:after="0"/>
              <w:rPr>
                <w:sz w:val="20"/>
                <w:szCs w:val="20"/>
                <w:color w:val="auto"/>
              </w:rPr>
            </w:pPr>
            <w:r>
              <w:rPr>
                <w:rFonts w:ascii="Arial" w:cs="Arial" w:eastAsia="Arial" w:hAnsi="Arial"/>
                <w:sz w:val="18"/>
                <w:szCs w:val="18"/>
                <w:color w:val="auto"/>
                <w:w w:val="88"/>
              </w:rPr>
              <w:t>289.0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6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8600" w:type="dxa"/>
            <w:vAlign w:val="bottom"/>
            <w:shd w:val="clear" w:color="auto" w:fill="CCEEFF"/>
          </w:tcPr>
          <w:p>
            <w:pPr>
              <w:spacing w:after="0"/>
              <w:rPr>
                <w:sz w:val="20"/>
                <w:szCs w:val="20"/>
                <w:color w:val="auto"/>
              </w:rPr>
            </w:pPr>
            <w:r>
              <w:rPr>
                <w:rFonts w:ascii="Arial" w:cs="Arial" w:eastAsia="Arial" w:hAnsi="Arial"/>
                <w:sz w:val="18"/>
                <w:szCs w:val="18"/>
                <w:color w:val="auto"/>
              </w:rPr>
              <w:t>Denominator:</w:t>
            </w: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00" w:type="dxa"/>
            <w:vAlign w:val="bottom"/>
          </w:tcPr>
          <w:p>
            <w:pPr>
              <w:ind w:left="440"/>
              <w:spacing w:after="0"/>
              <w:rPr>
                <w:sz w:val="20"/>
                <w:szCs w:val="20"/>
                <w:color w:val="auto"/>
              </w:rPr>
            </w:pPr>
            <w:r>
              <w:rPr>
                <w:rFonts w:ascii="Arial" w:cs="Arial" w:eastAsia="Arial" w:hAnsi="Arial"/>
                <w:sz w:val="18"/>
                <w:szCs w:val="18"/>
                <w:color w:val="auto"/>
              </w:rPr>
              <w:t>Denominator for basic net income per share—weighted average shares</w:t>
            </w:r>
          </w:p>
        </w:tc>
        <w:tc>
          <w:tcPr>
            <w:tcW w:w="10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w w:val="93"/>
              </w:rPr>
              <w:t>229.6</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gridSpan w:val="2"/>
          </w:tcPr>
          <w:p>
            <w:pPr>
              <w:jc w:val="right"/>
              <w:ind w:right="100"/>
              <w:spacing w:after="0"/>
              <w:rPr>
                <w:sz w:val="20"/>
                <w:szCs w:val="20"/>
                <w:color w:val="auto"/>
              </w:rPr>
            </w:pPr>
            <w:r>
              <w:rPr>
                <w:rFonts w:ascii="Arial" w:cs="Arial" w:eastAsia="Arial" w:hAnsi="Arial"/>
                <w:sz w:val="18"/>
                <w:szCs w:val="18"/>
                <w:color w:val="auto"/>
                <w:w w:val="97"/>
              </w:rPr>
              <w:t>225.3</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w w:val="84"/>
              </w:rPr>
              <w:t>228.5</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w w:val="88"/>
              </w:rPr>
              <w:t>225.2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Effect of dilutive securities</w:t>
            </w:r>
          </w:p>
        </w:tc>
        <w:tc>
          <w:tcPr>
            <w:tcW w:w="100" w:type="dxa"/>
            <w:vAlign w:val="bottom"/>
            <w:tcBorders>
              <w:bottom w:val="single" w:sz="8" w:color="auto"/>
            </w:tcBorders>
            <w:shd w:val="clear" w:color="auto" w:fill="CCEEFF"/>
          </w:tcPr>
          <w:p>
            <w:pPr>
              <w:spacing w:after="0"/>
              <w:rPr>
                <w:sz w:val="18"/>
                <w:szCs w:val="18"/>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w:t>
            </w:r>
          </w:p>
        </w:tc>
        <w:tc>
          <w:tcPr>
            <w:tcW w:w="2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w:t>
            </w:r>
          </w:p>
        </w:tc>
        <w:tc>
          <w:tcPr>
            <w:tcW w:w="2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8600" w:type="dxa"/>
            <w:vAlign w:val="bottom"/>
          </w:tcPr>
          <w:p>
            <w:pPr>
              <w:ind w:left="440"/>
              <w:spacing w:after="0"/>
              <w:rPr>
                <w:sz w:val="20"/>
                <w:szCs w:val="20"/>
                <w:color w:val="auto"/>
              </w:rPr>
            </w:pPr>
            <w:r>
              <w:rPr>
                <w:rFonts w:ascii="Arial" w:cs="Arial" w:eastAsia="Arial" w:hAnsi="Arial"/>
                <w:sz w:val="18"/>
                <w:szCs w:val="18"/>
                <w:color w:val="auto"/>
              </w:rPr>
              <w:t>Denominator for dilutive net income per share</w:t>
            </w:r>
          </w:p>
        </w:tc>
        <w:tc>
          <w:tcPr>
            <w:tcW w:w="10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w w:val="93"/>
              </w:rPr>
              <w:t>232.9</w:t>
            </w: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60" w:type="dxa"/>
            <w:vAlign w:val="bottom"/>
            <w:gridSpan w:val="2"/>
          </w:tcPr>
          <w:p>
            <w:pPr>
              <w:jc w:val="right"/>
              <w:ind w:right="100"/>
              <w:spacing w:after="0"/>
              <w:rPr>
                <w:sz w:val="20"/>
                <w:szCs w:val="20"/>
                <w:color w:val="auto"/>
              </w:rPr>
            </w:pPr>
            <w:r>
              <w:rPr>
                <w:rFonts w:ascii="Arial" w:cs="Arial" w:eastAsia="Arial" w:hAnsi="Arial"/>
                <w:sz w:val="18"/>
                <w:szCs w:val="18"/>
                <w:color w:val="auto"/>
                <w:w w:val="97"/>
              </w:rPr>
              <w:t>230.4</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w w:val="84"/>
              </w:rPr>
              <w:t>231.1</w:t>
            </w: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40" w:type="dxa"/>
            <w:vAlign w:val="bottom"/>
            <w:gridSpan w:val="2"/>
          </w:tcPr>
          <w:p>
            <w:pPr>
              <w:jc w:val="right"/>
              <w:ind w:right="20"/>
              <w:spacing w:after="0"/>
              <w:rPr>
                <w:sz w:val="20"/>
                <w:szCs w:val="20"/>
                <w:color w:val="auto"/>
              </w:rPr>
            </w:pPr>
            <w:r>
              <w:rPr>
                <w:rFonts w:ascii="Arial" w:cs="Arial" w:eastAsia="Arial" w:hAnsi="Arial"/>
                <w:sz w:val="18"/>
                <w:szCs w:val="18"/>
                <w:color w:val="auto"/>
                <w:w w:val="88"/>
              </w:rPr>
              <w:t>231.2</w:t>
            </w:r>
          </w:p>
        </w:tc>
        <w:tc>
          <w:tcPr>
            <w:tcW w:w="0" w:type="dxa"/>
            <w:vAlign w:val="bottom"/>
          </w:tcPr>
          <w:p>
            <w:pPr>
              <w:spacing w:after="0"/>
              <w:rPr>
                <w:sz w:val="1"/>
                <w:szCs w:val="1"/>
                <w:color w:val="auto"/>
              </w:rPr>
            </w:pPr>
          </w:p>
        </w:tc>
      </w:tr>
      <w:tr>
        <w:trPr>
          <w:trHeight w:val="20"/>
        </w:trPr>
        <w:tc>
          <w:tcPr>
            <w:tcW w:w="86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8600" w:type="dxa"/>
            <w:vAlign w:val="bottom"/>
            <w:shd w:val="clear" w:color="auto" w:fill="CCEEFF"/>
          </w:tcPr>
          <w:p>
            <w:pPr>
              <w:spacing w:after="0"/>
              <w:rPr>
                <w:sz w:val="20"/>
                <w:szCs w:val="20"/>
                <w:color w:val="auto"/>
              </w:rPr>
            </w:pPr>
            <w:r>
              <w:rPr>
                <w:rFonts w:ascii="Arial" w:cs="Arial" w:eastAsia="Arial" w:hAnsi="Arial"/>
                <w:sz w:val="18"/>
                <w:szCs w:val="18"/>
                <w:color w:val="auto"/>
              </w:rPr>
              <w:t>Basic net income per share</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0.13</w:t>
            </w:r>
          </w:p>
        </w:tc>
        <w:tc>
          <w:tcPr>
            <w:tcW w:w="3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0.46</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0.03</w:t>
            </w:r>
          </w:p>
        </w:tc>
        <w:tc>
          <w:tcPr>
            <w:tcW w:w="3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600" w:type="dxa"/>
            <w:vAlign w:val="bottom"/>
            <w:vMerge w:val="restart"/>
          </w:tcPr>
          <w:p>
            <w:pPr>
              <w:spacing w:after="0"/>
              <w:rPr>
                <w:sz w:val="20"/>
                <w:szCs w:val="20"/>
                <w:color w:val="auto"/>
              </w:rPr>
            </w:pPr>
            <w:r>
              <w:rPr>
                <w:rFonts w:ascii="Arial" w:cs="Arial" w:eastAsia="Arial" w:hAnsi="Arial"/>
                <w:sz w:val="18"/>
                <w:szCs w:val="18"/>
                <w:color w:val="auto"/>
              </w:rPr>
              <w:t>Diluted net income per share</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8600" w:type="dxa"/>
            <w:vAlign w:val="bottom"/>
            <w:vMerge w:val="continue"/>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440" w:type="dxa"/>
            <w:vAlign w:val="bottom"/>
          </w:tcPr>
          <w:p>
            <w:pPr>
              <w:jc w:val="right"/>
              <w:spacing w:after="0"/>
              <w:rPr>
                <w:sz w:val="20"/>
                <w:szCs w:val="20"/>
                <w:color w:val="auto"/>
              </w:rPr>
            </w:pPr>
            <w:r>
              <w:rPr>
                <w:rFonts w:ascii="Arial" w:cs="Arial" w:eastAsia="Arial" w:hAnsi="Arial"/>
                <w:sz w:val="18"/>
                <w:szCs w:val="18"/>
                <w:color w:val="auto"/>
              </w:rPr>
              <w:t>0.13</w:t>
            </w:r>
          </w:p>
        </w:tc>
        <w:tc>
          <w:tcPr>
            <w:tcW w:w="34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560" w:type="dxa"/>
            <w:vAlign w:val="bottom"/>
            <w:gridSpan w:val="2"/>
          </w:tcPr>
          <w:p>
            <w:pPr>
              <w:jc w:val="right"/>
              <w:ind w:right="100"/>
              <w:spacing w:after="0"/>
              <w:rPr>
                <w:sz w:val="20"/>
                <w:szCs w:val="20"/>
                <w:color w:val="auto"/>
              </w:rPr>
            </w:pPr>
            <w:r>
              <w:rPr>
                <w:rFonts w:ascii="Arial" w:cs="Arial" w:eastAsia="Arial" w:hAnsi="Arial"/>
                <w:sz w:val="18"/>
                <w:szCs w:val="18"/>
                <w:color w:val="auto"/>
              </w:rPr>
              <w:t>0.45</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00" w:type="dxa"/>
            <w:vAlign w:val="bottom"/>
          </w:tcPr>
          <w:p>
            <w:pPr>
              <w:jc w:val="right"/>
              <w:spacing w:after="0"/>
              <w:rPr>
                <w:sz w:val="20"/>
                <w:szCs w:val="20"/>
                <w:color w:val="auto"/>
              </w:rPr>
            </w:pPr>
            <w:r>
              <w:rPr>
                <w:rFonts w:ascii="Arial" w:cs="Arial" w:eastAsia="Arial" w:hAnsi="Arial"/>
                <w:sz w:val="18"/>
                <w:szCs w:val="18"/>
                <w:color w:val="auto"/>
              </w:rPr>
              <w:t>0.03</w:t>
            </w:r>
          </w:p>
        </w:tc>
        <w:tc>
          <w:tcPr>
            <w:tcW w:w="34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440" w:type="dxa"/>
            <w:vAlign w:val="bottom"/>
            <w:gridSpan w:val="2"/>
          </w:tcPr>
          <w:p>
            <w:pPr>
              <w:jc w:val="right"/>
              <w:ind w:right="20"/>
              <w:spacing w:after="0"/>
              <w:rPr>
                <w:sz w:val="20"/>
                <w:szCs w:val="20"/>
                <w:color w:val="auto"/>
              </w:rPr>
            </w:pPr>
            <w:r>
              <w:rPr>
                <w:rFonts w:ascii="Arial" w:cs="Arial" w:eastAsia="Arial" w:hAnsi="Arial"/>
                <w:sz w:val="18"/>
                <w:szCs w:val="18"/>
                <w:color w:val="auto"/>
              </w:rPr>
              <w:t>1.25</w:t>
            </w:r>
          </w:p>
        </w:tc>
        <w:tc>
          <w:tcPr>
            <w:tcW w:w="0" w:type="dxa"/>
            <w:vAlign w:val="bottom"/>
          </w:tcPr>
          <w:p>
            <w:pPr>
              <w:spacing w:after="0"/>
              <w:rPr>
                <w:sz w:val="1"/>
                <w:szCs w:val="1"/>
                <w:color w:val="auto"/>
              </w:rPr>
            </w:pPr>
          </w:p>
        </w:tc>
      </w:tr>
      <w:tr>
        <w:trPr>
          <w:trHeight w:val="20"/>
        </w:trPr>
        <w:tc>
          <w:tcPr>
            <w:tcW w:w="86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right="40" w:firstLine="456"/>
        <w:spacing w:after="0" w:line="286" w:lineRule="auto"/>
        <w:rPr>
          <w:sz w:val="20"/>
          <w:szCs w:val="20"/>
          <w:color w:val="auto"/>
        </w:rPr>
      </w:pPr>
      <w:r>
        <w:rPr>
          <w:rFonts w:ascii="Arial" w:cs="Arial" w:eastAsia="Arial" w:hAnsi="Arial"/>
          <w:sz w:val="16"/>
          <w:szCs w:val="16"/>
          <w:color w:val="auto"/>
        </w:rPr>
        <w:t>The computation of diluted net income per share does not include shares that are anti-dilutive under the treasury stock method because their exercise prices are higher than the average market value of Autodesk’s stock during the period. For the three months ended October 31, 2009 and 2008, 17.6 million and</w:t>
      </w:r>
    </w:p>
    <w:p>
      <w:pPr>
        <w:spacing w:after="0"/>
        <w:rPr>
          <w:sz w:val="20"/>
          <w:szCs w:val="20"/>
          <w:color w:val="auto"/>
        </w:rPr>
      </w:pPr>
      <w:r>
        <w:rPr>
          <w:rFonts w:ascii="Arial" w:cs="Arial" w:eastAsia="Arial" w:hAnsi="Arial"/>
          <w:sz w:val="16"/>
          <w:szCs w:val="16"/>
          <w:color w:val="auto"/>
        </w:rPr>
        <w:t>17.1 million potentially dilutive shares, respectively, were excluded from the computation of diluted net income per share. For the nine months ended October 31,</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2009 and 2008, 22.3 million and 15.6 million potentially dilutive shares, respectively, were excluded from the computation of diluted net income per share.</w:t>
      </w:r>
    </w:p>
    <w:p>
      <w:pPr>
        <w:spacing w:after="0" w:line="309" w:lineRule="exact"/>
        <w:rPr>
          <w:sz w:val="20"/>
          <w:szCs w:val="20"/>
          <w:color w:val="auto"/>
        </w:rPr>
      </w:pPr>
    </w:p>
    <w:p>
      <w:pPr>
        <w:ind w:left="460" w:hanging="452"/>
        <w:spacing w:after="0"/>
        <w:tabs>
          <w:tab w:leader="none" w:pos="460" w:val="left"/>
        </w:tabs>
        <w:numPr>
          <w:ilvl w:val="0"/>
          <w:numId w:val="26"/>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Segments</w:t>
      </w:r>
    </w:p>
    <w:p>
      <w:pPr>
        <w:spacing w:after="0" w:line="90" w:lineRule="exact"/>
        <w:rPr>
          <w:sz w:val="20"/>
          <w:szCs w:val="20"/>
          <w:color w:val="auto"/>
        </w:rPr>
      </w:pPr>
    </w:p>
    <w:p>
      <w:pPr>
        <w:ind w:right="500" w:firstLine="456"/>
        <w:spacing w:after="0" w:line="294" w:lineRule="auto"/>
        <w:rPr>
          <w:sz w:val="20"/>
          <w:szCs w:val="20"/>
          <w:color w:val="auto"/>
        </w:rPr>
      </w:pPr>
      <w:r>
        <w:rPr>
          <w:rFonts w:ascii="Arial" w:cs="Arial" w:eastAsia="Arial" w:hAnsi="Arial"/>
          <w:sz w:val="16"/>
          <w:szCs w:val="16"/>
          <w:color w:val="auto"/>
        </w:rPr>
        <w:t>Autodesk reports segment information based on the “management” approach. The management approach designates the internal reporting used by management for making decisions and assessing performance as the source of the Company’s reportable segments. Autodesk has four reportable segments: Platform Solutions and Emerging Business (“PSEB”), Architecture, Engineering and Construction (“AEC”), Manufacturing (“MFG”) and Media and Entertainment (“M&amp;E”). Location Services, which Autodesk disposed of in February 2009, is not included in any of the above reportable segments, and is reflected as Other. Autodesk has no material inter-segment revenue.</w:t>
      </w:r>
    </w:p>
    <w:p>
      <w:pPr>
        <w:spacing w:after="0" w:line="1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20"/>
          </w:cols>
          <w:pgMar w:left="240" w:top="459" w:right="239" w:bottom="1440" w:gutter="0" w:footer="0" w:header="0"/>
        </w:sectPr>
      </w:pPr>
    </w:p>
    <w:bookmarkStart w:id="23" w:name="page24"/>
    <w:bookmarkEnd w:id="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The PSEB, AEC and MFG segments derive revenue from the sale of licenses for software products and services to customers who design, build, manage or own building, manufacturing and infrastructure projects. The M&amp;E segment derives revenue from the sale of products to creative professionals, post-production facilities, and broadcasters for a variety of applications, including feature films, television programs, commercials, music and corporate videos, interactive game production, web design and interactive web streaming.</w:t>
      </w:r>
    </w:p>
    <w:p>
      <w:pPr>
        <w:spacing w:after="0" w:line="143" w:lineRule="exact"/>
        <w:rPr>
          <w:sz w:val="20"/>
          <w:szCs w:val="20"/>
          <w:color w:val="auto"/>
        </w:rPr>
      </w:pPr>
    </w:p>
    <w:p>
      <w:pPr>
        <w:ind w:right="60" w:firstLine="456"/>
        <w:spacing w:after="0" w:line="256" w:lineRule="auto"/>
        <w:rPr>
          <w:sz w:val="20"/>
          <w:szCs w:val="20"/>
          <w:color w:val="auto"/>
        </w:rPr>
      </w:pPr>
      <w:r>
        <w:rPr>
          <w:rFonts w:ascii="Arial" w:cs="Arial" w:eastAsia="Arial" w:hAnsi="Arial"/>
          <w:sz w:val="18"/>
          <w:szCs w:val="18"/>
          <w:color w:val="auto"/>
        </w:rPr>
        <w:t>PSEB, consisting of Autodesk’s core platform, its AutoCAD product, underpins the Company’s design offerings for all industries. Autodesk’s AutoCAD product provides a platform for Autodesk’s developer partners to build custom solutions for a range of diverse design-oriented markets and for AEC and MFG to offer tailored versions of AutoCAD for their markets. PSEB’s revenue primarily includes revenue from sales of licenses of Autodesk’s 2D horizontal products, AutoCAD and AutoCAD LT.</w:t>
      </w:r>
    </w:p>
    <w:p>
      <w:pPr>
        <w:spacing w:after="0" w:line="143" w:lineRule="exact"/>
        <w:rPr>
          <w:sz w:val="20"/>
          <w:szCs w:val="20"/>
          <w:color w:val="auto"/>
        </w:rPr>
      </w:pPr>
    </w:p>
    <w:p>
      <w:pPr>
        <w:ind w:right="340" w:firstLine="456"/>
        <w:spacing w:after="0" w:line="289" w:lineRule="auto"/>
        <w:rPr>
          <w:sz w:val="20"/>
          <w:szCs w:val="20"/>
          <w:color w:val="auto"/>
        </w:rPr>
      </w:pPr>
      <w:r>
        <w:rPr>
          <w:rFonts w:ascii="Arial" w:cs="Arial" w:eastAsia="Arial" w:hAnsi="Arial"/>
          <w:sz w:val="16"/>
          <w:szCs w:val="16"/>
          <w:color w:val="auto"/>
        </w:rPr>
        <w:t>AEC solutions enable customers and their clients to reduce inefficiencies in building design, civil engineering, and construction. AEC solutions also support information needs across the project lifecycle. The segment’s solutions include advanced technology for building information modeling (“BIM”), AutoCAD-based design and documentation productivity software, and collaborative project management software. BIM, a paradigm for building and civil engineering design, documentation and construction, enables users to exchange and analyze complex design and construction information in digital form and through its use enables users to design and construct more environmentally sustainable or “green” projects through analysis of land use, drainage patterns, materials, quantities, energy use, and lighting in a virtual model. AEC also includes technology developed specifically for Geospatial and Process and Power design markets. AEC’s revenue primarily includes revenue from the sales of licenses of Autodesk Revit, AutoCAD Civil 3D and AutoCAD Architecture products.</w:t>
      </w:r>
    </w:p>
    <w:p>
      <w:pPr>
        <w:spacing w:after="0" w:line="118" w:lineRule="exact"/>
        <w:rPr>
          <w:sz w:val="20"/>
          <w:szCs w:val="20"/>
          <w:color w:val="auto"/>
        </w:rPr>
      </w:pPr>
    </w:p>
    <w:p>
      <w:pPr>
        <w:ind w:right="20" w:firstLine="456"/>
        <w:spacing w:after="0" w:line="256" w:lineRule="auto"/>
        <w:rPr>
          <w:sz w:val="20"/>
          <w:szCs w:val="20"/>
          <w:color w:val="auto"/>
        </w:rPr>
      </w:pPr>
      <w:r>
        <w:rPr>
          <w:rFonts w:ascii="Arial" w:cs="Arial" w:eastAsia="Arial" w:hAnsi="Arial"/>
          <w:sz w:val="18"/>
          <w:szCs w:val="18"/>
          <w:color w:val="auto"/>
        </w:rPr>
        <w:t>MFG provides the manufacturing industry with comprehensive design, data management and digital prototyping solutions, enabling customers to rapidly adopt 3D model-based design, create and validate designs in simple 2D or 3D environments, and manage designs from the conceptual design phase through the manufacturing phase. MFG’s revenue primarily includes revenue from the sales of licenses of Autodesk Inventor, AutoCAD Mechanical and Autodesk Moldflow products.</w:t>
      </w:r>
    </w:p>
    <w:p>
      <w:pPr>
        <w:spacing w:after="0" w:line="143" w:lineRule="exact"/>
        <w:rPr>
          <w:sz w:val="20"/>
          <w:szCs w:val="20"/>
          <w:color w:val="auto"/>
        </w:rPr>
      </w:pPr>
    </w:p>
    <w:p>
      <w:pPr>
        <w:ind w:right="80" w:firstLine="456"/>
        <w:spacing w:after="0" w:line="256" w:lineRule="auto"/>
        <w:rPr>
          <w:sz w:val="20"/>
          <w:szCs w:val="20"/>
          <w:color w:val="auto"/>
        </w:rPr>
      </w:pPr>
      <w:r>
        <w:rPr>
          <w:rFonts w:ascii="Arial" w:cs="Arial" w:eastAsia="Arial" w:hAnsi="Arial"/>
          <w:sz w:val="18"/>
          <w:szCs w:val="18"/>
          <w:color w:val="auto"/>
        </w:rPr>
        <w:t>M&amp;E is comprised of two product groups: Animation, including design visualization, and Advanced Systems. Animation products such as Autodesk 3ds Max and Autodesk Maya provide advanced tools for 3D modeling, animation, rendering solutions, and design visualization and visual effects production. Advanced Systems products provide color grading, editing, finishing and visual effects, compositing, media mastering and encoding technology and increase the productivity of creative professionals.</w:t>
      </w:r>
    </w:p>
    <w:p>
      <w:pPr>
        <w:spacing w:after="0" w:line="143" w:lineRule="exact"/>
        <w:rPr>
          <w:sz w:val="20"/>
          <w:szCs w:val="20"/>
          <w:color w:val="auto"/>
        </w:rPr>
      </w:pPr>
    </w:p>
    <w:p>
      <w:pPr>
        <w:ind w:right="320" w:firstLine="456"/>
        <w:spacing w:after="0" w:line="268" w:lineRule="auto"/>
        <w:rPr>
          <w:sz w:val="20"/>
          <w:szCs w:val="20"/>
          <w:color w:val="auto"/>
        </w:rPr>
      </w:pPr>
      <w:r>
        <w:rPr>
          <w:rFonts w:ascii="Arial" w:cs="Arial" w:eastAsia="Arial" w:hAnsi="Arial"/>
          <w:sz w:val="18"/>
          <w:szCs w:val="18"/>
          <w:color w:val="auto"/>
        </w:rPr>
        <w:t>All of Autodesk’s reportable segments distribute their respective products primarily through authorized resellers and distributors and, to a lesser extent, through direct sales to end-users.</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00"/>
          </w:cols>
          <w:pgMar w:left="240" w:top="459" w:right="259" w:bottom="1440" w:gutter="0" w:footer="0" w:header="0"/>
        </w:sectPr>
      </w:pPr>
    </w:p>
    <w:bookmarkStart w:id="24" w:name="page25"/>
    <w:bookmarkEnd w:id="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0" w:firstLine="456"/>
        <w:spacing w:after="0" w:line="291" w:lineRule="auto"/>
        <w:rPr>
          <w:sz w:val="20"/>
          <w:szCs w:val="20"/>
          <w:color w:val="auto"/>
        </w:rPr>
      </w:pPr>
      <w:r>
        <w:rPr>
          <w:rFonts w:ascii="Arial" w:cs="Arial" w:eastAsia="Arial" w:hAnsi="Arial"/>
          <w:sz w:val="16"/>
          <w:szCs w:val="16"/>
          <w:color w:val="auto"/>
        </w:rPr>
        <w:t>In the third quarter of fiscal 2010, Autodesk changed its methodology for allocating certain revenue transactions, including gains and losses from foreign currency. Revenue by country, product type and business segment for certain prior periods have been reclassified to conform to the current presentation. As a result of the change in revenue allocation methodology, gross profit by business segment for certain prior periods has also been reclassified to conform to the current presentation. The change in methodology did not have a material impact on any period. Autodesk evaluates each segment’s performance on the basis of gross profit. Autodesk currently does not separately accumulate and report asset information by segment except for goodwill, which is disclosed in Note 12, “Goodwill.” Information concerning the operations of Autodesk’s reportable segments was as follows:</w:t>
      </w:r>
    </w:p>
    <w:p>
      <w:pPr>
        <w:spacing w:after="0" w:line="14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520" w:type="dxa"/>
            <w:vAlign w:val="bottom"/>
            <w:gridSpan w:val="5"/>
          </w:tcPr>
          <w:p>
            <w:pPr>
              <w:jc w:val="right"/>
              <w:ind w:right="280"/>
              <w:spacing w:after="0"/>
              <w:rPr>
                <w:sz w:val="20"/>
                <w:szCs w:val="20"/>
                <w:color w:val="auto"/>
              </w:rPr>
            </w:pPr>
            <w:r>
              <w:rPr>
                <w:rFonts w:ascii="Arial" w:cs="Arial" w:eastAsia="Arial" w:hAnsi="Arial"/>
                <w:sz w:val="14"/>
                <w:szCs w:val="14"/>
                <w:b w:val="1"/>
                <w:bCs w:val="1"/>
                <w:color w:val="auto"/>
                <w:w w:val="88"/>
              </w:rPr>
              <w:t>Three months ended</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580" w:type="dxa"/>
            <w:vAlign w:val="bottom"/>
            <w:gridSpan w:val="6"/>
          </w:tcPr>
          <w:p>
            <w:pPr>
              <w:jc w:val="right"/>
              <w:ind w:right="320"/>
              <w:spacing w:after="0"/>
              <w:rPr>
                <w:sz w:val="20"/>
                <w:szCs w:val="20"/>
                <w:color w:val="auto"/>
              </w:rPr>
            </w:pPr>
            <w:r>
              <w:rPr>
                <w:rFonts w:ascii="Arial" w:cs="Arial" w:eastAsia="Arial" w:hAnsi="Arial"/>
                <w:sz w:val="14"/>
                <w:szCs w:val="14"/>
                <w:b w:val="1"/>
                <w:bCs w:val="1"/>
                <w:color w:val="auto"/>
                <w:w w:val="95"/>
              </w:rPr>
              <w:t>Nine months ended</w:t>
            </w:r>
          </w:p>
        </w:tc>
        <w:tc>
          <w:tcPr>
            <w:tcW w:w="0" w:type="dxa"/>
            <w:vAlign w:val="bottom"/>
          </w:tcPr>
          <w:p>
            <w:pPr>
              <w:spacing w:after="0"/>
              <w:rPr>
                <w:sz w:val="1"/>
                <w:szCs w:val="1"/>
                <w:color w:val="auto"/>
              </w:rPr>
            </w:pPr>
          </w:p>
        </w:tc>
      </w:tr>
      <w:tr>
        <w:trPr>
          <w:trHeight w:val="161"/>
        </w:trPr>
        <w:tc>
          <w:tcPr>
            <w:tcW w:w="8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520" w:type="dxa"/>
            <w:vAlign w:val="bottom"/>
            <w:gridSpan w:val="5"/>
          </w:tcPr>
          <w:p>
            <w:pPr>
              <w:jc w:val="right"/>
              <w:ind w:right="540"/>
              <w:spacing w:after="0"/>
              <w:rPr>
                <w:sz w:val="20"/>
                <w:szCs w:val="20"/>
                <w:color w:val="auto"/>
              </w:rPr>
            </w:pPr>
            <w:r>
              <w:rPr>
                <w:rFonts w:ascii="Arial" w:cs="Arial" w:eastAsia="Arial" w:hAnsi="Arial"/>
                <w:sz w:val="14"/>
                <w:szCs w:val="14"/>
                <w:b w:val="1"/>
                <w:bCs w:val="1"/>
                <w:color w:val="auto"/>
              </w:rPr>
              <w:t>October 31,</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580" w:type="dxa"/>
            <w:vAlign w:val="bottom"/>
            <w:gridSpan w:val="6"/>
          </w:tcPr>
          <w:p>
            <w:pPr>
              <w:jc w:val="right"/>
              <w:ind w:right="540"/>
              <w:spacing w:after="0"/>
              <w:rPr>
                <w:sz w:val="20"/>
                <w:szCs w:val="20"/>
                <w:color w:val="auto"/>
              </w:rPr>
            </w:pPr>
            <w:r>
              <w:rPr>
                <w:rFonts w:ascii="Arial" w:cs="Arial" w:eastAsia="Arial" w:hAnsi="Arial"/>
                <w:sz w:val="14"/>
                <w:szCs w:val="14"/>
                <w:b w:val="1"/>
                <w:bCs w:val="1"/>
                <w:color w:val="auto"/>
              </w:rPr>
              <w:t>October 31,</w:t>
            </w:r>
          </w:p>
        </w:tc>
        <w:tc>
          <w:tcPr>
            <w:tcW w:w="0" w:type="dxa"/>
            <w:vAlign w:val="bottom"/>
          </w:tcPr>
          <w:p>
            <w:pPr>
              <w:spacing w:after="0"/>
              <w:rPr>
                <w:sz w:val="1"/>
                <w:szCs w:val="1"/>
                <w:color w:val="auto"/>
              </w:rPr>
            </w:pPr>
          </w:p>
        </w:tc>
      </w:tr>
      <w:tr>
        <w:trPr>
          <w:trHeight w:val="142"/>
        </w:trPr>
        <w:tc>
          <w:tcPr>
            <w:tcW w:w="8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00" w:type="dxa"/>
            <w:vAlign w:val="bottom"/>
            <w:tcBorders>
              <w:top w:val="single" w:sz="8" w:color="auto"/>
            </w:tcBorders>
          </w:tcPr>
          <w:p>
            <w:pPr>
              <w:jc w:val="right"/>
              <w:ind w:right="64"/>
              <w:spacing w:after="0" w:line="142" w:lineRule="exact"/>
              <w:rPr>
                <w:sz w:val="20"/>
                <w:szCs w:val="20"/>
                <w:color w:val="auto"/>
              </w:rPr>
            </w:pPr>
            <w:r>
              <w:rPr>
                <w:rFonts w:ascii="Arial" w:cs="Arial" w:eastAsia="Arial" w:hAnsi="Arial"/>
                <w:sz w:val="14"/>
                <w:szCs w:val="14"/>
                <w:b w:val="1"/>
                <w:bCs w:val="1"/>
                <w:color w:val="auto"/>
              </w:rPr>
              <w:t>2009</w:t>
            </w:r>
          </w:p>
        </w:tc>
        <w:tc>
          <w:tcPr>
            <w:tcW w:w="180" w:type="dxa"/>
            <w:vAlign w:val="bottom"/>
            <w:tcBorders>
              <w:top w:val="single" w:sz="8" w:color="auto"/>
            </w:tcBorders>
          </w:tcPr>
          <w:p>
            <w:pPr>
              <w:spacing w:after="0"/>
              <w:rPr>
                <w:sz w:val="12"/>
                <w:szCs w:val="12"/>
                <w:color w:val="auto"/>
              </w:rPr>
            </w:pPr>
          </w:p>
        </w:tc>
        <w:tc>
          <w:tcPr>
            <w:tcW w:w="640" w:type="dxa"/>
            <w:vAlign w:val="bottom"/>
            <w:tcBorders>
              <w:top w:val="single" w:sz="8" w:color="auto"/>
            </w:tcBorders>
            <w:gridSpan w:val="2"/>
          </w:tcPr>
          <w:p>
            <w:pPr>
              <w:jc w:val="right"/>
              <w:ind w:right="32"/>
              <w:spacing w:after="0" w:line="142" w:lineRule="exact"/>
              <w:rPr>
                <w:sz w:val="20"/>
                <w:szCs w:val="20"/>
                <w:color w:val="auto"/>
              </w:rPr>
            </w:pPr>
            <w:r>
              <w:rPr>
                <w:rFonts w:ascii="Arial" w:cs="Arial" w:eastAsia="Arial" w:hAnsi="Arial"/>
                <w:sz w:val="14"/>
                <w:szCs w:val="14"/>
                <w:b w:val="1"/>
                <w:bCs w:val="1"/>
                <w:color w:val="auto"/>
              </w:rPr>
              <w:t>2008</w:t>
            </w: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540" w:type="dxa"/>
            <w:vAlign w:val="bottom"/>
            <w:tcBorders>
              <w:top w:val="single" w:sz="8" w:color="auto"/>
            </w:tcBorders>
          </w:tcPr>
          <w:p>
            <w:pPr>
              <w:jc w:val="right"/>
              <w:ind w:right="96"/>
              <w:spacing w:after="0" w:line="142" w:lineRule="exact"/>
              <w:rPr>
                <w:sz w:val="20"/>
                <w:szCs w:val="20"/>
                <w:color w:val="auto"/>
              </w:rPr>
            </w:pPr>
            <w:r>
              <w:rPr>
                <w:rFonts w:ascii="Arial" w:cs="Arial" w:eastAsia="Arial" w:hAnsi="Arial"/>
                <w:sz w:val="14"/>
                <w:szCs w:val="14"/>
                <w:b w:val="1"/>
                <w:bCs w:val="1"/>
                <w:color w:val="auto"/>
              </w:rPr>
              <w:t>2009</w:t>
            </w:r>
          </w:p>
        </w:tc>
        <w:tc>
          <w:tcPr>
            <w:tcW w:w="18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540" w:type="dxa"/>
            <w:vAlign w:val="bottom"/>
            <w:tcBorders>
              <w:top w:val="single" w:sz="8" w:color="auto"/>
            </w:tcBorders>
          </w:tcPr>
          <w:p>
            <w:pPr>
              <w:jc w:val="right"/>
              <w:ind w:right="94"/>
              <w:spacing w:after="0" w:line="142" w:lineRule="exact"/>
              <w:rPr>
                <w:sz w:val="20"/>
                <w:szCs w:val="20"/>
                <w:color w:val="auto"/>
              </w:rPr>
            </w:pPr>
            <w:r>
              <w:rPr>
                <w:rFonts w:ascii="Arial" w:cs="Arial" w:eastAsia="Arial" w:hAnsi="Arial"/>
                <w:sz w:val="14"/>
                <w:szCs w:val="14"/>
                <w:b w:val="1"/>
                <w:bCs w:val="1"/>
                <w:color w:val="auto"/>
              </w:rPr>
              <w:t>2008</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8100" w:type="dxa"/>
            <w:vAlign w:val="bottom"/>
            <w:shd w:val="clear" w:color="auto" w:fill="CCEEFF"/>
          </w:tcPr>
          <w:p>
            <w:pPr>
              <w:spacing w:after="0"/>
              <w:rPr>
                <w:sz w:val="20"/>
                <w:szCs w:val="20"/>
                <w:color w:val="auto"/>
              </w:rPr>
            </w:pPr>
            <w:r>
              <w:rPr>
                <w:rFonts w:ascii="Arial" w:cs="Arial" w:eastAsia="Arial" w:hAnsi="Arial"/>
                <w:sz w:val="18"/>
                <w:szCs w:val="18"/>
                <w:color w:val="auto"/>
              </w:rPr>
              <w:t>Net revenue:</w:t>
            </w:r>
          </w:p>
        </w:tc>
        <w:tc>
          <w:tcPr>
            <w:tcW w:w="20" w:type="dxa"/>
            <w:vAlign w:val="bottom"/>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100" w:type="dxa"/>
            <w:vAlign w:val="bottom"/>
          </w:tcPr>
          <w:p>
            <w:pPr>
              <w:ind w:left="440"/>
              <w:spacing w:after="0"/>
              <w:rPr>
                <w:sz w:val="20"/>
                <w:szCs w:val="20"/>
                <w:color w:val="auto"/>
              </w:rPr>
            </w:pPr>
            <w:r>
              <w:rPr>
                <w:rFonts w:ascii="Arial" w:cs="Arial" w:eastAsia="Arial" w:hAnsi="Arial"/>
                <w:sz w:val="18"/>
                <w:szCs w:val="18"/>
                <w:color w:val="auto"/>
              </w:rPr>
              <w:t>Platform Solutions and Emerging Business</w:t>
            </w:r>
          </w:p>
        </w:tc>
        <w:tc>
          <w:tcPr>
            <w:tcW w:w="520" w:type="dxa"/>
            <w:vAlign w:val="bottom"/>
            <w:gridSpan w:val="2"/>
          </w:tcPr>
          <w:p>
            <w:pPr>
              <w:jc w:val="right"/>
              <w:spacing w:after="0"/>
              <w:rPr>
                <w:sz w:val="20"/>
                <w:szCs w:val="20"/>
                <w:color w:val="auto"/>
              </w:rPr>
            </w:pPr>
            <w:r>
              <w:rPr>
                <w:rFonts w:ascii="Arial" w:cs="Arial" w:eastAsia="Arial" w:hAnsi="Arial"/>
                <w:sz w:val="18"/>
                <w:szCs w:val="18"/>
                <w:color w:val="auto"/>
                <w:w w:val="83"/>
              </w:rPr>
              <w:t>$ 154.3</w:t>
            </w:r>
          </w:p>
        </w:tc>
        <w:tc>
          <w:tcPr>
            <w:tcW w:w="180" w:type="dxa"/>
            <w:vAlign w:val="bottom"/>
          </w:tcPr>
          <w:p>
            <w:pPr>
              <w:spacing w:after="0"/>
              <w:rPr>
                <w:sz w:val="18"/>
                <w:szCs w:val="18"/>
                <w:color w:val="auto"/>
              </w:rPr>
            </w:pPr>
          </w:p>
        </w:tc>
        <w:tc>
          <w:tcPr>
            <w:tcW w:w="840" w:type="dxa"/>
            <w:vAlign w:val="bottom"/>
            <w:gridSpan w:val="3"/>
          </w:tcPr>
          <w:p>
            <w:pPr>
              <w:jc w:val="right"/>
              <w:ind w:right="200"/>
              <w:spacing w:after="0"/>
              <w:rPr>
                <w:sz w:val="20"/>
                <w:szCs w:val="20"/>
                <w:color w:val="auto"/>
              </w:rPr>
            </w:pPr>
            <w:r>
              <w:rPr>
                <w:rFonts w:ascii="Arial" w:cs="Arial" w:eastAsia="Arial" w:hAnsi="Arial"/>
                <w:sz w:val="18"/>
                <w:szCs w:val="18"/>
                <w:color w:val="auto"/>
              </w:rPr>
              <w:t>$ 239.4</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459.6</w:t>
            </w:r>
          </w:p>
        </w:tc>
        <w:tc>
          <w:tcPr>
            <w:tcW w:w="180" w:type="dxa"/>
            <w:vAlign w:val="bottom"/>
          </w:tcPr>
          <w:p>
            <w:pPr>
              <w:spacing w:after="0"/>
              <w:rPr>
                <w:sz w:val="18"/>
                <w:szCs w:val="18"/>
                <w:color w:val="auto"/>
              </w:rPr>
            </w:pP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728.8</w:t>
            </w:r>
          </w:p>
        </w:tc>
        <w:tc>
          <w:tcPr>
            <w:tcW w:w="0" w:type="dxa"/>
            <w:vAlign w:val="bottom"/>
          </w:tcPr>
          <w:p>
            <w:pPr>
              <w:spacing w:after="0"/>
              <w:rPr>
                <w:sz w:val="1"/>
                <w:szCs w:val="1"/>
                <w:color w:val="auto"/>
              </w:rPr>
            </w:pPr>
          </w:p>
        </w:tc>
      </w:tr>
      <w:tr>
        <w:trPr>
          <w:trHeight w:val="216"/>
        </w:trPr>
        <w:tc>
          <w:tcPr>
            <w:tcW w:w="81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Architecture, Engineering and Construction</w:t>
            </w: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124.8</w:t>
            </w:r>
          </w:p>
        </w:tc>
        <w:tc>
          <w:tcPr>
            <w:tcW w:w="180" w:type="dxa"/>
            <w:vAlign w:val="bottom"/>
            <w:shd w:val="clear" w:color="auto" w:fill="CCEEFF"/>
          </w:tcPr>
          <w:p>
            <w:pPr>
              <w:spacing w:after="0"/>
              <w:rPr>
                <w:sz w:val="18"/>
                <w:szCs w:val="18"/>
                <w:color w:val="auto"/>
              </w:rPr>
            </w:pPr>
          </w:p>
        </w:tc>
        <w:tc>
          <w:tcPr>
            <w:tcW w:w="84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164.0</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375.9</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495.1</w:t>
            </w:r>
          </w:p>
        </w:tc>
        <w:tc>
          <w:tcPr>
            <w:tcW w:w="0" w:type="dxa"/>
            <w:vAlign w:val="bottom"/>
          </w:tcPr>
          <w:p>
            <w:pPr>
              <w:spacing w:after="0"/>
              <w:rPr>
                <w:sz w:val="1"/>
                <w:szCs w:val="1"/>
                <w:color w:val="auto"/>
              </w:rPr>
            </w:pPr>
          </w:p>
        </w:tc>
      </w:tr>
      <w:tr>
        <w:trPr>
          <w:trHeight w:val="216"/>
        </w:trPr>
        <w:tc>
          <w:tcPr>
            <w:tcW w:w="8100" w:type="dxa"/>
            <w:vAlign w:val="bottom"/>
          </w:tcPr>
          <w:p>
            <w:pPr>
              <w:ind w:left="440"/>
              <w:spacing w:after="0"/>
              <w:rPr>
                <w:sz w:val="20"/>
                <w:szCs w:val="20"/>
                <w:color w:val="auto"/>
              </w:rPr>
            </w:pPr>
            <w:r>
              <w:rPr>
                <w:rFonts w:ascii="Arial" w:cs="Arial" w:eastAsia="Arial" w:hAnsi="Arial"/>
                <w:sz w:val="18"/>
                <w:szCs w:val="18"/>
                <w:color w:val="auto"/>
              </w:rPr>
              <w:t>Manufacturing</w:t>
            </w:r>
          </w:p>
        </w:tc>
        <w:tc>
          <w:tcPr>
            <w:tcW w:w="520" w:type="dxa"/>
            <w:vAlign w:val="bottom"/>
            <w:gridSpan w:val="2"/>
          </w:tcPr>
          <w:p>
            <w:pPr>
              <w:jc w:val="right"/>
              <w:spacing w:after="0"/>
              <w:rPr>
                <w:sz w:val="20"/>
                <w:szCs w:val="20"/>
                <w:color w:val="auto"/>
              </w:rPr>
            </w:pPr>
            <w:r>
              <w:rPr>
                <w:rFonts w:ascii="Arial" w:cs="Arial" w:eastAsia="Arial" w:hAnsi="Arial"/>
                <w:sz w:val="18"/>
                <w:szCs w:val="18"/>
                <w:color w:val="auto"/>
              </w:rPr>
              <w:t>89.7</w:t>
            </w:r>
          </w:p>
        </w:tc>
        <w:tc>
          <w:tcPr>
            <w:tcW w:w="180" w:type="dxa"/>
            <w:vAlign w:val="bottom"/>
          </w:tcPr>
          <w:p>
            <w:pPr>
              <w:spacing w:after="0"/>
              <w:rPr>
                <w:sz w:val="18"/>
                <w:szCs w:val="18"/>
                <w:color w:val="auto"/>
              </w:rPr>
            </w:pPr>
          </w:p>
        </w:tc>
        <w:tc>
          <w:tcPr>
            <w:tcW w:w="840" w:type="dxa"/>
            <w:vAlign w:val="bottom"/>
            <w:gridSpan w:val="3"/>
          </w:tcPr>
          <w:p>
            <w:pPr>
              <w:jc w:val="right"/>
              <w:ind w:right="200"/>
              <w:spacing w:after="0"/>
              <w:rPr>
                <w:sz w:val="20"/>
                <w:szCs w:val="20"/>
                <w:color w:val="auto"/>
              </w:rPr>
            </w:pPr>
            <w:r>
              <w:rPr>
                <w:rFonts w:ascii="Arial" w:cs="Arial" w:eastAsia="Arial" w:hAnsi="Arial"/>
                <w:sz w:val="18"/>
                <w:szCs w:val="18"/>
                <w:color w:val="auto"/>
              </w:rPr>
              <w:t>123.8</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279.0</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373.6</w:t>
            </w:r>
          </w:p>
        </w:tc>
        <w:tc>
          <w:tcPr>
            <w:tcW w:w="0" w:type="dxa"/>
            <w:vAlign w:val="bottom"/>
          </w:tcPr>
          <w:p>
            <w:pPr>
              <w:spacing w:after="0"/>
              <w:rPr>
                <w:sz w:val="1"/>
                <w:szCs w:val="1"/>
                <w:color w:val="auto"/>
              </w:rPr>
            </w:pPr>
          </w:p>
        </w:tc>
      </w:tr>
      <w:tr>
        <w:trPr>
          <w:trHeight w:val="216"/>
        </w:trPr>
        <w:tc>
          <w:tcPr>
            <w:tcW w:w="81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Media and Entertainment</w:t>
            </w: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48.1</w:t>
            </w:r>
          </w:p>
        </w:tc>
        <w:tc>
          <w:tcPr>
            <w:tcW w:w="180" w:type="dxa"/>
            <w:vAlign w:val="bottom"/>
            <w:shd w:val="clear" w:color="auto" w:fill="CCEEFF"/>
          </w:tcPr>
          <w:p>
            <w:pPr>
              <w:spacing w:after="0"/>
              <w:rPr>
                <w:sz w:val="18"/>
                <w:szCs w:val="18"/>
                <w:color w:val="auto"/>
              </w:rPr>
            </w:pPr>
          </w:p>
        </w:tc>
        <w:tc>
          <w:tcPr>
            <w:tcW w:w="84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73.0</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142.7</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209.5</w:t>
            </w:r>
          </w:p>
        </w:tc>
        <w:tc>
          <w:tcPr>
            <w:tcW w:w="0" w:type="dxa"/>
            <w:vAlign w:val="bottom"/>
          </w:tcPr>
          <w:p>
            <w:pPr>
              <w:spacing w:after="0"/>
              <w:rPr>
                <w:sz w:val="1"/>
                <w:szCs w:val="1"/>
                <w:color w:val="auto"/>
              </w:rPr>
            </w:pPr>
          </w:p>
        </w:tc>
      </w:tr>
      <w:tr>
        <w:trPr>
          <w:trHeight w:val="216"/>
        </w:trPr>
        <w:tc>
          <w:tcPr>
            <w:tcW w:w="8100" w:type="dxa"/>
            <w:vAlign w:val="bottom"/>
          </w:tcPr>
          <w:p>
            <w:pPr>
              <w:ind w:left="440"/>
              <w:spacing w:after="0"/>
              <w:rPr>
                <w:sz w:val="20"/>
                <w:szCs w:val="20"/>
                <w:color w:val="auto"/>
              </w:rPr>
            </w:pPr>
            <w:r>
              <w:rPr>
                <w:rFonts w:ascii="Arial" w:cs="Arial" w:eastAsia="Arial" w:hAnsi="Arial"/>
                <w:sz w:val="18"/>
                <w:szCs w:val="18"/>
                <w:color w:val="auto"/>
              </w:rPr>
              <w:t>Other</w:t>
            </w:r>
          </w:p>
        </w:tc>
        <w:tc>
          <w:tcPr>
            <w:tcW w:w="20" w:type="dxa"/>
            <w:vAlign w:val="bottom"/>
          </w:tcPr>
          <w:p>
            <w:pPr>
              <w:spacing w:after="0"/>
              <w:rPr>
                <w:sz w:val="18"/>
                <w:szCs w:val="18"/>
                <w:color w:val="auto"/>
              </w:rPr>
            </w:pPr>
          </w:p>
        </w:tc>
        <w:tc>
          <w:tcPr>
            <w:tcW w:w="500" w:type="dxa"/>
            <w:vAlign w:val="bottom"/>
          </w:tcPr>
          <w:p>
            <w:pPr>
              <w:jc w:val="right"/>
              <w:ind w:right="24"/>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gridSpan w:val="2"/>
          </w:tcPr>
          <w:p>
            <w:pPr>
              <w:jc w:val="right"/>
              <w:ind w:right="200"/>
              <w:spacing w:after="0"/>
              <w:rPr>
                <w:sz w:val="20"/>
                <w:szCs w:val="20"/>
                <w:color w:val="auto"/>
              </w:rPr>
            </w:pPr>
            <w:r>
              <w:rPr>
                <w:rFonts w:ascii="Arial" w:cs="Arial" w:eastAsia="Arial" w:hAnsi="Arial"/>
                <w:sz w:val="18"/>
                <w:szCs w:val="18"/>
                <w:color w:val="auto"/>
              </w:rPr>
              <w:t>6.9</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0.4</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18.4</w:t>
            </w:r>
          </w:p>
        </w:tc>
        <w:tc>
          <w:tcPr>
            <w:tcW w:w="0" w:type="dxa"/>
            <w:vAlign w:val="bottom"/>
          </w:tcPr>
          <w:p>
            <w:pPr>
              <w:spacing w:after="0"/>
              <w:rPr>
                <w:sz w:val="1"/>
                <w:szCs w:val="1"/>
                <w:color w:val="auto"/>
              </w:rPr>
            </w:pPr>
          </w:p>
        </w:tc>
      </w:tr>
      <w:tr>
        <w:trPr>
          <w:trHeight w:val="27"/>
        </w:trPr>
        <w:tc>
          <w:tcPr>
            <w:tcW w:w="8100" w:type="dxa"/>
            <w:vAlign w:val="bottom"/>
          </w:tcPr>
          <w:p>
            <w:pPr>
              <w:spacing w:after="0"/>
              <w:rPr>
                <w:sz w:val="2"/>
                <w:szCs w:val="2"/>
                <w:color w:val="auto"/>
              </w:rPr>
            </w:pPr>
          </w:p>
        </w:tc>
        <w:tc>
          <w:tcPr>
            <w:tcW w:w="2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810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3"/>
              </w:rPr>
              <w:t>$ 416.9</w:t>
            </w:r>
          </w:p>
        </w:tc>
        <w:tc>
          <w:tcPr>
            <w:tcW w:w="180" w:type="dxa"/>
            <w:vAlign w:val="bottom"/>
            <w:shd w:val="clear" w:color="auto" w:fill="CCEEFF"/>
          </w:tcPr>
          <w:p>
            <w:pPr>
              <w:spacing w:after="0"/>
              <w:rPr>
                <w:sz w:val="18"/>
                <w:szCs w:val="18"/>
                <w:color w:val="auto"/>
              </w:rPr>
            </w:pPr>
          </w:p>
        </w:tc>
        <w:tc>
          <w:tcPr>
            <w:tcW w:w="84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$ 607.1</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1,257.6</w:t>
            </w:r>
          </w:p>
        </w:tc>
        <w:tc>
          <w:tcPr>
            <w:tcW w:w="180" w:type="dxa"/>
            <w:vAlign w:val="bottom"/>
            <w:shd w:val="clear" w:color="auto" w:fill="CCEEFF"/>
          </w:tcPr>
          <w:p>
            <w:pPr>
              <w:spacing w:after="0"/>
              <w:rPr>
                <w:sz w:val="18"/>
                <w:szCs w:val="18"/>
                <w:color w:val="auto"/>
              </w:rPr>
            </w:pP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6"/>
              </w:rPr>
              <w:t>1,825.4</w:t>
            </w:r>
          </w:p>
        </w:tc>
        <w:tc>
          <w:tcPr>
            <w:tcW w:w="0" w:type="dxa"/>
            <w:vAlign w:val="bottom"/>
          </w:tcPr>
          <w:p>
            <w:pPr>
              <w:spacing w:after="0"/>
              <w:rPr>
                <w:sz w:val="1"/>
                <w:szCs w:val="1"/>
                <w:color w:val="auto"/>
              </w:rPr>
            </w:pPr>
          </w:p>
        </w:tc>
      </w:tr>
      <w:tr>
        <w:trPr>
          <w:trHeight w:val="20"/>
        </w:trPr>
        <w:tc>
          <w:tcPr>
            <w:tcW w:w="8100" w:type="dxa"/>
            <w:vAlign w:val="bottom"/>
            <w:vMerge w:val="restart"/>
          </w:tcPr>
          <w:p>
            <w:pPr>
              <w:spacing w:after="0"/>
              <w:rPr>
                <w:sz w:val="20"/>
                <w:szCs w:val="20"/>
                <w:color w:val="auto"/>
              </w:rPr>
            </w:pPr>
            <w:r>
              <w:rPr>
                <w:rFonts w:ascii="Arial" w:cs="Arial" w:eastAsia="Arial" w:hAnsi="Arial"/>
                <w:sz w:val="18"/>
                <w:szCs w:val="18"/>
                <w:color w:val="auto"/>
              </w:rPr>
              <w:t>Gross profit:</w:t>
            </w:r>
          </w:p>
        </w:tc>
        <w:tc>
          <w:tcPr>
            <w:tcW w:w="2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8100" w:type="dxa"/>
            <w:vAlign w:val="bottom"/>
            <w:vMerge w:val="continue"/>
          </w:tcPr>
          <w:p>
            <w:pPr>
              <w:spacing w:after="0"/>
              <w:rPr>
                <w:sz w:val="18"/>
                <w:szCs w:val="18"/>
                <w:color w:val="auto"/>
              </w:rPr>
            </w:pPr>
          </w:p>
        </w:tc>
        <w:tc>
          <w:tcPr>
            <w:tcW w:w="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81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Platform Solutions and Emerging Business</w:t>
            </w: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3"/>
              </w:rPr>
              <w:t>$ 146.5</w:t>
            </w:r>
          </w:p>
        </w:tc>
        <w:tc>
          <w:tcPr>
            <w:tcW w:w="180" w:type="dxa"/>
            <w:vAlign w:val="bottom"/>
            <w:shd w:val="clear" w:color="auto" w:fill="CCEEFF"/>
          </w:tcPr>
          <w:p>
            <w:pPr>
              <w:spacing w:after="0"/>
              <w:rPr>
                <w:sz w:val="18"/>
                <w:szCs w:val="18"/>
                <w:color w:val="auto"/>
              </w:rPr>
            </w:pPr>
          </w:p>
        </w:tc>
        <w:tc>
          <w:tcPr>
            <w:tcW w:w="84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$ 231.0</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432.8</w:t>
            </w:r>
          </w:p>
        </w:tc>
        <w:tc>
          <w:tcPr>
            <w:tcW w:w="180" w:type="dxa"/>
            <w:vAlign w:val="bottom"/>
            <w:shd w:val="clear" w:color="auto" w:fill="CCEEFF"/>
          </w:tcPr>
          <w:p>
            <w:pPr>
              <w:spacing w:after="0"/>
              <w:rPr>
                <w:sz w:val="18"/>
                <w:szCs w:val="18"/>
                <w:color w:val="auto"/>
              </w:rPr>
            </w:pP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696.2</w:t>
            </w:r>
          </w:p>
        </w:tc>
        <w:tc>
          <w:tcPr>
            <w:tcW w:w="0" w:type="dxa"/>
            <w:vAlign w:val="bottom"/>
          </w:tcPr>
          <w:p>
            <w:pPr>
              <w:spacing w:after="0"/>
              <w:rPr>
                <w:sz w:val="1"/>
                <w:szCs w:val="1"/>
                <w:color w:val="auto"/>
              </w:rPr>
            </w:pPr>
          </w:p>
        </w:tc>
      </w:tr>
      <w:tr>
        <w:trPr>
          <w:trHeight w:val="216"/>
        </w:trPr>
        <w:tc>
          <w:tcPr>
            <w:tcW w:w="8100" w:type="dxa"/>
            <w:vAlign w:val="bottom"/>
          </w:tcPr>
          <w:p>
            <w:pPr>
              <w:ind w:left="440"/>
              <w:spacing w:after="0"/>
              <w:rPr>
                <w:sz w:val="20"/>
                <w:szCs w:val="20"/>
                <w:color w:val="auto"/>
              </w:rPr>
            </w:pPr>
            <w:r>
              <w:rPr>
                <w:rFonts w:ascii="Arial" w:cs="Arial" w:eastAsia="Arial" w:hAnsi="Arial"/>
                <w:sz w:val="18"/>
                <w:szCs w:val="18"/>
                <w:color w:val="auto"/>
              </w:rPr>
              <w:t>Architecture, Engineering and Construction</w:t>
            </w:r>
          </w:p>
        </w:tc>
        <w:tc>
          <w:tcPr>
            <w:tcW w:w="520" w:type="dxa"/>
            <w:vAlign w:val="bottom"/>
            <w:gridSpan w:val="2"/>
          </w:tcPr>
          <w:p>
            <w:pPr>
              <w:jc w:val="right"/>
              <w:spacing w:after="0"/>
              <w:rPr>
                <w:sz w:val="20"/>
                <w:szCs w:val="20"/>
                <w:color w:val="auto"/>
              </w:rPr>
            </w:pPr>
            <w:r>
              <w:rPr>
                <w:rFonts w:ascii="Arial" w:cs="Arial" w:eastAsia="Arial" w:hAnsi="Arial"/>
                <w:sz w:val="18"/>
                <w:szCs w:val="18"/>
                <w:color w:val="auto"/>
              </w:rPr>
              <w:t>113.3</w:t>
            </w:r>
          </w:p>
        </w:tc>
        <w:tc>
          <w:tcPr>
            <w:tcW w:w="180" w:type="dxa"/>
            <w:vAlign w:val="bottom"/>
          </w:tcPr>
          <w:p>
            <w:pPr>
              <w:spacing w:after="0"/>
              <w:rPr>
                <w:sz w:val="18"/>
                <w:szCs w:val="18"/>
                <w:color w:val="auto"/>
              </w:rPr>
            </w:pPr>
          </w:p>
        </w:tc>
        <w:tc>
          <w:tcPr>
            <w:tcW w:w="840" w:type="dxa"/>
            <w:vAlign w:val="bottom"/>
            <w:gridSpan w:val="3"/>
          </w:tcPr>
          <w:p>
            <w:pPr>
              <w:jc w:val="right"/>
              <w:ind w:right="200"/>
              <w:spacing w:after="0"/>
              <w:rPr>
                <w:sz w:val="20"/>
                <w:szCs w:val="20"/>
                <w:color w:val="auto"/>
              </w:rPr>
            </w:pPr>
            <w:r>
              <w:rPr>
                <w:rFonts w:ascii="Arial" w:cs="Arial" w:eastAsia="Arial" w:hAnsi="Arial"/>
                <w:sz w:val="18"/>
                <w:szCs w:val="18"/>
                <w:color w:val="auto"/>
              </w:rPr>
              <w:t>152.5</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339.9</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457.5</w:t>
            </w:r>
          </w:p>
        </w:tc>
        <w:tc>
          <w:tcPr>
            <w:tcW w:w="0" w:type="dxa"/>
            <w:vAlign w:val="bottom"/>
          </w:tcPr>
          <w:p>
            <w:pPr>
              <w:spacing w:after="0"/>
              <w:rPr>
                <w:sz w:val="1"/>
                <w:szCs w:val="1"/>
                <w:color w:val="auto"/>
              </w:rPr>
            </w:pPr>
          </w:p>
        </w:tc>
      </w:tr>
      <w:tr>
        <w:trPr>
          <w:trHeight w:val="216"/>
        </w:trPr>
        <w:tc>
          <w:tcPr>
            <w:tcW w:w="81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Manufacturing</w:t>
            </w: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83.7</w:t>
            </w:r>
          </w:p>
        </w:tc>
        <w:tc>
          <w:tcPr>
            <w:tcW w:w="180" w:type="dxa"/>
            <w:vAlign w:val="bottom"/>
            <w:shd w:val="clear" w:color="auto" w:fill="CCEEFF"/>
          </w:tcPr>
          <w:p>
            <w:pPr>
              <w:spacing w:after="0"/>
              <w:rPr>
                <w:sz w:val="18"/>
                <w:szCs w:val="18"/>
                <w:color w:val="auto"/>
              </w:rPr>
            </w:pPr>
          </w:p>
        </w:tc>
        <w:tc>
          <w:tcPr>
            <w:tcW w:w="84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116.5</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257.4</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348.7</w:t>
            </w:r>
          </w:p>
        </w:tc>
        <w:tc>
          <w:tcPr>
            <w:tcW w:w="0" w:type="dxa"/>
            <w:vAlign w:val="bottom"/>
          </w:tcPr>
          <w:p>
            <w:pPr>
              <w:spacing w:after="0"/>
              <w:rPr>
                <w:sz w:val="1"/>
                <w:szCs w:val="1"/>
                <w:color w:val="auto"/>
              </w:rPr>
            </w:pPr>
          </w:p>
        </w:tc>
      </w:tr>
      <w:tr>
        <w:trPr>
          <w:trHeight w:val="216"/>
        </w:trPr>
        <w:tc>
          <w:tcPr>
            <w:tcW w:w="8100" w:type="dxa"/>
            <w:vAlign w:val="bottom"/>
          </w:tcPr>
          <w:p>
            <w:pPr>
              <w:ind w:left="440"/>
              <w:spacing w:after="0"/>
              <w:rPr>
                <w:sz w:val="20"/>
                <w:szCs w:val="20"/>
                <w:color w:val="auto"/>
              </w:rPr>
            </w:pPr>
            <w:r>
              <w:rPr>
                <w:rFonts w:ascii="Arial" w:cs="Arial" w:eastAsia="Arial" w:hAnsi="Arial"/>
                <w:sz w:val="18"/>
                <w:szCs w:val="18"/>
                <w:color w:val="auto"/>
              </w:rPr>
              <w:t>Media and Entertainment</w:t>
            </w:r>
          </w:p>
        </w:tc>
        <w:tc>
          <w:tcPr>
            <w:tcW w:w="520" w:type="dxa"/>
            <w:vAlign w:val="bottom"/>
            <w:gridSpan w:val="2"/>
          </w:tcPr>
          <w:p>
            <w:pPr>
              <w:jc w:val="right"/>
              <w:spacing w:after="0"/>
              <w:rPr>
                <w:sz w:val="20"/>
                <w:szCs w:val="20"/>
                <w:color w:val="auto"/>
              </w:rPr>
            </w:pPr>
            <w:r>
              <w:rPr>
                <w:rFonts w:ascii="Arial" w:cs="Arial" w:eastAsia="Arial" w:hAnsi="Arial"/>
                <w:sz w:val="18"/>
                <w:szCs w:val="18"/>
                <w:color w:val="auto"/>
              </w:rPr>
              <w:t>38.1</w:t>
            </w:r>
          </w:p>
        </w:tc>
        <w:tc>
          <w:tcPr>
            <w:tcW w:w="180" w:type="dxa"/>
            <w:vAlign w:val="bottom"/>
          </w:tcPr>
          <w:p>
            <w:pPr>
              <w:spacing w:after="0"/>
              <w:rPr>
                <w:sz w:val="18"/>
                <w:szCs w:val="18"/>
                <w:color w:val="auto"/>
              </w:rPr>
            </w:pPr>
          </w:p>
        </w:tc>
        <w:tc>
          <w:tcPr>
            <w:tcW w:w="840" w:type="dxa"/>
            <w:vAlign w:val="bottom"/>
            <w:gridSpan w:val="3"/>
          </w:tcPr>
          <w:p>
            <w:pPr>
              <w:jc w:val="right"/>
              <w:ind w:right="200"/>
              <w:spacing w:after="0"/>
              <w:rPr>
                <w:sz w:val="20"/>
                <w:szCs w:val="20"/>
                <w:color w:val="auto"/>
              </w:rPr>
            </w:pPr>
            <w:r>
              <w:rPr>
                <w:rFonts w:ascii="Arial" w:cs="Arial" w:eastAsia="Arial" w:hAnsi="Arial"/>
                <w:sz w:val="18"/>
                <w:szCs w:val="18"/>
                <w:color w:val="auto"/>
              </w:rPr>
              <w:t>56.7</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107.6</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157.8</w:t>
            </w:r>
          </w:p>
        </w:tc>
        <w:tc>
          <w:tcPr>
            <w:tcW w:w="0" w:type="dxa"/>
            <w:vAlign w:val="bottom"/>
          </w:tcPr>
          <w:p>
            <w:pPr>
              <w:spacing w:after="0"/>
              <w:rPr>
                <w:sz w:val="1"/>
                <w:szCs w:val="1"/>
                <w:color w:val="auto"/>
              </w:rPr>
            </w:pPr>
          </w:p>
        </w:tc>
      </w:tr>
      <w:tr>
        <w:trPr>
          <w:trHeight w:val="216"/>
        </w:trPr>
        <w:tc>
          <w:tcPr>
            <w:tcW w:w="81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 xml:space="preserve">Unallocated </w:t>
            </w:r>
            <w:r>
              <w:rPr>
                <w:rFonts w:ascii="Arial" w:cs="Arial" w:eastAsia="Arial" w:hAnsi="Arial"/>
                <w:sz w:val="11"/>
                <w:szCs w:val="11"/>
                <w:color w:val="auto"/>
              </w:rPr>
              <w:t>(1)</w:t>
            </w:r>
          </w:p>
        </w:tc>
        <w:tc>
          <w:tcPr>
            <w:tcW w:w="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(9.7)</w:t>
            </w:r>
          </w:p>
        </w:tc>
        <w:tc>
          <w:tcPr>
            <w:tcW w:w="84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(2.5)</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(27.5)</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(5.4)</w:t>
            </w:r>
          </w:p>
        </w:tc>
        <w:tc>
          <w:tcPr>
            <w:tcW w:w="0" w:type="dxa"/>
            <w:vAlign w:val="bottom"/>
          </w:tcPr>
          <w:p>
            <w:pPr>
              <w:spacing w:after="0"/>
              <w:rPr>
                <w:sz w:val="1"/>
                <w:szCs w:val="1"/>
                <w:color w:val="auto"/>
              </w:rPr>
            </w:pPr>
          </w:p>
        </w:tc>
      </w:tr>
      <w:tr>
        <w:trPr>
          <w:trHeight w:val="20"/>
        </w:trPr>
        <w:tc>
          <w:tcPr>
            <w:tcW w:w="8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8100" w:type="dxa"/>
            <w:vAlign w:val="bottom"/>
          </w:tcPr>
          <w:p>
            <w:pPr>
              <w:spacing w:after="0"/>
              <w:rPr>
                <w:sz w:val="19"/>
                <w:szCs w:val="19"/>
                <w:color w:val="auto"/>
              </w:rPr>
            </w:pPr>
          </w:p>
        </w:tc>
        <w:tc>
          <w:tcPr>
            <w:tcW w:w="520" w:type="dxa"/>
            <w:vAlign w:val="bottom"/>
            <w:gridSpan w:val="2"/>
          </w:tcPr>
          <w:p>
            <w:pPr>
              <w:jc w:val="right"/>
              <w:spacing w:after="0"/>
              <w:rPr>
                <w:sz w:val="20"/>
                <w:szCs w:val="20"/>
                <w:color w:val="auto"/>
              </w:rPr>
            </w:pPr>
            <w:r>
              <w:rPr>
                <w:rFonts w:ascii="Arial" w:cs="Arial" w:eastAsia="Arial" w:hAnsi="Arial"/>
                <w:sz w:val="18"/>
                <w:szCs w:val="18"/>
                <w:color w:val="auto"/>
                <w:w w:val="83"/>
              </w:rPr>
              <w:t>$ 371.9</w:t>
            </w:r>
          </w:p>
        </w:tc>
        <w:tc>
          <w:tcPr>
            <w:tcW w:w="180" w:type="dxa"/>
            <w:vAlign w:val="bottom"/>
          </w:tcPr>
          <w:p>
            <w:pPr>
              <w:spacing w:after="0"/>
              <w:rPr>
                <w:sz w:val="19"/>
                <w:szCs w:val="19"/>
                <w:color w:val="auto"/>
              </w:rPr>
            </w:pPr>
          </w:p>
        </w:tc>
        <w:tc>
          <w:tcPr>
            <w:tcW w:w="840" w:type="dxa"/>
            <w:vAlign w:val="bottom"/>
            <w:gridSpan w:val="3"/>
          </w:tcPr>
          <w:p>
            <w:pPr>
              <w:jc w:val="right"/>
              <w:ind w:right="200"/>
              <w:spacing w:after="0"/>
              <w:rPr>
                <w:sz w:val="20"/>
                <w:szCs w:val="20"/>
                <w:color w:val="auto"/>
              </w:rPr>
            </w:pPr>
            <w:r>
              <w:rPr>
                <w:rFonts w:ascii="Arial" w:cs="Arial" w:eastAsia="Arial" w:hAnsi="Arial"/>
                <w:sz w:val="18"/>
                <w:szCs w:val="18"/>
                <w:color w:val="auto"/>
              </w:rPr>
              <w:t>$ 554.2</w:t>
            </w:r>
          </w:p>
        </w:tc>
        <w:tc>
          <w:tcPr>
            <w:tcW w:w="20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p>
        </w:tc>
        <w:tc>
          <w:tcPr>
            <w:tcW w:w="540" w:type="dxa"/>
            <w:vAlign w:val="bottom"/>
          </w:tcPr>
          <w:p>
            <w:pPr>
              <w:jc w:val="right"/>
              <w:spacing w:after="0"/>
              <w:rPr>
                <w:sz w:val="20"/>
                <w:szCs w:val="20"/>
                <w:color w:val="auto"/>
              </w:rPr>
            </w:pPr>
            <w:r>
              <w:rPr>
                <w:rFonts w:ascii="Arial" w:cs="Arial" w:eastAsia="Arial" w:hAnsi="Arial"/>
                <w:sz w:val="18"/>
                <w:szCs w:val="18"/>
                <w:color w:val="auto"/>
                <w:w w:val="86"/>
              </w:rPr>
              <w:t>1,110.2</w:t>
            </w:r>
          </w:p>
        </w:tc>
        <w:tc>
          <w:tcPr>
            <w:tcW w:w="180" w:type="dxa"/>
            <w:vAlign w:val="bottom"/>
          </w:tcPr>
          <w:p>
            <w:pPr>
              <w:spacing w:after="0"/>
              <w:rPr>
                <w:sz w:val="19"/>
                <w:szCs w:val="19"/>
                <w:color w:val="auto"/>
              </w:rPr>
            </w:pPr>
          </w:p>
        </w:tc>
        <w:tc>
          <w:tcPr>
            <w:tcW w:w="22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w w:val="86"/>
              </w:rPr>
              <w:t>1,654.8</w:t>
            </w:r>
          </w:p>
        </w:tc>
        <w:tc>
          <w:tcPr>
            <w:tcW w:w="0" w:type="dxa"/>
            <w:vAlign w:val="bottom"/>
          </w:tcPr>
          <w:p>
            <w:pPr>
              <w:spacing w:after="0"/>
              <w:rPr>
                <w:sz w:val="1"/>
                <w:szCs w:val="1"/>
                <w:color w:val="auto"/>
              </w:rPr>
            </w:pPr>
          </w:p>
        </w:tc>
      </w:tr>
      <w:tr>
        <w:trPr>
          <w:trHeight w:val="20"/>
        </w:trPr>
        <w:tc>
          <w:tcPr>
            <w:tcW w:w="810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4" w:lineRule="exact"/>
        <w:rPr>
          <w:sz w:val="20"/>
          <w:szCs w:val="20"/>
          <w:color w:val="auto"/>
        </w:rPr>
      </w:pPr>
    </w:p>
    <w:p>
      <w:pPr>
        <w:ind w:left="460" w:right="460" w:hanging="452"/>
        <w:spacing w:after="0" w:line="228" w:lineRule="auto"/>
        <w:tabs>
          <w:tab w:leader="none" w:pos="460" w:val="left"/>
        </w:tabs>
        <w:numPr>
          <w:ilvl w:val="0"/>
          <w:numId w:val="27"/>
        </w:numPr>
        <w:rPr>
          <w:rFonts w:ascii="Arial" w:cs="Arial" w:eastAsia="Arial" w:hAnsi="Arial"/>
          <w:sz w:val="22"/>
          <w:szCs w:val="22"/>
          <w:color w:val="auto"/>
          <w:vertAlign w:val="superscript"/>
        </w:rPr>
      </w:pPr>
      <w:r>
        <w:rPr>
          <w:rFonts w:ascii="Arial" w:cs="Arial" w:eastAsia="Arial" w:hAnsi="Arial"/>
          <w:sz w:val="18"/>
          <w:szCs w:val="18"/>
          <w:color w:val="auto"/>
        </w:rPr>
        <w:t>Unallocated amounts primarily relate to corporate expenses and other costs and expenses that are managed outside the reportable segments, including amortization of purchased technology and stock-based compensation expense.</w:t>
      </w:r>
    </w:p>
    <w:p>
      <w:pPr>
        <w:spacing w:after="0" w:line="157" w:lineRule="exact"/>
        <w:rPr>
          <w:rFonts w:ascii="Arial" w:cs="Arial" w:eastAsia="Arial" w:hAnsi="Arial"/>
          <w:sz w:val="22"/>
          <w:szCs w:val="22"/>
          <w:color w:val="auto"/>
          <w:vertAlign w:val="superscript"/>
        </w:rPr>
      </w:pPr>
    </w:p>
    <w:p>
      <w:pPr>
        <w:ind w:left="460"/>
        <w:spacing w:after="0"/>
        <w:rPr>
          <w:rFonts w:ascii="Arial" w:cs="Arial" w:eastAsia="Arial" w:hAnsi="Arial"/>
          <w:sz w:val="22"/>
          <w:szCs w:val="22"/>
          <w:color w:val="auto"/>
          <w:vertAlign w:val="superscript"/>
        </w:rPr>
      </w:pPr>
      <w:r>
        <w:rPr>
          <w:rFonts w:ascii="Arial" w:cs="Arial" w:eastAsia="Arial" w:hAnsi="Arial"/>
          <w:sz w:val="18"/>
          <w:szCs w:val="18"/>
          <w:color w:val="auto"/>
        </w:rPr>
        <w:t>Information regarding Autodesk’s operations by geographic area was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-528320</wp:posOffset>
            </wp:positionV>
            <wp:extent cx="728980"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520" w:type="dxa"/>
            <w:vAlign w:val="bottom"/>
          </w:tcPr>
          <w:p>
            <w:pPr>
              <w:spacing w:after="0"/>
              <w:rPr>
                <w:sz w:val="14"/>
                <w:szCs w:val="14"/>
                <w:color w:val="auto"/>
              </w:rPr>
            </w:pPr>
          </w:p>
        </w:tc>
        <w:tc>
          <w:tcPr>
            <w:tcW w:w="2860" w:type="dxa"/>
            <w:vAlign w:val="bottom"/>
          </w:tcPr>
          <w:p>
            <w:pPr>
              <w:spacing w:after="0"/>
              <w:rPr>
                <w:sz w:val="14"/>
                <w:szCs w:val="14"/>
                <w:color w:val="auto"/>
              </w:rPr>
            </w:pPr>
          </w:p>
        </w:tc>
        <w:tc>
          <w:tcPr>
            <w:tcW w:w="1560" w:type="dxa"/>
            <w:vAlign w:val="bottom"/>
            <w:gridSpan w:val="5"/>
          </w:tcPr>
          <w:p>
            <w:pPr>
              <w:jc w:val="right"/>
              <w:ind w:right="300"/>
              <w:spacing w:after="0"/>
              <w:rPr>
                <w:sz w:val="20"/>
                <w:szCs w:val="20"/>
                <w:color w:val="auto"/>
              </w:rPr>
            </w:pPr>
            <w:r>
              <w:rPr>
                <w:rFonts w:ascii="Arial" w:cs="Arial" w:eastAsia="Arial" w:hAnsi="Arial"/>
                <w:sz w:val="14"/>
                <w:szCs w:val="14"/>
                <w:b w:val="1"/>
                <w:bCs w:val="1"/>
                <w:color w:val="auto"/>
                <w:w w:val="90"/>
              </w:rPr>
              <w:t>Three months ended</w:t>
            </w:r>
          </w:p>
        </w:tc>
        <w:tc>
          <w:tcPr>
            <w:tcW w:w="100" w:type="dxa"/>
            <w:vAlign w:val="bottom"/>
          </w:tcPr>
          <w:p>
            <w:pPr>
              <w:spacing w:after="0"/>
              <w:rPr>
                <w:sz w:val="14"/>
                <w:szCs w:val="14"/>
                <w:color w:val="auto"/>
              </w:rPr>
            </w:pPr>
          </w:p>
        </w:tc>
        <w:tc>
          <w:tcPr>
            <w:tcW w:w="1380" w:type="dxa"/>
            <w:vAlign w:val="bottom"/>
            <w:gridSpan w:val="5"/>
          </w:tcPr>
          <w:p>
            <w:pPr>
              <w:jc w:val="right"/>
              <w:ind w:right="200"/>
              <w:spacing w:after="0"/>
              <w:rPr>
                <w:sz w:val="20"/>
                <w:szCs w:val="20"/>
                <w:color w:val="auto"/>
              </w:rPr>
            </w:pPr>
            <w:r>
              <w:rPr>
                <w:rFonts w:ascii="Arial" w:cs="Arial" w:eastAsia="Arial" w:hAnsi="Arial"/>
                <w:sz w:val="14"/>
                <w:szCs w:val="14"/>
                <w:b w:val="1"/>
                <w:bCs w:val="1"/>
                <w:color w:val="auto"/>
                <w:w w:val="89"/>
              </w:rPr>
              <w:t>Nine months ended</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5520" w:type="dxa"/>
            <w:vAlign w:val="bottom"/>
          </w:tcPr>
          <w:p>
            <w:pPr>
              <w:spacing w:after="0"/>
              <w:rPr>
                <w:sz w:val="14"/>
                <w:szCs w:val="14"/>
                <w:color w:val="auto"/>
              </w:rPr>
            </w:pPr>
          </w:p>
        </w:tc>
        <w:tc>
          <w:tcPr>
            <w:tcW w:w="2860" w:type="dxa"/>
            <w:vAlign w:val="bottom"/>
          </w:tcPr>
          <w:p>
            <w:pPr>
              <w:spacing w:after="0"/>
              <w:rPr>
                <w:sz w:val="14"/>
                <w:szCs w:val="14"/>
                <w:color w:val="auto"/>
              </w:rPr>
            </w:pPr>
          </w:p>
        </w:tc>
        <w:tc>
          <w:tcPr>
            <w:tcW w:w="1560" w:type="dxa"/>
            <w:vAlign w:val="bottom"/>
            <w:gridSpan w:val="5"/>
          </w:tcPr>
          <w:p>
            <w:pPr>
              <w:jc w:val="right"/>
              <w:ind w:right="540"/>
              <w:spacing w:after="0"/>
              <w:rPr>
                <w:sz w:val="20"/>
                <w:szCs w:val="20"/>
                <w:color w:val="auto"/>
              </w:rPr>
            </w:pPr>
            <w:r>
              <w:rPr>
                <w:rFonts w:ascii="Arial" w:cs="Arial" w:eastAsia="Arial" w:hAnsi="Arial"/>
                <w:sz w:val="14"/>
                <w:szCs w:val="14"/>
                <w:b w:val="1"/>
                <w:bCs w:val="1"/>
                <w:color w:val="auto"/>
              </w:rPr>
              <w:t>October 31,</w:t>
            </w:r>
          </w:p>
        </w:tc>
        <w:tc>
          <w:tcPr>
            <w:tcW w:w="100" w:type="dxa"/>
            <w:vAlign w:val="bottom"/>
          </w:tcPr>
          <w:p>
            <w:pPr>
              <w:spacing w:after="0"/>
              <w:rPr>
                <w:sz w:val="14"/>
                <w:szCs w:val="14"/>
                <w:color w:val="auto"/>
              </w:rPr>
            </w:pPr>
          </w:p>
        </w:tc>
        <w:tc>
          <w:tcPr>
            <w:tcW w:w="1380" w:type="dxa"/>
            <w:vAlign w:val="bottom"/>
            <w:gridSpan w:val="5"/>
          </w:tcPr>
          <w:p>
            <w:pPr>
              <w:jc w:val="right"/>
              <w:ind w:right="420"/>
              <w:spacing w:after="0"/>
              <w:rPr>
                <w:sz w:val="20"/>
                <w:szCs w:val="20"/>
                <w:color w:val="auto"/>
              </w:rPr>
            </w:pPr>
            <w:r>
              <w:rPr>
                <w:rFonts w:ascii="Arial" w:cs="Arial" w:eastAsia="Arial" w:hAnsi="Arial"/>
                <w:sz w:val="14"/>
                <w:szCs w:val="14"/>
                <w:b w:val="1"/>
                <w:bCs w:val="1"/>
                <w:color w:val="auto"/>
              </w:rPr>
              <w:t>October 31,</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520" w:type="dxa"/>
            <w:vAlign w:val="bottom"/>
          </w:tcPr>
          <w:p>
            <w:pPr>
              <w:spacing w:after="0"/>
              <w:rPr>
                <w:sz w:val="12"/>
                <w:szCs w:val="12"/>
                <w:color w:val="auto"/>
              </w:rPr>
            </w:pPr>
          </w:p>
        </w:tc>
        <w:tc>
          <w:tcPr>
            <w:tcW w:w="2860" w:type="dxa"/>
            <w:vAlign w:val="bottom"/>
          </w:tcPr>
          <w:p>
            <w:pPr>
              <w:spacing w:after="0"/>
              <w:rPr>
                <w:sz w:val="12"/>
                <w:szCs w:val="12"/>
                <w:color w:val="auto"/>
              </w:rPr>
            </w:pPr>
          </w:p>
        </w:tc>
        <w:tc>
          <w:tcPr>
            <w:tcW w:w="540" w:type="dxa"/>
            <w:vAlign w:val="bottom"/>
            <w:tcBorders>
              <w:top w:val="single" w:sz="8" w:color="auto"/>
              <w:bottom w:val="single" w:sz="8" w:color="auto"/>
            </w:tcBorders>
          </w:tcPr>
          <w:p>
            <w:pPr>
              <w:jc w:val="right"/>
              <w:ind w:right="39"/>
              <w:spacing w:after="0" w:line="142" w:lineRule="exact"/>
              <w:rPr>
                <w:sz w:val="20"/>
                <w:szCs w:val="20"/>
                <w:color w:val="auto"/>
              </w:rPr>
            </w:pPr>
            <w:r>
              <w:rPr>
                <w:rFonts w:ascii="Arial" w:cs="Arial" w:eastAsia="Arial" w:hAnsi="Arial"/>
                <w:sz w:val="14"/>
                <w:szCs w:val="14"/>
                <w:b w:val="1"/>
                <w:bCs w:val="1"/>
                <w:color w:val="auto"/>
              </w:rPr>
              <w:t>2009</w:t>
            </w:r>
          </w:p>
        </w:tc>
        <w:tc>
          <w:tcPr>
            <w:tcW w:w="220" w:type="dxa"/>
            <w:vAlign w:val="bottom"/>
            <w:tcBorders>
              <w:top w:val="single" w:sz="8" w:color="auto"/>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460" w:type="dxa"/>
            <w:vAlign w:val="bottom"/>
            <w:tcBorders>
              <w:top w:val="single" w:sz="8" w:color="auto"/>
              <w:bottom w:val="single" w:sz="8" w:color="auto"/>
            </w:tcBorders>
          </w:tcPr>
          <w:p>
            <w:pPr>
              <w:jc w:val="right"/>
              <w:ind w:right="54"/>
              <w:spacing w:after="0" w:line="142" w:lineRule="exact"/>
              <w:rPr>
                <w:sz w:val="20"/>
                <w:szCs w:val="20"/>
                <w:color w:val="auto"/>
              </w:rPr>
            </w:pPr>
            <w:r>
              <w:rPr>
                <w:rFonts w:ascii="Arial" w:cs="Arial" w:eastAsia="Arial" w:hAnsi="Arial"/>
                <w:sz w:val="14"/>
                <w:szCs w:val="14"/>
                <w:b w:val="1"/>
                <w:bCs w:val="1"/>
                <w:color w:val="auto"/>
                <w:w w:val="96"/>
              </w:rPr>
              <w:t>2008</w:t>
            </w:r>
          </w:p>
        </w:tc>
        <w:tc>
          <w:tcPr>
            <w:tcW w:w="220" w:type="dxa"/>
            <w:vAlign w:val="bottom"/>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20" w:type="dxa"/>
            <w:vAlign w:val="bottom"/>
            <w:tcBorders>
              <w:top w:val="single" w:sz="8" w:color="auto"/>
              <w:bottom w:val="single" w:sz="8" w:color="auto"/>
            </w:tcBorders>
          </w:tcPr>
          <w:p>
            <w:pPr>
              <w:jc w:val="right"/>
              <w:ind w:right="98"/>
              <w:spacing w:after="0" w:line="142" w:lineRule="exact"/>
              <w:rPr>
                <w:sz w:val="20"/>
                <w:szCs w:val="20"/>
                <w:color w:val="auto"/>
              </w:rPr>
            </w:pPr>
            <w:r>
              <w:rPr>
                <w:rFonts w:ascii="Arial" w:cs="Arial" w:eastAsia="Arial" w:hAnsi="Arial"/>
                <w:sz w:val="14"/>
                <w:szCs w:val="14"/>
                <w:b w:val="1"/>
                <w:bCs w:val="1"/>
                <w:color w:val="auto"/>
              </w:rPr>
              <w:t>2009</w:t>
            </w:r>
          </w:p>
        </w:tc>
        <w:tc>
          <w:tcPr>
            <w:tcW w:w="220" w:type="dxa"/>
            <w:vAlign w:val="bottom"/>
            <w:tcBorders>
              <w:top w:val="single" w:sz="8" w:color="auto"/>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540" w:type="dxa"/>
            <w:vAlign w:val="bottom"/>
            <w:tcBorders>
              <w:top w:val="single" w:sz="8" w:color="auto"/>
              <w:bottom w:val="single" w:sz="8" w:color="auto"/>
            </w:tcBorders>
          </w:tcPr>
          <w:p>
            <w:pPr>
              <w:jc w:val="right"/>
              <w:ind w:right="94"/>
              <w:spacing w:after="0" w:line="142" w:lineRule="exact"/>
              <w:rPr>
                <w:sz w:val="20"/>
                <w:szCs w:val="20"/>
                <w:color w:val="auto"/>
              </w:rPr>
            </w:pPr>
            <w:r>
              <w:rPr>
                <w:rFonts w:ascii="Arial" w:cs="Arial" w:eastAsia="Arial" w:hAnsi="Arial"/>
                <w:sz w:val="14"/>
                <w:szCs w:val="14"/>
                <w:b w:val="1"/>
                <w:bCs w:val="1"/>
                <w:color w:val="auto"/>
              </w:rPr>
              <w:t>2008</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520" w:type="dxa"/>
            <w:vAlign w:val="bottom"/>
            <w:shd w:val="clear" w:color="auto" w:fill="CCEEFF"/>
          </w:tcPr>
          <w:p>
            <w:pPr>
              <w:spacing w:after="0"/>
              <w:rPr>
                <w:sz w:val="20"/>
                <w:szCs w:val="20"/>
                <w:color w:val="auto"/>
              </w:rPr>
            </w:pPr>
            <w:r>
              <w:rPr>
                <w:rFonts w:ascii="Arial" w:cs="Arial" w:eastAsia="Arial" w:hAnsi="Arial"/>
                <w:sz w:val="18"/>
                <w:szCs w:val="18"/>
                <w:color w:val="auto"/>
              </w:rPr>
              <w:t>Net revenue:</w:t>
            </w:r>
          </w:p>
        </w:tc>
        <w:tc>
          <w:tcPr>
            <w:tcW w:w="28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20" w:type="dxa"/>
            <w:vAlign w:val="bottom"/>
          </w:tcPr>
          <w:p>
            <w:pPr>
              <w:ind w:left="420"/>
              <w:spacing w:after="0"/>
              <w:rPr>
                <w:sz w:val="20"/>
                <w:szCs w:val="20"/>
                <w:color w:val="auto"/>
              </w:rPr>
            </w:pPr>
            <w:r>
              <w:rPr>
                <w:rFonts w:ascii="Arial" w:cs="Arial" w:eastAsia="Arial" w:hAnsi="Arial"/>
                <w:sz w:val="18"/>
                <w:szCs w:val="18"/>
                <w:color w:val="auto"/>
              </w:rPr>
              <w:t>Americas</w:t>
            </w:r>
          </w:p>
        </w:tc>
        <w:tc>
          <w:tcPr>
            <w:tcW w:w="28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20" w:type="dxa"/>
            <w:vAlign w:val="bottom"/>
            <w:shd w:val="clear" w:color="auto" w:fill="CCEEFF"/>
          </w:tcPr>
          <w:p>
            <w:pPr>
              <w:ind w:left="860"/>
              <w:spacing w:after="0"/>
              <w:rPr>
                <w:sz w:val="20"/>
                <w:szCs w:val="20"/>
                <w:color w:val="auto"/>
              </w:rPr>
            </w:pPr>
            <w:r>
              <w:rPr>
                <w:rFonts w:ascii="Arial" w:cs="Arial" w:eastAsia="Arial" w:hAnsi="Arial"/>
                <w:sz w:val="18"/>
                <w:szCs w:val="18"/>
                <w:color w:val="auto"/>
              </w:rPr>
              <w:t>U.S.</w:t>
            </w:r>
          </w:p>
        </w:tc>
        <w:tc>
          <w:tcPr>
            <w:tcW w:w="362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$ 131.9</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7"/>
              </w:rPr>
              <w:t>178.1</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394.5</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503.2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20" w:type="dxa"/>
            <w:vAlign w:val="bottom"/>
          </w:tcPr>
          <w:p>
            <w:pPr>
              <w:ind w:left="860"/>
              <w:spacing w:after="0"/>
              <w:rPr>
                <w:sz w:val="20"/>
                <w:szCs w:val="20"/>
                <w:color w:val="auto"/>
              </w:rPr>
            </w:pPr>
            <w:r>
              <w:rPr>
                <w:rFonts w:ascii="Arial" w:cs="Arial" w:eastAsia="Arial" w:hAnsi="Arial"/>
                <w:sz w:val="18"/>
                <w:szCs w:val="18"/>
                <w:color w:val="auto"/>
              </w:rPr>
              <w:t>Other Americas</w:t>
            </w:r>
          </w:p>
        </w:tc>
        <w:tc>
          <w:tcPr>
            <w:tcW w:w="2860" w:type="dxa"/>
            <w:vAlign w:val="bottom"/>
          </w:tcPr>
          <w:p>
            <w:pPr>
              <w:spacing w:after="0"/>
              <w:rPr>
                <w:sz w:val="18"/>
                <w:szCs w:val="18"/>
                <w:color w:val="auto"/>
              </w:rPr>
            </w:pPr>
          </w:p>
        </w:tc>
        <w:tc>
          <w:tcPr>
            <w:tcW w:w="760" w:type="dxa"/>
            <w:vAlign w:val="bottom"/>
            <w:gridSpan w:val="2"/>
          </w:tcPr>
          <w:p>
            <w:pPr>
              <w:jc w:val="right"/>
              <w:ind w:right="220"/>
              <w:spacing w:after="0"/>
              <w:rPr>
                <w:sz w:val="20"/>
                <w:szCs w:val="20"/>
                <w:color w:val="auto"/>
              </w:rPr>
            </w:pPr>
            <w:r>
              <w:rPr>
                <w:rFonts w:ascii="Arial" w:cs="Arial" w:eastAsia="Arial" w:hAnsi="Arial"/>
                <w:sz w:val="18"/>
                <w:szCs w:val="18"/>
                <w:color w:val="auto"/>
              </w:rPr>
              <w:t>31.5</w:t>
            </w:r>
          </w:p>
        </w:tc>
        <w:tc>
          <w:tcPr>
            <w:tcW w:w="120" w:type="dxa"/>
            <w:vAlign w:val="bottom"/>
          </w:tcPr>
          <w:p>
            <w:pPr>
              <w:spacing w:after="0"/>
              <w:rPr>
                <w:sz w:val="18"/>
                <w:szCs w:val="18"/>
                <w:color w:val="auto"/>
              </w:rPr>
            </w:pPr>
          </w:p>
        </w:tc>
        <w:tc>
          <w:tcPr>
            <w:tcW w:w="680" w:type="dxa"/>
            <w:vAlign w:val="bottom"/>
            <w:gridSpan w:val="2"/>
          </w:tcPr>
          <w:p>
            <w:pPr>
              <w:jc w:val="right"/>
              <w:ind w:right="220"/>
              <w:spacing w:after="0"/>
              <w:rPr>
                <w:sz w:val="20"/>
                <w:szCs w:val="20"/>
                <w:color w:val="auto"/>
              </w:rPr>
            </w:pPr>
            <w:r>
              <w:rPr>
                <w:rFonts w:ascii="Arial" w:cs="Arial" w:eastAsia="Arial" w:hAnsi="Arial"/>
                <w:sz w:val="18"/>
                <w:szCs w:val="18"/>
                <w:color w:val="auto"/>
              </w:rPr>
              <w:t>38.4</w:t>
            </w:r>
          </w:p>
        </w:tc>
        <w:tc>
          <w:tcPr>
            <w:tcW w:w="10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91.8</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107.3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5520" w:type="dxa"/>
            <w:vAlign w:val="bottom"/>
          </w:tcPr>
          <w:p>
            <w:pPr>
              <w:spacing w:after="0"/>
              <w:rPr>
                <w:sz w:val="2"/>
                <w:szCs w:val="2"/>
                <w:color w:val="auto"/>
              </w:rPr>
            </w:pPr>
          </w:p>
        </w:tc>
        <w:tc>
          <w:tcPr>
            <w:tcW w:w="2860" w:type="dxa"/>
            <w:vAlign w:val="bottom"/>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2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55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Total Americas</w:t>
            </w:r>
          </w:p>
        </w:tc>
        <w:tc>
          <w:tcPr>
            <w:tcW w:w="28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163.4</w:t>
            </w:r>
          </w:p>
        </w:tc>
        <w:tc>
          <w:tcPr>
            <w:tcW w:w="1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7"/>
              </w:rPr>
              <w:t>216.5</w:t>
            </w: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486.3</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610.5</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520" w:type="dxa"/>
            <w:vAlign w:val="bottom"/>
            <w:vMerge w:val="restart"/>
          </w:tcPr>
          <w:p>
            <w:pPr>
              <w:ind w:left="420"/>
              <w:spacing w:after="0"/>
              <w:rPr>
                <w:sz w:val="20"/>
                <w:szCs w:val="20"/>
                <w:color w:val="auto"/>
              </w:rPr>
            </w:pPr>
            <w:r>
              <w:rPr>
                <w:rFonts w:ascii="Arial" w:cs="Arial" w:eastAsia="Arial" w:hAnsi="Arial"/>
                <w:sz w:val="18"/>
                <w:szCs w:val="18"/>
                <w:color w:val="auto"/>
              </w:rPr>
              <w:t>Europe, Middle East and Africa</w:t>
            </w:r>
          </w:p>
        </w:tc>
        <w:tc>
          <w:tcPr>
            <w:tcW w:w="286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20" w:type="dxa"/>
            <w:vAlign w:val="bottom"/>
          </w:tcPr>
          <w:p>
            <w:pPr>
              <w:spacing w:after="0"/>
              <w:rPr>
                <w:sz w:val="20"/>
                <w:szCs w:val="20"/>
                <w:color w:val="auto"/>
              </w:rPr>
            </w:pPr>
          </w:p>
        </w:tc>
        <w:tc>
          <w:tcPr>
            <w:tcW w:w="5520" w:type="dxa"/>
            <w:vAlign w:val="bottom"/>
            <w:vMerge w:val="continue"/>
          </w:tcPr>
          <w:p>
            <w:pPr>
              <w:spacing w:after="0"/>
              <w:rPr>
                <w:sz w:val="20"/>
                <w:szCs w:val="20"/>
                <w:color w:val="auto"/>
              </w:rPr>
            </w:pPr>
          </w:p>
        </w:tc>
        <w:tc>
          <w:tcPr>
            <w:tcW w:w="2860" w:type="dxa"/>
            <w:vAlign w:val="bottom"/>
          </w:tcPr>
          <w:p>
            <w:pPr>
              <w:spacing w:after="0"/>
              <w:rPr>
                <w:sz w:val="20"/>
                <w:szCs w:val="20"/>
                <w:color w:val="auto"/>
              </w:rPr>
            </w:pPr>
          </w:p>
        </w:tc>
        <w:tc>
          <w:tcPr>
            <w:tcW w:w="760" w:type="dxa"/>
            <w:vAlign w:val="bottom"/>
            <w:gridSpan w:val="2"/>
          </w:tcPr>
          <w:p>
            <w:pPr>
              <w:jc w:val="right"/>
              <w:ind w:right="220"/>
              <w:spacing w:after="0"/>
              <w:rPr>
                <w:sz w:val="20"/>
                <w:szCs w:val="20"/>
                <w:color w:val="auto"/>
              </w:rPr>
            </w:pPr>
            <w:r>
              <w:rPr>
                <w:rFonts w:ascii="Arial" w:cs="Arial" w:eastAsia="Arial" w:hAnsi="Arial"/>
                <w:sz w:val="18"/>
                <w:szCs w:val="18"/>
                <w:color w:val="auto"/>
              </w:rPr>
              <w:t>159.3</w:t>
            </w:r>
          </w:p>
        </w:tc>
        <w:tc>
          <w:tcPr>
            <w:tcW w:w="120" w:type="dxa"/>
            <w:vAlign w:val="bottom"/>
          </w:tcPr>
          <w:p>
            <w:pPr>
              <w:spacing w:after="0"/>
              <w:rPr>
                <w:sz w:val="20"/>
                <w:szCs w:val="20"/>
                <w:color w:val="auto"/>
              </w:rPr>
            </w:pPr>
          </w:p>
        </w:tc>
        <w:tc>
          <w:tcPr>
            <w:tcW w:w="680" w:type="dxa"/>
            <w:vAlign w:val="bottom"/>
            <w:gridSpan w:val="2"/>
          </w:tcPr>
          <w:p>
            <w:pPr>
              <w:jc w:val="right"/>
              <w:ind w:right="220"/>
              <w:spacing w:after="0"/>
              <w:rPr>
                <w:sz w:val="20"/>
                <w:szCs w:val="20"/>
                <w:color w:val="auto"/>
              </w:rPr>
            </w:pPr>
            <w:r>
              <w:rPr>
                <w:rFonts w:ascii="Arial" w:cs="Arial" w:eastAsia="Arial" w:hAnsi="Arial"/>
                <w:sz w:val="18"/>
                <w:szCs w:val="18"/>
                <w:color w:val="auto"/>
                <w:w w:val="97"/>
              </w:rPr>
              <w:t>258.0</w:t>
            </w:r>
          </w:p>
        </w:tc>
        <w:tc>
          <w:tcPr>
            <w:tcW w:w="100" w:type="dxa"/>
            <w:vAlign w:val="bottom"/>
          </w:tcPr>
          <w:p>
            <w:pPr>
              <w:spacing w:after="0"/>
              <w:rPr>
                <w:sz w:val="20"/>
                <w:szCs w:val="20"/>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483.4</w:t>
            </w:r>
          </w:p>
        </w:tc>
        <w:tc>
          <w:tcPr>
            <w:tcW w:w="2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60" w:type="dxa"/>
            <w:vAlign w:val="bottom"/>
            <w:gridSpan w:val="2"/>
          </w:tcPr>
          <w:p>
            <w:pPr>
              <w:jc w:val="right"/>
              <w:ind w:right="20"/>
              <w:spacing w:after="0"/>
              <w:rPr>
                <w:sz w:val="20"/>
                <w:szCs w:val="20"/>
                <w:color w:val="auto"/>
              </w:rPr>
            </w:pPr>
            <w:r>
              <w:rPr>
                <w:rFonts w:ascii="Arial" w:cs="Arial" w:eastAsia="Arial" w:hAnsi="Arial"/>
                <w:sz w:val="18"/>
                <w:szCs w:val="18"/>
                <w:color w:val="auto"/>
              </w:rPr>
              <w:t>784.2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Asia Pacific</w:t>
            </w:r>
          </w:p>
        </w:tc>
        <w:tc>
          <w:tcPr>
            <w:tcW w:w="2860" w:type="dxa"/>
            <w:vAlign w:val="bottom"/>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20" w:type="dxa"/>
            <w:vAlign w:val="bottom"/>
          </w:tcPr>
          <w:p>
            <w:pPr>
              <w:ind w:left="860"/>
              <w:spacing w:after="0"/>
              <w:rPr>
                <w:sz w:val="20"/>
                <w:szCs w:val="20"/>
                <w:color w:val="auto"/>
              </w:rPr>
            </w:pPr>
            <w:r>
              <w:rPr>
                <w:rFonts w:ascii="Arial" w:cs="Arial" w:eastAsia="Arial" w:hAnsi="Arial"/>
                <w:sz w:val="18"/>
                <w:szCs w:val="18"/>
                <w:color w:val="auto"/>
              </w:rPr>
              <w:t>Japan</w:t>
            </w:r>
          </w:p>
        </w:tc>
        <w:tc>
          <w:tcPr>
            <w:tcW w:w="3620" w:type="dxa"/>
            <w:vAlign w:val="bottom"/>
            <w:gridSpan w:val="3"/>
          </w:tcPr>
          <w:p>
            <w:pPr>
              <w:jc w:val="right"/>
              <w:ind w:right="220"/>
              <w:spacing w:after="0"/>
              <w:rPr>
                <w:sz w:val="20"/>
                <w:szCs w:val="20"/>
                <w:color w:val="auto"/>
              </w:rPr>
            </w:pPr>
            <w:r>
              <w:rPr>
                <w:rFonts w:ascii="Arial" w:cs="Arial" w:eastAsia="Arial" w:hAnsi="Arial"/>
                <w:sz w:val="18"/>
                <w:szCs w:val="18"/>
                <w:color w:val="auto"/>
              </w:rPr>
              <w:t>39.9</w:t>
            </w:r>
          </w:p>
        </w:tc>
        <w:tc>
          <w:tcPr>
            <w:tcW w:w="120" w:type="dxa"/>
            <w:vAlign w:val="bottom"/>
          </w:tcPr>
          <w:p>
            <w:pPr>
              <w:spacing w:after="0"/>
              <w:rPr>
                <w:sz w:val="18"/>
                <w:szCs w:val="18"/>
                <w:color w:val="auto"/>
              </w:rPr>
            </w:pPr>
          </w:p>
        </w:tc>
        <w:tc>
          <w:tcPr>
            <w:tcW w:w="680" w:type="dxa"/>
            <w:vAlign w:val="bottom"/>
            <w:gridSpan w:val="2"/>
          </w:tcPr>
          <w:p>
            <w:pPr>
              <w:jc w:val="right"/>
              <w:ind w:right="220"/>
              <w:spacing w:after="0"/>
              <w:rPr>
                <w:sz w:val="20"/>
                <w:szCs w:val="20"/>
                <w:color w:val="auto"/>
              </w:rPr>
            </w:pPr>
            <w:r>
              <w:rPr>
                <w:rFonts w:ascii="Arial" w:cs="Arial" w:eastAsia="Arial" w:hAnsi="Arial"/>
                <w:sz w:val="18"/>
                <w:szCs w:val="18"/>
                <w:color w:val="auto"/>
              </w:rPr>
              <w:t>51.2</w:t>
            </w:r>
          </w:p>
        </w:tc>
        <w:tc>
          <w:tcPr>
            <w:tcW w:w="10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130.1</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169.4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20" w:type="dxa"/>
            <w:vAlign w:val="bottom"/>
            <w:shd w:val="clear" w:color="auto" w:fill="CCEEFF"/>
          </w:tcPr>
          <w:p>
            <w:pPr>
              <w:ind w:left="860"/>
              <w:spacing w:after="0"/>
              <w:rPr>
                <w:sz w:val="20"/>
                <w:szCs w:val="20"/>
                <w:color w:val="auto"/>
              </w:rPr>
            </w:pPr>
            <w:r>
              <w:rPr>
                <w:rFonts w:ascii="Arial" w:cs="Arial" w:eastAsia="Arial" w:hAnsi="Arial"/>
                <w:sz w:val="18"/>
                <w:szCs w:val="18"/>
                <w:color w:val="auto"/>
              </w:rPr>
              <w:t>Other Asia Pacific</w:t>
            </w:r>
          </w:p>
        </w:tc>
        <w:tc>
          <w:tcPr>
            <w:tcW w:w="28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54.3</w:t>
            </w:r>
          </w:p>
        </w:tc>
        <w:tc>
          <w:tcPr>
            <w:tcW w:w="1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81.4</w:t>
            </w: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157.8</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261.3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520" w:type="dxa"/>
            <w:vAlign w:val="bottom"/>
            <w:vMerge w:val="restart"/>
          </w:tcPr>
          <w:p>
            <w:pPr>
              <w:ind w:left="420"/>
              <w:spacing w:after="0"/>
              <w:rPr>
                <w:sz w:val="20"/>
                <w:szCs w:val="20"/>
                <w:color w:val="auto"/>
              </w:rPr>
            </w:pPr>
            <w:r>
              <w:rPr>
                <w:rFonts w:ascii="Arial" w:cs="Arial" w:eastAsia="Arial" w:hAnsi="Arial"/>
                <w:sz w:val="18"/>
                <w:szCs w:val="18"/>
                <w:color w:val="auto"/>
              </w:rPr>
              <w:t>Total Asia Pacific</w:t>
            </w:r>
          </w:p>
        </w:tc>
        <w:tc>
          <w:tcPr>
            <w:tcW w:w="286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20" w:type="dxa"/>
            <w:vAlign w:val="bottom"/>
          </w:tcPr>
          <w:p>
            <w:pPr>
              <w:spacing w:after="0"/>
              <w:rPr>
                <w:sz w:val="19"/>
                <w:szCs w:val="19"/>
                <w:color w:val="auto"/>
              </w:rPr>
            </w:pPr>
          </w:p>
        </w:tc>
        <w:tc>
          <w:tcPr>
            <w:tcW w:w="5520" w:type="dxa"/>
            <w:vAlign w:val="bottom"/>
            <w:vMerge w:val="continue"/>
          </w:tcPr>
          <w:p>
            <w:pPr>
              <w:spacing w:after="0"/>
              <w:rPr>
                <w:sz w:val="19"/>
                <w:szCs w:val="19"/>
                <w:color w:val="auto"/>
              </w:rPr>
            </w:pPr>
          </w:p>
        </w:tc>
        <w:tc>
          <w:tcPr>
            <w:tcW w:w="2860" w:type="dxa"/>
            <w:vAlign w:val="bottom"/>
          </w:tcPr>
          <w:p>
            <w:pPr>
              <w:spacing w:after="0"/>
              <w:rPr>
                <w:sz w:val="19"/>
                <w:szCs w:val="19"/>
                <w:color w:val="auto"/>
              </w:rPr>
            </w:pPr>
          </w:p>
        </w:tc>
        <w:tc>
          <w:tcPr>
            <w:tcW w:w="760" w:type="dxa"/>
            <w:vAlign w:val="bottom"/>
            <w:gridSpan w:val="2"/>
          </w:tcPr>
          <w:p>
            <w:pPr>
              <w:jc w:val="right"/>
              <w:ind w:right="220"/>
              <w:spacing w:after="0"/>
              <w:rPr>
                <w:sz w:val="20"/>
                <w:szCs w:val="20"/>
                <w:color w:val="auto"/>
              </w:rPr>
            </w:pPr>
            <w:r>
              <w:rPr>
                <w:rFonts w:ascii="Arial" w:cs="Arial" w:eastAsia="Arial" w:hAnsi="Arial"/>
                <w:sz w:val="18"/>
                <w:szCs w:val="18"/>
                <w:color w:val="auto"/>
              </w:rPr>
              <w:t>94.2</w:t>
            </w:r>
          </w:p>
        </w:tc>
        <w:tc>
          <w:tcPr>
            <w:tcW w:w="120" w:type="dxa"/>
            <w:vAlign w:val="bottom"/>
          </w:tcPr>
          <w:p>
            <w:pPr>
              <w:spacing w:after="0"/>
              <w:rPr>
                <w:sz w:val="19"/>
                <w:szCs w:val="19"/>
                <w:color w:val="auto"/>
              </w:rPr>
            </w:pPr>
          </w:p>
        </w:tc>
        <w:tc>
          <w:tcPr>
            <w:tcW w:w="680" w:type="dxa"/>
            <w:vAlign w:val="bottom"/>
            <w:gridSpan w:val="2"/>
          </w:tcPr>
          <w:p>
            <w:pPr>
              <w:jc w:val="right"/>
              <w:ind w:right="220"/>
              <w:spacing w:after="0"/>
              <w:rPr>
                <w:sz w:val="20"/>
                <w:szCs w:val="20"/>
                <w:color w:val="auto"/>
              </w:rPr>
            </w:pPr>
            <w:r>
              <w:rPr>
                <w:rFonts w:ascii="Arial" w:cs="Arial" w:eastAsia="Arial" w:hAnsi="Arial"/>
                <w:sz w:val="18"/>
                <w:szCs w:val="18"/>
                <w:color w:val="auto"/>
                <w:w w:val="97"/>
              </w:rPr>
              <w:t>132.6</w:t>
            </w:r>
          </w:p>
        </w:tc>
        <w:tc>
          <w:tcPr>
            <w:tcW w:w="10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287.9</w:t>
            </w: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60" w:type="dxa"/>
            <w:vAlign w:val="bottom"/>
            <w:gridSpan w:val="2"/>
          </w:tcPr>
          <w:p>
            <w:pPr>
              <w:jc w:val="right"/>
              <w:ind w:right="20"/>
              <w:spacing w:after="0"/>
              <w:rPr>
                <w:sz w:val="20"/>
                <w:szCs w:val="20"/>
                <w:color w:val="auto"/>
              </w:rPr>
            </w:pPr>
            <w:r>
              <w:rPr>
                <w:rFonts w:ascii="Arial" w:cs="Arial" w:eastAsia="Arial" w:hAnsi="Arial"/>
                <w:sz w:val="18"/>
                <w:szCs w:val="18"/>
                <w:color w:val="auto"/>
              </w:rPr>
              <w:t>430.7</w:t>
            </w:r>
          </w:p>
        </w:tc>
        <w:tc>
          <w:tcPr>
            <w:tcW w:w="0" w:type="dxa"/>
            <w:vAlign w:val="bottom"/>
          </w:tcPr>
          <w:p>
            <w:pPr>
              <w:spacing w:after="0"/>
              <w:rPr>
                <w:sz w:val="1"/>
                <w:szCs w:val="1"/>
                <w:color w:val="auto"/>
              </w:rPr>
            </w:pPr>
          </w:p>
        </w:tc>
      </w:tr>
      <w:tr>
        <w:trPr>
          <w:trHeight w:val="28"/>
        </w:trPr>
        <w:tc>
          <w:tcPr>
            <w:tcW w:w="20" w:type="dxa"/>
            <w:vAlign w:val="bottom"/>
            <w:vMerge w:val="restart"/>
          </w:tcPr>
          <w:p>
            <w:pPr>
              <w:spacing w:after="0"/>
              <w:rPr>
                <w:sz w:val="2"/>
                <w:szCs w:val="2"/>
                <w:color w:val="auto"/>
              </w:rPr>
            </w:pPr>
          </w:p>
        </w:tc>
        <w:tc>
          <w:tcPr>
            <w:tcW w:w="5520" w:type="dxa"/>
            <w:vAlign w:val="bottom"/>
          </w:tcPr>
          <w:p>
            <w:pPr>
              <w:spacing w:after="0"/>
              <w:rPr>
                <w:sz w:val="2"/>
                <w:szCs w:val="2"/>
                <w:color w:val="auto"/>
              </w:rPr>
            </w:pPr>
          </w:p>
        </w:tc>
        <w:tc>
          <w:tcPr>
            <w:tcW w:w="2860" w:type="dxa"/>
            <w:vAlign w:val="bottom"/>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2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520" w:type="dxa"/>
            <w:vAlign w:val="bottom"/>
            <w:shd w:val="clear" w:color="auto" w:fill="CCEEFF"/>
          </w:tcPr>
          <w:p>
            <w:pPr>
              <w:spacing w:after="0"/>
              <w:rPr>
                <w:sz w:val="20"/>
                <w:szCs w:val="20"/>
                <w:color w:val="auto"/>
              </w:rPr>
            </w:pPr>
            <w:r>
              <w:rPr>
                <w:rFonts w:ascii="Arial" w:cs="Arial" w:eastAsia="Arial" w:hAnsi="Arial"/>
                <w:sz w:val="18"/>
                <w:szCs w:val="18"/>
                <w:color w:val="auto"/>
              </w:rPr>
              <w:t>Total net revenue</w:t>
            </w:r>
          </w:p>
        </w:tc>
        <w:tc>
          <w:tcPr>
            <w:tcW w:w="28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86"/>
              </w:rPr>
              <w:t>$ 416.9</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7"/>
              </w:rPr>
              <w:t>607.1</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u w:val="single" w:color="auto"/>
                <w:color w:val="auto"/>
                <w:w w:val="71"/>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rPr>
              <w:t>1,257.6</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1,825.4</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520" w:type="dxa"/>
            <w:vAlign w:val="bottom"/>
          </w:tcPr>
          <w:p>
            <w:pPr>
              <w:spacing w:after="0" w:line="20" w:lineRule="exact"/>
              <w:rPr>
                <w:sz w:val="1"/>
                <w:szCs w:val="1"/>
                <w:color w:val="auto"/>
              </w:rPr>
            </w:pPr>
          </w:p>
        </w:tc>
        <w:tc>
          <w:tcPr>
            <w:tcW w:w="286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89" w:lineRule="exact"/>
        <w:rPr>
          <w:sz w:val="20"/>
          <w:szCs w:val="20"/>
          <w:color w:val="auto"/>
        </w:rPr>
      </w:pPr>
    </w:p>
    <w:p>
      <w:pPr>
        <w:ind w:left="460" w:hanging="452"/>
        <w:spacing w:after="0"/>
        <w:tabs>
          <w:tab w:leader="none" w:pos="460" w:val="left"/>
        </w:tabs>
        <w:numPr>
          <w:ilvl w:val="0"/>
          <w:numId w:val="28"/>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Subsequent Events</w:t>
      </w:r>
    </w:p>
    <w:p>
      <w:pPr>
        <w:spacing w:after="0" w:line="90" w:lineRule="exact"/>
        <w:rPr>
          <w:sz w:val="20"/>
          <w:szCs w:val="20"/>
          <w:color w:val="auto"/>
        </w:rPr>
      </w:pPr>
    </w:p>
    <w:p>
      <w:pPr>
        <w:ind w:right="240" w:firstLine="456"/>
        <w:spacing w:after="0" w:line="268" w:lineRule="auto"/>
        <w:rPr>
          <w:sz w:val="20"/>
          <w:szCs w:val="20"/>
          <w:color w:val="auto"/>
        </w:rPr>
      </w:pPr>
      <w:r>
        <w:rPr>
          <w:rFonts w:ascii="Arial" w:cs="Arial" w:eastAsia="Arial" w:hAnsi="Arial"/>
          <w:sz w:val="18"/>
          <w:szCs w:val="18"/>
          <w:color w:val="auto"/>
        </w:rPr>
        <w:t>In addition to the subsequent events discussed previously, the following events occurred subsequent to October 31, 2009 and prior to December 8, 2009, which represents the date the financial statements were issued.</w:t>
      </w:r>
    </w:p>
    <w:p>
      <w:pPr>
        <w:spacing w:after="0" w:line="132" w:lineRule="exact"/>
        <w:rPr>
          <w:sz w:val="20"/>
          <w:szCs w:val="20"/>
          <w:color w:val="auto"/>
        </w:rPr>
      </w:pPr>
    </w:p>
    <w:p>
      <w:pPr>
        <w:ind w:right="280" w:firstLine="456"/>
        <w:spacing w:after="0" w:line="259" w:lineRule="auto"/>
        <w:rPr>
          <w:sz w:val="20"/>
          <w:szCs w:val="20"/>
          <w:color w:val="auto"/>
        </w:rPr>
      </w:pPr>
      <w:r>
        <w:rPr>
          <w:rFonts w:ascii="Arial" w:cs="Arial" w:eastAsia="Arial" w:hAnsi="Arial"/>
          <w:sz w:val="18"/>
          <w:szCs w:val="18"/>
          <w:color w:val="auto"/>
        </w:rPr>
        <w:t>On November 2, 2009, Autodesk completed the acquisition of all the outstanding shares of PlanPlatform Ltd. (“PlanPlatform”) for approximately $19.7 million cash. PlanPlatform develops software services and solutions for the engineering and manufacturing sectors. PlanPlatform will be integrated into Autodesk’s PSEB segment.</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20"/>
          </w:cols>
          <w:pgMar w:left="240" w:top="459" w:right="239" w:bottom="1440" w:gutter="0" w:footer="0" w:header="0"/>
        </w:sectPr>
      </w:pPr>
    </w:p>
    <w:bookmarkStart w:id="25" w:name="page26"/>
    <w:bookmarkEnd w:id="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6"/>
          <w:szCs w:val="16"/>
          <w:b w:val="1"/>
          <w:bCs w:val="1"/>
          <w:color w:val="auto"/>
        </w:rPr>
        <w:t>MANAGEMENT’S DISCUSSION AND ANALYSIS OF FINANCIAL CONDITION AND RESULTS OF OPERATIONS</w:t>
      </w:r>
    </w:p>
    <w:p>
      <w:pPr>
        <w:spacing w:after="0" w:line="96" w:lineRule="exact"/>
        <w:rPr>
          <w:sz w:val="20"/>
          <w:szCs w:val="20"/>
          <w:color w:val="auto"/>
        </w:rPr>
      </w:pPr>
    </w:p>
    <w:p>
      <w:pPr>
        <w:ind w:firstLine="456"/>
        <w:spacing w:after="0" w:line="285" w:lineRule="auto"/>
        <w:rPr>
          <w:sz w:val="20"/>
          <w:szCs w:val="20"/>
          <w:color w:val="auto"/>
        </w:rPr>
      </w:pPr>
      <w:r>
        <w:rPr>
          <w:rFonts w:ascii="Arial" w:cs="Arial" w:eastAsia="Arial" w:hAnsi="Arial"/>
          <w:sz w:val="16"/>
          <w:szCs w:val="16"/>
          <w:i w:val="1"/>
          <w:iCs w:val="1"/>
          <w:color w:val="auto"/>
        </w:rPr>
        <w:t>The discussion in our MD&amp;A contains trend analyses and other forward-looking statements within the meaning of Section 27A of the Securities Act of 1933 and Section 21E of the Securities Exchange Act of 1934. Forward-looking statements are any statements that look to future events and consist of, among other things, statements regarding our business strategies; anticipated future operating results (including net revenue, operating margins, product backlog, upgrade, crossgrade and maintenance revenue, and revenue by geography); the impact of our restructuring activities; our belief that the strength of our channel network and our technological leadership, brand recognition, breadth of product line and large installed base will help us manage through this challenging current economic period and positions us well as global economies recover; expected trends in net revenue and expenses, costs and expenses (including cost of revenue and operating expenses), and future income; our anticipated tax rate; our ability to generate future sufficient taxable income in appropriate tax jurisdictions to realize our net deferred tax assets; our ability to successfully expand our 2D horizontal customer base to our 2D vertical products and 3D model-based design products; our belief that emerging economies continue to present long-term growth opportunities for us; and the sufficiency of our cash to meet our working capital and operating resource expenditure requirements over the next 12 months. In addition, forward-looking statements also consist of statements involving expectations regarding product acceptance, activity related to our stock repurchase program, and short-term and long-term cash requirements, as well as, statements involving trend analyses and statements including such words as “may,” “believe,” “could,” “anticipate,” “would,” “might,” “plan,” “expect,” and similar expressions or the negative of these terms or other comparable terminology. These forward-looking statements speak only as of the date of this Form 10-Q and are subject to business and economic risks. As such, our actual results could differ materially from those set forth in the forward-looking statements as a result of the factors set forth below in Part II, Item 1A, “Risk Factors,” and in our other reports filed with the U.S. Securities and Exchange Commission. We assume no obligation to update forward-looking statements to reflect events that occur or circumstances that exist after the date on which they were made.</w:t>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Strategy</w:t>
      </w:r>
    </w:p>
    <w:p>
      <w:pPr>
        <w:spacing w:after="0" w:line="96" w:lineRule="exact"/>
        <w:rPr>
          <w:sz w:val="20"/>
          <w:szCs w:val="20"/>
          <w:color w:val="auto"/>
        </w:rPr>
      </w:pPr>
    </w:p>
    <w:p>
      <w:pPr>
        <w:ind w:right="280" w:firstLine="456"/>
        <w:spacing w:after="0" w:line="314" w:lineRule="auto"/>
        <w:rPr>
          <w:sz w:val="20"/>
          <w:szCs w:val="20"/>
          <w:color w:val="auto"/>
        </w:rPr>
      </w:pPr>
      <w:r>
        <w:rPr>
          <w:rFonts w:ascii="Arial" w:cs="Arial" w:eastAsia="Arial" w:hAnsi="Arial"/>
          <w:sz w:val="15"/>
          <w:szCs w:val="15"/>
          <w:color w:val="auto"/>
        </w:rPr>
        <w:t>Our goal is to be the world’s leading 2D and 3D design, engineering, and entertainment software and services company for the architecture, engineering and construction, manufacturing, geospatial mapping, and digital media and entertainment markets. Worldwide business trends such as globalization, sustainability, investment in infrastructure, and the increasing desire to keep data digital, are creating pressure on our customers to improve innovation while enhancing productivity. We enable customer innovation by delivering the broadest portfolio of products and services for the digital design, visualization, and simulation of real-world project performance. Our products help our customers increase efficiency and productivity while solving business challenges. Our customers are seeking differentiation through design, and we believe our products provide them with a competitive advantage to succeed in this environment.</w:t>
      </w:r>
    </w:p>
    <w:p>
      <w:pPr>
        <w:spacing w:after="0" w:line="105" w:lineRule="exact"/>
        <w:rPr>
          <w:sz w:val="20"/>
          <w:szCs w:val="20"/>
          <w:color w:val="auto"/>
        </w:rPr>
      </w:pPr>
    </w:p>
    <w:p>
      <w:pPr>
        <w:ind w:firstLine="456"/>
        <w:spacing w:after="0" w:line="254" w:lineRule="auto"/>
        <w:rPr>
          <w:sz w:val="20"/>
          <w:szCs w:val="20"/>
          <w:color w:val="auto"/>
        </w:rPr>
      </w:pPr>
      <w:r>
        <w:rPr>
          <w:rFonts w:ascii="Arial" w:cs="Arial" w:eastAsia="Arial" w:hAnsi="Arial"/>
          <w:sz w:val="18"/>
          <w:szCs w:val="18"/>
          <w:color w:val="auto"/>
        </w:rPr>
        <w:t>To achieve our goal, we believe that we can capitalize on our competitive advantages. Specifically, we believe that our ability to make technology available to mainstream markets is one of our competitive advantages. By innovating in existing technology categories, we bring powerful design products to volume markets. Our products are designed to be easy to learn and use and to provide customers low cost of deployment, low total cost of ownership and a rapid return on their investment. In addition, our software architecture allows for extensibility and integration with other products. We believe that our technological leadership, brand recognition, breadth of product line and large installed base will help us manage through this challenging economic period and position us well as economies begin to recover.</w:t>
      </w:r>
    </w:p>
    <w:p>
      <w:pPr>
        <w:spacing w:after="0" w:line="144" w:lineRule="exact"/>
        <w:rPr>
          <w:sz w:val="20"/>
          <w:szCs w:val="20"/>
          <w:color w:val="auto"/>
        </w:rPr>
      </w:pPr>
    </w:p>
    <w:p>
      <w:pPr>
        <w:ind w:right="20" w:firstLine="456"/>
        <w:spacing w:after="0" w:line="309" w:lineRule="auto"/>
        <w:rPr>
          <w:sz w:val="20"/>
          <w:szCs w:val="20"/>
          <w:color w:val="auto"/>
        </w:rPr>
      </w:pPr>
      <w:r>
        <w:rPr>
          <w:rFonts w:ascii="Arial" w:cs="Arial" w:eastAsia="Arial" w:hAnsi="Arial"/>
          <w:sz w:val="15"/>
          <w:szCs w:val="15"/>
          <w:color w:val="auto"/>
        </w:rPr>
        <w:t>We also believe that our large global network of distributors and resellers, third-party developers, customers, and students is a competitive advantage. These relationships provide us with a broad reach into volume markets. Our distributor and reseller network is extensive and provides our customers with global resources for the purchase and support of our products as well as resources for effective and cost efficient training services. We believe that our network of channel partners will help us maintain a leadership position through the current economic environment. We believe that the breadth of our products and our brand recognition play an important role in our business as our customers consolidate, and as they reduce the number of their suppliers in this challenging economic environment. We have a significant number of registered third-party developers that create products that operate with our software products, further extending our reach into volume markets. Users trained on our products are broadly available both from educational institutions and the existing workforce, providing us with a student community of next-generation professional users and reducing the cost of training for our customers. To train the next generation of users, we offer education programs, including classroom support, standardized curricula, instructor development, and specially priced software-purchasing options.</w:t>
      </w:r>
    </w:p>
    <w:p>
      <w:pPr>
        <w:spacing w:after="0" w:line="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20"/>
          </w:cols>
          <w:pgMar w:left="240" w:top="459" w:right="239" w:bottom="1440" w:gutter="0" w:footer="0" w:header="0"/>
        </w:sectPr>
      </w:pPr>
    </w:p>
    <w:bookmarkStart w:id="26" w:name="page27"/>
    <w:bookmarkEnd w:id="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Our strategy to grow over the long term derives from these core strengths. Our growth strategy includes continually increasing the business value of our design tools in a number of ways, and improving the performance and functionality of our existing products with each new release. Our most recent release began in March 2009. Beyond our 2D horizontal design products, we develop products addressing industry-specific needs including 2D vertical and 3D model-based design product offerings. We continually strive to improve our product functionality and specialization by industry while increasing product interoperability and usability. We are also considering innovative ways of delivering better user experiences to the customers we serve. As a result, we seek to drive technology democratization and increase customer loyalty.</w:t>
      </w:r>
    </w:p>
    <w:p>
      <w:pPr>
        <w:spacing w:after="0" w:line="120" w:lineRule="exact"/>
        <w:rPr>
          <w:sz w:val="20"/>
          <w:szCs w:val="20"/>
          <w:color w:val="auto"/>
        </w:rPr>
      </w:pPr>
    </w:p>
    <w:p>
      <w:pPr>
        <w:ind w:right="100" w:firstLine="456"/>
        <w:spacing w:after="0" w:line="294" w:lineRule="auto"/>
        <w:rPr>
          <w:sz w:val="20"/>
          <w:szCs w:val="20"/>
          <w:color w:val="auto"/>
        </w:rPr>
      </w:pPr>
      <w:r>
        <w:rPr>
          <w:rFonts w:ascii="Arial" w:cs="Arial" w:eastAsia="Arial" w:hAnsi="Arial"/>
          <w:sz w:val="16"/>
          <w:szCs w:val="16"/>
          <w:color w:val="auto"/>
        </w:rPr>
        <w:t>In addition, we believe that expanding our 2D horizontal product customers’ portfolios to include our 2D vertical products and 3D model-based design products presents a meaningful growth opportunity and is an important part of our overall strategy. Although we expect that the adoption of 2D vertical products and 3D model-based design products will increase the productivity of our customers in all industries and result in richer design data, this migration also poses various risks to us. In particular, if we do not successfully expand our 2D horizontal customer base to our 2D vertical products and 3D model-based design products as expected, we would not realize the growth we expect and our business would be adversely affected.</w:t>
      </w:r>
    </w:p>
    <w:p>
      <w:pPr>
        <w:spacing w:after="0" w:line="116" w:lineRule="exact"/>
        <w:rPr>
          <w:sz w:val="20"/>
          <w:szCs w:val="20"/>
          <w:color w:val="auto"/>
        </w:rPr>
      </w:pPr>
    </w:p>
    <w:p>
      <w:pPr>
        <w:jc w:val="both"/>
        <w:ind w:right="140" w:firstLine="456"/>
        <w:spacing w:after="0" w:line="259" w:lineRule="auto"/>
        <w:rPr>
          <w:sz w:val="20"/>
          <w:szCs w:val="20"/>
          <w:color w:val="auto"/>
        </w:rPr>
      </w:pPr>
      <w:r>
        <w:rPr>
          <w:rFonts w:ascii="Arial" w:cs="Arial" w:eastAsia="Arial" w:hAnsi="Arial"/>
          <w:sz w:val="18"/>
          <w:szCs w:val="18"/>
          <w:color w:val="auto"/>
        </w:rPr>
        <w:t>Expanding our geographic coverage is another key element of our growth strategy. In particular we believe that emerging economies continue to present long-term growth opportunities for us. However, conducting business in these countries presents significant challenges, including recent economic contractions, greater volatility, intellectual property protection, software piracy and low-cost competition.</w:t>
      </w:r>
    </w:p>
    <w:p>
      <w:pPr>
        <w:spacing w:after="0" w:line="140" w:lineRule="exact"/>
        <w:rPr>
          <w:sz w:val="20"/>
          <w:szCs w:val="20"/>
          <w:color w:val="auto"/>
        </w:rPr>
      </w:pPr>
    </w:p>
    <w:p>
      <w:pPr>
        <w:ind w:right="40" w:firstLine="456"/>
        <w:spacing w:after="0" w:line="290" w:lineRule="auto"/>
        <w:rPr>
          <w:sz w:val="20"/>
          <w:szCs w:val="20"/>
          <w:color w:val="auto"/>
        </w:rPr>
      </w:pPr>
      <w:r>
        <w:rPr>
          <w:rFonts w:ascii="Arial" w:cs="Arial" w:eastAsia="Arial" w:hAnsi="Arial"/>
          <w:sz w:val="16"/>
          <w:szCs w:val="16"/>
          <w:color w:val="auto"/>
        </w:rPr>
        <w:t>Our strategy includes improving our product functionality and expanding our product offerings through internal development as well as through the acquisition of products, technology and businesses. Acquisitions often increase the speed at which we can deliver product functionality to our customers; however, they entail integration challenges and may, in certain instances, negatively impact our operating margins. We continually review these trade-offs while making a decision of whether to enter into an acquisition. We currently anticipate that we will selectively acquire products, technologies and businesses as compelling opportunities become available. The pace at which we make such investments will vary depending upon our business needs, the availability of suitable sellers and technology, and our own financial condition. The size and frequency of transactions to acquire products, technology and businesses decreased during the first three quarters of fiscal 2010 as compared to the same period in the prior fiscal year.</w:t>
      </w:r>
    </w:p>
    <w:p>
      <w:pPr>
        <w:spacing w:after="0" w:line="118"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Recent economic contraction in most countries and markets, and global financial market instability, including the continuation of a tight credit market for our customers, has adversely impacted and continues to adversely impact our business. We have taken, and continue to take, actions to address these global economic changes and their impact on our financial results and outlook, including revenue and demand stimulation activities as well as cost reduction steps. Our strategy remains focused on leveraging our core strengths and investing in our long-term growth opportunities to achieve our goal of being the world’s leading 2D and 3D design, engineering, and entertainment software and services company for the architecture, engineering and construction, manufacturing, geospatial mapping, and digital media and entertainment markets.</w:t>
      </w:r>
    </w:p>
    <w:p>
      <w:pPr>
        <w:spacing w:after="0" w:line="120"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color w:val="auto"/>
        </w:rPr>
        <w:t>Our strategy depends upon a number of assumptions, including that we will be able to continue making our technology available to mainstream markets; leverage our large global network of distributors and resellers, third-party developers, customers, and students; improve the performance and functionality of our products; and that we can adequately protect our intellectual property. If the outcome of any of these assumptions differs from our expectations, we may not be able to implement our strategy, which could potentially adversely affect our business. For further discussion regarding these and related risks see Part II, Item 1A, “Risk Factors.”</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96"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Our Condensed Consolidated Financial Statements are prepared in conformity with U.S. generally accepted accounting principles (“GAAP”). In preparing our Condensed Consolidated Financial Statements, we make assumptions, judgments and estimates that can have a significant effect on amounts reported in our Condensed Consolidated Financial Statements. We base our assumptions, judgments and estimates on historical experience and various other factors that we believe to be reasonable under the circumstances. Actual results could differ materially from these estimates under different assumptions or conditions. We regularly reevaluate our assumptions, judgments and estimates. We have described our significant accounting policies in Note 1, “Business and Summary of Significant Accounting Policies,” in the Notes to Consolidated Financial Statements in our Form 10-K for the fiscal year ended January 31, 2009 (the “2009 Form 10-K”). In addition, we highlighted those policies that involve a higher degree of judgment and complexity with further discussion of these judgmental areas in Item 7, “Management’s Discussion and Analysis of Financial Condition and Results of Operations” in our 2009 Form 10-K. We believe these policies are the most critical to aid in fully understanding and evaluating our financial condition and results of operations. Please refer to Note 1, “Business and Summary of Significant Accounting Policies,” in the Notes to Consolidated Financial Statements and Item 7, “Management’s Discussion and Analysis of Financial Condition and Results of Operations” in our 2009 Form 10-K filed on March 20, 2009.</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400"/>
          </w:cols>
          <w:pgMar w:left="240" w:top="459" w:right="259" w:bottom="1440" w:gutter="0" w:footer="0" w:header="0"/>
        </w:sectPr>
      </w:pPr>
    </w:p>
    <w:bookmarkStart w:id="27" w:name="page28"/>
    <w:bookmarkEnd w:id="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Updates on the relevant periodic financial disclosures related to these policies are provided below.</w:t>
      </w:r>
    </w:p>
    <w:p>
      <w:pPr>
        <w:spacing w:after="0" w:line="171"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i w:val="1"/>
          <w:iCs w:val="1"/>
          <w:color w:val="auto"/>
        </w:rPr>
        <w:t xml:space="preserve">Marketable Securities. </w:t>
      </w:r>
      <w:r>
        <w:rPr>
          <w:rFonts w:ascii="Arial" w:cs="Arial" w:eastAsia="Arial" w:hAnsi="Arial"/>
          <w:sz w:val="16"/>
          <w:szCs w:val="16"/>
          <w:color w:val="auto"/>
        </w:rPr>
        <w:t>At October 31, 2009, we had $355.1 million of short- and long-term marketable securities. We review our investments in marketable</w:t>
      </w:r>
      <w:r>
        <w:rPr>
          <w:rFonts w:ascii="Arial" w:cs="Arial" w:eastAsia="Arial" w:hAnsi="Arial"/>
          <w:sz w:val="16"/>
          <w:szCs w:val="16"/>
          <w:i w:val="1"/>
          <w:iCs w:val="1"/>
          <w:color w:val="auto"/>
        </w:rPr>
        <w:t xml:space="preserve"> </w:t>
      </w:r>
      <w:r>
        <w:rPr>
          <w:rFonts w:ascii="Arial" w:cs="Arial" w:eastAsia="Arial" w:hAnsi="Arial"/>
          <w:sz w:val="16"/>
          <w:szCs w:val="16"/>
          <w:color w:val="auto"/>
        </w:rPr>
        <w:t>securities quarterly for indicators of other-than-temporary impairment. This determination requires significant judgment. In making this determination, we employ a systematic methodology that considers available quantitative and qualitative evidence. If the cost of an investment exceeds its fair value, we evaluate, among other factors, general market conditions, the duration and extent to which the fair value is less than cost, and our intent and ability to hold the investment. We also consider specific adverse conditions related to the financial health of, and business outlook for, the sponsor, including industry and sector performance, operational and financing cash flow factors, and rating agency actions. Once a decline in fair value is determined to be other-than-temporary, an impairment charge is recorded. Prior to the quarter ended July 31, 2009, all other-than-temporary impairment charges were recorded to our Condensed Consolidated Statements of Operations. Due to changes in GAAP for marketable securities, effective with the quarter ended July 31, 2009, only the credit portion of other-than-temporary impairment charges will be recorded to our Condensed Consolidated Statements of Operations, with the remainder recorded in accumulated other comprehensive income. A credit-related impairment results in a new cost basis in the investment recorded in our Condensed Consolidated Balance Sheets. If market, industry, and/or sponsor conditions deteriorate, we may incur future impairments.</w:t>
      </w:r>
    </w:p>
    <w:p>
      <w:pPr>
        <w:spacing w:after="0" w:line="127" w:lineRule="exact"/>
        <w:rPr>
          <w:sz w:val="20"/>
          <w:szCs w:val="20"/>
          <w:color w:val="auto"/>
        </w:rPr>
      </w:pPr>
    </w:p>
    <w:p>
      <w:pPr>
        <w:ind w:right="20" w:firstLine="456"/>
        <w:spacing w:after="0" w:line="253" w:lineRule="auto"/>
        <w:rPr>
          <w:sz w:val="20"/>
          <w:szCs w:val="20"/>
          <w:color w:val="auto"/>
        </w:rPr>
      </w:pPr>
      <w:r>
        <w:rPr>
          <w:rFonts w:ascii="Arial" w:cs="Arial" w:eastAsia="Arial" w:hAnsi="Arial"/>
          <w:sz w:val="18"/>
          <w:szCs w:val="18"/>
          <w:i w:val="1"/>
          <w:iCs w:val="1"/>
          <w:color w:val="auto"/>
        </w:rPr>
        <w:t>Goodwill</w:t>
      </w:r>
      <w:r>
        <w:rPr>
          <w:rFonts w:ascii="Arial" w:cs="Arial" w:eastAsia="Arial" w:hAnsi="Arial"/>
          <w:sz w:val="18"/>
          <w:szCs w:val="18"/>
          <w:color w:val="auto"/>
        </w:rPr>
        <w:t>. Goodwill consists of the excess of cost over the fair value of net assets acquired in business combinations. We assign goodwill to the reportable</w:t>
      </w:r>
      <w:r>
        <w:rPr>
          <w:rFonts w:ascii="Arial" w:cs="Arial" w:eastAsia="Arial" w:hAnsi="Arial"/>
          <w:sz w:val="18"/>
          <w:szCs w:val="18"/>
          <w:i w:val="1"/>
          <w:iCs w:val="1"/>
          <w:color w:val="auto"/>
        </w:rPr>
        <w:t xml:space="preserve"> </w:t>
      </w:r>
      <w:r>
        <w:rPr>
          <w:rFonts w:ascii="Arial" w:cs="Arial" w:eastAsia="Arial" w:hAnsi="Arial"/>
          <w:sz w:val="18"/>
          <w:szCs w:val="18"/>
          <w:color w:val="auto"/>
        </w:rPr>
        <w:t>segment associated with each business combination, and we test goodwill for impairment annually in the fourth quarter or more often if and when circumstances indicate potential impairment. When assessing goodwill for impairment, we use discounted cash flow models that include assumptions regarding projected cash flows (“Income Approach”) and corroborate it with the estimated consideration that we would receive if there were to be a sale of the reporting segment (“Market Approach”). Variances in these assumptions could have a significant impact on our conclusion as to whether goodwill is impaired, or the amount of any impairment charge. Impairment charges, if any, result from instances where the fair values of net assets associated with goodwill are less than their carrying values.</w:t>
      </w:r>
    </w:p>
    <w:p>
      <w:pPr>
        <w:spacing w:after="0" w:line="147" w:lineRule="exact"/>
        <w:rPr>
          <w:sz w:val="20"/>
          <w:szCs w:val="20"/>
          <w:color w:val="auto"/>
        </w:rPr>
      </w:pPr>
    </w:p>
    <w:p>
      <w:pPr>
        <w:ind w:right="120" w:firstLine="456"/>
        <w:spacing w:after="0" w:line="253" w:lineRule="auto"/>
        <w:rPr>
          <w:sz w:val="20"/>
          <w:szCs w:val="20"/>
          <w:color w:val="auto"/>
        </w:rPr>
      </w:pPr>
      <w:r>
        <w:rPr>
          <w:rFonts w:ascii="Arial" w:cs="Arial" w:eastAsia="Arial" w:hAnsi="Arial"/>
          <w:sz w:val="18"/>
          <w:szCs w:val="18"/>
          <w:color w:val="auto"/>
        </w:rPr>
        <w:t>We recorded an impairment charge of $21.0 million during the nine months ended October 31, 2009 representing the entire goodwill balance of the Media and Entertainment (“M&amp;E”) segment as of April 30, 2009. This goodwill balance related to the M&amp;E segment’s fourth quarter fiscal 2009 acquisition of substantially all of the assets of Softimage. In May 2009, we concluded that an impairment of goodwill had occurred as of April 30, 2009 due to revisions to our revenue and cash flow projections prepared in the second half of the first quarter of fiscal 2010 in response to the significant and sustained revenue declines we were experiencing in all segments and geographies in the first quarter of fiscal 2010. The revenue and cash flow projections were substantially impacted for all segments, and the M&amp;E segment was the only segment that had a current fair value of its future discounted cash flows that fell below the carrying value of its assets.</w:t>
      </w:r>
    </w:p>
    <w:p>
      <w:pPr>
        <w:spacing w:after="0" w:line="147" w:lineRule="exact"/>
        <w:rPr>
          <w:sz w:val="20"/>
          <w:szCs w:val="20"/>
          <w:color w:val="auto"/>
        </w:rPr>
      </w:pPr>
    </w:p>
    <w:p>
      <w:pPr>
        <w:ind w:right="100" w:firstLine="456"/>
        <w:spacing w:after="0" w:line="253" w:lineRule="auto"/>
        <w:rPr>
          <w:sz w:val="20"/>
          <w:szCs w:val="20"/>
          <w:color w:val="auto"/>
        </w:rPr>
      </w:pPr>
      <w:r>
        <w:rPr>
          <w:rFonts w:ascii="Arial" w:cs="Arial" w:eastAsia="Arial" w:hAnsi="Arial"/>
          <w:sz w:val="18"/>
          <w:szCs w:val="18"/>
          <w:color w:val="auto"/>
        </w:rPr>
        <w:t>The process of evaluating the potential impairment of goodwill is subjective and requires significant judgment at many points during the analysis. Variances in the assumptions described above could have a significant impact on our conclusion as to whether goodwill is impaired, or the amount of any impairment charge. The value of our goodwill could also be impacted by future adverse changes such as: (i) declines in our actual operating results, (ii) a sustained decline in our market capitalization, (iii) further significant slowdown in the worldwide economy or the industries we serve, or (iv) changes in our business strategy or our internal operating results forecasts. Although we believe the assumptions, judgments and estimates we have made in the past have been reasonable and appropriate, different assumptions, judgments and estimates could materially affect our reported financial results. As of October 31, 2009, a hypothetical 10% decrease in the fair value of our reporting units would not have an impact on the carrying value of goodwill nor result in additional impairment of goodwill.</w:t>
      </w:r>
    </w:p>
    <w:p>
      <w:pPr>
        <w:spacing w:after="0" w:line="145" w:lineRule="exact"/>
        <w:rPr>
          <w:sz w:val="20"/>
          <w:szCs w:val="20"/>
          <w:color w:val="auto"/>
        </w:rPr>
      </w:pPr>
    </w:p>
    <w:p>
      <w:pPr>
        <w:ind w:right="120" w:firstLine="456"/>
        <w:spacing w:after="0" w:line="289" w:lineRule="auto"/>
        <w:rPr>
          <w:sz w:val="20"/>
          <w:szCs w:val="20"/>
          <w:color w:val="auto"/>
        </w:rPr>
      </w:pPr>
      <w:r>
        <w:rPr>
          <w:rFonts w:ascii="Arial" w:cs="Arial" w:eastAsia="Arial" w:hAnsi="Arial"/>
          <w:sz w:val="16"/>
          <w:szCs w:val="16"/>
          <w:i w:val="1"/>
          <w:iCs w:val="1"/>
          <w:color w:val="auto"/>
        </w:rPr>
        <w:t xml:space="preserve">Product Returns Reserves. </w:t>
      </w:r>
      <w:r>
        <w:rPr>
          <w:rFonts w:ascii="Arial" w:cs="Arial" w:eastAsia="Arial" w:hAnsi="Arial"/>
          <w:sz w:val="16"/>
          <w:szCs w:val="16"/>
          <w:color w:val="auto"/>
        </w:rPr>
        <w:t>Our product returns reserves were $12.3 million at October 31, 2009 and $13.0 million at January 31, 2009. Actual product</w:t>
      </w:r>
      <w:r>
        <w:rPr>
          <w:rFonts w:ascii="Arial" w:cs="Arial" w:eastAsia="Arial" w:hAnsi="Arial"/>
          <w:sz w:val="16"/>
          <w:szCs w:val="16"/>
          <w:i w:val="1"/>
          <w:iCs w:val="1"/>
          <w:color w:val="auto"/>
        </w:rPr>
        <w:t xml:space="preserve"> </w:t>
      </w:r>
      <w:r>
        <w:rPr>
          <w:rFonts w:ascii="Arial" w:cs="Arial" w:eastAsia="Arial" w:hAnsi="Arial"/>
          <w:sz w:val="16"/>
          <w:szCs w:val="16"/>
          <w:color w:val="auto"/>
        </w:rPr>
        <w:t>returns as a percentage of applicable revenue were 5.0% and 4.0% for the three months ended October 31, 2009 and 2008, respectively, and 5.4% and 3.7% for the nine months ended October 31, 2009 and 2008, respectively. Actual product returns as a percentage of applicable revenue has increased during the three and nine months ended October 31, 2009 as compared to the same periods of the prior fiscal year, primarily due to the decreases in our revenue during those periods. Actual product returns in absolute dollars have decreased during the three and nine months ended October 31, 2009 as compared to the same periods of the prior fiscal year due to decreases in revenue and channel inventory levels. During the three months ended October 31, 2009 and 2008, we recorded additions to our product returns reserve of $12.3 million and $13.0 million, respectively, which reduced our revenue. During the nine months ended October 31, 2009 and 2008, we recorded additions to our product returns reserve of $34.2 million and $42.4 million, respectively, which reduced our revenue.</w:t>
      </w:r>
    </w:p>
    <w:p>
      <w:pPr>
        <w:spacing w:after="0" w:line="1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420"/>
          </w:cols>
          <w:pgMar w:left="240" w:top="459" w:right="239" w:bottom="1440" w:gutter="0" w:footer="0" w:header="0"/>
        </w:sectPr>
      </w:pPr>
    </w:p>
    <w:bookmarkStart w:id="28" w:name="page29"/>
    <w:bookmarkEnd w:id="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 w:firstLine="456"/>
        <w:spacing w:after="0" w:line="253" w:lineRule="auto"/>
        <w:rPr>
          <w:sz w:val="20"/>
          <w:szCs w:val="20"/>
          <w:color w:val="auto"/>
        </w:rPr>
      </w:pPr>
      <w:r>
        <w:rPr>
          <w:rFonts w:ascii="Arial" w:cs="Arial" w:eastAsia="Arial" w:hAnsi="Arial"/>
          <w:sz w:val="18"/>
          <w:szCs w:val="18"/>
          <w:i w:val="1"/>
          <w:iCs w:val="1"/>
          <w:color w:val="auto"/>
        </w:rPr>
        <w:t>Income Taxes</w:t>
      </w:r>
      <w:r>
        <w:rPr>
          <w:rFonts w:ascii="Arial" w:cs="Arial" w:eastAsia="Arial" w:hAnsi="Arial"/>
          <w:sz w:val="18"/>
          <w:szCs w:val="18"/>
          <w:color w:val="auto"/>
        </w:rPr>
        <w:t>. At October 31, 2009, we had $142.5 million of net deferred tax assets, mostly arising from tax credits, net operating losses, and timing</w:t>
      </w:r>
      <w:r>
        <w:rPr>
          <w:rFonts w:ascii="Arial" w:cs="Arial" w:eastAsia="Arial" w:hAnsi="Arial"/>
          <w:sz w:val="18"/>
          <w:szCs w:val="18"/>
          <w:i w:val="1"/>
          <w:iCs w:val="1"/>
          <w:color w:val="auto"/>
        </w:rPr>
        <w:t xml:space="preserve"> </w:t>
      </w:r>
      <w:r>
        <w:rPr>
          <w:rFonts w:ascii="Arial" w:cs="Arial" w:eastAsia="Arial" w:hAnsi="Arial"/>
          <w:sz w:val="18"/>
          <w:szCs w:val="18"/>
          <w:color w:val="auto"/>
        </w:rPr>
        <w:t>differences for reserves, accrued liabilities, stock options, purchased technologies and capitalized software, partially offset by the establishment of U.S. deferred tax liabilities on unremitted earnings from certain foreign subsidiaries and a valuation allowance against California deferred tax assets. We perform a quarterly assessment of the recoverability of these net deferred tax assets, which is principally dependent upon our achievement of projected future taxable income across a specific mix of geographies. Our judgments regarding future profitability may change due to future market conditions and other factors. These changes, if any, may require possible material adjustments to these net deferred tax assets, resulting in an adjustment to net income in the period when such determinations are made.</w:t>
      </w:r>
    </w:p>
    <w:p>
      <w:pPr>
        <w:spacing w:after="0" w:line="2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 of the Three and Nine Months Ended October 31, 2009</w:t>
      </w:r>
    </w:p>
    <w:p>
      <w:pPr>
        <w:spacing w:after="0" w:line="96" w:lineRule="exact"/>
        <w:rPr>
          <w:sz w:val="20"/>
          <w:szCs w:val="20"/>
          <w:color w:val="auto"/>
        </w:rPr>
      </w:pPr>
    </w:p>
    <w:p>
      <w:pPr>
        <w:ind w:right="20" w:firstLine="456"/>
        <w:spacing w:after="0" w:line="288" w:lineRule="auto"/>
        <w:rPr>
          <w:sz w:val="20"/>
          <w:szCs w:val="20"/>
          <w:color w:val="auto"/>
        </w:rPr>
      </w:pPr>
      <w:r>
        <w:rPr>
          <w:rFonts w:ascii="Arial" w:cs="Arial" w:eastAsia="Arial" w:hAnsi="Arial"/>
          <w:sz w:val="16"/>
          <w:szCs w:val="16"/>
          <w:color w:val="auto"/>
        </w:rPr>
        <w:t>Our results for the first three quarters of fiscal 2010, as compared to the same period in the prior fiscal year, continue to reflect the recent global economic downturn, which has impacted our business on almost every front. While global macroeconomic indicators remain mixed, there were some signs of improvement during the three months ended October 31, 2009. Our overall business visibility improved somewhat during the second and third quarters of fiscal 2010, but remains limited. Our business appears to show some signs of stabilizing as evidenced by our sequentially flat total revenue and small sequential increases in certain revenue metrics during the third quarter of fiscal 2010 as compared to the second quarter of fiscal 2010. In addition, we continued to make progress in reducing our operating costs, which led to sequential improvement in profitability. Job losses and the availability of credit in the major industries we serve are important indicators for our business. There have been significant job losses around the world over the past eight quarters, and unemployment in several important geographies, including the U.S., continues to increase. Additionally, although there are indicators that the availability of credit appears to have improved, it is not clear whether business has normalized for our customers and partners during the quarter ended October 31, 2009.</w:t>
      </w:r>
    </w:p>
    <w:p>
      <w:pPr>
        <w:spacing w:after="0" w:line="120"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We believe that the recent economic contraction, as well as the financial pressure on our customers, have decreased demand for our products as customers have reduced their work force resulting in fewer seats of our design software sold and fewer maintenance contracts being renewed. Consequently, we experienced revenue contraction in most products and all reportable segments during the three and nine months ended October 31, 2009, as compared to the same periods in the prior fiscal year. However, we saw small sequential revenue growth in several parts of our business during the third quarter of fiscal 2010, as compared to the second quarter of fiscal 2010, including revenue from commercial new seats, the Americas and Europe, Middle East and Africa (“EMEA”) geographies, 3D animation software, and our 2D horizontal products, AutoCAD and AutoCAD LT, in our Platform Solutions and Emerging Business segment. Despite the small sequential growth in these areas, it is not clear to us whether these increases represent sustainable trends, or are indications of broad-based stabilization of our business.</w:t>
      </w:r>
    </w:p>
    <w:p>
      <w:pPr>
        <w:spacing w:after="0" w:line="118" w:lineRule="exact"/>
        <w:rPr>
          <w:sz w:val="20"/>
          <w:szCs w:val="20"/>
          <w:color w:val="auto"/>
        </w:rPr>
      </w:pPr>
    </w:p>
    <w:p>
      <w:pPr>
        <w:ind w:right="140" w:firstLine="456"/>
        <w:spacing w:after="0" w:line="306" w:lineRule="auto"/>
        <w:rPr>
          <w:sz w:val="20"/>
          <w:szCs w:val="20"/>
          <w:color w:val="auto"/>
        </w:rPr>
      </w:pPr>
      <w:r>
        <w:rPr>
          <w:rFonts w:ascii="Arial" w:cs="Arial" w:eastAsia="Arial" w:hAnsi="Arial"/>
          <w:sz w:val="16"/>
          <w:szCs w:val="16"/>
          <w:color w:val="auto"/>
        </w:rPr>
        <w:t>During the three months ended October 31, 2009, as compared to the same period of the prior fiscal year, net revenue decreased 31%, gross profit decreased 33% and income from operations decreased 81%. During the nine months ended October 31, 2009, as compared to the same period of the prior fiscal year, net revenue decreased 31%, gross profit decreased 33% and income from operations decreased 97%.</w:t>
      </w:r>
    </w:p>
    <w:p>
      <w:pPr>
        <w:spacing w:after="0" w:line="107" w:lineRule="exact"/>
        <w:rPr>
          <w:sz w:val="20"/>
          <w:szCs w:val="20"/>
          <w:color w:val="auto"/>
        </w:rPr>
      </w:pPr>
    </w:p>
    <w:p>
      <w:pPr>
        <w:ind w:firstLine="456"/>
        <w:spacing w:after="0" w:line="285" w:lineRule="auto"/>
        <w:rPr>
          <w:sz w:val="20"/>
          <w:szCs w:val="20"/>
          <w:color w:val="auto"/>
        </w:rPr>
      </w:pPr>
      <w:r>
        <w:rPr>
          <w:rFonts w:ascii="Arial" w:cs="Arial" w:eastAsia="Arial" w:hAnsi="Arial"/>
          <w:sz w:val="16"/>
          <w:szCs w:val="16"/>
          <w:color w:val="auto"/>
        </w:rPr>
        <w:t>The 81% decrease in income from operations during the quarter ended October 31, 2009, as compared to the same period in the prior fiscal year, was primarily due to the 31% reduction of our net revenue without a corresponding reduction of our costs. The majority of our costs are relatively fixed in the short term as they relate primarily to our workforce. In addition, during the quarter ended October 31, 2009, we recorded $11.3 million, or 8 percentage points of the 81% decrease, of additional stock-based compensation expense related to the correction of an error for prior periods. See Note 6, “Stock-Based Compensation,” in the Notes to Condensed Consolidated Financial Statements for further discussion. In an attempt to adjust our cost structure, we initiated the Fiscal 2009 and Fiscal 2010 restructuring plans and recorded restructuring charges of $4.9 million, or 4 percentage points of the 81% decrease, which contributed to the decline in income from operations. Similar to the three month period decline, the 97% decrease in income from operations during the nine months ended October 31, 2009, as compared to the same period in the prior fiscal year, was primarily due to the 31% reduction of our net revenue without a corresponding reduction of our costs. We recorded restructuring charges of $47.8 million, or 13 percentage points of the 97% decrease, a goodwill impairment charge of $21.0 million, or 6 percentage points of the 97% decrease, associated with our M&amp;E segment, and additional stock-based compensation expense of $11.3 million, or 3 percentage points of the 97% decrease, related to the correction of an error. All of these charges contributed to the decline in income from operations. The unfavorable impacts of the revenue decline and restructuring costs on our operating margins for the three and nine months ended October 31, 2009 were partially offset by lower operating costs resulting from our Fiscal 2009 and Fiscal 2010 restructuring plans and other cost containment efforts. Our spending decisions are based in part on our expectations for future revenue and are not directly variable with fluctuations in revenue. Accordingly, our inability to immediately adjust our operating costs for any revenue shortfall below expectations could have an immediate and significant adverse effect on our profitability.</w:t>
      </w:r>
    </w:p>
    <w:p>
      <w:pPr>
        <w:spacing w:after="0" w:line="126" w:lineRule="exact"/>
        <w:rPr>
          <w:sz w:val="20"/>
          <w:szCs w:val="20"/>
          <w:color w:val="auto"/>
        </w:rPr>
      </w:pPr>
    </w:p>
    <w:p>
      <w:pPr>
        <w:ind w:right="100" w:firstLine="456"/>
        <w:spacing w:after="0" w:line="268" w:lineRule="auto"/>
        <w:rPr>
          <w:sz w:val="20"/>
          <w:szCs w:val="20"/>
          <w:color w:val="auto"/>
        </w:rPr>
      </w:pPr>
      <w:r>
        <w:rPr>
          <w:rFonts w:ascii="Arial" w:cs="Arial" w:eastAsia="Arial" w:hAnsi="Arial"/>
          <w:sz w:val="18"/>
          <w:szCs w:val="18"/>
          <w:color w:val="auto"/>
        </w:rPr>
        <w:t>In the second quarter of fiscal 2010 we initiated the Fiscal 2010 restructuring plan, which reduced headcount by approximately 430 positions globally and consolidated approximately 32 leased facilities around the world in order to reduce our operating expenses.</w:t>
      </w:r>
    </w:p>
    <w:p>
      <w:pPr>
        <w:spacing w:after="0" w:line="1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380"/>
          </w:cols>
          <w:pgMar w:left="240" w:top="459" w:right="279" w:bottom="1440" w:gutter="0" w:footer="0" w:header="0"/>
        </w:sectPr>
      </w:pPr>
    </w:p>
    <w:bookmarkStart w:id="29" w:name="page30"/>
    <w:bookmarkEnd w:id="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40"/>
        <w:spacing w:after="0" w:line="259" w:lineRule="auto"/>
        <w:rPr>
          <w:sz w:val="20"/>
          <w:szCs w:val="20"/>
          <w:color w:val="auto"/>
        </w:rPr>
      </w:pPr>
      <w:r>
        <w:rPr>
          <w:rFonts w:ascii="Arial" w:cs="Arial" w:eastAsia="Arial" w:hAnsi="Arial"/>
          <w:sz w:val="18"/>
          <w:szCs w:val="18"/>
          <w:color w:val="auto"/>
        </w:rPr>
        <w:t>We took these and other actions in an attempt to better align our cost structure with our recent and anticipated financial results. Other important actions include reductions in discretionary spending and contingent labor costs. In taking these actions, we may incur additional costs that could negatively impact our net income and cash flows from operating activities.</w:t>
      </w:r>
    </w:p>
    <w:p>
      <w:pPr>
        <w:spacing w:after="0" w:line="140"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We generate a significant amount of our revenue in the U.S., Japan, Germany, the United Kingdom, France, Italy, Canada, South Korea, Australia and Belgium. The stronger value of the U.S. dollar relative to most of the other currencies, except for the yen against which the dollar weakened, had a negative effect of $2.1 million and $21.9 million on operating income during the three and nine months ended October 31, 2009, respectively, as compared to the same periods of the prior fiscal year. Had exchange rates from the three months ended October 31, 2008 been in effect during the three months ended October 31, 2009 (“on a constant currency basis”), translated international revenue billed in local currencies would have been $4.1 million higher and operating expenses would have been $2.0 million higher. On a constant currency basis, this represents a 31% decrease in net revenue and an 80% decrease in income from operations during the three months ended October 31, 2009, as compared to the same period in the prior fiscal year. Had exchange rates from the nine months ended October 31, 2008 been in effect during the nine months ended October 31, 2009, translated international revenue billed in local currencies would have been $58.6 million higher and operating expenses would have been $36.7 million higher. On a constant currency basis, this represents a 28% decrease in net revenue and a 92% decrease in income from operations during the nine months ended October 31, 2009, as compared to the same period in the prior fiscal year. Changes in the value of the U.S. dollar may have a significant effect on net revenue and income from operations in future periods. We use foreign currency forward and option collar contracts to reduce the exchange rate effect on a portion of the net revenue of certain anticipated transactions, but cannot completely mitigate the impact of fluctuation of such foreign currency against the U.S. dollar.</w:t>
      </w:r>
    </w:p>
    <w:p>
      <w:pPr>
        <w:spacing w:after="0" w:line="121" w:lineRule="exact"/>
        <w:rPr>
          <w:sz w:val="20"/>
          <w:szCs w:val="20"/>
          <w:color w:val="auto"/>
        </w:rPr>
      </w:pPr>
    </w:p>
    <w:p>
      <w:pPr>
        <w:ind w:right="160" w:firstLine="456"/>
        <w:spacing w:after="0" w:line="306" w:lineRule="auto"/>
        <w:rPr>
          <w:sz w:val="20"/>
          <w:szCs w:val="20"/>
          <w:color w:val="auto"/>
        </w:rPr>
      </w:pPr>
      <w:r>
        <w:rPr>
          <w:rFonts w:ascii="Arial" w:cs="Arial" w:eastAsia="Arial" w:hAnsi="Arial"/>
          <w:sz w:val="16"/>
          <w:szCs w:val="16"/>
          <w:color w:val="auto"/>
        </w:rPr>
        <w:t>Net revenue for the three months ended October 31, 2009 decreased 31% as compared to the same period in the prior fiscal year due to a 44% decrease in license and other revenue and a 3% decrease in maintenance revenue. We experienced decreases in net revenue in EMEA, the Americas and Asia Pacific (“APAC”) during the three months ended October 31, 2009 as compared to the same period in the prior fiscal year.</w:t>
      </w:r>
    </w:p>
    <w:p>
      <w:pPr>
        <w:spacing w:after="0" w:line="107" w:lineRule="exact"/>
        <w:rPr>
          <w:sz w:val="20"/>
          <w:szCs w:val="20"/>
          <w:color w:val="auto"/>
        </w:rPr>
      </w:pPr>
    </w:p>
    <w:p>
      <w:pPr>
        <w:ind w:right="60" w:firstLine="456"/>
        <w:spacing w:after="0" w:line="306" w:lineRule="auto"/>
        <w:rPr>
          <w:sz w:val="20"/>
          <w:szCs w:val="20"/>
          <w:color w:val="auto"/>
        </w:rPr>
      </w:pPr>
      <w:r>
        <w:rPr>
          <w:rFonts w:ascii="Arial" w:cs="Arial" w:eastAsia="Arial" w:hAnsi="Arial"/>
          <w:sz w:val="16"/>
          <w:szCs w:val="16"/>
          <w:color w:val="auto"/>
        </w:rPr>
        <w:t>Net revenue for the nine months ended October 31, 2009 decreased 31% as compared to the same period in the prior fiscal year due to a 45% decrease in license and other revenue, partially offset by a 3% increase in maintenance revenue. We experienced decreases in net revenue in EMEA, APAC and the Americas during the nine months ended October 31, 2009 as compared to the same period in the prior fiscal year.</w:t>
      </w:r>
    </w:p>
    <w:p>
      <w:pPr>
        <w:spacing w:after="0" w:line="107" w:lineRule="exact"/>
        <w:rPr>
          <w:sz w:val="20"/>
          <w:szCs w:val="20"/>
          <w:color w:val="auto"/>
        </w:rPr>
      </w:pPr>
    </w:p>
    <w:p>
      <w:pPr>
        <w:ind w:right="40" w:firstLine="456"/>
        <w:spacing w:after="0" w:line="289" w:lineRule="auto"/>
        <w:rPr>
          <w:sz w:val="20"/>
          <w:szCs w:val="20"/>
          <w:color w:val="auto"/>
        </w:rPr>
      </w:pPr>
      <w:r>
        <w:rPr>
          <w:rFonts w:ascii="Arial" w:cs="Arial" w:eastAsia="Arial" w:hAnsi="Arial"/>
          <w:sz w:val="16"/>
          <w:szCs w:val="16"/>
          <w:color w:val="auto"/>
        </w:rPr>
        <w:t>Our total operating margin decreased from 23% and 21% during the three and nine months ended October 31, 2008, respectively, to 6% and 1% during the three and nine months ended October 31, 2009, respectively. The decrease during the three months ended October 31, 2009 was primarily due to the decrease in our net revenue, as well as increased costs associated with stock-based compensation due to the correction of an error, and charges for restructuring. The decrease during the nine months ended October 31, 2009 was primarily due to the decrease in our net revenue as well as increased costs associated with charges for restructuring, goodwill impairment and stock-based compensation due to the correction of an error. Marketing and sales, research and development, and general and administrative expenses decreased during the three and nine months ended October 31, 2009 as compared to the same periods of the prior fiscal year as a result of our cost saving initiatives. The reduction in costs did not occur as rapidly as the decline in net revenue during the three and nine months ended October 31, 2009, and our operating margins suffered as a result.</w:t>
      </w:r>
    </w:p>
    <w:p>
      <w:pPr>
        <w:spacing w:after="0" w:line="118" w:lineRule="exact"/>
        <w:rPr>
          <w:sz w:val="20"/>
          <w:szCs w:val="20"/>
          <w:color w:val="auto"/>
        </w:rPr>
      </w:pPr>
    </w:p>
    <w:p>
      <w:pPr>
        <w:ind w:right="20" w:firstLine="456"/>
        <w:spacing w:after="0" w:line="256" w:lineRule="auto"/>
        <w:rPr>
          <w:sz w:val="20"/>
          <w:szCs w:val="20"/>
          <w:color w:val="auto"/>
        </w:rPr>
      </w:pPr>
      <w:r>
        <w:rPr>
          <w:rFonts w:ascii="Arial" w:cs="Arial" w:eastAsia="Arial" w:hAnsi="Arial"/>
          <w:sz w:val="18"/>
          <w:szCs w:val="18"/>
          <w:color w:val="auto"/>
        </w:rPr>
        <w:t>Even in these challenging economic times, we intend to invest in growth and productivity initiatives so that we will be better positioned for growth when the economy improves. Over the longer term we intend to balance investments in revenue growth opportunities with our goal of increasing our operating margins. Our operating margins are very sensitive to changes in revenue, given the relatively fixed nature of most of our expenses, which consist primarily of employee-related expenditures, facilities costs, and depreciation and amortization expense.</w:t>
      </w:r>
    </w:p>
    <w:p>
      <w:pPr>
        <w:spacing w:after="0" w:line="143" w:lineRule="exact"/>
        <w:rPr>
          <w:sz w:val="20"/>
          <w:szCs w:val="20"/>
          <w:color w:val="auto"/>
        </w:rPr>
      </w:pPr>
    </w:p>
    <w:p>
      <w:pPr>
        <w:ind w:right="220" w:firstLine="456"/>
        <w:spacing w:after="0" w:line="306" w:lineRule="auto"/>
        <w:rPr>
          <w:sz w:val="20"/>
          <w:szCs w:val="20"/>
          <w:color w:val="auto"/>
        </w:rPr>
      </w:pPr>
      <w:r>
        <w:rPr>
          <w:rFonts w:ascii="Arial" w:cs="Arial" w:eastAsia="Arial" w:hAnsi="Arial"/>
          <w:sz w:val="16"/>
          <w:szCs w:val="16"/>
          <w:color w:val="auto"/>
        </w:rPr>
        <w:t>We rely significantly upon major distributors and resellers in both the U.S. and international regions, including Tech Data Corporation and its global affiliates (collectively, “Tech Data”). Tech Data accounted for 14% of our consolidated net revenue for the three months ended October 31, 2009 and 2008, and 13% and 15% of our consolidated net revenue for the nine months ended October 31, 2009 and 2008, respectively.</w:t>
      </w:r>
    </w:p>
    <w:p>
      <w:pPr>
        <w:spacing w:after="0" w:line="107" w:lineRule="exact"/>
        <w:rPr>
          <w:sz w:val="20"/>
          <w:szCs w:val="20"/>
          <w:color w:val="auto"/>
        </w:rPr>
      </w:pPr>
    </w:p>
    <w:p>
      <w:pPr>
        <w:ind w:right="80" w:firstLine="456"/>
        <w:spacing w:after="0" w:line="254" w:lineRule="auto"/>
        <w:rPr>
          <w:sz w:val="20"/>
          <w:szCs w:val="20"/>
          <w:color w:val="auto"/>
        </w:rPr>
      </w:pPr>
      <w:r>
        <w:rPr>
          <w:rFonts w:ascii="Arial" w:cs="Arial" w:eastAsia="Arial" w:hAnsi="Arial"/>
          <w:sz w:val="18"/>
          <w:szCs w:val="18"/>
          <w:color w:val="auto"/>
        </w:rPr>
        <w:t>We expect net revenue to decrease in absolute dollars during the fourth quarter of fiscal 2010, as compared to the fourth quarter of fiscal 2009, due to the continued weakness of the global economy. As compared to the fourth quarter of fiscal 2009, we expect fourth quarter fiscal 2010 operating expenses will decrease in absolute dollars and as a percentage of net revenue, due to the cost savings initiatives taken during fiscal 2010 to align our operating expenses with our financial condition. However, there can be no assurance that our cost structure will not increase in the future or that we will be able to align our cost structure with our actual financial results. In addition, in taking these actions, we may incur additional costs which could negatively impact our net income and cash flows from operating activities.</w:t>
      </w:r>
    </w:p>
    <w:p>
      <w:pPr>
        <w:spacing w:after="0" w:line="13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420"/>
          </w:cols>
          <w:pgMar w:left="240" w:top="459" w:right="239" w:bottom="1440" w:gutter="0" w:footer="0" w:header="0"/>
        </w:sectPr>
      </w:pPr>
    </w:p>
    <w:bookmarkStart w:id="30" w:name="page31"/>
    <w:bookmarkEnd w:id="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Our primary goals for the remainder of fiscal 2010 are to continue delivering our market-leading products and solutions to our customers, stimulate revenue growth, manage operating margins and invest in product functionality and new product lines while minimizing the impact of these investments on gross profit, operating margins, operating cash flow and our worldwide operations.</w:t>
      </w:r>
    </w:p>
    <w:p>
      <w:pPr>
        <w:spacing w:after="0" w:line="140"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At October 31, 2009, we had $1,053.6 million in cash and marketable securities. We completed the quarter ended October 31, 2009 with a lower deferred revenue balance and a lower accounts receivable balance as compared to the quarter ended January 31, 2009. Our deferred revenue balance at October 31, 2009 included $420.4 million of customer maintenance contracts, which will be recognized as revenue ratably over the life of the contracts, which is predominantly one year. We repurchased 1.7 million shares of our common stock for $39.4 million during the three and nine months ended October 31, 2009. Comparatively, we had no repurchases of our common stock during the three months ended October 31, 2008, and we repurchased 8.0 million shares of our common stock for $256.6 million during the nine months ended October 31, 2008.</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96"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Net Revenue</w:t>
      </w:r>
    </w:p>
    <w:p>
      <w:pPr>
        <w:spacing w:after="0" w:line="7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580" w:type="dxa"/>
            <w:vAlign w:val="bottom"/>
          </w:tcPr>
          <w:p>
            <w:pPr>
              <w:spacing w:after="0"/>
              <w:rPr>
                <w:sz w:val="14"/>
                <w:szCs w:val="14"/>
                <w:color w:val="auto"/>
              </w:rPr>
            </w:pPr>
          </w:p>
        </w:tc>
        <w:tc>
          <w:tcPr>
            <w:tcW w:w="820" w:type="dxa"/>
            <w:vAlign w:val="bottom"/>
            <w:gridSpan w:val="2"/>
          </w:tcPr>
          <w:p>
            <w:pPr>
              <w:spacing w:after="0"/>
              <w:rPr>
                <w:sz w:val="20"/>
                <w:szCs w:val="20"/>
                <w:color w:val="auto"/>
              </w:rPr>
            </w:pPr>
            <w:r>
              <w:rPr>
                <w:rFonts w:ascii="Arial" w:cs="Arial" w:eastAsia="Arial" w:hAnsi="Arial"/>
                <w:sz w:val="14"/>
                <w:szCs w:val="14"/>
                <w:b w:val="1"/>
                <w:bCs w:val="1"/>
                <w:color w:val="auto"/>
                <w:w w:val="86"/>
              </w:rPr>
              <w:t>Three months</w:t>
            </w: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00" w:type="dxa"/>
            <w:vAlign w:val="bottom"/>
            <w:gridSpan w:val="2"/>
          </w:tcPr>
          <w:p>
            <w:pPr>
              <w:jc w:val="right"/>
              <w:spacing w:after="0"/>
              <w:rPr>
                <w:sz w:val="20"/>
                <w:szCs w:val="20"/>
                <w:color w:val="auto"/>
              </w:rPr>
            </w:pPr>
            <w:r>
              <w:rPr>
                <w:rFonts w:ascii="Arial" w:cs="Arial" w:eastAsia="Arial" w:hAnsi="Arial"/>
                <w:sz w:val="14"/>
                <w:szCs w:val="14"/>
                <w:b w:val="1"/>
                <w:bCs w:val="1"/>
                <w:color w:val="auto"/>
              </w:rPr>
              <w:t>Decrease</w:t>
            </w:r>
          </w:p>
        </w:tc>
        <w:tc>
          <w:tcPr>
            <w:tcW w:w="3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gridSpan w:val="2"/>
          </w:tcPr>
          <w:p>
            <w:pPr>
              <w:spacing w:after="0"/>
              <w:rPr>
                <w:sz w:val="20"/>
                <w:szCs w:val="20"/>
                <w:color w:val="auto"/>
              </w:rPr>
            </w:pPr>
            <w:r>
              <w:rPr>
                <w:rFonts w:ascii="Arial" w:cs="Arial" w:eastAsia="Arial" w:hAnsi="Arial"/>
                <w:sz w:val="14"/>
                <w:szCs w:val="14"/>
                <w:b w:val="1"/>
                <w:bCs w:val="1"/>
                <w:color w:val="auto"/>
                <w:w w:val="86"/>
              </w:rPr>
              <w:t>Three months</w:t>
            </w:r>
          </w:p>
        </w:tc>
        <w:tc>
          <w:tcPr>
            <w:tcW w:w="180" w:type="dxa"/>
            <w:vAlign w:val="bottom"/>
          </w:tcPr>
          <w:p>
            <w:pPr>
              <w:spacing w:after="0"/>
              <w:rPr>
                <w:sz w:val="14"/>
                <w:szCs w:val="14"/>
                <w:color w:val="auto"/>
              </w:rPr>
            </w:pPr>
          </w:p>
        </w:tc>
        <w:tc>
          <w:tcPr>
            <w:tcW w:w="940" w:type="dxa"/>
            <w:vAlign w:val="bottom"/>
            <w:gridSpan w:val="3"/>
          </w:tcPr>
          <w:p>
            <w:pPr>
              <w:ind w:left="20"/>
              <w:spacing w:after="0"/>
              <w:rPr>
                <w:sz w:val="20"/>
                <w:szCs w:val="20"/>
                <w:color w:val="auto"/>
              </w:rPr>
            </w:pPr>
            <w:r>
              <w:rPr>
                <w:rFonts w:ascii="Arial" w:cs="Arial" w:eastAsia="Arial" w:hAnsi="Arial"/>
                <w:sz w:val="14"/>
                <w:szCs w:val="14"/>
                <w:b w:val="1"/>
                <w:bCs w:val="1"/>
                <w:color w:val="auto"/>
              </w:rPr>
              <w:t>Nine months</w:t>
            </w:r>
          </w:p>
        </w:tc>
        <w:tc>
          <w:tcPr>
            <w:tcW w:w="1620" w:type="dxa"/>
            <w:vAlign w:val="bottom"/>
            <w:gridSpan w:val="6"/>
          </w:tcPr>
          <w:p>
            <w:pPr>
              <w:jc w:val="center"/>
              <w:ind w:right="400"/>
              <w:spacing w:after="0"/>
              <w:rPr>
                <w:sz w:val="20"/>
                <w:szCs w:val="20"/>
                <w:color w:val="auto"/>
              </w:rPr>
            </w:pPr>
            <w:r>
              <w:rPr>
                <w:rFonts w:ascii="Arial" w:cs="Arial" w:eastAsia="Arial" w:hAnsi="Arial"/>
                <w:sz w:val="14"/>
                <w:szCs w:val="14"/>
                <w:b w:val="1"/>
                <w:bCs w:val="1"/>
                <w:color w:val="auto"/>
                <w:w w:val="84"/>
              </w:rPr>
              <w:t>Increase (decrease)</w:t>
            </w:r>
          </w:p>
        </w:tc>
        <w:tc>
          <w:tcPr>
            <w:tcW w:w="760" w:type="dxa"/>
            <w:vAlign w:val="bottom"/>
            <w:gridSpan w:val="3"/>
          </w:tcPr>
          <w:p>
            <w:pPr>
              <w:spacing w:after="0"/>
              <w:rPr>
                <w:sz w:val="20"/>
                <w:szCs w:val="20"/>
                <w:color w:val="auto"/>
              </w:rPr>
            </w:pPr>
            <w:r>
              <w:rPr>
                <w:rFonts w:ascii="Arial" w:cs="Arial" w:eastAsia="Arial" w:hAnsi="Arial"/>
                <w:sz w:val="14"/>
                <w:szCs w:val="14"/>
                <w:b w:val="1"/>
                <w:bCs w:val="1"/>
                <w:color w:val="auto"/>
                <w:w w:val="87"/>
              </w:rPr>
              <w:t>Nine months</w:t>
            </w:r>
          </w:p>
        </w:tc>
        <w:tc>
          <w:tcPr>
            <w:tcW w:w="0" w:type="dxa"/>
            <w:vAlign w:val="bottom"/>
          </w:tcPr>
          <w:p>
            <w:pPr>
              <w:spacing w:after="0"/>
              <w:rPr>
                <w:sz w:val="1"/>
                <w:szCs w:val="1"/>
                <w:color w:val="auto"/>
              </w:rPr>
            </w:pPr>
          </w:p>
        </w:tc>
      </w:tr>
      <w:tr>
        <w:trPr>
          <w:trHeight w:val="149"/>
        </w:trPr>
        <w:tc>
          <w:tcPr>
            <w:tcW w:w="45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60" w:type="dxa"/>
            <w:vAlign w:val="bottom"/>
          </w:tcPr>
          <w:p>
            <w:pPr>
              <w:jc w:val="center"/>
              <w:ind w:right="75"/>
              <w:spacing w:after="0" w:line="149" w:lineRule="exact"/>
              <w:rPr>
                <w:sz w:val="20"/>
                <w:szCs w:val="20"/>
                <w:color w:val="auto"/>
              </w:rPr>
            </w:pPr>
            <w:r>
              <w:rPr>
                <w:rFonts w:ascii="Arial" w:cs="Arial" w:eastAsia="Arial" w:hAnsi="Arial"/>
                <w:sz w:val="14"/>
                <w:szCs w:val="14"/>
                <w:b w:val="1"/>
                <w:bCs w:val="1"/>
                <w:color w:val="auto"/>
                <w:w w:val="82"/>
              </w:rPr>
              <w:t>ended</w:t>
            </w: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80" w:type="dxa"/>
            <w:vAlign w:val="bottom"/>
            <w:gridSpan w:val="4"/>
          </w:tcPr>
          <w:p>
            <w:pPr>
              <w:jc w:val="right"/>
              <w:ind w:right="480"/>
              <w:spacing w:after="0" w:line="149" w:lineRule="exact"/>
              <w:rPr>
                <w:sz w:val="20"/>
                <w:szCs w:val="20"/>
                <w:color w:val="auto"/>
              </w:rPr>
            </w:pPr>
            <w:r>
              <w:rPr>
                <w:rFonts w:ascii="Arial" w:cs="Arial" w:eastAsia="Arial" w:hAnsi="Arial"/>
                <w:sz w:val="14"/>
                <w:szCs w:val="14"/>
                <w:b w:val="1"/>
                <w:bCs w:val="1"/>
                <w:color w:val="auto"/>
                <w:w w:val="92"/>
              </w:rPr>
              <w:t>compared to</w:t>
            </w: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60" w:type="dxa"/>
            <w:vAlign w:val="bottom"/>
          </w:tcPr>
          <w:p>
            <w:pPr>
              <w:jc w:val="center"/>
              <w:ind w:right="75"/>
              <w:spacing w:after="0" w:line="149" w:lineRule="exact"/>
              <w:rPr>
                <w:sz w:val="20"/>
                <w:szCs w:val="20"/>
                <w:color w:val="auto"/>
              </w:rPr>
            </w:pPr>
            <w:r>
              <w:rPr>
                <w:rFonts w:ascii="Arial" w:cs="Arial" w:eastAsia="Arial" w:hAnsi="Arial"/>
                <w:sz w:val="14"/>
                <w:szCs w:val="14"/>
                <w:b w:val="1"/>
                <w:bCs w:val="1"/>
                <w:color w:val="auto"/>
                <w:w w:val="82"/>
              </w:rPr>
              <w:t>ended</w:t>
            </w: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82"/>
              </w:rPr>
              <w:t>ended</w:t>
            </w:r>
          </w:p>
        </w:tc>
        <w:tc>
          <w:tcPr>
            <w:tcW w:w="140" w:type="dxa"/>
            <w:vAlign w:val="bottom"/>
          </w:tcPr>
          <w:p>
            <w:pPr>
              <w:spacing w:after="0"/>
              <w:rPr>
                <w:sz w:val="12"/>
                <w:szCs w:val="12"/>
                <w:color w:val="auto"/>
              </w:rPr>
            </w:pPr>
          </w:p>
        </w:tc>
        <w:tc>
          <w:tcPr>
            <w:tcW w:w="840" w:type="dxa"/>
            <w:vAlign w:val="bottom"/>
            <w:gridSpan w:val="3"/>
          </w:tcPr>
          <w:p>
            <w:pPr>
              <w:jc w:val="center"/>
              <w:spacing w:after="0" w:line="149" w:lineRule="exact"/>
              <w:rPr>
                <w:sz w:val="20"/>
                <w:szCs w:val="20"/>
                <w:color w:val="auto"/>
              </w:rPr>
            </w:pPr>
            <w:r>
              <w:rPr>
                <w:rFonts w:ascii="Arial" w:cs="Arial" w:eastAsia="Arial" w:hAnsi="Arial"/>
                <w:sz w:val="14"/>
                <w:szCs w:val="14"/>
                <w:b w:val="1"/>
                <w:bCs w:val="1"/>
                <w:color w:val="auto"/>
                <w:w w:val="85"/>
              </w:rPr>
              <w:t>compared to</w:t>
            </w:r>
          </w:p>
        </w:tc>
        <w:tc>
          <w:tcPr>
            <w:tcW w:w="2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82"/>
              </w:rPr>
              <w:t>ended</w:t>
            </w:r>
          </w:p>
        </w:tc>
        <w:tc>
          <w:tcPr>
            <w:tcW w:w="0" w:type="dxa"/>
            <w:vAlign w:val="bottom"/>
          </w:tcPr>
          <w:p>
            <w:pPr>
              <w:spacing w:after="0"/>
              <w:rPr>
                <w:sz w:val="1"/>
                <w:szCs w:val="1"/>
                <w:color w:val="auto"/>
              </w:rPr>
            </w:pPr>
          </w:p>
        </w:tc>
      </w:tr>
      <w:tr>
        <w:trPr>
          <w:trHeight w:val="161"/>
        </w:trPr>
        <w:tc>
          <w:tcPr>
            <w:tcW w:w="4580" w:type="dxa"/>
            <w:vAlign w:val="bottom"/>
          </w:tcPr>
          <w:p>
            <w:pPr>
              <w:spacing w:after="0"/>
              <w:rPr>
                <w:sz w:val="14"/>
                <w:szCs w:val="14"/>
                <w:color w:val="auto"/>
              </w:rPr>
            </w:pPr>
          </w:p>
        </w:tc>
        <w:tc>
          <w:tcPr>
            <w:tcW w:w="820" w:type="dxa"/>
            <w:vAlign w:val="bottom"/>
            <w:gridSpan w:val="2"/>
          </w:tcPr>
          <w:p>
            <w:pPr>
              <w:jc w:val="center"/>
              <w:spacing w:after="0"/>
              <w:rPr>
                <w:sz w:val="20"/>
                <w:szCs w:val="20"/>
                <w:color w:val="auto"/>
              </w:rPr>
            </w:pPr>
            <w:r>
              <w:rPr>
                <w:rFonts w:ascii="Arial" w:cs="Arial" w:eastAsia="Arial" w:hAnsi="Arial"/>
                <w:sz w:val="14"/>
                <w:szCs w:val="14"/>
                <w:b w:val="1"/>
                <w:bCs w:val="1"/>
                <w:color w:val="auto"/>
                <w:w w:val="85"/>
              </w:rPr>
              <w:t>October 31,</w:t>
            </w: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80" w:type="dxa"/>
            <w:vAlign w:val="bottom"/>
            <w:gridSpan w:val="4"/>
          </w:tcPr>
          <w:p>
            <w:pPr>
              <w:jc w:val="right"/>
              <w:ind w:right="480"/>
              <w:spacing w:after="0"/>
              <w:rPr>
                <w:sz w:val="20"/>
                <w:szCs w:val="20"/>
                <w:color w:val="auto"/>
              </w:rPr>
            </w:pPr>
            <w:r>
              <w:rPr>
                <w:rFonts w:ascii="Arial" w:cs="Arial" w:eastAsia="Arial" w:hAnsi="Arial"/>
                <w:sz w:val="14"/>
                <w:szCs w:val="14"/>
                <w:b w:val="1"/>
                <w:bCs w:val="1"/>
                <w:color w:val="auto"/>
                <w:w w:val="99"/>
              </w:rPr>
              <w:t>prior period</w:t>
            </w:r>
          </w:p>
        </w:tc>
        <w:tc>
          <w:tcPr>
            <w:tcW w:w="120" w:type="dxa"/>
            <w:vAlign w:val="bottom"/>
          </w:tcPr>
          <w:p>
            <w:pPr>
              <w:spacing w:after="0"/>
              <w:rPr>
                <w:sz w:val="14"/>
                <w:szCs w:val="14"/>
                <w:color w:val="auto"/>
              </w:rPr>
            </w:pPr>
          </w:p>
        </w:tc>
        <w:tc>
          <w:tcPr>
            <w:tcW w:w="820" w:type="dxa"/>
            <w:vAlign w:val="bottom"/>
            <w:gridSpan w:val="2"/>
          </w:tcPr>
          <w:p>
            <w:pPr>
              <w:jc w:val="center"/>
              <w:spacing w:after="0"/>
              <w:rPr>
                <w:sz w:val="20"/>
                <w:szCs w:val="20"/>
                <w:color w:val="auto"/>
              </w:rPr>
            </w:pPr>
            <w:r>
              <w:rPr>
                <w:rFonts w:ascii="Arial" w:cs="Arial" w:eastAsia="Arial" w:hAnsi="Arial"/>
                <w:sz w:val="14"/>
                <w:szCs w:val="14"/>
                <w:b w:val="1"/>
                <w:bCs w:val="1"/>
                <w:color w:val="auto"/>
                <w:w w:val="85"/>
              </w:rPr>
              <w:t>October 31,</w:t>
            </w:r>
          </w:p>
        </w:tc>
        <w:tc>
          <w:tcPr>
            <w:tcW w:w="180" w:type="dxa"/>
            <w:vAlign w:val="bottom"/>
          </w:tcPr>
          <w:p>
            <w:pPr>
              <w:spacing w:after="0"/>
              <w:rPr>
                <w:sz w:val="14"/>
                <w:szCs w:val="14"/>
                <w:color w:val="auto"/>
              </w:rPr>
            </w:pPr>
          </w:p>
        </w:tc>
        <w:tc>
          <w:tcPr>
            <w:tcW w:w="940" w:type="dxa"/>
            <w:vAlign w:val="bottom"/>
            <w:gridSpan w:val="3"/>
          </w:tcPr>
          <w:p>
            <w:pPr>
              <w:jc w:val="center"/>
              <w:ind w:right="180"/>
              <w:spacing w:after="0"/>
              <w:rPr>
                <w:sz w:val="20"/>
                <w:szCs w:val="20"/>
                <w:color w:val="auto"/>
              </w:rPr>
            </w:pPr>
            <w:r>
              <w:rPr>
                <w:rFonts w:ascii="Arial" w:cs="Arial" w:eastAsia="Arial" w:hAnsi="Arial"/>
                <w:sz w:val="14"/>
                <w:szCs w:val="14"/>
                <w:b w:val="1"/>
                <w:bCs w:val="1"/>
                <w:color w:val="auto"/>
                <w:w w:val="88"/>
              </w:rPr>
              <w:t>October 31,</w:t>
            </w:r>
          </w:p>
        </w:tc>
        <w:tc>
          <w:tcPr>
            <w:tcW w:w="140" w:type="dxa"/>
            <w:vAlign w:val="bottom"/>
          </w:tcPr>
          <w:p>
            <w:pPr>
              <w:spacing w:after="0"/>
              <w:rPr>
                <w:sz w:val="14"/>
                <w:szCs w:val="14"/>
                <w:color w:val="auto"/>
              </w:rPr>
            </w:pPr>
          </w:p>
        </w:tc>
        <w:tc>
          <w:tcPr>
            <w:tcW w:w="840" w:type="dxa"/>
            <w:vAlign w:val="bottom"/>
            <w:gridSpan w:val="3"/>
          </w:tcPr>
          <w:p>
            <w:pPr>
              <w:jc w:val="center"/>
              <w:ind w:left="36"/>
              <w:spacing w:after="0"/>
              <w:rPr>
                <w:sz w:val="20"/>
                <w:szCs w:val="20"/>
                <w:color w:val="auto"/>
              </w:rPr>
            </w:pPr>
            <w:r>
              <w:rPr>
                <w:rFonts w:ascii="Arial" w:cs="Arial" w:eastAsia="Arial" w:hAnsi="Arial"/>
                <w:sz w:val="14"/>
                <w:szCs w:val="14"/>
                <w:b w:val="1"/>
                <w:bCs w:val="1"/>
                <w:color w:val="auto"/>
                <w:w w:val="91"/>
              </w:rPr>
              <w:t>prior period</w:t>
            </w:r>
          </w:p>
        </w:tc>
        <w:tc>
          <w:tcPr>
            <w:tcW w:w="2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760" w:type="dxa"/>
            <w:vAlign w:val="bottom"/>
            <w:gridSpan w:val="3"/>
          </w:tcPr>
          <w:p>
            <w:pPr>
              <w:jc w:val="center"/>
              <w:ind w:right="20"/>
              <w:spacing w:after="0"/>
              <w:rPr>
                <w:sz w:val="20"/>
                <w:szCs w:val="20"/>
                <w:color w:val="auto"/>
              </w:rPr>
            </w:pPr>
            <w:r>
              <w:rPr>
                <w:rFonts w:ascii="Arial" w:cs="Arial" w:eastAsia="Arial" w:hAnsi="Arial"/>
                <w:sz w:val="14"/>
                <w:szCs w:val="14"/>
                <w:b w:val="1"/>
                <w:bCs w:val="1"/>
                <w:color w:val="auto"/>
                <w:w w:val="85"/>
              </w:rPr>
              <w:t>October 31,</w:t>
            </w:r>
          </w:p>
        </w:tc>
        <w:tc>
          <w:tcPr>
            <w:tcW w:w="0" w:type="dxa"/>
            <w:vAlign w:val="bottom"/>
          </w:tcPr>
          <w:p>
            <w:pPr>
              <w:spacing w:after="0"/>
              <w:rPr>
                <w:sz w:val="1"/>
                <w:szCs w:val="1"/>
                <w:color w:val="auto"/>
              </w:rPr>
            </w:pPr>
          </w:p>
        </w:tc>
      </w:tr>
      <w:tr>
        <w:trPr>
          <w:trHeight w:val="142"/>
        </w:trPr>
        <w:tc>
          <w:tcPr>
            <w:tcW w:w="4580" w:type="dxa"/>
            <w:vAlign w:val="bottom"/>
          </w:tcPr>
          <w:p>
            <w:pPr>
              <w:spacing w:after="0" w:line="142" w:lineRule="exact"/>
              <w:rPr>
                <w:sz w:val="20"/>
                <w:szCs w:val="20"/>
                <w:color w:val="auto"/>
              </w:rPr>
            </w:pPr>
            <w:r>
              <w:rPr>
                <w:rFonts w:ascii="Arial" w:cs="Arial" w:eastAsia="Arial" w:hAnsi="Arial"/>
                <w:sz w:val="14"/>
                <w:szCs w:val="14"/>
                <w:b w:val="1"/>
                <w:bCs w:val="1"/>
                <w:i w:val="1"/>
                <w:iCs w:val="1"/>
                <w:color w:val="auto"/>
              </w:rPr>
              <w:t>(in millions)</w:t>
            </w:r>
          </w:p>
        </w:tc>
        <w:tc>
          <w:tcPr>
            <w:tcW w:w="16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jc w:val="center"/>
              <w:ind w:right="75"/>
              <w:spacing w:after="0" w:line="142" w:lineRule="exact"/>
              <w:rPr>
                <w:sz w:val="20"/>
                <w:szCs w:val="20"/>
                <w:color w:val="auto"/>
              </w:rPr>
            </w:pPr>
            <w:r>
              <w:rPr>
                <w:rFonts w:ascii="Arial" w:cs="Arial" w:eastAsia="Arial" w:hAnsi="Arial"/>
                <w:sz w:val="14"/>
                <w:szCs w:val="14"/>
                <w:b w:val="1"/>
                <w:bCs w:val="1"/>
                <w:color w:val="auto"/>
                <w:w w:val="83"/>
              </w:rPr>
              <w:t>2009</w:t>
            </w:r>
          </w:p>
        </w:tc>
        <w:tc>
          <w:tcPr>
            <w:tcW w:w="180" w:type="dxa"/>
            <w:vAlign w:val="bottom"/>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420" w:type="dxa"/>
            <w:vAlign w:val="bottom"/>
            <w:tcBorders>
              <w:top w:val="single" w:sz="8" w:color="auto"/>
              <w:bottom w:val="single" w:sz="8" w:color="auto"/>
            </w:tcBorders>
          </w:tcPr>
          <w:p>
            <w:pPr>
              <w:jc w:val="right"/>
              <w:ind w:right="158"/>
              <w:spacing w:after="0" w:line="142" w:lineRule="exact"/>
              <w:rPr>
                <w:sz w:val="20"/>
                <w:szCs w:val="20"/>
                <w:color w:val="auto"/>
              </w:rPr>
            </w:pPr>
            <w:r>
              <w:rPr>
                <w:rFonts w:ascii="Arial" w:cs="Arial" w:eastAsia="Arial" w:hAnsi="Arial"/>
                <w:sz w:val="14"/>
                <w:szCs w:val="14"/>
                <w:b w:val="1"/>
                <w:bCs w:val="1"/>
                <w:color w:val="auto"/>
              </w:rPr>
              <w:t>$</w:t>
            </w:r>
          </w:p>
        </w:tc>
        <w:tc>
          <w:tcPr>
            <w:tcW w:w="280" w:type="dxa"/>
            <w:vAlign w:val="bottom"/>
            <w:tcBorders>
              <w:top w:val="single" w:sz="8" w:color="auto"/>
            </w:tcBorders>
          </w:tcPr>
          <w:p>
            <w:pPr>
              <w:spacing w:after="0"/>
              <w:rPr>
                <w:sz w:val="12"/>
                <w:szCs w:val="12"/>
                <w:color w:val="auto"/>
              </w:rPr>
            </w:pPr>
          </w:p>
        </w:tc>
        <w:tc>
          <w:tcPr>
            <w:tcW w:w="32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w:t>
            </w:r>
          </w:p>
        </w:tc>
        <w:tc>
          <w:tcPr>
            <w:tcW w:w="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jc w:val="center"/>
              <w:ind w:right="75"/>
              <w:spacing w:after="0" w:line="142" w:lineRule="exact"/>
              <w:rPr>
                <w:sz w:val="20"/>
                <w:szCs w:val="20"/>
                <w:color w:val="auto"/>
              </w:rPr>
            </w:pPr>
            <w:r>
              <w:rPr>
                <w:rFonts w:ascii="Arial" w:cs="Arial" w:eastAsia="Arial" w:hAnsi="Arial"/>
                <w:sz w:val="14"/>
                <w:szCs w:val="14"/>
                <w:b w:val="1"/>
                <w:bCs w:val="1"/>
                <w:color w:val="auto"/>
                <w:w w:val="83"/>
              </w:rPr>
              <w:t>2008</w:t>
            </w:r>
          </w:p>
        </w:tc>
        <w:tc>
          <w:tcPr>
            <w:tcW w:w="18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jc w:val="center"/>
              <w:ind w:right="35"/>
              <w:spacing w:after="0" w:line="142" w:lineRule="exact"/>
              <w:rPr>
                <w:sz w:val="20"/>
                <w:szCs w:val="20"/>
                <w:color w:val="auto"/>
              </w:rPr>
            </w:pPr>
            <w:r>
              <w:rPr>
                <w:rFonts w:ascii="Arial" w:cs="Arial" w:eastAsia="Arial" w:hAnsi="Arial"/>
                <w:sz w:val="14"/>
                <w:szCs w:val="14"/>
                <w:b w:val="1"/>
                <w:bCs w:val="1"/>
                <w:color w:val="auto"/>
                <w:w w:val="89"/>
              </w:rPr>
              <w:t>2009</w:t>
            </w:r>
          </w:p>
        </w:tc>
        <w:tc>
          <w:tcPr>
            <w:tcW w:w="200" w:type="dxa"/>
            <w:vAlign w:val="bottom"/>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500" w:type="dxa"/>
            <w:vAlign w:val="bottom"/>
            <w:tcBorders>
              <w:top w:val="single" w:sz="8" w:color="auto"/>
              <w:bottom w:val="single" w:sz="8" w:color="auto"/>
            </w:tcBorders>
          </w:tcPr>
          <w:p>
            <w:pPr>
              <w:jc w:val="right"/>
              <w:ind w:right="216"/>
              <w:spacing w:after="0" w:line="142" w:lineRule="exact"/>
              <w:rPr>
                <w:sz w:val="20"/>
                <w:szCs w:val="20"/>
                <w:color w:val="auto"/>
              </w:rPr>
            </w:pPr>
            <w:r>
              <w:rPr>
                <w:rFonts w:ascii="Arial" w:cs="Arial" w:eastAsia="Arial" w:hAnsi="Arial"/>
                <w:sz w:val="14"/>
                <w:szCs w:val="14"/>
                <w:b w:val="1"/>
                <w:bCs w:val="1"/>
                <w:color w:val="auto"/>
              </w:rPr>
              <w:t>$</w:t>
            </w:r>
          </w:p>
        </w:tc>
        <w:tc>
          <w:tcPr>
            <w:tcW w:w="280" w:type="dxa"/>
            <w:vAlign w:val="bottom"/>
            <w:tcBorders>
              <w:top w:val="single" w:sz="8" w:color="auto"/>
            </w:tcBorders>
          </w:tcPr>
          <w:p>
            <w:pPr>
              <w:spacing w:after="0"/>
              <w:rPr>
                <w:sz w:val="12"/>
                <w:szCs w:val="12"/>
                <w:color w:val="auto"/>
              </w:rPr>
            </w:pPr>
          </w:p>
        </w:tc>
        <w:tc>
          <w:tcPr>
            <w:tcW w:w="60" w:type="dxa"/>
            <w:vAlign w:val="bottom"/>
            <w:tcBorders>
              <w:top w:val="single" w:sz="8" w:color="auto"/>
              <w:bottom w:val="single" w:sz="8" w:color="auto"/>
            </w:tcBorders>
          </w:tcPr>
          <w:p>
            <w:pPr>
              <w:spacing w:after="0"/>
              <w:rPr>
                <w:sz w:val="12"/>
                <w:szCs w:val="12"/>
                <w:color w:val="auto"/>
              </w:rPr>
            </w:pPr>
          </w:p>
        </w:tc>
        <w:tc>
          <w:tcPr>
            <w:tcW w:w="26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w:t>
            </w:r>
          </w:p>
        </w:tc>
        <w:tc>
          <w:tcPr>
            <w:tcW w:w="38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jc w:val="center"/>
              <w:ind w:right="55"/>
              <w:spacing w:after="0" w:line="142" w:lineRule="exact"/>
              <w:rPr>
                <w:sz w:val="20"/>
                <w:szCs w:val="20"/>
                <w:color w:val="auto"/>
              </w:rPr>
            </w:pPr>
            <w:r>
              <w:rPr>
                <w:rFonts w:ascii="Arial" w:cs="Arial" w:eastAsia="Arial" w:hAnsi="Arial"/>
                <w:sz w:val="14"/>
                <w:szCs w:val="14"/>
                <w:b w:val="1"/>
                <w:bCs w:val="1"/>
                <w:color w:val="auto"/>
                <w:w w:val="83"/>
              </w:rPr>
              <w:t>2008</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4580" w:type="dxa"/>
            <w:vAlign w:val="bottom"/>
            <w:shd w:val="clear" w:color="auto" w:fill="CCEEFF"/>
          </w:tcPr>
          <w:p>
            <w:pPr>
              <w:spacing w:after="0"/>
              <w:rPr>
                <w:sz w:val="20"/>
                <w:szCs w:val="20"/>
                <w:color w:val="auto"/>
              </w:rPr>
            </w:pPr>
            <w:r>
              <w:rPr>
                <w:rFonts w:ascii="Arial" w:cs="Arial" w:eastAsia="Arial" w:hAnsi="Arial"/>
                <w:sz w:val="18"/>
                <w:szCs w:val="18"/>
                <w:color w:val="auto"/>
              </w:rPr>
              <w:t>Net Revenue:</w:t>
            </w: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80" w:type="dxa"/>
            <w:vAlign w:val="bottom"/>
          </w:tcPr>
          <w:p>
            <w:pPr>
              <w:ind w:left="440"/>
              <w:spacing w:after="0"/>
              <w:rPr>
                <w:sz w:val="20"/>
                <w:szCs w:val="20"/>
                <w:color w:val="auto"/>
              </w:rPr>
            </w:pPr>
            <w:r>
              <w:rPr>
                <w:rFonts w:ascii="Arial" w:cs="Arial" w:eastAsia="Arial" w:hAnsi="Arial"/>
                <w:sz w:val="18"/>
                <w:szCs w:val="18"/>
                <w:color w:val="auto"/>
              </w:rPr>
              <w:t>License and other</w:t>
            </w: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236.1</w:t>
            </w:r>
          </w:p>
        </w:tc>
        <w:tc>
          <w:tcPr>
            <w:tcW w:w="1020" w:type="dxa"/>
            <w:vAlign w:val="bottom"/>
            <w:gridSpan w:val="4"/>
          </w:tcPr>
          <w:p>
            <w:pPr>
              <w:jc w:val="right"/>
              <w:ind w:right="220"/>
              <w:spacing w:after="0"/>
              <w:rPr>
                <w:sz w:val="20"/>
                <w:szCs w:val="20"/>
                <w:color w:val="auto"/>
              </w:rPr>
            </w:pPr>
            <w:r>
              <w:rPr>
                <w:rFonts w:ascii="Arial" w:cs="Arial" w:eastAsia="Arial" w:hAnsi="Arial"/>
                <w:sz w:val="18"/>
                <w:szCs w:val="18"/>
                <w:color w:val="auto"/>
              </w:rPr>
              <w:t>$(184.9)</w:t>
            </w:r>
          </w:p>
        </w:tc>
        <w:tc>
          <w:tcPr>
            <w:tcW w:w="580" w:type="dxa"/>
            <w:vAlign w:val="bottom"/>
            <w:gridSpan w:val="2"/>
          </w:tcPr>
          <w:p>
            <w:pPr>
              <w:jc w:val="right"/>
              <w:ind w:right="100"/>
              <w:spacing w:after="0"/>
              <w:rPr>
                <w:sz w:val="20"/>
                <w:szCs w:val="20"/>
                <w:color w:val="auto"/>
              </w:rPr>
            </w:pPr>
            <w:r>
              <w:rPr>
                <w:rFonts w:ascii="Arial" w:cs="Arial" w:eastAsia="Arial" w:hAnsi="Arial"/>
                <w:sz w:val="18"/>
                <w:szCs w:val="18"/>
                <w:color w:val="auto"/>
              </w:rPr>
              <w:t>-44%</w:t>
            </w:r>
          </w:p>
        </w:tc>
        <w:tc>
          <w:tcPr>
            <w:tcW w:w="280" w:type="dxa"/>
            <w:vAlign w:val="bottom"/>
            <w:gridSpan w:val="2"/>
          </w:tcPr>
          <w:p>
            <w:pPr>
              <w:ind w:left="120"/>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421.0</w:t>
            </w:r>
          </w:p>
        </w:tc>
        <w:tc>
          <w:tcPr>
            <w:tcW w:w="320" w:type="dxa"/>
            <w:vAlign w:val="bottom"/>
            <w:gridSpan w:val="2"/>
          </w:tcPr>
          <w:p>
            <w:pPr>
              <w:ind w:left="180"/>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710.7</w:t>
            </w:r>
          </w:p>
        </w:tc>
        <w:tc>
          <w:tcPr>
            <w:tcW w:w="20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gridSpan w:val="2"/>
          </w:tcPr>
          <w:p>
            <w:pPr>
              <w:jc w:val="right"/>
              <w:ind w:right="240"/>
              <w:spacing w:after="0"/>
              <w:rPr>
                <w:sz w:val="20"/>
                <w:szCs w:val="20"/>
                <w:color w:val="auto"/>
              </w:rPr>
            </w:pPr>
            <w:r>
              <w:rPr>
                <w:rFonts w:ascii="Arial" w:cs="Arial" w:eastAsia="Arial" w:hAnsi="Arial"/>
                <w:sz w:val="18"/>
                <w:szCs w:val="18"/>
                <w:color w:val="auto"/>
                <w:w w:val="91"/>
              </w:rPr>
              <w:t>(582.7)</w:t>
            </w:r>
          </w:p>
        </w:tc>
        <w:tc>
          <w:tcPr>
            <w:tcW w:w="60" w:type="dxa"/>
            <w:vAlign w:val="bottom"/>
          </w:tcPr>
          <w:p>
            <w:pPr>
              <w:spacing w:after="0"/>
              <w:rPr>
                <w:sz w:val="18"/>
                <w:szCs w:val="18"/>
                <w:color w:val="auto"/>
              </w:rPr>
            </w:pPr>
          </w:p>
        </w:tc>
        <w:tc>
          <w:tcPr>
            <w:tcW w:w="640" w:type="dxa"/>
            <w:vAlign w:val="bottom"/>
            <w:gridSpan w:val="2"/>
          </w:tcPr>
          <w:p>
            <w:pPr>
              <w:jc w:val="right"/>
              <w:ind w:right="240"/>
              <w:spacing w:after="0"/>
              <w:rPr>
                <w:sz w:val="20"/>
                <w:szCs w:val="20"/>
                <w:color w:val="auto"/>
              </w:rPr>
            </w:pPr>
            <w:r>
              <w:rPr>
                <w:rFonts w:ascii="Arial" w:cs="Arial" w:eastAsia="Arial" w:hAnsi="Arial"/>
                <w:sz w:val="18"/>
                <w:szCs w:val="18"/>
                <w:color w:val="auto"/>
                <w:w w:val="90"/>
              </w:rPr>
              <w:t>-45%</w:t>
            </w: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w w:val="96"/>
              </w:rPr>
              <w:t>1,293.4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Maintenance</w:t>
            </w: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180.8</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(5.3)</w:t>
            </w:r>
          </w:p>
        </w:tc>
        <w:tc>
          <w:tcPr>
            <w:tcW w:w="5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186.1</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546.9</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14.9</w:t>
            </w:r>
          </w:p>
        </w:tc>
        <w:tc>
          <w:tcPr>
            <w:tcW w:w="2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3%</w:t>
            </w: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532.0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5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60" w:type="dxa"/>
            <w:vAlign w:val="bottom"/>
            <w:gridSpan w:val="2"/>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80" w:type="dxa"/>
            <w:vAlign w:val="bottom"/>
            <w:gridSpan w:val="2"/>
            <w:vMerge w:val="restart"/>
          </w:tcPr>
          <w:p>
            <w:pPr>
              <w:jc w:val="right"/>
              <w:ind w:right="100"/>
              <w:spacing w:after="0"/>
              <w:rPr>
                <w:sz w:val="20"/>
                <w:szCs w:val="20"/>
                <w:color w:val="auto"/>
              </w:rPr>
            </w:pPr>
            <w:r>
              <w:rPr>
                <w:rFonts w:ascii="Arial" w:cs="Arial" w:eastAsia="Arial" w:hAnsi="Arial"/>
                <w:sz w:val="18"/>
                <w:szCs w:val="18"/>
                <w:color w:val="auto"/>
              </w:rPr>
              <w:t>-31%</w:t>
            </w:r>
          </w:p>
        </w:tc>
        <w:tc>
          <w:tcPr>
            <w:tcW w:w="1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40" w:type="dxa"/>
            <w:vAlign w:val="bottom"/>
            <w:gridSpan w:val="2"/>
            <w:vMerge w:val="restart"/>
          </w:tcPr>
          <w:p>
            <w:pPr>
              <w:jc w:val="right"/>
              <w:ind w:right="240"/>
              <w:spacing w:after="0"/>
              <w:rPr>
                <w:sz w:val="20"/>
                <w:szCs w:val="20"/>
                <w:color w:val="auto"/>
              </w:rPr>
            </w:pPr>
            <w:r>
              <w:rPr>
                <w:rFonts w:ascii="Arial" w:cs="Arial" w:eastAsia="Arial" w:hAnsi="Arial"/>
                <w:sz w:val="18"/>
                <w:szCs w:val="18"/>
                <w:color w:val="auto"/>
                <w:w w:val="90"/>
              </w:rPr>
              <w:t>-31%</w:t>
            </w:r>
          </w:p>
        </w:tc>
        <w:tc>
          <w:tcPr>
            <w:tcW w:w="14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4580" w:type="dxa"/>
            <w:vAlign w:val="bottom"/>
          </w:tcPr>
          <w:p>
            <w:pPr>
              <w:spacing w:after="0"/>
              <w:rPr>
                <w:sz w:val="19"/>
                <w:szCs w:val="19"/>
                <w:color w:val="auto"/>
              </w:rPr>
            </w:pP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416.9</w:t>
            </w:r>
          </w:p>
        </w:tc>
        <w:tc>
          <w:tcPr>
            <w:tcW w:w="180" w:type="dxa"/>
            <w:vAlign w:val="bottom"/>
          </w:tcPr>
          <w:p>
            <w:pPr>
              <w:spacing w:after="0"/>
              <w:rPr>
                <w:sz w:val="19"/>
                <w:szCs w:val="19"/>
                <w:color w:val="auto"/>
              </w:rPr>
            </w:pPr>
          </w:p>
        </w:tc>
        <w:tc>
          <w:tcPr>
            <w:tcW w:w="840" w:type="dxa"/>
            <w:vAlign w:val="bottom"/>
            <w:gridSpan w:val="3"/>
          </w:tcPr>
          <w:p>
            <w:pPr>
              <w:jc w:val="right"/>
              <w:ind w:right="220"/>
              <w:spacing w:after="0"/>
              <w:rPr>
                <w:sz w:val="20"/>
                <w:szCs w:val="20"/>
                <w:color w:val="auto"/>
              </w:rPr>
            </w:pPr>
            <w:r>
              <w:rPr>
                <w:rFonts w:ascii="Arial" w:cs="Arial" w:eastAsia="Arial" w:hAnsi="Arial"/>
                <w:sz w:val="18"/>
                <w:szCs w:val="18"/>
                <w:u w:val="single" w:color="auto"/>
                <w:color w:val="auto"/>
                <w:w w:val="89"/>
              </w:rPr>
              <w:t>$</w:t>
            </w:r>
            <w:r>
              <w:rPr>
                <w:rFonts w:ascii="Arial" w:cs="Arial" w:eastAsia="Arial" w:hAnsi="Arial"/>
                <w:sz w:val="18"/>
                <w:szCs w:val="18"/>
                <w:color w:val="auto"/>
                <w:w w:val="89"/>
              </w:rPr>
              <w:t>(190.2)</w:t>
            </w:r>
          </w:p>
        </w:tc>
        <w:tc>
          <w:tcPr>
            <w:tcW w:w="580" w:type="dxa"/>
            <w:vAlign w:val="bottom"/>
            <w:gridSpan w:val="2"/>
            <w:vMerge w:val="continue"/>
          </w:tcPr>
          <w:p>
            <w:pPr>
              <w:spacing w:after="0"/>
              <w:rPr>
                <w:sz w:val="19"/>
                <w:szCs w:val="19"/>
                <w:color w:val="auto"/>
              </w:rPr>
            </w:pPr>
          </w:p>
        </w:tc>
        <w:tc>
          <w:tcPr>
            <w:tcW w:w="280" w:type="dxa"/>
            <w:vAlign w:val="bottom"/>
            <w:gridSpan w:val="2"/>
          </w:tcPr>
          <w:p>
            <w:pPr>
              <w:ind w:left="120"/>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607.1</w:t>
            </w:r>
          </w:p>
        </w:tc>
        <w:tc>
          <w:tcPr>
            <w:tcW w:w="320" w:type="dxa"/>
            <w:vAlign w:val="bottom"/>
            <w:gridSpan w:val="2"/>
          </w:tcPr>
          <w:p>
            <w:pPr>
              <w:ind w:left="180"/>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w w:val="96"/>
              </w:rPr>
              <w:t>1,257.6</w:t>
            </w:r>
          </w:p>
        </w:tc>
        <w:tc>
          <w:tcPr>
            <w:tcW w:w="2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gridSpan w:val="2"/>
          </w:tcPr>
          <w:p>
            <w:pPr>
              <w:jc w:val="right"/>
              <w:ind w:right="240"/>
              <w:spacing w:after="0"/>
              <w:rPr>
                <w:sz w:val="20"/>
                <w:szCs w:val="20"/>
                <w:color w:val="auto"/>
              </w:rPr>
            </w:pPr>
            <w:r>
              <w:rPr>
                <w:rFonts w:ascii="Arial" w:cs="Arial" w:eastAsia="Arial" w:hAnsi="Arial"/>
                <w:sz w:val="18"/>
                <w:szCs w:val="18"/>
                <w:color w:val="auto"/>
                <w:w w:val="91"/>
              </w:rPr>
              <w:t>(567.8)</w:t>
            </w:r>
          </w:p>
        </w:tc>
        <w:tc>
          <w:tcPr>
            <w:tcW w:w="60" w:type="dxa"/>
            <w:vAlign w:val="bottom"/>
          </w:tcPr>
          <w:p>
            <w:pPr>
              <w:spacing w:after="0"/>
              <w:rPr>
                <w:sz w:val="19"/>
                <w:szCs w:val="19"/>
                <w:color w:val="auto"/>
              </w:rPr>
            </w:pPr>
          </w:p>
        </w:tc>
        <w:tc>
          <w:tcPr>
            <w:tcW w:w="640" w:type="dxa"/>
            <w:vAlign w:val="bottom"/>
            <w:gridSpan w:val="2"/>
            <w:vMerge w:val="continue"/>
          </w:tcPr>
          <w:p>
            <w:pPr>
              <w:spacing w:after="0"/>
              <w:rPr>
                <w:sz w:val="19"/>
                <w:szCs w:val="19"/>
                <w:color w:val="auto"/>
              </w:rPr>
            </w:pP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620" w:type="dxa"/>
            <w:vAlign w:val="bottom"/>
            <w:gridSpan w:val="2"/>
          </w:tcPr>
          <w:p>
            <w:pPr>
              <w:jc w:val="right"/>
              <w:ind w:right="20"/>
              <w:spacing w:after="0"/>
              <w:rPr>
                <w:sz w:val="20"/>
                <w:szCs w:val="20"/>
                <w:color w:val="auto"/>
              </w:rPr>
            </w:pPr>
            <w:r>
              <w:rPr>
                <w:rFonts w:ascii="Arial" w:cs="Arial" w:eastAsia="Arial" w:hAnsi="Arial"/>
                <w:sz w:val="18"/>
                <w:szCs w:val="18"/>
                <w:color w:val="auto"/>
                <w:w w:val="96"/>
              </w:rPr>
              <w:t>1,825.4</w:t>
            </w:r>
          </w:p>
        </w:tc>
        <w:tc>
          <w:tcPr>
            <w:tcW w:w="0" w:type="dxa"/>
            <w:vAlign w:val="bottom"/>
          </w:tcPr>
          <w:p>
            <w:pPr>
              <w:spacing w:after="0"/>
              <w:rPr>
                <w:sz w:val="1"/>
                <w:szCs w:val="1"/>
                <w:color w:val="auto"/>
              </w:rPr>
            </w:pPr>
          </w:p>
        </w:tc>
      </w:tr>
      <w:tr>
        <w:trPr>
          <w:trHeight w:val="20"/>
        </w:trPr>
        <w:tc>
          <w:tcPr>
            <w:tcW w:w="45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4580" w:type="dxa"/>
            <w:vAlign w:val="bottom"/>
            <w:shd w:val="clear" w:color="auto" w:fill="CCEEFF"/>
          </w:tcPr>
          <w:p>
            <w:pPr>
              <w:spacing w:after="0"/>
              <w:rPr>
                <w:sz w:val="20"/>
                <w:szCs w:val="20"/>
                <w:color w:val="auto"/>
              </w:rPr>
            </w:pPr>
            <w:r>
              <w:rPr>
                <w:rFonts w:ascii="Arial" w:cs="Arial" w:eastAsia="Arial" w:hAnsi="Arial"/>
                <w:sz w:val="18"/>
                <w:szCs w:val="18"/>
                <w:color w:val="auto"/>
              </w:rPr>
              <w:t>Net Revenue by Geographic Area:</w:t>
            </w: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80" w:type="dxa"/>
            <w:vAlign w:val="bottom"/>
          </w:tcPr>
          <w:p>
            <w:pPr>
              <w:ind w:left="440"/>
              <w:spacing w:after="0"/>
              <w:rPr>
                <w:sz w:val="20"/>
                <w:szCs w:val="20"/>
                <w:color w:val="auto"/>
              </w:rPr>
            </w:pPr>
            <w:r>
              <w:rPr>
                <w:rFonts w:ascii="Arial" w:cs="Arial" w:eastAsia="Arial" w:hAnsi="Arial"/>
                <w:sz w:val="18"/>
                <w:szCs w:val="18"/>
                <w:color w:val="auto"/>
              </w:rPr>
              <w:t>Americas</w:t>
            </w: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163.4</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gridSpan w:val="2"/>
          </w:tcPr>
          <w:p>
            <w:pPr>
              <w:jc w:val="right"/>
              <w:ind w:right="220"/>
              <w:spacing w:after="0"/>
              <w:rPr>
                <w:sz w:val="20"/>
                <w:szCs w:val="20"/>
                <w:color w:val="auto"/>
              </w:rPr>
            </w:pPr>
            <w:r>
              <w:rPr>
                <w:rFonts w:ascii="Arial" w:cs="Arial" w:eastAsia="Arial" w:hAnsi="Arial"/>
                <w:sz w:val="18"/>
                <w:szCs w:val="18"/>
                <w:color w:val="auto"/>
                <w:w w:val="97"/>
              </w:rPr>
              <w:t>(53.1)</w:t>
            </w:r>
          </w:p>
        </w:tc>
        <w:tc>
          <w:tcPr>
            <w:tcW w:w="580" w:type="dxa"/>
            <w:vAlign w:val="bottom"/>
            <w:gridSpan w:val="2"/>
          </w:tcPr>
          <w:p>
            <w:pPr>
              <w:jc w:val="right"/>
              <w:ind w:right="100"/>
              <w:spacing w:after="0"/>
              <w:rPr>
                <w:sz w:val="20"/>
                <w:szCs w:val="20"/>
                <w:color w:val="auto"/>
              </w:rPr>
            </w:pPr>
            <w:r>
              <w:rPr>
                <w:rFonts w:ascii="Arial" w:cs="Arial" w:eastAsia="Arial" w:hAnsi="Arial"/>
                <w:sz w:val="18"/>
                <w:szCs w:val="18"/>
                <w:color w:val="auto"/>
              </w:rPr>
              <w:t>-25%</w:t>
            </w:r>
          </w:p>
        </w:tc>
        <w:tc>
          <w:tcPr>
            <w:tcW w:w="280" w:type="dxa"/>
            <w:vAlign w:val="bottom"/>
            <w:gridSpan w:val="2"/>
          </w:tcPr>
          <w:p>
            <w:pPr>
              <w:ind w:left="120"/>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216.5</w:t>
            </w:r>
          </w:p>
        </w:tc>
        <w:tc>
          <w:tcPr>
            <w:tcW w:w="320" w:type="dxa"/>
            <w:vAlign w:val="bottom"/>
            <w:gridSpan w:val="2"/>
          </w:tcPr>
          <w:p>
            <w:pPr>
              <w:ind w:left="180"/>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486.3</w:t>
            </w:r>
          </w:p>
        </w:tc>
        <w:tc>
          <w:tcPr>
            <w:tcW w:w="20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gridSpan w:val="2"/>
          </w:tcPr>
          <w:p>
            <w:pPr>
              <w:jc w:val="right"/>
              <w:ind w:right="240"/>
              <w:spacing w:after="0"/>
              <w:rPr>
                <w:sz w:val="20"/>
                <w:szCs w:val="20"/>
                <w:color w:val="auto"/>
              </w:rPr>
            </w:pPr>
            <w:r>
              <w:rPr>
                <w:rFonts w:ascii="Arial" w:cs="Arial" w:eastAsia="Arial" w:hAnsi="Arial"/>
                <w:sz w:val="18"/>
                <w:szCs w:val="18"/>
                <w:color w:val="auto"/>
                <w:w w:val="91"/>
              </w:rPr>
              <w:t>(124.2)</w:t>
            </w:r>
          </w:p>
        </w:tc>
        <w:tc>
          <w:tcPr>
            <w:tcW w:w="60" w:type="dxa"/>
            <w:vAlign w:val="bottom"/>
          </w:tcPr>
          <w:p>
            <w:pPr>
              <w:spacing w:after="0"/>
              <w:rPr>
                <w:sz w:val="18"/>
                <w:szCs w:val="18"/>
                <w:color w:val="auto"/>
              </w:rPr>
            </w:pPr>
          </w:p>
        </w:tc>
        <w:tc>
          <w:tcPr>
            <w:tcW w:w="640" w:type="dxa"/>
            <w:vAlign w:val="bottom"/>
            <w:gridSpan w:val="2"/>
          </w:tcPr>
          <w:p>
            <w:pPr>
              <w:jc w:val="right"/>
              <w:ind w:right="240"/>
              <w:spacing w:after="0"/>
              <w:rPr>
                <w:sz w:val="20"/>
                <w:szCs w:val="20"/>
                <w:color w:val="auto"/>
              </w:rPr>
            </w:pPr>
            <w:r>
              <w:rPr>
                <w:rFonts w:ascii="Arial" w:cs="Arial" w:eastAsia="Arial" w:hAnsi="Arial"/>
                <w:sz w:val="18"/>
                <w:szCs w:val="18"/>
                <w:color w:val="auto"/>
                <w:w w:val="90"/>
              </w:rPr>
              <w:t>-20%</w:t>
            </w: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610.5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Europe, Middle East and Africa</w:t>
            </w: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159.3</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7"/>
              </w:rPr>
              <w:t>(98.7)</w:t>
            </w:r>
          </w:p>
        </w:tc>
        <w:tc>
          <w:tcPr>
            <w:tcW w:w="5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-38%</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258.0</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483.4</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91"/>
              </w:rPr>
              <w:t>(300.8)</w:t>
            </w:r>
          </w:p>
        </w:tc>
        <w:tc>
          <w:tcPr>
            <w:tcW w:w="6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90"/>
              </w:rPr>
              <w:t>-38%</w:t>
            </w: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784.2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80" w:type="dxa"/>
            <w:vAlign w:val="bottom"/>
          </w:tcPr>
          <w:p>
            <w:pPr>
              <w:ind w:left="440"/>
              <w:spacing w:after="0"/>
              <w:rPr>
                <w:sz w:val="20"/>
                <w:szCs w:val="20"/>
                <w:color w:val="auto"/>
              </w:rPr>
            </w:pPr>
            <w:r>
              <w:rPr>
                <w:rFonts w:ascii="Arial" w:cs="Arial" w:eastAsia="Arial" w:hAnsi="Arial"/>
                <w:sz w:val="18"/>
                <w:szCs w:val="18"/>
                <w:color w:val="auto"/>
              </w:rPr>
              <w:t>Asia Pacific</w:t>
            </w:r>
          </w:p>
        </w:tc>
        <w:tc>
          <w:tcPr>
            <w:tcW w:w="1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94.2</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gridSpan w:val="2"/>
          </w:tcPr>
          <w:p>
            <w:pPr>
              <w:jc w:val="right"/>
              <w:ind w:right="220"/>
              <w:spacing w:after="0"/>
              <w:rPr>
                <w:sz w:val="20"/>
                <w:szCs w:val="20"/>
                <w:color w:val="auto"/>
              </w:rPr>
            </w:pPr>
            <w:r>
              <w:rPr>
                <w:rFonts w:ascii="Arial" w:cs="Arial" w:eastAsia="Arial" w:hAnsi="Arial"/>
                <w:sz w:val="18"/>
                <w:szCs w:val="18"/>
                <w:color w:val="auto"/>
                <w:w w:val="97"/>
              </w:rPr>
              <w:t>(38.4)</w:t>
            </w:r>
          </w:p>
        </w:tc>
        <w:tc>
          <w:tcPr>
            <w:tcW w:w="580" w:type="dxa"/>
            <w:vAlign w:val="bottom"/>
            <w:gridSpan w:val="2"/>
          </w:tcPr>
          <w:p>
            <w:pPr>
              <w:jc w:val="right"/>
              <w:ind w:right="100"/>
              <w:spacing w:after="0"/>
              <w:rPr>
                <w:sz w:val="20"/>
                <w:szCs w:val="20"/>
                <w:color w:val="auto"/>
              </w:rPr>
            </w:pPr>
            <w:r>
              <w:rPr>
                <w:rFonts w:ascii="Arial" w:cs="Arial" w:eastAsia="Arial" w:hAnsi="Arial"/>
                <w:sz w:val="18"/>
                <w:szCs w:val="18"/>
                <w:color w:val="auto"/>
              </w:rPr>
              <w:t>-29%</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132.6</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287.9</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gridSpan w:val="2"/>
          </w:tcPr>
          <w:p>
            <w:pPr>
              <w:jc w:val="right"/>
              <w:ind w:right="240"/>
              <w:spacing w:after="0"/>
              <w:rPr>
                <w:sz w:val="20"/>
                <w:szCs w:val="20"/>
                <w:color w:val="auto"/>
              </w:rPr>
            </w:pPr>
            <w:r>
              <w:rPr>
                <w:rFonts w:ascii="Arial" w:cs="Arial" w:eastAsia="Arial" w:hAnsi="Arial"/>
                <w:sz w:val="18"/>
                <w:szCs w:val="18"/>
                <w:color w:val="auto"/>
                <w:w w:val="91"/>
              </w:rPr>
              <w:t>(142.8)</w:t>
            </w:r>
          </w:p>
        </w:tc>
        <w:tc>
          <w:tcPr>
            <w:tcW w:w="60" w:type="dxa"/>
            <w:vAlign w:val="bottom"/>
          </w:tcPr>
          <w:p>
            <w:pPr>
              <w:spacing w:after="0"/>
              <w:rPr>
                <w:sz w:val="18"/>
                <w:szCs w:val="18"/>
                <w:color w:val="auto"/>
              </w:rPr>
            </w:pPr>
          </w:p>
        </w:tc>
        <w:tc>
          <w:tcPr>
            <w:tcW w:w="640" w:type="dxa"/>
            <w:vAlign w:val="bottom"/>
            <w:gridSpan w:val="2"/>
          </w:tcPr>
          <w:p>
            <w:pPr>
              <w:jc w:val="right"/>
              <w:ind w:right="240"/>
              <w:spacing w:after="0"/>
              <w:rPr>
                <w:sz w:val="20"/>
                <w:szCs w:val="20"/>
                <w:color w:val="auto"/>
              </w:rPr>
            </w:pPr>
            <w:r>
              <w:rPr>
                <w:rFonts w:ascii="Arial" w:cs="Arial" w:eastAsia="Arial" w:hAnsi="Arial"/>
                <w:sz w:val="18"/>
                <w:szCs w:val="18"/>
                <w:color w:val="auto"/>
                <w:w w:val="90"/>
              </w:rPr>
              <w:t>-33%</w:t>
            </w:r>
          </w:p>
        </w:tc>
        <w:tc>
          <w:tcPr>
            <w:tcW w:w="1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430.7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458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3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60" w:type="dxa"/>
            <w:vAlign w:val="bottom"/>
          </w:tcPr>
          <w:p>
            <w:pPr>
              <w:spacing w:after="0"/>
              <w:rPr>
                <w:sz w:val="2"/>
                <w:szCs w:val="2"/>
                <w:color w:val="auto"/>
              </w:rPr>
            </w:pPr>
          </w:p>
        </w:tc>
        <w:tc>
          <w:tcPr>
            <w:tcW w:w="260" w:type="dxa"/>
            <w:vAlign w:val="bottom"/>
          </w:tcPr>
          <w:p>
            <w:pPr>
              <w:spacing w:after="0"/>
              <w:rPr>
                <w:sz w:val="2"/>
                <w:szCs w:val="2"/>
                <w:color w:val="auto"/>
              </w:rPr>
            </w:pPr>
          </w:p>
        </w:tc>
        <w:tc>
          <w:tcPr>
            <w:tcW w:w="3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2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5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416.9</w:t>
            </w:r>
          </w:p>
        </w:tc>
        <w:tc>
          <w:tcPr>
            <w:tcW w:w="180" w:type="dxa"/>
            <w:vAlign w:val="bottom"/>
            <w:shd w:val="clear" w:color="auto" w:fill="CCEEFF"/>
          </w:tcPr>
          <w:p>
            <w:pPr>
              <w:spacing w:after="0"/>
              <w:rPr>
                <w:sz w:val="18"/>
                <w:szCs w:val="18"/>
                <w:color w:val="auto"/>
              </w:rPr>
            </w:pPr>
          </w:p>
        </w:tc>
        <w:tc>
          <w:tcPr>
            <w:tcW w:w="84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u w:val="single" w:color="auto"/>
                <w:color w:val="auto"/>
                <w:w w:val="89"/>
              </w:rPr>
              <w:t>$</w:t>
            </w:r>
            <w:r>
              <w:rPr>
                <w:rFonts w:ascii="Arial" w:cs="Arial" w:eastAsia="Arial" w:hAnsi="Arial"/>
                <w:sz w:val="18"/>
                <w:szCs w:val="18"/>
                <w:color w:val="auto"/>
                <w:w w:val="89"/>
              </w:rPr>
              <w:t>(190.2)</w:t>
            </w:r>
          </w:p>
        </w:tc>
        <w:tc>
          <w:tcPr>
            <w:tcW w:w="5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-31%</w:t>
            </w:r>
          </w:p>
        </w:tc>
        <w:tc>
          <w:tcPr>
            <w:tcW w:w="28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607.1</w:t>
            </w:r>
          </w:p>
        </w:tc>
        <w:tc>
          <w:tcPr>
            <w:tcW w:w="32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6"/>
              </w:rPr>
              <w:t>1,257.6</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91"/>
              </w:rPr>
              <w:t>(567.8)</w:t>
            </w:r>
          </w:p>
        </w:tc>
        <w:tc>
          <w:tcPr>
            <w:tcW w:w="6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90"/>
              </w:rPr>
              <w:t>-31%</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6"/>
              </w:rPr>
              <w:t>1,825.4</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580" w:type="dxa"/>
            <w:vAlign w:val="bottom"/>
            <w:vMerge w:val="restart"/>
          </w:tcPr>
          <w:p>
            <w:pPr>
              <w:spacing w:after="0"/>
              <w:rPr>
                <w:sz w:val="20"/>
                <w:szCs w:val="20"/>
                <w:color w:val="auto"/>
              </w:rPr>
            </w:pPr>
            <w:r>
              <w:rPr>
                <w:rFonts w:ascii="Arial" w:cs="Arial" w:eastAsia="Arial" w:hAnsi="Arial"/>
                <w:sz w:val="18"/>
                <w:szCs w:val="18"/>
                <w:color w:val="auto"/>
              </w:rPr>
              <w:t>Net Revenue by Operating Segment:</w:t>
            </w:r>
          </w:p>
        </w:tc>
        <w:tc>
          <w:tcPr>
            <w:tcW w:w="1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4580" w:type="dxa"/>
            <w:vAlign w:val="bottom"/>
            <w:vMerge w:val="continue"/>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45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Platform Solutions and Emerging Business</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154.3</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7"/>
              </w:rPr>
              <w:t>(85.1)</w:t>
            </w:r>
          </w:p>
        </w:tc>
        <w:tc>
          <w:tcPr>
            <w:tcW w:w="5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-36%</w:t>
            </w:r>
          </w:p>
        </w:tc>
        <w:tc>
          <w:tcPr>
            <w:tcW w:w="28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239.4</w:t>
            </w:r>
          </w:p>
        </w:tc>
        <w:tc>
          <w:tcPr>
            <w:tcW w:w="32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459.6</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91"/>
              </w:rPr>
              <w:t>(269.2)</w:t>
            </w:r>
          </w:p>
        </w:tc>
        <w:tc>
          <w:tcPr>
            <w:tcW w:w="6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90"/>
              </w:rPr>
              <w:t>-37%</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728.8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80" w:type="dxa"/>
            <w:vAlign w:val="bottom"/>
          </w:tcPr>
          <w:p>
            <w:pPr>
              <w:ind w:left="440"/>
              <w:spacing w:after="0"/>
              <w:rPr>
                <w:sz w:val="20"/>
                <w:szCs w:val="20"/>
                <w:color w:val="auto"/>
              </w:rPr>
            </w:pPr>
            <w:r>
              <w:rPr>
                <w:rFonts w:ascii="Arial" w:cs="Arial" w:eastAsia="Arial" w:hAnsi="Arial"/>
                <w:sz w:val="18"/>
                <w:szCs w:val="18"/>
                <w:color w:val="auto"/>
              </w:rPr>
              <w:t>Architecture, Engineering and Construction</w:t>
            </w:r>
          </w:p>
        </w:tc>
        <w:tc>
          <w:tcPr>
            <w:tcW w:w="1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124.8</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gridSpan w:val="2"/>
          </w:tcPr>
          <w:p>
            <w:pPr>
              <w:jc w:val="right"/>
              <w:ind w:right="220"/>
              <w:spacing w:after="0"/>
              <w:rPr>
                <w:sz w:val="20"/>
                <w:szCs w:val="20"/>
                <w:color w:val="auto"/>
              </w:rPr>
            </w:pPr>
            <w:r>
              <w:rPr>
                <w:rFonts w:ascii="Arial" w:cs="Arial" w:eastAsia="Arial" w:hAnsi="Arial"/>
                <w:sz w:val="18"/>
                <w:szCs w:val="18"/>
                <w:color w:val="auto"/>
                <w:w w:val="97"/>
              </w:rPr>
              <w:t>(39.2)</w:t>
            </w:r>
          </w:p>
        </w:tc>
        <w:tc>
          <w:tcPr>
            <w:tcW w:w="580" w:type="dxa"/>
            <w:vAlign w:val="bottom"/>
            <w:gridSpan w:val="2"/>
          </w:tcPr>
          <w:p>
            <w:pPr>
              <w:jc w:val="right"/>
              <w:ind w:right="100"/>
              <w:spacing w:after="0"/>
              <w:rPr>
                <w:sz w:val="20"/>
                <w:szCs w:val="20"/>
                <w:color w:val="auto"/>
              </w:rPr>
            </w:pPr>
            <w:r>
              <w:rPr>
                <w:rFonts w:ascii="Arial" w:cs="Arial" w:eastAsia="Arial" w:hAnsi="Arial"/>
                <w:sz w:val="18"/>
                <w:szCs w:val="18"/>
                <w:color w:val="auto"/>
              </w:rPr>
              <w:t>-24%</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164.0</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375.9</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gridSpan w:val="2"/>
          </w:tcPr>
          <w:p>
            <w:pPr>
              <w:jc w:val="right"/>
              <w:ind w:right="240"/>
              <w:spacing w:after="0"/>
              <w:rPr>
                <w:sz w:val="20"/>
                <w:szCs w:val="20"/>
                <w:color w:val="auto"/>
              </w:rPr>
            </w:pPr>
            <w:r>
              <w:rPr>
                <w:rFonts w:ascii="Arial" w:cs="Arial" w:eastAsia="Arial" w:hAnsi="Arial"/>
                <w:sz w:val="18"/>
                <w:szCs w:val="18"/>
                <w:color w:val="auto"/>
                <w:w w:val="91"/>
              </w:rPr>
              <w:t>(119.2)</w:t>
            </w:r>
          </w:p>
        </w:tc>
        <w:tc>
          <w:tcPr>
            <w:tcW w:w="60" w:type="dxa"/>
            <w:vAlign w:val="bottom"/>
          </w:tcPr>
          <w:p>
            <w:pPr>
              <w:spacing w:after="0"/>
              <w:rPr>
                <w:sz w:val="18"/>
                <w:szCs w:val="18"/>
                <w:color w:val="auto"/>
              </w:rPr>
            </w:pPr>
          </w:p>
        </w:tc>
        <w:tc>
          <w:tcPr>
            <w:tcW w:w="640" w:type="dxa"/>
            <w:vAlign w:val="bottom"/>
            <w:gridSpan w:val="2"/>
          </w:tcPr>
          <w:p>
            <w:pPr>
              <w:jc w:val="right"/>
              <w:ind w:right="240"/>
              <w:spacing w:after="0"/>
              <w:rPr>
                <w:sz w:val="20"/>
                <w:szCs w:val="20"/>
                <w:color w:val="auto"/>
              </w:rPr>
            </w:pPr>
            <w:r>
              <w:rPr>
                <w:rFonts w:ascii="Arial" w:cs="Arial" w:eastAsia="Arial" w:hAnsi="Arial"/>
                <w:sz w:val="18"/>
                <w:szCs w:val="18"/>
                <w:color w:val="auto"/>
                <w:w w:val="90"/>
              </w:rPr>
              <w:t>-24%</w:t>
            </w:r>
          </w:p>
        </w:tc>
        <w:tc>
          <w:tcPr>
            <w:tcW w:w="1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495.1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Manufacturing</w:t>
            </w: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89.7</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7"/>
              </w:rPr>
              <w:t>(34.1)</w:t>
            </w:r>
          </w:p>
        </w:tc>
        <w:tc>
          <w:tcPr>
            <w:tcW w:w="5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-28%</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123.8</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279.0</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(94.6)</w:t>
            </w:r>
          </w:p>
        </w:tc>
        <w:tc>
          <w:tcPr>
            <w:tcW w:w="6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90"/>
              </w:rPr>
              <w:t>-25%</w:t>
            </w: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373.6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80" w:type="dxa"/>
            <w:vAlign w:val="bottom"/>
          </w:tcPr>
          <w:p>
            <w:pPr>
              <w:ind w:left="440"/>
              <w:spacing w:after="0"/>
              <w:rPr>
                <w:sz w:val="20"/>
                <w:szCs w:val="20"/>
                <w:color w:val="auto"/>
              </w:rPr>
            </w:pPr>
            <w:r>
              <w:rPr>
                <w:rFonts w:ascii="Arial" w:cs="Arial" w:eastAsia="Arial" w:hAnsi="Arial"/>
                <w:sz w:val="18"/>
                <w:szCs w:val="18"/>
                <w:color w:val="auto"/>
              </w:rPr>
              <w:t>Media and Entertainment</w:t>
            </w:r>
          </w:p>
        </w:tc>
        <w:tc>
          <w:tcPr>
            <w:tcW w:w="1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48.1</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gridSpan w:val="2"/>
          </w:tcPr>
          <w:p>
            <w:pPr>
              <w:jc w:val="right"/>
              <w:ind w:right="220"/>
              <w:spacing w:after="0"/>
              <w:rPr>
                <w:sz w:val="20"/>
                <w:szCs w:val="20"/>
                <w:color w:val="auto"/>
              </w:rPr>
            </w:pPr>
            <w:r>
              <w:rPr>
                <w:rFonts w:ascii="Arial" w:cs="Arial" w:eastAsia="Arial" w:hAnsi="Arial"/>
                <w:sz w:val="18"/>
                <w:szCs w:val="18"/>
                <w:color w:val="auto"/>
                <w:w w:val="97"/>
              </w:rPr>
              <w:t>(24.9)</w:t>
            </w:r>
          </w:p>
        </w:tc>
        <w:tc>
          <w:tcPr>
            <w:tcW w:w="580" w:type="dxa"/>
            <w:vAlign w:val="bottom"/>
            <w:gridSpan w:val="2"/>
          </w:tcPr>
          <w:p>
            <w:pPr>
              <w:jc w:val="right"/>
              <w:ind w:right="100"/>
              <w:spacing w:after="0"/>
              <w:rPr>
                <w:sz w:val="20"/>
                <w:szCs w:val="20"/>
                <w:color w:val="auto"/>
              </w:rPr>
            </w:pPr>
            <w:r>
              <w:rPr>
                <w:rFonts w:ascii="Arial" w:cs="Arial" w:eastAsia="Arial" w:hAnsi="Arial"/>
                <w:sz w:val="18"/>
                <w:szCs w:val="18"/>
                <w:color w:val="auto"/>
              </w:rPr>
              <w:t>-34%</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73.0</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142.7</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gridSpan w:val="2"/>
          </w:tcPr>
          <w:p>
            <w:pPr>
              <w:jc w:val="right"/>
              <w:ind w:right="240"/>
              <w:spacing w:after="0"/>
              <w:rPr>
                <w:sz w:val="20"/>
                <w:szCs w:val="20"/>
                <w:color w:val="auto"/>
              </w:rPr>
            </w:pPr>
            <w:r>
              <w:rPr>
                <w:rFonts w:ascii="Arial" w:cs="Arial" w:eastAsia="Arial" w:hAnsi="Arial"/>
                <w:sz w:val="18"/>
                <w:szCs w:val="18"/>
                <w:color w:val="auto"/>
              </w:rPr>
              <w:t>(66.8)</w:t>
            </w:r>
          </w:p>
        </w:tc>
        <w:tc>
          <w:tcPr>
            <w:tcW w:w="60" w:type="dxa"/>
            <w:vAlign w:val="bottom"/>
          </w:tcPr>
          <w:p>
            <w:pPr>
              <w:spacing w:after="0"/>
              <w:rPr>
                <w:sz w:val="18"/>
                <w:szCs w:val="18"/>
                <w:color w:val="auto"/>
              </w:rPr>
            </w:pPr>
          </w:p>
        </w:tc>
        <w:tc>
          <w:tcPr>
            <w:tcW w:w="640" w:type="dxa"/>
            <w:vAlign w:val="bottom"/>
            <w:gridSpan w:val="2"/>
          </w:tcPr>
          <w:p>
            <w:pPr>
              <w:jc w:val="right"/>
              <w:ind w:right="240"/>
              <w:spacing w:after="0"/>
              <w:rPr>
                <w:sz w:val="20"/>
                <w:szCs w:val="20"/>
                <w:color w:val="auto"/>
              </w:rPr>
            </w:pPr>
            <w:r>
              <w:rPr>
                <w:rFonts w:ascii="Arial" w:cs="Arial" w:eastAsia="Arial" w:hAnsi="Arial"/>
                <w:sz w:val="18"/>
                <w:szCs w:val="18"/>
                <w:color w:val="auto"/>
                <w:w w:val="90"/>
              </w:rPr>
              <w:t>-32%</w:t>
            </w:r>
          </w:p>
        </w:tc>
        <w:tc>
          <w:tcPr>
            <w:tcW w:w="1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209.5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Other</w:t>
            </w: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jc w:val="right"/>
              <w:ind w:right="15"/>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(6.9)</w:t>
            </w:r>
          </w:p>
        </w:tc>
        <w:tc>
          <w:tcPr>
            <w:tcW w:w="5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8"/>
              </w:rPr>
              <w:t>-100%</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(18.0)</w:t>
            </w:r>
          </w:p>
        </w:tc>
        <w:tc>
          <w:tcPr>
            <w:tcW w:w="6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90"/>
              </w:rPr>
              <w:t>-98%</w:t>
            </w: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5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60" w:type="dxa"/>
            <w:vAlign w:val="bottom"/>
            <w:gridSpan w:val="2"/>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80" w:type="dxa"/>
            <w:vAlign w:val="bottom"/>
            <w:gridSpan w:val="2"/>
            <w:vMerge w:val="restart"/>
          </w:tcPr>
          <w:p>
            <w:pPr>
              <w:jc w:val="right"/>
              <w:ind w:right="100"/>
              <w:spacing w:after="0"/>
              <w:rPr>
                <w:sz w:val="20"/>
                <w:szCs w:val="20"/>
                <w:color w:val="auto"/>
              </w:rPr>
            </w:pPr>
            <w:r>
              <w:rPr>
                <w:rFonts w:ascii="Arial" w:cs="Arial" w:eastAsia="Arial" w:hAnsi="Arial"/>
                <w:sz w:val="18"/>
                <w:szCs w:val="18"/>
                <w:color w:val="auto"/>
              </w:rPr>
              <w:t>-31%</w:t>
            </w:r>
          </w:p>
        </w:tc>
        <w:tc>
          <w:tcPr>
            <w:tcW w:w="1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40" w:type="dxa"/>
            <w:vAlign w:val="bottom"/>
            <w:gridSpan w:val="2"/>
            <w:vMerge w:val="restart"/>
          </w:tcPr>
          <w:p>
            <w:pPr>
              <w:jc w:val="right"/>
              <w:ind w:right="240"/>
              <w:spacing w:after="0"/>
              <w:rPr>
                <w:sz w:val="20"/>
                <w:szCs w:val="20"/>
                <w:color w:val="auto"/>
              </w:rPr>
            </w:pPr>
            <w:r>
              <w:rPr>
                <w:rFonts w:ascii="Arial" w:cs="Arial" w:eastAsia="Arial" w:hAnsi="Arial"/>
                <w:sz w:val="18"/>
                <w:szCs w:val="18"/>
                <w:color w:val="auto"/>
                <w:w w:val="90"/>
              </w:rPr>
              <w:t>-31%</w:t>
            </w:r>
          </w:p>
        </w:tc>
        <w:tc>
          <w:tcPr>
            <w:tcW w:w="14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4580" w:type="dxa"/>
            <w:vAlign w:val="bottom"/>
          </w:tcPr>
          <w:p>
            <w:pPr>
              <w:spacing w:after="0"/>
              <w:rPr>
                <w:sz w:val="19"/>
                <w:szCs w:val="19"/>
                <w:color w:val="auto"/>
              </w:rPr>
            </w:pP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416.9</w:t>
            </w:r>
          </w:p>
        </w:tc>
        <w:tc>
          <w:tcPr>
            <w:tcW w:w="180" w:type="dxa"/>
            <w:vAlign w:val="bottom"/>
          </w:tcPr>
          <w:p>
            <w:pPr>
              <w:spacing w:after="0"/>
              <w:rPr>
                <w:sz w:val="19"/>
                <w:szCs w:val="19"/>
                <w:color w:val="auto"/>
              </w:rPr>
            </w:pPr>
          </w:p>
        </w:tc>
        <w:tc>
          <w:tcPr>
            <w:tcW w:w="840" w:type="dxa"/>
            <w:vAlign w:val="bottom"/>
            <w:gridSpan w:val="3"/>
          </w:tcPr>
          <w:p>
            <w:pPr>
              <w:jc w:val="right"/>
              <w:ind w:right="220"/>
              <w:spacing w:after="0"/>
              <w:rPr>
                <w:sz w:val="20"/>
                <w:szCs w:val="20"/>
                <w:color w:val="auto"/>
              </w:rPr>
            </w:pPr>
            <w:r>
              <w:rPr>
                <w:rFonts w:ascii="Arial" w:cs="Arial" w:eastAsia="Arial" w:hAnsi="Arial"/>
                <w:sz w:val="18"/>
                <w:szCs w:val="18"/>
                <w:u w:val="single" w:color="auto"/>
                <w:color w:val="auto"/>
                <w:w w:val="89"/>
              </w:rPr>
              <w:t>$</w:t>
            </w:r>
            <w:r>
              <w:rPr>
                <w:rFonts w:ascii="Arial" w:cs="Arial" w:eastAsia="Arial" w:hAnsi="Arial"/>
                <w:sz w:val="18"/>
                <w:szCs w:val="18"/>
                <w:color w:val="auto"/>
                <w:w w:val="89"/>
              </w:rPr>
              <w:t>(190.2)</w:t>
            </w:r>
          </w:p>
        </w:tc>
        <w:tc>
          <w:tcPr>
            <w:tcW w:w="580" w:type="dxa"/>
            <w:vAlign w:val="bottom"/>
            <w:gridSpan w:val="2"/>
            <w:vMerge w:val="continue"/>
          </w:tcPr>
          <w:p>
            <w:pPr>
              <w:spacing w:after="0"/>
              <w:rPr>
                <w:sz w:val="19"/>
                <w:szCs w:val="19"/>
                <w:color w:val="auto"/>
              </w:rPr>
            </w:pPr>
          </w:p>
        </w:tc>
        <w:tc>
          <w:tcPr>
            <w:tcW w:w="280" w:type="dxa"/>
            <w:vAlign w:val="bottom"/>
            <w:gridSpan w:val="2"/>
          </w:tcPr>
          <w:p>
            <w:pPr>
              <w:ind w:left="120"/>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607.1</w:t>
            </w:r>
          </w:p>
        </w:tc>
        <w:tc>
          <w:tcPr>
            <w:tcW w:w="320" w:type="dxa"/>
            <w:vAlign w:val="bottom"/>
            <w:gridSpan w:val="2"/>
          </w:tcPr>
          <w:p>
            <w:pPr>
              <w:ind w:left="180"/>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w w:val="96"/>
              </w:rPr>
              <w:t>1,257.6</w:t>
            </w:r>
          </w:p>
        </w:tc>
        <w:tc>
          <w:tcPr>
            <w:tcW w:w="2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gridSpan w:val="2"/>
          </w:tcPr>
          <w:p>
            <w:pPr>
              <w:jc w:val="right"/>
              <w:ind w:right="240"/>
              <w:spacing w:after="0"/>
              <w:rPr>
                <w:sz w:val="20"/>
                <w:szCs w:val="20"/>
                <w:color w:val="auto"/>
              </w:rPr>
            </w:pPr>
            <w:r>
              <w:rPr>
                <w:rFonts w:ascii="Arial" w:cs="Arial" w:eastAsia="Arial" w:hAnsi="Arial"/>
                <w:sz w:val="18"/>
                <w:szCs w:val="18"/>
                <w:color w:val="auto"/>
                <w:w w:val="91"/>
              </w:rPr>
              <w:t>(567.8)</w:t>
            </w:r>
          </w:p>
        </w:tc>
        <w:tc>
          <w:tcPr>
            <w:tcW w:w="60" w:type="dxa"/>
            <w:vAlign w:val="bottom"/>
          </w:tcPr>
          <w:p>
            <w:pPr>
              <w:spacing w:after="0"/>
              <w:rPr>
                <w:sz w:val="19"/>
                <w:szCs w:val="19"/>
                <w:color w:val="auto"/>
              </w:rPr>
            </w:pPr>
          </w:p>
        </w:tc>
        <w:tc>
          <w:tcPr>
            <w:tcW w:w="640" w:type="dxa"/>
            <w:vAlign w:val="bottom"/>
            <w:gridSpan w:val="2"/>
            <w:vMerge w:val="continue"/>
          </w:tcPr>
          <w:p>
            <w:pPr>
              <w:spacing w:after="0"/>
              <w:rPr>
                <w:sz w:val="19"/>
                <w:szCs w:val="19"/>
                <w:color w:val="auto"/>
              </w:rPr>
            </w:pP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620" w:type="dxa"/>
            <w:vAlign w:val="bottom"/>
            <w:gridSpan w:val="2"/>
          </w:tcPr>
          <w:p>
            <w:pPr>
              <w:jc w:val="right"/>
              <w:ind w:right="20"/>
              <w:spacing w:after="0"/>
              <w:rPr>
                <w:sz w:val="20"/>
                <w:szCs w:val="20"/>
                <w:color w:val="auto"/>
              </w:rPr>
            </w:pPr>
            <w:r>
              <w:rPr>
                <w:rFonts w:ascii="Arial" w:cs="Arial" w:eastAsia="Arial" w:hAnsi="Arial"/>
                <w:sz w:val="18"/>
                <w:szCs w:val="18"/>
                <w:color w:val="auto"/>
                <w:w w:val="96"/>
              </w:rPr>
              <w:t>1,825.4</w:t>
            </w:r>
          </w:p>
        </w:tc>
        <w:tc>
          <w:tcPr>
            <w:tcW w:w="0" w:type="dxa"/>
            <w:vAlign w:val="bottom"/>
          </w:tcPr>
          <w:p>
            <w:pPr>
              <w:spacing w:after="0"/>
              <w:rPr>
                <w:sz w:val="1"/>
                <w:szCs w:val="1"/>
                <w:color w:val="auto"/>
              </w:rPr>
            </w:pPr>
          </w:p>
        </w:tc>
      </w:tr>
      <w:tr>
        <w:trPr>
          <w:trHeight w:val="20"/>
        </w:trPr>
        <w:tc>
          <w:tcPr>
            <w:tcW w:w="45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right="40" w:firstLine="456"/>
        <w:spacing w:after="0" w:line="256" w:lineRule="auto"/>
        <w:rPr>
          <w:sz w:val="20"/>
          <w:szCs w:val="20"/>
          <w:color w:val="auto"/>
        </w:rPr>
      </w:pPr>
      <w:r>
        <w:rPr>
          <w:rFonts w:ascii="Arial" w:cs="Arial" w:eastAsia="Arial" w:hAnsi="Arial"/>
          <w:sz w:val="18"/>
          <w:szCs w:val="18"/>
          <w:color w:val="auto"/>
        </w:rPr>
        <w:t>In the third quarter of fiscal 2010, we changed our methodology for allocating certain revenue transactions, including gains and losses from foreign currency. Revenue by country, product type and business segment for certain prior periods have been reclassified to conform to the current presentation. The change in methodology did not have a material impact on any period. See Note 18, “Segments,” in the Notes to Condensed Consolidated Financial Statements for further discussion.</w:t>
      </w:r>
    </w:p>
    <w:p>
      <w:pPr>
        <w:spacing w:after="0" w:line="224"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License and Other Revenue</w:t>
      </w:r>
    </w:p>
    <w:p>
      <w:pPr>
        <w:spacing w:after="0" w:line="90" w:lineRule="exact"/>
        <w:rPr>
          <w:sz w:val="20"/>
          <w:szCs w:val="20"/>
          <w:color w:val="auto"/>
        </w:rPr>
      </w:pPr>
    </w:p>
    <w:p>
      <w:pPr>
        <w:ind w:right="420" w:firstLine="456"/>
        <w:spacing w:after="0" w:line="298" w:lineRule="auto"/>
        <w:rPr>
          <w:sz w:val="20"/>
          <w:szCs w:val="20"/>
          <w:color w:val="auto"/>
        </w:rPr>
      </w:pPr>
      <w:r>
        <w:rPr>
          <w:rFonts w:ascii="Arial" w:cs="Arial" w:eastAsia="Arial" w:hAnsi="Arial"/>
          <w:sz w:val="16"/>
          <w:szCs w:val="16"/>
          <w:color w:val="auto"/>
        </w:rPr>
        <w:t>License and other revenue is comprised of two components: all forms of product license revenue and other revenue. Product license revenue includes revenue from the sale of new seat licenses, revenue from the Autodesk upgrade program and revenue from the Autodesk crossgrade program. Other revenue consists of revenue from Advanced Systems, consulting and training services, Autodesk Collaborative Solution hosting, and our former Location Services division. We divested the Location Services division in February 2009, and we do not expect further revenue to be received from it.</w:t>
      </w:r>
    </w:p>
    <w:p>
      <w:pPr>
        <w:spacing w:after="0" w:line="113" w:lineRule="exact"/>
        <w:rPr>
          <w:sz w:val="20"/>
          <w:szCs w:val="20"/>
          <w:color w:val="auto"/>
        </w:rPr>
      </w:pPr>
    </w:p>
    <w:p>
      <w:pPr>
        <w:ind w:right="40" w:firstLine="456"/>
        <w:spacing w:after="0" w:line="290" w:lineRule="auto"/>
        <w:rPr>
          <w:sz w:val="20"/>
          <w:szCs w:val="20"/>
          <w:color w:val="auto"/>
        </w:rPr>
      </w:pPr>
      <w:r>
        <w:rPr>
          <w:rFonts w:ascii="Arial" w:cs="Arial" w:eastAsia="Arial" w:hAnsi="Arial"/>
          <w:sz w:val="16"/>
          <w:szCs w:val="16"/>
          <w:color w:val="auto"/>
        </w:rPr>
        <w:t>Total license and other revenue decreased 44% during the three months ended October 31, 2009, as compared to the same period of the prior fiscal year. License and other revenue from 2D and 2D vertical products decreased 37% and license and other revenue from 3D model-based design products decreased 25%, each as compared to the same period of the prior fiscal year. These decreases were primarily due to the 47% decrease in commercial new seat revenue during the three months ended October 31, 2009. During the three months ended October 31, 2009, 32 percentage points of the 47% decrease was due to decreases in the number of seats sold, and 15 percentage points was due to lower average net revenue per seat. As a percentage of total net revenue, license and other revenue was 57% and 69% for the three months ended October 31, 2009 and 2008, respectively. Commercial new seat revenue, as a percentage of license and other revenue, was 63% and 67% for the three months ended October 31, 2009 and 2008, respectively.</w:t>
      </w:r>
    </w:p>
    <w:p>
      <w:pPr>
        <w:spacing w:after="0" w:line="1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420"/>
          </w:cols>
          <w:pgMar w:left="240" w:top="459" w:right="239" w:bottom="1440" w:gutter="0" w:footer="0" w:header="0"/>
        </w:sectPr>
      </w:pPr>
    </w:p>
    <w:bookmarkStart w:id="31" w:name="page32"/>
    <w:bookmarkEnd w:id="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40" w:firstLine="456"/>
        <w:spacing w:after="0" w:line="290" w:lineRule="auto"/>
        <w:rPr>
          <w:sz w:val="20"/>
          <w:szCs w:val="20"/>
          <w:color w:val="auto"/>
        </w:rPr>
      </w:pPr>
      <w:r>
        <w:rPr>
          <w:rFonts w:ascii="Arial" w:cs="Arial" w:eastAsia="Arial" w:hAnsi="Arial"/>
          <w:sz w:val="16"/>
          <w:szCs w:val="16"/>
          <w:color w:val="auto"/>
        </w:rPr>
        <w:t>Total license and other revenue decreased 45% during the nine months ended October 31, 2009 as compared to the same period of the prior fiscal year. License and other revenue from 2D and 2D vertical products decreased 39% and license and other revenue from 3D model-based design products decreased 23%, each as compared to the same period of the prior fiscal year. These decreases were primarily due to the 50% decrease in commercial new seat revenue during the nine months ended October 31, 2009. During the nine months ended October 31, 2009, 36 percentage points of the 50% decrease was due to decreases in the number of seats sold, and 14 percentage points was due to lower average net revenue per seat. As a percentage of total net revenue, license and other revenue was 57% and 71% for the nine months ended October 31, 2009 and 2008, respectively. Commercial new seat revenue, as a percentage of license and other revenue, was 61% and 67% for the nine months ended October 31, 2009 and 2008, respectively.</w:t>
      </w:r>
    </w:p>
    <w:p>
      <w:pPr>
        <w:spacing w:after="0" w:line="118" w:lineRule="exact"/>
        <w:rPr>
          <w:sz w:val="20"/>
          <w:szCs w:val="20"/>
          <w:color w:val="auto"/>
        </w:rPr>
      </w:pPr>
    </w:p>
    <w:p>
      <w:pPr>
        <w:ind w:right="40" w:firstLine="456"/>
        <w:spacing w:after="0" w:line="290" w:lineRule="auto"/>
        <w:rPr>
          <w:sz w:val="20"/>
          <w:szCs w:val="20"/>
          <w:color w:val="auto"/>
        </w:rPr>
      </w:pPr>
      <w:r>
        <w:rPr>
          <w:rFonts w:ascii="Arial" w:cs="Arial" w:eastAsia="Arial" w:hAnsi="Arial"/>
          <w:sz w:val="16"/>
          <w:szCs w:val="16"/>
          <w:color w:val="auto"/>
        </w:rPr>
        <w:t>Also contributing to the decreases in license and other revenue during the three and nine months ended October 31, 2009, as compared to the same periods of the prior fiscal year, were the respective 36% and 40% decreases in upgrade revenue, which includes crossgrade revenue. The decreases in upgrade revenue were driven primarily by the recent global economic contraction, with our customers delaying the purchase of upgrades due to uncertainties in the current business climate. Additionally, upgrade revenue was lower during the three and nine months ended October 31, 2009 because of the relatively smaller size of the upgradeable base of our AutoCAD-based products, as compared to the upgradeable base of our AutoCAD-based products as of the same periods in the prior fiscal year, due to a higher percentage of customers on our maintenance program, which includes unspecified upgrades when and if available. Over the long term, we expect revenue from upgrades to decrease as we continue to move customers onto our maintenance program.</w:t>
      </w:r>
    </w:p>
    <w:p>
      <w:pPr>
        <w:spacing w:after="0" w:line="118" w:lineRule="exact"/>
        <w:rPr>
          <w:sz w:val="20"/>
          <w:szCs w:val="20"/>
          <w:color w:val="auto"/>
        </w:rPr>
      </w:pPr>
    </w:p>
    <w:p>
      <w:pPr>
        <w:ind w:right="460" w:firstLine="456"/>
        <w:spacing w:after="0" w:line="268" w:lineRule="auto"/>
        <w:rPr>
          <w:sz w:val="20"/>
          <w:szCs w:val="20"/>
          <w:color w:val="auto"/>
        </w:rPr>
      </w:pPr>
      <w:r>
        <w:rPr>
          <w:rFonts w:ascii="Arial" w:cs="Arial" w:eastAsia="Arial" w:hAnsi="Arial"/>
          <w:sz w:val="18"/>
          <w:szCs w:val="18"/>
          <w:color w:val="auto"/>
        </w:rPr>
        <w:t>Revenue from the sales of our services, training and support, included in “License and other revenue,” represented less than 4% of net revenue for all periods presented.</w:t>
      </w:r>
    </w:p>
    <w:p>
      <w:pPr>
        <w:spacing w:after="0" w:line="213"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Maintenance Revenue</w:t>
      </w:r>
    </w:p>
    <w:p>
      <w:pPr>
        <w:spacing w:after="0" w:line="90" w:lineRule="exact"/>
        <w:rPr>
          <w:sz w:val="20"/>
          <w:szCs w:val="20"/>
          <w:color w:val="auto"/>
        </w:rPr>
      </w:pPr>
    </w:p>
    <w:p>
      <w:pPr>
        <w:ind w:right="20" w:firstLine="456"/>
        <w:spacing w:after="0" w:line="291" w:lineRule="auto"/>
        <w:rPr>
          <w:sz w:val="20"/>
          <w:szCs w:val="20"/>
          <w:color w:val="auto"/>
        </w:rPr>
      </w:pPr>
      <w:r>
        <w:rPr>
          <w:rFonts w:ascii="Arial" w:cs="Arial" w:eastAsia="Arial" w:hAnsi="Arial"/>
          <w:sz w:val="16"/>
          <w:szCs w:val="16"/>
          <w:color w:val="auto"/>
        </w:rPr>
        <w:t>Our maintenance revenue relates to a program known by our user community as the Subscription Program. Under our maintenance program, customers are eligible to receive unspecified upgrades when and if available, downloadable training courses and online support. We recognize maintenance revenue ratably over the maintenance contract periods. Maintenance revenue decreased 3% during the three months ended October 31, 2009, as compared to the same period of the prior fiscal year, primarily due to a 3% decrease in commercial maintenance revenue. The decrease in commercial maintenance revenue is due to 10 percentage points from lower program enrollment, partially offset by 7 percentage points from higher net revenue per maintenance seat. As a percentage of total net revenue, maintenance revenue was 43% and 31% for the three months ended October 31, 2009 and 2008, respectively.</w:t>
      </w:r>
    </w:p>
    <w:p>
      <w:pPr>
        <w:spacing w:after="0" w:line="120" w:lineRule="exact"/>
        <w:rPr>
          <w:sz w:val="20"/>
          <w:szCs w:val="20"/>
          <w:color w:val="auto"/>
        </w:rPr>
      </w:pPr>
    </w:p>
    <w:p>
      <w:pPr>
        <w:jc w:val="both"/>
        <w:ind w:right="20" w:firstLine="456"/>
        <w:spacing w:after="0" w:line="256" w:lineRule="auto"/>
        <w:rPr>
          <w:sz w:val="20"/>
          <w:szCs w:val="20"/>
          <w:color w:val="auto"/>
        </w:rPr>
      </w:pPr>
      <w:r>
        <w:rPr>
          <w:rFonts w:ascii="Arial" w:cs="Arial" w:eastAsia="Arial" w:hAnsi="Arial"/>
          <w:sz w:val="18"/>
          <w:szCs w:val="18"/>
          <w:color w:val="auto"/>
        </w:rPr>
        <w:t>Maintenance revenue increased 3% during the nine months ended October 31, 2009, as compared to the same period of the prior fiscal year, primarily due to a 3% increase in commercial maintenance revenue. The increase in commercial maintenance revenue is due to 7 percentage points from higher net revenue per maintenance seat, partially offset by 4 percentage points from lower program enrollment. As a percentage of total net revenue, maintenance revenue was 43% and 29% for the nine months ended October 31, 2009 and 2008, respectively.</w:t>
      </w:r>
    </w:p>
    <w:p>
      <w:pPr>
        <w:spacing w:after="0" w:line="143"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Our maintenance program provides customers with a cost effective and predictable budgetary option to obtain the productivity benefits of our new releases and enhancements when and if released during the term of their contracts. Total program enrollment at October 31, 2009 consisted of about 2.2 million users. The year over year growth in billings for maintenance contracts began to slow in the second quarter of fiscal 2009, and maintenance billings declined year over year in both the three and nine months ended October 31, 2009. Maintenance billings declined 10% and 11% during the three and nine months ended October 31, 2009, respectively, as compared to the same periods of the prior fiscal year, due to fewer new seats sold and a decrease in renewal rates as customers have reduced their work force. The change in maintenance billings is an indicator of future maintenance revenue because we recognize the revenue ratably over the life of the maintenance contracts, which is predominantly one year. Without a meaningful near-term increase in maintenance billings, the year-over-year decline in maintenance billings will continue to create downward pressure on maintenance revenue over the next four quarters.</w:t>
      </w:r>
    </w:p>
    <w:p>
      <w:pPr>
        <w:spacing w:after="0" w:line="118" w:lineRule="exact"/>
        <w:rPr>
          <w:sz w:val="20"/>
          <w:szCs w:val="20"/>
          <w:color w:val="auto"/>
        </w:rPr>
      </w:pPr>
    </w:p>
    <w:p>
      <w:pPr>
        <w:ind w:right="100" w:firstLine="456"/>
        <w:spacing w:after="0" w:line="290" w:lineRule="auto"/>
        <w:rPr>
          <w:sz w:val="20"/>
          <w:szCs w:val="20"/>
          <w:color w:val="auto"/>
        </w:rPr>
      </w:pPr>
      <w:r>
        <w:rPr>
          <w:rFonts w:ascii="Arial" w:cs="Arial" w:eastAsia="Arial" w:hAnsi="Arial"/>
          <w:sz w:val="16"/>
          <w:szCs w:val="16"/>
          <w:color w:val="auto"/>
        </w:rPr>
        <w:t>Aggregate backlog at October 31, 2009 and January 31, 2009 was $481.7 million and $569.5 million, respectively, of which $469.5 million and $552.1 million, respectively, represented deferred revenue. Backlog related to current software license product orders that had not shipped at the end of the quarter decreased by $5.2 million during the first three quarters of fiscal 2010 from $17.4 million at January 31, 2009 to $12.2 million at October 31, 2009. Deferred revenue consists primarily of deferred maintenance revenue. To a lesser extent, deferred revenue consists of deferred license and other revenue derived from collaborative project management services, consulting services and deferred license sales. Backlog from current software license product orders that we have not yet shipped consists of orders for currently available licensed software products from customers with approved credit status and may include orders with current ship dates and orders with ship dates beyond the current fiscal period.</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420"/>
          </w:cols>
          <w:pgMar w:left="240" w:top="459" w:right="239" w:bottom="1440" w:gutter="0" w:footer="0" w:header="0"/>
        </w:sectPr>
      </w:pPr>
    </w:p>
    <w:bookmarkStart w:id="32" w:name="page33"/>
    <w:bookmarkEnd w:id="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Net Revenue by Geographic Area</w:t>
      </w:r>
    </w:p>
    <w:p>
      <w:pPr>
        <w:spacing w:after="0" w:line="63" w:lineRule="exact"/>
        <w:rPr>
          <w:sz w:val="20"/>
          <w:szCs w:val="20"/>
          <w:color w:val="auto"/>
        </w:rPr>
      </w:pPr>
    </w:p>
    <w:p>
      <w:pPr>
        <w:ind w:firstLine="456"/>
        <w:spacing w:after="0" w:line="309" w:lineRule="auto"/>
        <w:rPr>
          <w:sz w:val="20"/>
          <w:szCs w:val="20"/>
          <w:color w:val="auto"/>
        </w:rPr>
      </w:pPr>
      <w:r>
        <w:rPr>
          <w:rFonts w:ascii="Arial" w:cs="Arial" w:eastAsia="Arial" w:hAnsi="Arial"/>
          <w:sz w:val="15"/>
          <w:szCs w:val="15"/>
          <w:color w:val="auto"/>
        </w:rPr>
        <w:t>Net revenue in the Americas region decreased by 25% as reported and 24% on a constant currency basis, during the three months ended October 31, 2009, as compared to the same period in the prior fiscal year. This decrease was primarily due to a 30% decrease in revenue from new seats, a 17% decrease in upgrade revenue and a 5% decrease in maintenance revenue in the Americas. Had exchange rates from the three months ended October 31, 2008 been in effect during the three months ended October 31, 2009, translated net revenue in the Americas would have been $0.3 million higher. Net revenue in the Americas region decreased by 20% both as reported and on a constant currency basis, during the nine months ended October 31, 2009, as compared to the same period in the prior fiscal year. This decrease was primarily due to a 33% decrease in revenue from new seats and a 14% decrease in upgrade revenue in the Americas. These decreases were partially offset by a 1% increase in maintenance revenue. Had exchange rates from the nine months ended October 31, 2008 been in effect during the nine months ended October 31, 2009, translated net revenue in the Americas would have been $1.6 million higher. Growth in the Americas continues to be affected by a contracting economy that impacted growth rates for all of our products during the three and nine months ended October 31, 2009.</w:t>
      </w:r>
    </w:p>
    <w:p>
      <w:pPr>
        <w:spacing w:after="0" w:line="108" w:lineRule="exact"/>
        <w:rPr>
          <w:sz w:val="20"/>
          <w:szCs w:val="20"/>
          <w:color w:val="auto"/>
        </w:rPr>
      </w:pPr>
    </w:p>
    <w:p>
      <w:pPr>
        <w:ind w:right="40" w:firstLine="456"/>
        <w:spacing w:after="0" w:line="285" w:lineRule="auto"/>
        <w:rPr>
          <w:sz w:val="20"/>
          <w:szCs w:val="20"/>
          <w:color w:val="auto"/>
        </w:rPr>
      </w:pPr>
      <w:r>
        <w:rPr>
          <w:rFonts w:ascii="Arial" w:cs="Arial" w:eastAsia="Arial" w:hAnsi="Arial"/>
          <w:sz w:val="16"/>
          <w:szCs w:val="16"/>
          <w:color w:val="auto"/>
        </w:rPr>
        <w:t>Net revenue in the EMEA region decreased by 38%, or 35% on a constant currency basis, during the three months ended October 31, 2009 as compared to the same period of the prior fiscal year. The decrease was primarily due to a 54% decrease in new seat revenue, a 50% decrease in revenue from upgrades and a 6% decrease in maintenance revenue. The EMEA region’s decline in revenue during the three months ended October 31, 2009 was primarily due to economic contraction in virtually all countries in the region. The decrease in our revenue was led by emerging economy countries followed by Germany, France, Italy and the United Kingdom. The negative effect of the stronger value of the U.S. dollar relative to the euro, the British pound and other European currencies also contributed to the decrease in net revenue in EMEA. Had exchange rates from the three months ended October 31, 2008 been in effect during the three months ended October 31, 2009, translated net revenue in EMEA would have been $8.9 million higher. Net revenue in the EMEA region decreased by 38%, or 30% on a constant currency basis, during the nine months ended October 31, 2009 as compared to the same period of the prior fiscal year. The decrease was primarily due to a 56% decrease in new seat revenue and a 52% decrease in revenue from upgrades. Maintenance revenue during the nine months ended October 31, 2009 was flat as compared to the same period in the prior fiscal year. The EMEA region’s decreased growth during the nine months ended October 31, 2009 was primarily due to economic contraction in virtually all countries in the region. The decrease in our revenue was led by emerging economy countries followed by the United Kingdom, Germany, France and Italy. The negative effect of the stronger value of the U.S. dollar relative to the euro, the British pound and other European currencies also contributed to the decrease in net revenue in EMEA. Had exchange rates from the nine months ended October 31, 2008 been in effect during the nine months ended October 31, 2009, translated net revenue in EMEA would have been $64.2 million higher.</w:t>
      </w:r>
    </w:p>
    <w:p>
      <w:pPr>
        <w:spacing w:after="0" w:line="128" w:lineRule="exact"/>
        <w:rPr>
          <w:sz w:val="20"/>
          <w:szCs w:val="20"/>
          <w:color w:val="auto"/>
        </w:rPr>
      </w:pPr>
    </w:p>
    <w:p>
      <w:pPr>
        <w:ind w:firstLine="456"/>
        <w:spacing w:after="0" w:line="287" w:lineRule="auto"/>
        <w:rPr>
          <w:sz w:val="20"/>
          <w:szCs w:val="20"/>
          <w:color w:val="auto"/>
        </w:rPr>
      </w:pPr>
      <w:r>
        <w:rPr>
          <w:rFonts w:ascii="Arial" w:cs="Arial" w:eastAsia="Arial" w:hAnsi="Arial"/>
          <w:sz w:val="16"/>
          <w:szCs w:val="16"/>
          <w:color w:val="auto"/>
        </w:rPr>
        <w:t>Net revenue in the APAC region decreased by 29%, or 33% on a constant currency basis, during the three months ended October 31, 2009, as compared to the same period of the prior fiscal year, primarily due to a 38% decrease in new seat revenue and a 39% decrease in upgrade revenue, partially offset by a 12% increase in maintenance revenue. Net revenue contraction in the APAC region during the three months ended October 31, 2009 occurred in virtually all countries, led by China and followed by Japan, South Korea, India and Singapore. Had exchange rates from the three months ended October 31, 2008 been in effect during the three months ended October 31, 2009, translated net revenue in APAC would have been $5.2 million lower. Net revenue in the APAC region decreased by 33%, or 35% on a constant currency basis, during the nine months ended October 31, 2009, as compared to the same period of the prior fiscal year, primarily due to a 45% decrease in new seat revenue, a 50% decrease in upgrade revenue, partially offset by a 16% increase in maintenance revenue. Net revenue contraction in the APAC region during the nine months ended October 31, 2009 occurred in virtually all countries, led by Japan and followed by China, South Korea, Australia and India. Had exchange rates from the nine months ended October 31, 2008 been in effect during the nine months ended October 31, 2009, translated net revenue in APAC would have been $7.2 million lower.</w:t>
      </w:r>
    </w:p>
    <w:p>
      <w:pPr>
        <w:spacing w:after="0" w:line="123" w:lineRule="exact"/>
        <w:rPr>
          <w:sz w:val="20"/>
          <w:szCs w:val="20"/>
          <w:color w:val="auto"/>
        </w:rPr>
      </w:pPr>
    </w:p>
    <w:p>
      <w:pPr>
        <w:ind w:right="80" w:firstLine="456"/>
        <w:spacing w:after="0" w:line="256" w:lineRule="auto"/>
        <w:rPr>
          <w:sz w:val="20"/>
          <w:szCs w:val="20"/>
          <w:color w:val="auto"/>
        </w:rPr>
      </w:pPr>
      <w:r>
        <w:rPr>
          <w:rFonts w:ascii="Arial" w:cs="Arial" w:eastAsia="Arial" w:hAnsi="Arial"/>
          <w:sz w:val="18"/>
          <w:szCs w:val="18"/>
          <w:color w:val="auto"/>
        </w:rPr>
        <w:t>Revenue from emerging economies decreased 46% and 44% during the three and nine months ended October 31, 2009, as compared to the three and nine month periods ended October 31, 2008. Revenue from emerging economies represented 15% of net revenue during the three and nine months ended October 31, 2009, as compared to 19% and 18% during the same periods of the prior fiscal year, respectively. These decreases were significant factors in our international sales contraction during the three and nine months ended October 31, 2009.</w:t>
      </w:r>
    </w:p>
    <w:p>
      <w:pPr>
        <w:spacing w:after="0" w:line="143" w:lineRule="exact"/>
        <w:rPr>
          <w:sz w:val="20"/>
          <w:szCs w:val="20"/>
          <w:color w:val="auto"/>
        </w:rPr>
      </w:pPr>
    </w:p>
    <w:p>
      <w:pPr>
        <w:ind w:right="140" w:firstLine="456"/>
        <w:spacing w:after="0" w:line="318" w:lineRule="auto"/>
        <w:rPr>
          <w:sz w:val="20"/>
          <w:szCs w:val="20"/>
          <w:color w:val="auto"/>
        </w:rPr>
      </w:pPr>
      <w:r>
        <w:rPr>
          <w:rFonts w:ascii="Arial" w:cs="Arial" w:eastAsia="Arial" w:hAnsi="Arial"/>
          <w:sz w:val="15"/>
          <w:szCs w:val="15"/>
          <w:color w:val="auto"/>
        </w:rPr>
        <w:t>We believe that international net revenue will continue to comprise a majority of our total net revenue. The recent economic contractions in the countries that contribute a significant portion of our net revenue had, and may continue to have, an adverse effect on our business in those countries. Changes in the value of the U.S. dollar relative to other currencies have significantly affected, and could continue to affect, our financial results for a given period even though we hedge a portion of our current and projected revenue. International net revenue represented 68% and 71% of our net revenue during the three months ended October 31, 2009 and 2008, respectively, and 69% and 72% of our net revenue during the nine months ended October 31, 2009 and 2008, respectively.</w:t>
      </w:r>
    </w:p>
    <w:p>
      <w:pPr>
        <w:spacing w:after="0" w:line="8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380"/>
          </w:cols>
          <w:pgMar w:left="240" w:top="459" w:right="279" w:bottom="1440" w:gutter="0" w:footer="0" w:header="0"/>
        </w:sectPr>
      </w:pPr>
    </w:p>
    <w:bookmarkStart w:id="33" w:name="page34"/>
    <w:bookmarkEnd w:id="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Net Revenue by Operating Segment</w:t>
      </w:r>
    </w:p>
    <w:p>
      <w:pPr>
        <w:spacing w:after="0" w:line="90" w:lineRule="exact"/>
        <w:rPr>
          <w:sz w:val="20"/>
          <w:szCs w:val="20"/>
          <w:color w:val="auto"/>
        </w:rPr>
      </w:pPr>
    </w:p>
    <w:p>
      <w:pPr>
        <w:ind w:right="140" w:firstLine="456"/>
        <w:spacing w:after="0" w:line="291" w:lineRule="auto"/>
        <w:rPr>
          <w:sz w:val="20"/>
          <w:szCs w:val="20"/>
          <w:color w:val="auto"/>
        </w:rPr>
      </w:pPr>
      <w:r>
        <w:rPr>
          <w:rFonts w:ascii="Arial" w:cs="Arial" w:eastAsia="Arial" w:hAnsi="Arial"/>
          <w:sz w:val="16"/>
          <w:szCs w:val="16"/>
          <w:color w:val="auto"/>
        </w:rPr>
        <w:t>We have four reportable segments: Platform Solutions and Emerging Business (“PSEB”), Architecture, Engineering and Construction (“AEC”), Manufacturing (“MFG”) and Media and Entertainment (“M&amp;E”). Location Services (“LBS”), which we disposed of in February 2009, is not included in any of the above reportable segments and is reflected as Other. In the first quarter of fiscal 2010, we reorganized our business to better align with our customers and accelerate product innovation. As part of this change there has been some product movement between business segments, including the movement of Geospatial and Process and Power design market products from PSEB to AEC. Certain reclassifications to segment revenue and gross profit have been made to prior year amounts to conform to the current presentation. We have no material inter-segment revenue.</w:t>
      </w:r>
    </w:p>
    <w:p>
      <w:pPr>
        <w:spacing w:after="0" w:line="120" w:lineRule="exact"/>
        <w:rPr>
          <w:sz w:val="20"/>
          <w:szCs w:val="20"/>
          <w:color w:val="auto"/>
        </w:rPr>
      </w:pPr>
    </w:p>
    <w:p>
      <w:pPr>
        <w:ind w:right="60" w:firstLine="456"/>
        <w:spacing w:after="0" w:line="298" w:lineRule="auto"/>
        <w:rPr>
          <w:sz w:val="20"/>
          <w:szCs w:val="20"/>
          <w:color w:val="auto"/>
        </w:rPr>
      </w:pPr>
      <w:r>
        <w:rPr>
          <w:rFonts w:ascii="Arial" w:cs="Arial" w:eastAsia="Arial" w:hAnsi="Arial"/>
          <w:sz w:val="16"/>
          <w:szCs w:val="16"/>
          <w:color w:val="auto"/>
        </w:rPr>
        <w:t>Net revenue for PSEB decreased 36% during the three months ended October 31, 2009, as compared to the same period of the prior fiscal year, primarily due to a 38% decrease in revenue from our AutoCAD products and a 41% decrease in revenue from our AutoCAD LT products. Net revenue for PSEB decreased 37% during the nine months ended October 31, 2009, as compared to the same period of the prior fiscal year, primarily due to a 43% decrease in revenue from our AutoCAD LT products and a 38% decrease in revenue from our AutoCAD products.</w:t>
      </w:r>
    </w:p>
    <w:p>
      <w:pPr>
        <w:spacing w:after="0" w:line="113" w:lineRule="exact"/>
        <w:rPr>
          <w:sz w:val="20"/>
          <w:szCs w:val="20"/>
          <w:color w:val="auto"/>
        </w:rPr>
      </w:pPr>
    </w:p>
    <w:p>
      <w:pPr>
        <w:ind w:right="20" w:firstLine="456"/>
        <w:spacing w:after="0" w:line="298" w:lineRule="auto"/>
        <w:rPr>
          <w:sz w:val="20"/>
          <w:szCs w:val="20"/>
          <w:color w:val="auto"/>
        </w:rPr>
      </w:pPr>
      <w:r>
        <w:rPr>
          <w:rFonts w:ascii="Arial" w:cs="Arial" w:eastAsia="Arial" w:hAnsi="Arial"/>
          <w:sz w:val="16"/>
          <w:szCs w:val="16"/>
          <w:color w:val="auto"/>
        </w:rPr>
        <w:t>Net revenue for AEC decreased 24% during the three months ended October 31, 2009, as compared to the same period of the prior fiscal year, primarily due to a 31% decrease in revenue from our Revit products and a 34% decrease in revenue from our ACAD Architecture products. Net revenue for AEC decreased 24% during the nine months ended October 31, 2009, as compared to the same period of the prior fiscal year, primarily due to a 28% decrease in revenue from our Revit products and a 40% decrease in revenue from our AutoCAD Architecture products.</w:t>
      </w:r>
    </w:p>
    <w:p>
      <w:pPr>
        <w:spacing w:after="0" w:line="113" w:lineRule="exact"/>
        <w:rPr>
          <w:sz w:val="20"/>
          <w:szCs w:val="20"/>
          <w:color w:val="auto"/>
        </w:rPr>
      </w:pPr>
    </w:p>
    <w:p>
      <w:pPr>
        <w:ind w:right="100" w:firstLine="456"/>
        <w:spacing w:after="0" w:line="298" w:lineRule="auto"/>
        <w:rPr>
          <w:sz w:val="20"/>
          <w:szCs w:val="20"/>
          <w:color w:val="auto"/>
        </w:rPr>
      </w:pPr>
      <w:r>
        <w:rPr>
          <w:rFonts w:ascii="Arial" w:cs="Arial" w:eastAsia="Arial" w:hAnsi="Arial"/>
          <w:sz w:val="16"/>
          <w:szCs w:val="16"/>
          <w:color w:val="auto"/>
        </w:rPr>
        <w:t>Net revenue for MFG decreased 28% during the three months ended October 31, 2009, as compared to the same period of the prior fiscal year, primarily due to a 29% decrease in revenue from Autodesk Inventor products and a 35% decrease in revenue from our Autodesk Mechanical products. Net revenue for MFG decreased 25% during the nine months ended October 31, 2009, as compared to the same period of the prior fiscal year, primarily due to a 31% decrease in revenue from our Autodesk Inventor products and a 39% decrease in revenue from our Autodesk Mechanical products.</w:t>
      </w:r>
    </w:p>
    <w:p>
      <w:pPr>
        <w:spacing w:after="0" w:line="113"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Net revenue for M&amp;E decreased 34% during the three months ended October 31, 2009, as compared to the same period of the prior fiscal year, primarily due to a 54% decrease in revenue from Advanced Systems and a 20% decrease in revenue from our Animation product group. The decrease in Animation revenue was primarily due to a 40% decrease in revenue from Autodesk 3ds Max and a 15% decrease in revenue from Maya. Net revenue for M&amp;E decreased 32% during the nine months ended October 31, 2009, as compared to the same period of the prior fiscal year, primarily due to a 45% decrease in revenue from Advanced Systems and a 23% decrease in revenue from our Animation product group. The decrease in Animation revenue was primarily due to a 38% decrease in revenue from Autodesk 3ds Max and a 19% decrease in revenue from Maya.</w:t>
      </w:r>
    </w:p>
    <w:p>
      <w:pPr>
        <w:spacing w:after="0" w:line="201"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Cost of Revenue</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5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640" w:type="dxa"/>
            <w:vAlign w:val="bottom"/>
            <w:gridSpan w:val="6"/>
          </w:tcPr>
          <w:p>
            <w:pPr>
              <w:jc w:val="center"/>
              <w:ind w:right="380"/>
              <w:spacing w:after="0"/>
              <w:rPr>
                <w:sz w:val="20"/>
                <w:szCs w:val="20"/>
                <w:color w:val="auto"/>
              </w:rPr>
            </w:pPr>
            <w:r>
              <w:rPr>
                <w:rFonts w:ascii="Arial" w:cs="Arial" w:eastAsia="Arial" w:hAnsi="Arial"/>
                <w:sz w:val="14"/>
                <w:szCs w:val="14"/>
                <w:b w:val="1"/>
                <w:bCs w:val="1"/>
                <w:color w:val="auto"/>
                <w:w w:val="84"/>
              </w:rPr>
              <w:t>Increase (decrease)</w:t>
            </w:r>
          </w:p>
        </w:tc>
        <w:tc>
          <w:tcPr>
            <w:tcW w:w="1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520" w:type="dxa"/>
            <w:vAlign w:val="bottom"/>
            <w:gridSpan w:val="6"/>
          </w:tcPr>
          <w:p>
            <w:pPr>
              <w:jc w:val="center"/>
              <w:ind w:right="260"/>
              <w:spacing w:after="0"/>
              <w:rPr>
                <w:sz w:val="20"/>
                <w:szCs w:val="20"/>
                <w:color w:val="auto"/>
              </w:rPr>
            </w:pPr>
            <w:r>
              <w:rPr>
                <w:rFonts w:ascii="Arial" w:cs="Arial" w:eastAsia="Arial" w:hAnsi="Arial"/>
                <w:sz w:val="14"/>
                <w:szCs w:val="14"/>
                <w:b w:val="1"/>
                <w:bCs w:val="1"/>
                <w:color w:val="auto"/>
                <w:w w:val="84"/>
              </w:rPr>
              <w:t>Increase (decrease)</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5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80" w:type="dxa"/>
            <w:vAlign w:val="bottom"/>
            <w:gridSpan w:val="2"/>
          </w:tcPr>
          <w:p>
            <w:pPr>
              <w:jc w:val="right"/>
              <w:ind w:right="480"/>
              <w:spacing w:after="0" w:line="149" w:lineRule="exact"/>
              <w:rPr>
                <w:sz w:val="20"/>
                <w:szCs w:val="20"/>
                <w:color w:val="auto"/>
              </w:rPr>
            </w:pPr>
            <w:r>
              <w:rPr>
                <w:rFonts w:ascii="Arial" w:cs="Arial" w:eastAsia="Arial" w:hAnsi="Arial"/>
                <w:sz w:val="14"/>
                <w:szCs w:val="14"/>
                <w:b w:val="1"/>
                <w:bCs w:val="1"/>
                <w:color w:val="auto"/>
                <w:w w:val="84"/>
              </w:rPr>
              <w:t>Three months</w:t>
            </w:r>
          </w:p>
        </w:tc>
        <w:tc>
          <w:tcPr>
            <w:tcW w:w="160" w:type="dxa"/>
            <w:vAlign w:val="bottom"/>
          </w:tcPr>
          <w:p>
            <w:pPr>
              <w:spacing w:after="0"/>
              <w:rPr>
                <w:sz w:val="12"/>
                <w:szCs w:val="12"/>
                <w:color w:val="auto"/>
              </w:rPr>
            </w:pPr>
          </w:p>
        </w:tc>
        <w:tc>
          <w:tcPr>
            <w:tcW w:w="840" w:type="dxa"/>
            <w:vAlign w:val="bottom"/>
            <w:gridSpan w:val="3"/>
          </w:tcPr>
          <w:p>
            <w:pPr>
              <w:jc w:val="center"/>
              <w:ind w:left="2"/>
              <w:spacing w:after="0" w:line="149" w:lineRule="exact"/>
              <w:rPr>
                <w:sz w:val="20"/>
                <w:szCs w:val="20"/>
                <w:color w:val="auto"/>
              </w:rPr>
            </w:pPr>
            <w:r>
              <w:rPr>
                <w:rFonts w:ascii="Arial" w:cs="Arial" w:eastAsia="Arial" w:hAnsi="Arial"/>
                <w:sz w:val="14"/>
                <w:szCs w:val="14"/>
                <w:b w:val="1"/>
                <w:bCs w:val="1"/>
                <w:color w:val="auto"/>
                <w:w w:val="85"/>
              </w:rPr>
              <w:t>compared to</w:t>
            </w:r>
          </w:p>
        </w:tc>
        <w:tc>
          <w:tcPr>
            <w:tcW w:w="2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80" w:type="dxa"/>
            <w:vAlign w:val="bottom"/>
            <w:gridSpan w:val="2"/>
          </w:tcPr>
          <w:p>
            <w:pPr>
              <w:jc w:val="right"/>
              <w:ind w:right="480"/>
              <w:spacing w:after="0" w:line="149" w:lineRule="exact"/>
              <w:rPr>
                <w:sz w:val="20"/>
                <w:szCs w:val="20"/>
                <w:color w:val="auto"/>
              </w:rPr>
            </w:pPr>
            <w:r>
              <w:rPr>
                <w:rFonts w:ascii="Arial" w:cs="Arial" w:eastAsia="Arial" w:hAnsi="Arial"/>
                <w:sz w:val="14"/>
                <w:szCs w:val="14"/>
                <w:b w:val="1"/>
                <w:bCs w:val="1"/>
                <w:color w:val="auto"/>
                <w:w w:val="84"/>
              </w:rPr>
              <w:t>Three months</w:t>
            </w:r>
          </w:p>
        </w:tc>
        <w:tc>
          <w:tcPr>
            <w:tcW w:w="120" w:type="dxa"/>
            <w:vAlign w:val="bottom"/>
          </w:tcPr>
          <w:p>
            <w:pPr>
              <w:spacing w:after="0"/>
              <w:rPr>
                <w:sz w:val="12"/>
                <w:szCs w:val="12"/>
                <w:color w:val="auto"/>
              </w:rPr>
            </w:pPr>
          </w:p>
        </w:tc>
        <w:tc>
          <w:tcPr>
            <w:tcW w:w="1140" w:type="dxa"/>
            <w:vAlign w:val="bottom"/>
            <w:gridSpan w:val="2"/>
          </w:tcPr>
          <w:p>
            <w:pPr>
              <w:jc w:val="right"/>
              <w:ind w:right="400"/>
              <w:spacing w:after="0" w:line="149" w:lineRule="exact"/>
              <w:rPr>
                <w:sz w:val="20"/>
                <w:szCs w:val="20"/>
                <w:color w:val="auto"/>
              </w:rPr>
            </w:pPr>
            <w:r>
              <w:rPr>
                <w:rFonts w:ascii="Arial" w:cs="Arial" w:eastAsia="Arial" w:hAnsi="Arial"/>
                <w:sz w:val="14"/>
                <w:szCs w:val="14"/>
                <w:b w:val="1"/>
                <w:bCs w:val="1"/>
                <w:color w:val="auto"/>
                <w:w w:val="84"/>
              </w:rPr>
              <w:t>Nine months</w:t>
            </w: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40" w:type="dxa"/>
            <w:vAlign w:val="bottom"/>
            <w:gridSpan w:val="3"/>
          </w:tcPr>
          <w:p>
            <w:pPr>
              <w:jc w:val="center"/>
              <w:ind w:left="2"/>
              <w:spacing w:after="0" w:line="149" w:lineRule="exact"/>
              <w:rPr>
                <w:sz w:val="20"/>
                <w:szCs w:val="20"/>
                <w:color w:val="auto"/>
              </w:rPr>
            </w:pPr>
            <w:r>
              <w:rPr>
                <w:rFonts w:ascii="Arial" w:cs="Arial" w:eastAsia="Arial" w:hAnsi="Arial"/>
                <w:sz w:val="14"/>
                <w:szCs w:val="14"/>
                <w:b w:val="1"/>
                <w:bCs w:val="1"/>
                <w:color w:val="auto"/>
                <w:w w:val="85"/>
              </w:rPr>
              <w:t>compared to</w:t>
            </w:r>
          </w:p>
        </w:tc>
        <w:tc>
          <w:tcPr>
            <w:tcW w:w="2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80" w:type="dxa"/>
            <w:vAlign w:val="bottom"/>
            <w:gridSpan w:val="2"/>
          </w:tcPr>
          <w:p>
            <w:pPr>
              <w:jc w:val="right"/>
              <w:ind w:right="320"/>
              <w:spacing w:after="0" w:line="149" w:lineRule="exact"/>
              <w:rPr>
                <w:sz w:val="20"/>
                <w:szCs w:val="20"/>
                <w:color w:val="auto"/>
              </w:rPr>
            </w:pPr>
            <w:r>
              <w:rPr>
                <w:rFonts w:ascii="Arial" w:cs="Arial" w:eastAsia="Arial" w:hAnsi="Arial"/>
                <w:sz w:val="14"/>
                <w:szCs w:val="14"/>
                <w:b w:val="1"/>
                <w:bCs w:val="1"/>
                <w:color w:val="auto"/>
                <w:w w:val="87"/>
              </w:rPr>
              <w:t>Nine months</w:t>
            </w:r>
          </w:p>
        </w:tc>
        <w:tc>
          <w:tcPr>
            <w:tcW w:w="0" w:type="dxa"/>
            <w:vAlign w:val="bottom"/>
          </w:tcPr>
          <w:p>
            <w:pPr>
              <w:spacing w:after="0"/>
              <w:rPr>
                <w:sz w:val="1"/>
                <w:szCs w:val="1"/>
                <w:color w:val="auto"/>
              </w:rPr>
            </w:pPr>
          </w:p>
        </w:tc>
      </w:tr>
      <w:tr>
        <w:trPr>
          <w:trHeight w:val="161"/>
        </w:trPr>
        <w:tc>
          <w:tcPr>
            <w:tcW w:w="25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80" w:type="dxa"/>
            <w:vAlign w:val="bottom"/>
            <w:gridSpan w:val="2"/>
          </w:tcPr>
          <w:p>
            <w:pPr>
              <w:jc w:val="right"/>
              <w:ind w:right="720"/>
              <w:spacing w:after="0"/>
              <w:rPr>
                <w:sz w:val="20"/>
                <w:szCs w:val="20"/>
                <w:color w:val="auto"/>
              </w:rPr>
            </w:pPr>
            <w:r>
              <w:rPr>
                <w:rFonts w:ascii="Arial" w:cs="Arial" w:eastAsia="Arial" w:hAnsi="Arial"/>
                <w:sz w:val="14"/>
                <w:szCs w:val="14"/>
                <w:b w:val="1"/>
                <w:bCs w:val="1"/>
                <w:color w:val="auto"/>
              </w:rPr>
              <w:t>ended</w:t>
            </w:r>
          </w:p>
        </w:tc>
        <w:tc>
          <w:tcPr>
            <w:tcW w:w="16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gridSpan w:val="3"/>
          </w:tcPr>
          <w:p>
            <w:pPr>
              <w:jc w:val="center"/>
              <w:ind w:left="22"/>
              <w:spacing w:after="0"/>
              <w:rPr>
                <w:sz w:val="20"/>
                <w:szCs w:val="20"/>
                <w:color w:val="auto"/>
              </w:rPr>
            </w:pPr>
            <w:r>
              <w:rPr>
                <w:rFonts w:ascii="Arial" w:cs="Arial" w:eastAsia="Arial" w:hAnsi="Arial"/>
                <w:sz w:val="14"/>
                <w:szCs w:val="14"/>
                <w:b w:val="1"/>
                <w:bCs w:val="1"/>
                <w:color w:val="auto"/>
                <w:w w:val="89"/>
              </w:rPr>
              <w:t>prior period</w:t>
            </w:r>
          </w:p>
        </w:tc>
        <w:tc>
          <w:tcPr>
            <w:tcW w:w="260" w:type="dxa"/>
            <w:vAlign w:val="bottom"/>
            <w:tcBorders>
              <w:bottom w:val="single" w:sz="8" w:color="auto"/>
            </w:tcBorders>
          </w:tcPr>
          <w:p>
            <w:pPr>
              <w:spacing w:after="0"/>
              <w:rPr>
                <w:sz w:val="14"/>
                <w:szCs w:val="14"/>
                <w:color w:val="auto"/>
              </w:rPr>
            </w:pPr>
          </w:p>
        </w:tc>
        <w:tc>
          <w:tcPr>
            <w:tcW w:w="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80" w:type="dxa"/>
            <w:vAlign w:val="bottom"/>
            <w:gridSpan w:val="2"/>
          </w:tcPr>
          <w:p>
            <w:pPr>
              <w:jc w:val="right"/>
              <w:ind w:right="720"/>
              <w:spacing w:after="0"/>
              <w:rPr>
                <w:sz w:val="20"/>
                <w:szCs w:val="20"/>
                <w:color w:val="auto"/>
              </w:rPr>
            </w:pPr>
            <w:r>
              <w:rPr>
                <w:rFonts w:ascii="Arial" w:cs="Arial" w:eastAsia="Arial" w:hAnsi="Arial"/>
                <w:sz w:val="14"/>
                <w:szCs w:val="14"/>
                <w:b w:val="1"/>
                <w:bCs w:val="1"/>
                <w:color w:val="auto"/>
              </w:rPr>
              <w:t>ended</w:t>
            </w:r>
          </w:p>
        </w:tc>
        <w:tc>
          <w:tcPr>
            <w:tcW w:w="120" w:type="dxa"/>
            <w:vAlign w:val="bottom"/>
          </w:tcPr>
          <w:p>
            <w:pPr>
              <w:spacing w:after="0"/>
              <w:rPr>
                <w:sz w:val="14"/>
                <w:szCs w:val="14"/>
                <w:color w:val="auto"/>
              </w:rPr>
            </w:pPr>
          </w:p>
        </w:tc>
        <w:tc>
          <w:tcPr>
            <w:tcW w:w="1140" w:type="dxa"/>
            <w:vAlign w:val="bottom"/>
            <w:gridSpan w:val="2"/>
          </w:tcPr>
          <w:p>
            <w:pPr>
              <w:jc w:val="right"/>
              <w:ind w:right="600"/>
              <w:spacing w:after="0"/>
              <w:rPr>
                <w:sz w:val="20"/>
                <w:szCs w:val="20"/>
                <w:color w:val="auto"/>
              </w:rPr>
            </w:pPr>
            <w:r>
              <w:rPr>
                <w:rFonts w:ascii="Arial" w:cs="Arial" w:eastAsia="Arial" w:hAnsi="Arial"/>
                <w:sz w:val="14"/>
                <w:szCs w:val="14"/>
                <w:b w:val="1"/>
                <w:bCs w:val="1"/>
                <w:color w:val="auto"/>
              </w:rPr>
              <w:t>ended</w:t>
            </w:r>
          </w:p>
        </w:tc>
        <w:tc>
          <w:tcPr>
            <w:tcW w:w="12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gridSpan w:val="3"/>
          </w:tcPr>
          <w:p>
            <w:pPr>
              <w:jc w:val="center"/>
              <w:ind w:left="22"/>
              <w:spacing w:after="0"/>
              <w:rPr>
                <w:sz w:val="20"/>
                <w:szCs w:val="20"/>
                <w:color w:val="auto"/>
              </w:rPr>
            </w:pPr>
            <w:r>
              <w:rPr>
                <w:rFonts w:ascii="Arial" w:cs="Arial" w:eastAsia="Arial" w:hAnsi="Arial"/>
                <w:sz w:val="14"/>
                <w:szCs w:val="14"/>
                <w:b w:val="1"/>
                <w:bCs w:val="1"/>
                <w:color w:val="auto"/>
                <w:w w:val="89"/>
              </w:rPr>
              <w:t>prior period</w:t>
            </w:r>
          </w:p>
        </w:tc>
        <w:tc>
          <w:tcPr>
            <w:tcW w:w="260" w:type="dxa"/>
            <w:vAlign w:val="bottom"/>
            <w:tcBorders>
              <w:bottom w:val="single" w:sz="8" w:color="auto"/>
            </w:tcBorders>
          </w:tcPr>
          <w:p>
            <w:pPr>
              <w:spacing w:after="0"/>
              <w:rPr>
                <w:sz w:val="14"/>
                <w:szCs w:val="14"/>
                <w:color w:val="auto"/>
              </w:rPr>
            </w:pPr>
          </w:p>
        </w:tc>
        <w:tc>
          <w:tcPr>
            <w:tcW w:w="2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80" w:type="dxa"/>
            <w:vAlign w:val="bottom"/>
            <w:gridSpan w:val="2"/>
          </w:tcPr>
          <w:p>
            <w:pPr>
              <w:jc w:val="right"/>
              <w:ind w:right="540"/>
              <w:spacing w:after="0"/>
              <w:rPr>
                <w:sz w:val="20"/>
                <w:szCs w:val="20"/>
                <w:color w:val="auto"/>
              </w:rPr>
            </w:pPr>
            <w:r>
              <w:rPr>
                <w:rFonts w:ascii="Arial" w:cs="Arial" w:eastAsia="Arial" w:hAnsi="Arial"/>
                <w:sz w:val="14"/>
                <w:szCs w:val="14"/>
                <w:b w:val="1"/>
                <w:bCs w:val="1"/>
                <w:color w:val="auto"/>
              </w:rPr>
              <w:t>ended</w:t>
            </w:r>
          </w:p>
        </w:tc>
        <w:tc>
          <w:tcPr>
            <w:tcW w:w="0" w:type="dxa"/>
            <w:vAlign w:val="bottom"/>
          </w:tcPr>
          <w:p>
            <w:pPr>
              <w:spacing w:after="0"/>
              <w:rPr>
                <w:sz w:val="1"/>
                <w:szCs w:val="1"/>
                <w:color w:val="auto"/>
              </w:rPr>
            </w:pPr>
          </w:p>
        </w:tc>
      </w:tr>
      <w:tr>
        <w:trPr>
          <w:trHeight w:val="142"/>
        </w:trPr>
        <w:tc>
          <w:tcPr>
            <w:tcW w:w="2500" w:type="dxa"/>
            <w:vAlign w:val="bottom"/>
          </w:tcPr>
          <w:p>
            <w:pPr>
              <w:spacing w:after="0" w:line="142" w:lineRule="exact"/>
              <w:rPr>
                <w:sz w:val="20"/>
                <w:szCs w:val="20"/>
                <w:color w:val="auto"/>
              </w:rPr>
            </w:pPr>
            <w:r>
              <w:rPr>
                <w:rFonts w:ascii="Arial" w:cs="Arial" w:eastAsia="Arial" w:hAnsi="Arial"/>
                <w:sz w:val="14"/>
                <w:szCs w:val="14"/>
                <w:i w:val="1"/>
                <w:iCs w:val="1"/>
                <w:color w:val="auto"/>
              </w:rPr>
              <w:t>(in millions)</w:t>
            </w:r>
          </w:p>
        </w:tc>
        <w:tc>
          <w:tcPr>
            <w:tcW w:w="300" w:type="dxa"/>
            <w:vAlign w:val="bottom"/>
          </w:tcPr>
          <w:p>
            <w:pPr>
              <w:spacing w:after="0"/>
              <w:rPr>
                <w:sz w:val="12"/>
                <w:szCs w:val="12"/>
                <w:color w:val="auto"/>
              </w:rPr>
            </w:pPr>
          </w:p>
        </w:tc>
        <w:tc>
          <w:tcPr>
            <w:tcW w:w="1380" w:type="dxa"/>
            <w:vAlign w:val="bottom"/>
            <w:gridSpan w:val="3"/>
          </w:tcPr>
          <w:p>
            <w:pPr>
              <w:spacing w:after="0" w:line="142" w:lineRule="exact"/>
              <w:rPr>
                <w:sz w:val="20"/>
                <w:szCs w:val="20"/>
                <w:color w:val="auto"/>
              </w:rPr>
            </w:pPr>
            <w:r>
              <w:rPr>
                <w:rFonts w:ascii="Arial" w:cs="Arial" w:eastAsia="Arial" w:hAnsi="Arial"/>
                <w:sz w:val="14"/>
                <w:szCs w:val="14"/>
                <w:b w:val="1"/>
                <w:bCs w:val="1"/>
                <w:color w:val="auto"/>
              </w:rPr>
              <w:t>October 31, 2009</w:t>
            </w:r>
          </w:p>
        </w:tc>
        <w:tc>
          <w:tcPr>
            <w:tcW w:w="160" w:type="dxa"/>
            <w:vAlign w:val="bottom"/>
          </w:tcPr>
          <w:p>
            <w:pPr>
              <w:spacing w:after="0"/>
              <w:rPr>
                <w:sz w:val="12"/>
                <w:szCs w:val="12"/>
                <w:color w:val="auto"/>
              </w:rPr>
            </w:pPr>
          </w:p>
        </w:tc>
        <w:tc>
          <w:tcPr>
            <w:tcW w:w="380" w:type="dxa"/>
            <w:vAlign w:val="bottom"/>
          </w:tcPr>
          <w:p>
            <w:pPr>
              <w:jc w:val="right"/>
              <w:ind w:right="162"/>
              <w:spacing w:after="0" w:line="142" w:lineRule="exact"/>
              <w:rPr>
                <w:sz w:val="20"/>
                <w:szCs w:val="20"/>
                <w:color w:val="auto"/>
              </w:rPr>
            </w:pPr>
            <w:r>
              <w:rPr>
                <w:rFonts w:ascii="Arial" w:cs="Arial" w:eastAsia="Arial" w:hAnsi="Arial"/>
                <w:sz w:val="14"/>
                <w:szCs w:val="14"/>
                <w:b w:val="1"/>
                <w:bCs w:val="1"/>
                <w:color w:val="auto"/>
              </w:rPr>
              <w:t>$</w:t>
            </w:r>
          </w:p>
        </w:tc>
        <w:tc>
          <w:tcPr>
            <w:tcW w:w="3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Pr>
          <w:p>
            <w:pPr>
              <w:jc w:val="right"/>
              <w:ind w:right="37"/>
              <w:spacing w:after="0" w:line="142" w:lineRule="exact"/>
              <w:rPr>
                <w:sz w:val="20"/>
                <w:szCs w:val="20"/>
                <w:color w:val="auto"/>
              </w:rPr>
            </w:pPr>
            <w:r>
              <w:rPr>
                <w:rFonts w:ascii="Arial" w:cs="Arial" w:eastAsia="Arial" w:hAnsi="Arial"/>
                <w:sz w:val="14"/>
                <w:szCs w:val="14"/>
                <w:b w:val="1"/>
                <w:bCs w:val="1"/>
                <w:color w:val="auto"/>
                <w:w w:val="96"/>
              </w:rPr>
              <w:t>%</w:t>
            </w:r>
          </w:p>
        </w:tc>
        <w:tc>
          <w:tcPr>
            <w:tcW w:w="380" w:type="dxa"/>
            <w:vAlign w:val="bottom"/>
          </w:tcPr>
          <w:p>
            <w:pPr>
              <w:spacing w:after="0"/>
              <w:rPr>
                <w:sz w:val="12"/>
                <w:szCs w:val="12"/>
                <w:color w:val="auto"/>
              </w:rPr>
            </w:pPr>
          </w:p>
        </w:tc>
        <w:tc>
          <w:tcPr>
            <w:tcW w:w="1380" w:type="dxa"/>
            <w:vAlign w:val="bottom"/>
            <w:gridSpan w:val="3"/>
          </w:tcPr>
          <w:p>
            <w:pPr>
              <w:ind w:left="20"/>
              <w:spacing w:after="0" w:line="142" w:lineRule="exact"/>
              <w:rPr>
                <w:sz w:val="20"/>
                <w:szCs w:val="20"/>
                <w:color w:val="auto"/>
              </w:rPr>
            </w:pPr>
            <w:r>
              <w:rPr>
                <w:rFonts w:ascii="Arial" w:cs="Arial" w:eastAsia="Arial" w:hAnsi="Arial"/>
                <w:sz w:val="14"/>
                <w:szCs w:val="14"/>
                <w:b w:val="1"/>
                <w:bCs w:val="1"/>
                <w:color w:val="auto"/>
              </w:rPr>
              <w:t>October 31, 2008</w:t>
            </w:r>
          </w:p>
        </w:tc>
        <w:tc>
          <w:tcPr>
            <w:tcW w:w="1260" w:type="dxa"/>
            <w:vAlign w:val="bottom"/>
            <w:gridSpan w:val="3"/>
          </w:tcPr>
          <w:p>
            <w:pPr>
              <w:ind w:left="20"/>
              <w:spacing w:after="0" w:line="142" w:lineRule="exact"/>
              <w:rPr>
                <w:sz w:val="20"/>
                <w:szCs w:val="20"/>
                <w:color w:val="auto"/>
              </w:rPr>
            </w:pPr>
            <w:r>
              <w:rPr>
                <w:rFonts w:ascii="Arial" w:cs="Arial" w:eastAsia="Arial" w:hAnsi="Arial"/>
                <w:sz w:val="14"/>
                <w:szCs w:val="14"/>
                <w:b w:val="1"/>
                <w:bCs w:val="1"/>
                <w:color w:val="auto"/>
              </w:rPr>
              <w:t>October 31, 2009</w:t>
            </w: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40" w:type="dxa"/>
            <w:vAlign w:val="bottom"/>
          </w:tcPr>
          <w:p>
            <w:pPr>
              <w:jc w:val="right"/>
              <w:ind w:right="182"/>
              <w:spacing w:after="0" w:line="142" w:lineRule="exact"/>
              <w:rPr>
                <w:sz w:val="20"/>
                <w:szCs w:val="20"/>
                <w:color w:val="auto"/>
              </w:rPr>
            </w:pPr>
            <w:r>
              <w:rPr>
                <w:rFonts w:ascii="Arial" w:cs="Arial" w:eastAsia="Arial" w:hAnsi="Arial"/>
                <w:sz w:val="14"/>
                <w:szCs w:val="14"/>
                <w:b w:val="1"/>
                <w:bCs w:val="1"/>
                <w:color w:val="auto"/>
              </w:rPr>
              <w:t>$</w:t>
            </w:r>
          </w:p>
        </w:tc>
        <w:tc>
          <w:tcPr>
            <w:tcW w:w="3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60" w:type="dxa"/>
            <w:vAlign w:val="bottom"/>
          </w:tcPr>
          <w:p>
            <w:pPr>
              <w:jc w:val="right"/>
              <w:ind w:right="17"/>
              <w:spacing w:after="0" w:line="142" w:lineRule="exact"/>
              <w:rPr>
                <w:sz w:val="20"/>
                <w:szCs w:val="20"/>
                <w:color w:val="auto"/>
              </w:rPr>
            </w:pPr>
            <w:r>
              <w:rPr>
                <w:rFonts w:ascii="Arial" w:cs="Arial" w:eastAsia="Arial" w:hAnsi="Arial"/>
                <w:sz w:val="14"/>
                <w:szCs w:val="14"/>
                <w:b w:val="1"/>
                <w:bCs w:val="1"/>
                <w:color w:val="auto"/>
              </w:rPr>
              <w:t>%</w:t>
            </w:r>
          </w:p>
        </w:tc>
        <w:tc>
          <w:tcPr>
            <w:tcW w:w="2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80" w:type="dxa"/>
            <w:vAlign w:val="bottom"/>
            <w:gridSpan w:val="3"/>
          </w:tcPr>
          <w:p>
            <w:pPr>
              <w:spacing w:after="0" w:line="142" w:lineRule="exact"/>
              <w:rPr>
                <w:sz w:val="20"/>
                <w:szCs w:val="20"/>
                <w:color w:val="auto"/>
              </w:rPr>
            </w:pPr>
            <w:r>
              <w:rPr>
                <w:rFonts w:ascii="Arial" w:cs="Arial" w:eastAsia="Arial" w:hAnsi="Arial"/>
                <w:sz w:val="14"/>
                <w:szCs w:val="14"/>
                <w:b w:val="1"/>
                <w:bCs w:val="1"/>
                <w:color w:val="auto"/>
              </w:rPr>
              <w:t>October 31, 2008</w:t>
            </w:r>
          </w:p>
        </w:tc>
        <w:tc>
          <w:tcPr>
            <w:tcW w:w="0" w:type="dxa"/>
            <w:vAlign w:val="bottom"/>
          </w:tcPr>
          <w:p>
            <w:pPr>
              <w:spacing w:after="0"/>
              <w:rPr>
                <w:sz w:val="1"/>
                <w:szCs w:val="1"/>
                <w:color w:val="auto"/>
              </w:rPr>
            </w:pPr>
          </w:p>
        </w:tc>
      </w:tr>
      <w:tr>
        <w:trPr>
          <w:trHeight w:val="210"/>
        </w:trPr>
        <w:tc>
          <w:tcPr>
            <w:tcW w:w="2500" w:type="dxa"/>
            <w:vAlign w:val="bottom"/>
            <w:shd w:val="clear" w:color="auto" w:fill="CCEEFF"/>
          </w:tcPr>
          <w:p>
            <w:pPr>
              <w:spacing w:after="0"/>
              <w:rPr>
                <w:sz w:val="20"/>
                <w:szCs w:val="20"/>
                <w:color w:val="auto"/>
              </w:rPr>
            </w:pPr>
            <w:r>
              <w:rPr>
                <w:rFonts w:ascii="Arial" w:cs="Arial" w:eastAsia="Arial" w:hAnsi="Arial"/>
                <w:sz w:val="18"/>
                <w:szCs w:val="18"/>
                <w:color w:val="auto"/>
              </w:rPr>
              <w:t>Cost of revenue:</w:t>
            </w:r>
          </w:p>
        </w:tc>
        <w:tc>
          <w:tcPr>
            <w:tcW w:w="30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440" w:type="dxa"/>
            <w:vAlign w:val="bottom"/>
            <w:tcBorders>
              <w:top w:val="single" w:sz="8" w:color="auto"/>
            </w:tcBorders>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60" w:type="dxa"/>
            <w:vAlign w:val="bottom"/>
            <w:tcBorders>
              <w:top w:val="single" w:sz="8" w:color="auto"/>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500" w:type="dxa"/>
            <w:vAlign w:val="bottom"/>
          </w:tcPr>
          <w:p>
            <w:pPr>
              <w:ind w:left="440"/>
              <w:spacing w:after="0"/>
              <w:rPr>
                <w:sz w:val="20"/>
                <w:szCs w:val="20"/>
                <w:color w:val="auto"/>
              </w:rPr>
            </w:pPr>
            <w:r>
              <w:rPr>
                <w:rFonts w:ascii="Arial" w:cs="Arial" w:eastAsia="Arial" w:hAnsi="Arial"/>
                <w:sz w:val="18"/>
                <w:szCs w:val="18"/>
                <w:color w:val="auto"/>
              </w:rPr>
              <w:t>License and other</w:t>
            </w:r>
          </w:p>
        </w:tc>
        <w:tc>
          <w:tcPr>
            <w:tcW w:w="400" w:type="dxa"/>
            <w:vAlign w:val="bottom"/>
            <w:gridSpan w:val="2"/>
          </w:tcPr>
          <w:p>
            <w:pPr>
              <w:ind w:left="300"/>
              <w:spacing w:after="0"/>
              <w:rPr>
                <w:sz w:val="20"/>
                <w:szCs w:val="20"/>
                <w:color w:val="auto"/>
              </w:rPr>
            </w:pPr>
            <w:r>
              <w:rPr>
                <w:rFonts w:ascii="Arial" w:cs="Arial" w:eastAsia="Arial" w:hAnsi="Arial"/>
                <w:sz w:val="18"/>
                <w:szCs w:val="18"/>
                <w:color w:val="auto"/>
                <w:w w:val="79"/>
              </w:rPr>
              <w:t>$</w:t>
            </w:r>
          </w:p>
        </w:tc>
        <w:tc>
          <w:tcPr>
            <w:tcW w:w="1280" w:type="dxa"/>
            <w:vAlign w:val="bottom"/>
            <w:gridSpan w:val="2"/>
          </w:tcPr>
          <w:p>
            <w:pPr>
              <w:jc w:val="right"/>
              <w:ind w:right="400"/>
              <w:spacing w:after="0"/>
              <w:rPr>
                <w:sz w:val="20"/>
                <w:szCs w:val="20"/>
                <w:color w:val="auto"/>
              </w:rPr>
            </w:pPr>
            <w:r>
              <w:rPr>
                <w:rFonts w:ascii="Arial" w:cs="Arial" w:eastAsia="Arial" w:hAnsi="Arial"/>
                <w:sz w:val="18"/>
                <w:szCs w:val="18"/>
                <w:color w:val="auto"/>
              </w:rPr>
              <w:t>42.0</w:t>
            </w:r>
          </w:p>
        </w:tc>
        <w:tc>
          <w:tcPr>
            <w:tcW w:w="160" w:type="dxa"/>
            <w:vAlign w:val="bottom"/>
          </w:tcPr>
          <w:p>
            <w:pPr>
              <w:jc w:val="right"/>
              <w:ind w:right="6"/>
              <w:spacing w:after="0"/>
              <w:rPr>
                <w:sz w:val="20"/>
                <w:szCs w:val="20"/>
                <w:color w:val="auto"/>
              </w:rPr>
            </w:pPr>
            <w:r>
              <w:rPr>
                <w:rFonts w:ascii="Arial" w:cs="Arial" w:eastAsia="Arial" w:hAnsi="Arial"/>
                <w:sz w:val="15"/>
                <w:szCs w:val="15"/>
                <w:color w:val="auto"/>
                <w:w w:val="71"/>
              </w:rPr>
              <w:t>$</w:t>
            </w:r>
          </w:p>
        </w:tc>
        <w:tc>
          <w:tcPr>
            <w:tcW w:w="740" w:type="dxa"/>
            <w:vAlign w:val="bottom"/>
            <w:gridSpan w:val="2"/>
          </w:tcPr>
          <w:p>
            <w:pPr>
              <w:jc w:val="right"/>
              <w:ind w:right="300"/>
              <w:spacing w:after="0"/>
              <w:rPr>
                <w:sz w:val="20"/>
                <w:szCs w:val="20"/>
                <w:color w:val="auto"/>
              </w:rPr>
            </w:pPr>
            <w:r>
              <w:rPr>
                <w:rFonts w:ascii="Arial" w:cs="Arial" w:eastAsia="Arial" w:hAnsi="Arial"/>
                <w:sz w:val="18"/>
                <w:szCs w:val="18"/>
                <w:color w:val="auto"/>
              </w:rPr>
              <w:t>(8.5)</w:t>
            </w:r>
          </w:p>
        </w:tc>
        <w:tc>
          <w:tcPr>
            <w:tcW w:w="100" w:type="dxa"/>
            <w:vAlign w:val="bottom"/>
          </w:tcPr>
          <w:p>
            <w:pPr>
              <w:spacing w:after="0"/>
              <w:rPr>
                <w:sz w:val="18"/>
                <w:szCs w:val="18"/>
                <w:color w:val="auto"/>
              </w:rPr>
            </w:pPr>
          </w:p>
        </w:tc>
        <w:tc>
          <w:tcPr>
            <w:tcW w:w="640" w:type="dxa"/>
            <w:vAlign w:val="bottom"/>
            <w:gridSpan w:val="2"/>
          </w:tcPr>
          <w:p>
            <w:pPr>
              <w:jc w:val="right"/>
              <w:ind w:right="240"/>
              <w:spacing w:after="0"/>
              <w:rPr>
                <w:sz w:val="20"/>
                <w:szCs w:val="20"/>
                <w:color w:val="auto"/>
              </w:rPr>
            </w:pPr>
            <w:r>
              <w:rPr>
                <w:rFonts w:ascii="Arial" w:cs="Arial" w:eastAsia="Arial" w:hAnsi="Arial"/>
                <w:sz w:val="18"/>
                <w:szCs w:val="18"/>
                <w:color w:val="auto"/>
                <w:w w:val="90"/>
              </w:rPr>
              <w:t>-17%</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50.5</w:t>
            </w:r>
          </w:p>
        </w:tc>
        <w:tc>
          <w:tcPr>
            <w:tcW w:w="380" w:type="dxa"/>
            <w:vAlign w:val="bottom"/>
          </w:tcPr>
          <w:p>
            <w:pPr>
              <w:spacing w:after="0"/>
              <w:rPr>
                <w:sz w:val="18"/>
                <w:szCs w:val="18"/>
                <w:color w:val="auto"/>
              </w:rPr>
            </w:pP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138.6</w:t>
            </w:r>
          </w:p>
        </w:tc>
        <w:tc>
          <w:tcPr>
            <w:tcW w:w="260" w:type="dxa"/>
            <w:vAlign w:val="bottom"/>
          </w:tcPr>
          <w:p>
            <w:pPr>
              <w:spacing w:after="0"/>
              <w:rPr>
                <w:sz w:val="18"/>
                <w:szCs w:val="18"/>
                <w:color w:val="auto"/>
              </w:rPr>
            </w:pP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280"/>
              <w:spacing w:after="0"/>
              <w:rPr>
                <w:sz w:val="20"/>
                <w:szCs w:val="20"/>
                <w:color w:val="auto"/>
              </w:rPr>
            </w:pPr>
            <w:r>
              <w:rPr>
                <w:rFonts w:ascii="Arial" w:cs="Arial" w:eastAsia="Arial" w:hAnsi="Arial"/>
                <w:sz w:val="18"/>
                <w:szCs w:val="18"/>
                <w:color w:val="auto"/>
              </w:rPr>
              <w:t>(25.5)</w:t>
            </w:r>
          </w:p>
        </w:tc>
        <w:tc>
          <w:tcPr>
            <w:tcW w:w="60" w:type="dxa"/>
            <w:vAlign w:val="bottom"/>
          </w:tcPr>
          <w:p>
            <w:pPr>
              <w:spacing w:after="0"/>
              <w:rPr>
                <w:sz w:val="18"/>
                <w:szCs w:val="18"/>
                <w:color w:val="auto"/>
              </w:rPr>
            </w:pPr>
          </w:p>
        </w:tc>
        <w:tc>
          <w:tcPr>
            <w:tcW w:w="520" w:type="dxa"/>
            <w:vAlign w:val="bottom"/>
            <w:gridSpan w:val="2"/>
          </w:tcPr>
          <w:p>
            <w:pPr>
              <w:jc w:val="right"/>
              <w:ind w:right="120"/>
              <w:spacing w:after="0"/>
              <w:rPr>
                <w:sz w:val="20"/>
                <w:szCs w:val="20"/>
                <w:color w:val="auto"/>
              </w:rPr>
            </w:pPr>
            <w:r>
              <w:rPr>
                <w:rFonts w:ascii="Arial" w:cs="Arial" w:eastAsia="Arial" w:hAnsi="Arial"/>
                <w:sz w:val="18"/>
                <w:szCs w:val="18"/>
                <w:color w:val="auto"/>
                <w:w w:val="90"/>
              </w:rPr>
              <w:t>-16%</w:t>
            </w:r>
          </w:p>
        </w:tc>
        <w:tc>
          <w:tcPr>
            <w:tcW w:w="240" w:type="dxa"/>
            <w:vAlign w:val="bottom"/>
            <w:gridSpan w:val="2"/>
          </w:tcPr>
          <w:p>
            <w:pPr>
              <w:ind w:left="140"/>
              <w:spacing w:after="0"/>
              <w:rPr>
                <w:sz w:val="20"/>
                <w:szCs w:val="20"/>
                <w:color w:val="auto"/>
              </w:rPr>
            </w:pPr>
            <w:r>
              <w:rPr>
                <w:rFonts w:ascii="Arial" w:cs="Arial" w:eastAsia="Arial" w:hAnsi="Arial"/>
                <w:sz w:val="18"/>
                <w:szCs w:val="18"/>
                <w:color w:val="auto"/>
                <w:w w:val="79"/>
              </w:rPr>
              <w:t>$</w:t>
            </w:r>
          </w:p>
        </w:tc>
        <w:tc>
          <w:tcPr>
            <w:tcW w:w="1080" w:type="dxa"/>
            <w:vAlign w:val="bottom"/>
            <w:gridSpan w:val="2"/>
          </w:tcPr>
          <w:p>
            <w:pPr>
              <w:jc w:val="right"/>
              <w:ind w:right="200"/>
              <w:spacing w:after="0"/>
              <w:rPr>
                <w:sz w:val="20"/>
                <w:szCs w:val="20"/>
                <w:color w:val="auto"/>
              </w:rPr>
            </w:pPr>
            <w:r>
              <w:rPr>
                <w:rFonts w:ascii="Arial" w:cs="Arial" w:eastAsia="Arial" w:hAnsi="Arial"/>
                <w:sz w:val="18"/>
                <w:szCs w:val="18"/>
                <w:color w:val="auto"/>
              </w:rPr>
              <w:t>164.1</w:t>
            </w:r>
          </w:p>
        </w:tc>
        <w:tc>
          <w:tcPr>
            <w:tcW w:w="0" w:type="dxa"/>
            <w:vAlign w:val="bottom"/>
          </w:tcPr>
          <w:p>
            <w:pPr>
              <w:spacing w:after="0"/>
              <w:rPr>
                <w:sz w:val="1"/>
                <w:szCs w:val="1"/>
                <w:color w:val="auto"/>
              </w:rPr>
            </w:pPr>
          </w:p>
        </w:tc>
      </w:tr>
      <w:tr>
        <w:trPr>
          <w:trHeight w:val="216"/>
        </w:trPr>
        <w:tc>
          <w:tcPr>
            <w:tcW w:w="25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Maintenance</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3.0</w:t>
            </w: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0.6</w:t>
            </w: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25%</w:t>
            </w: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w:t>
            </w: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3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35%</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6.5</w:t>
            </w:r>
          </w:p>
        </w:tc>
        <w:tc>
          <w:tcPr>
            <w:tcW w:w="0" w:type="dxa"/>
            <w:vAlign w:val="bottom"/>
          </w:tcPr>
          <w:p>
            <w:pPr>
              <w:spacing w:after="0"/>
              <w:rPr>
                <w:sz w:val="1"/>
                <w:szCs w:val="1"/>
                <w:color w:val="auto"/>
              </w:rPr>
            </w:pPr>
          </w:p>
        </w:tc>
      </w:tr>
      <w:tr>
        <w:trPr>
          <w:trHeight w:val="20"/>
        </w:trPr>
        <w:tc>
          <w:tcPr>
            <w:tcW w:w="25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gridSpan w:val="2"/>
            <w:vMerge w:val="restart"/>
          </w:tcPr>
          <w:p>
            <w:pPr>
              <w:jc w:val="right"/>
              <w:ind w:right="240"/>
              <w:spacing w:after="0"/>
              <w:rPr>
                <w:sz w:val="20"/>
                <w:szCs w:val="20"/>
                <w:color w:val="auto"/>
              </w:rPr>
            </w:pPr>
            <w:r>
              <w:rPr>
                <w:rFonts w:ascii="Arial" w:cs="Arial" w:eastAsia="Arial" w:hAnsi="Arial"/>
                <w:sz w:val="18"/>
                <w:szCs w:val="18"/>
                <w:color w:val="auto"/>
                <w:w w:val="90"/>
              </w:rPr>
              <w:t>-15%</w:t>
            </w:r>
          </w:p>
        </w:tc>
        <w:tc>
          <w:tcPr>
            <w:tcW w:w="1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20" w:type="dxa"/>
            <w:vAlign w:val="bottom"/>
            <w:gridSpan w:val="2"/>
            <w:vMerge w:val="restart"/>
          </w:tcPr>
          <w:p>
            <w:pPr>
              <w:jc w:val="right"/>
              <w:ind w:right="120"/>
              <w:spacing w:after="0"/>
              <w:rPr>
                <w:sz w:val="20"/>
                <w:szCs w:val="20"/>
                <w:color w:val="auto"/>
              </w:rPr>
            </w:pPr>
            <w:r>
              <w:rPr>
                <w:rFonts w:ascii="Arial" w:cs="Arial" w:eastAsia="Arial" w:hAnsi="Arial"/>
                <w:sz w:val="18"/>
                <w:szCs w:val="18"/>
                <w:color w:val="auto"/>
                <w:w w:val="90"/>
              </w:rPr>
              <w:t>-14%</w:t>
            </w:r>
          </w:p>
        </w:tc>
        <w:tc>
          <w:tcPr>
            <w:tcW w:w="1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25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1280" w:type="dxa"/>
            <w:vAlign w:val="bottom"/>
            <w:gridSpan w:val="2"/>
          </w:tcPr>
          <w:p>
            <w:pPr>
              <w:jc w:val="right"/>
              <w:ind w:right="400"/>
              <w:spacing w:after="0"/>
              <w:rPr>
                <w:sz w:val="20"/>
                <w:szCs w:val="20"/>
                <w:color w:val="auto"/>
              </w:rPr>
            </w:pPr>
            <w:r>
              <w:rPr>
                <w:rFonts w:ascii="Arial" w:cs="Arial" w:eastAsia="Arial" w:hAnsi="Arial"/>
                <w:sz w:val="18"/>
                <w:szCs w:val="18"/>
                <w:color w:val="auto"/>
              </w:rPr>
              <w:t>45.0</w:t>
            </w:r>
          </w:p>
        </w:tc>
        <w:tc>
          <w:tcPr>
            <w:tcW w:w="160" w:type="dxa"/>
            <w:vAlign w:val="bottom"/>
          </w:tcPr>
          <w:p>
            <w:pPr>
              <w:jc w:val="right"/>
              <w:ind w:right="6"/>
              <w:spacing w:after="0"/>
              <w:rPr>
                <w:sz w:val="20"/>
                <w:szCs w:val="20"/>
                <w:color w:val="auto"/>
              </w:rPr>
            </w:pPr>
            <w:r>
              <w:rPr>
                <w:rFonts w:ascii="Arial" w:cs="Arial" w:eastAsia="Arial" w:hAnsi="Arial"/>
                <w:sz w:val="15"/>
                <w:szCs w:val="15"/>
                <w:color w:val="auto"/>
                <w:w w:val="71"/>
              </w:rPr>
              <w:t>$</w:t>
            </w:r>
          </w:p>
        </w:tc>
        <w:tc>
          <w:tcPr>
            <w:tcW w:w="740" w:type="dxa"/>
            <w:vAlign w:val="bottom"/>
            <w:gridSpan w:val="2"/>
          </w:tcPr>
          <w:p>
            <w:pPr>
              <w:jc w:val="right"/>
              <w:ind w:right="300"/>
              <w:spacing w:after="0"/>
              <w:rPr>
                <w:sz w:val="20"/>
                <w:szCs w:val="20"/>
                <w:color w:val="auto"/>
              </w:rPr>
            </w:pPr>
            <w:r>
              <w:rPr>
                <w:rFonts w:ascii="Arial" w:cs="Arial" w:eastAsia="Arial" w:hAnsi="Arial"/>
                <w:sz w:val="18"/>
                <w:szCs w:val="18"/>
                <w:color w:val="auto"/>
              </w:rPr>
              <w:t>(7.9)</w:t>
            </w:r>
          </w:p>
        </w:tc>
        <w:tc>
          <w:tcPr>
            <w:tcW w:w="100" w:type="dxa"/>
            <w:vAlign w:val="bottom"/>
          </w:tcPr>
          <w:p>
            <w:pPr>
              <w:spacing w:after="0"/>
              <w:rPr>
                <w:sz w:val="19"/>
                <w:szCs w:val="19"/>
                <w:color w:val="auto"/>
              </w:rPr>
            </w:pPr>
          </w:p>
        </w:tc>
        <w:tc>
          <w:tcPr>
            <w:tcW w:w="640" w:type="dxa"/>
            <w:vAlign w:val="bottom"/>
            <w:gridSpan w:val="2"/>
            <w:vMerge w:val="continue"/>
          </w:tcPr>
          <w:p>
            <w:pPr>
              <w:spacing w:after="0"/>
              <w:rPr>
                <w:sz w:val="19"/>
                <w:szCs w:val="19"/>
                <w:color w:val="auto"/>
              </w:rPr>
            </w:pP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52.9</w:t>
            </w:r>
          </w:p>
        </w:tc>
        <w:tc>
          <w:tcPr>
            <w:tcW w:w="380" w:type="dxa"/>
            <w:vAlign w:val="bottom"/>
          </w:tcPr>
          <w:p>
            <w:pPr>
              <w:spacing w:after="0"/>
              <w:rPr>
                <w:sz w:val="19"/>
                <w:szCs w:val="19"/>
                <w:color w:val="auto"/>
              </w:rPr>
            </w:pP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147.4</w:t>
            </w:r>
          </w:p>
        </w:tc>
        <w:tc>
          <w:tcPr>
            <w:tcW w:w="260" w:type="dxa"/>
            <w:vAlign w:val="bottom"/>
          </w:tcPr>
          <w:p>
            <w:pPr>
              <w:spacing w:after="0"/>
              <w:rPr>
                <w:sz w:val="19"/>
                <w:szCs w:val="19"/>
                <w:color w:val="auto"/>
              </w:rPr>
            </w:pP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280"/>
              <w:spacing w:after="0"/>
              <w:rPr>
                <w:sz w:val="20"/>
                <w:szCs w:val="20"/>
                <w:color w:val="auto"/>
              </w:rPr>
            </w:pPr>
            <w:r>
              <w:rPr>
                <w:rFonts w:ascii="Arial" w:cs="Arial" w:eastAsia="Arial" w:hAnsi="Arial"/>
                <w:sz w:val="18"/>
                <w:szCs w:val="18"/>
                <w:color w:val="auto"/>
              </w:rPr>
              <w:t>(23.2)</w:t>
            </w:r>
          </w:p>
        </w:tc>
        <w:tc>
          <w:tcPr>
            <w:tcW w:w="60" w:type="dxa"/>
            <w:vAlign w:val="bottom"/>
          </w:tcPr>
          <w:p>
            <w:pPr>
              <w:spacing w:after="0"/>
              <w:rPr>
                <w:sz w:val="19"/>
                <w:szCs w:val="19"/>
                <w:color w:val="auto"/>
              </w:rPr>
            </w:pPr>
          </w:p>
        </w:tc>
        <w:tc>
          <w:tcPr>
            <w:tcW w:w="520" w:type="dxa"/>
            <w:vAlign w:val="bottom"/>
            <w:gridSpan w:val="2"/>
            <w:vMerge w:val="continue"/>
          </w:tcPr>
          <w:p>
            <w:pPr>
              <w:spacing w:after="0"/>
              <w:rPr>
                <w:sz w:val="19"/>
                <w:szCs w:val="19"/>
                <w:color w:val="auto"/>
              </w:rPr>
            </w:pPr>
          </w:p>
        </w:tc>
        <w:tc>
          <w:tcPr>
            <w:tcW w:w="240" w:type="dxa"/>
            <w:vAlign w:val="bottom"/>
            <w:gridSpan w:val="2"/>
          </w:tcPr>
          <w:p>
            <w:pPr>
              <w:ind w:left="140"/>
              <w:spacing w:after="0"/>
              <w:rPr>
                <w:sz w:val="20"/>
                <w:szCs w:val="20"/>
                <w:color w:val="auto"/>
              </w:rPr>
            </w:pPr>
            <w:r>
              <w:rPr>
                <w:rFonts w:ascii="Arial" w:cs="Arial" w:eastAsia="Arial" w:hAnsi="Arial"/>
                <w:sz w:val="18"/>
                <w:szCs w:val="18"/>
                <w:color w:val="auto"/>
                <w:w w:val="79"/>
              </w:rPr>
              <w:t>$</w:t>
            </w:r>
          </w:p>
        </w:tc>
        <w:tc>
          <w:tcPr>
            <w:tcW w:w="1080" w:type="dxa"/>
            <w:vAlign w:val="bottom"/>
            <w:gridSpan w:val="2"/>
          </w:tcPr>
          <w:p>
            <w:pPr>
              <w:jc w:val="right"/>
              <w:ind w:right="200"/>
              <w:spacing w:after="0"/>
              <w:rPr>
                <w:sz w:val="20"/>
                <w:szCs w:val="20"/>
                <w:color w:val="auto"/>
              </w:rPr>
            </w:pPr>
            <w:r>
              <w:rPr>
                <w:rFonts w:ascii="Arial" w:cs="Arial" w:eastAsia="Arial" w:hAnsi="Arial"/>
                <w:sz w:val="18"/>
                <w:szCs w:val="18"/>
                <w:color w:val="auto"/>
              </w:rPr>
              <w:t>170.6</w:t>
            </w:r>
          </w:p>
        </w:tc>
        <w:tc>
          <w:tcPr>
            <w:tcW w:w="0" w:type="dxa"/>
            <w:vAlign w:val="bottom"/>
          </w:tcPr>
          <w:p>
            <w:pPr>
              <w:spacing w:after="0"/>
              <w:rPr>
                <w:sz w:val="1"/>
                <w:szCs w:val="1"/>
                <w:color w:val="auto"/>
              </w:rPr>
            </w:pPr>
          </w:p>
        </w:tc>
      </w:tr>
      <w:tr>
        <w:trPr>
          <w:trHeight w:val="20"/>
        </w:trPr>
        <w:tc>
          <w:tcPr>
            <w:tcW w:w="25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2500" w:type="dxa"/>
            <w:vAlign w:val="bottom"/>
            <w:shd w:val="clear" w:color="auto" w:fill="CCEEFF"/>
          </w:tcPr>
          <w:p>
            <w:pPr>
              <w:spacing w:after="0"/>
              <w:rPr>
                <w:sz w:val="20"/>
                <w:szCs w:val="20"/>
                <w:color w:val="auto"/>
              </w:rPr>
            </w:pPr>
            <w:r>
              <w:rPr>
                <w:rFonts w:ascii="Arial" w:cs="Arial" w:eastAsia="Arial" w:hAnsi="Arial"/>
                <w:sz w:val="18"/>
                <w:szCs w:val="18"/>
                <w:color w:val="auto"/>
                <w:w w:val="98"/>
              </w:rPr>
              <w:t>As a percentage of net revenue</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11%</w:t>
            </w:r>
          </w:p>
        </w:tc>
        <w:tc>
          <w:tcPr>
            <w:tcW w:w="1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9%</w:t>
            </w:r>
          </w:p>
        </w:tc>
        <w:tc>
          <w:tcPr>
            <w:tcW w:w="1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12%</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bl>
    <w:p>
      <w:pPr>
        <w:spacing w:after="0" w:line="154" w:lineRule="exact"/>
        <w:rPr>
          <w:sz w:val="20"/>
          <w:szCs w:val="20"/>
          <w:color w:val="auto"/>
        </w:rPr>
      </w:pPr>
    </w:p>
    <w:p>
      <w:pPr>
        <w:ind w:right="100" w:firstLine="456"/>
        <w:spacing w:after="0" w:line="298" w:lineRule="auto"/>
        <w:rPr>
          <w:sz w:val="20"/>
          <w:szCs w:val="20"/>
          <w:color w:val="auto"/>
        </w:rPr>
      </w:pPr>
      <w:r>
        <w:rPr>
          <w:rFonts w:ascii="Arial" w:cs="Arial" w:eastAsia="Arial" w:hAnsi="Arial"/>
          <w:sz w:val="16"/>
          <w:szCs w:val="16"/>
          <w:color w:val="auto"/>
        </w:rPr>
        <w:t>Cost of license and other revenue includes labor costs of fulfilling service contracts and order fulfillment, including stock-based compensation expense for these employees, direct material and overhead charges, amortization of purchased technology, professional services fees and royalties. Direct material and overhead charges include the cost of hardware sold (mainly PC-based workstations for Advanced Systems in the M&amp;E segment), costs associated with transferring our software to electronic media, printing of user manuals and packaging materials and shipping and handling costs.</w:t>
      </w:r>
    </w:p>
    <w:p>
      <w:pPr>
        <w:spacing w:after="0" w:line="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420"/>
          </w:cols>
          <w:pgMar w:left="240" w:top="459" w:right="239" w:bottom="1440" w:gutter="0" w:footer="0" w:header="0"/>
        </w:sectPr>
      </w:pPr>
    </w:p>
    <w:bookmarkStart w:id="34" w:name="page35"/>
    <w:bookmarkEnd w:id="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 w:firstLine="456"/>
        <w:spacing w:after="0" w:line="294" w:lineRule="auto"/>
        <w:rPr>
          <w:sz w:val="20"/>
          <w:szCs w:val="20"/>
          <w:color w:val="auto"/>
        </w:rPr>
      </w:pPr>
      <w:r>
        <w:rPr>
          <w:rFonts w:ascii="Arial" w:cs="Arial" w:eastAsia="Arial" w:hAnsi="Arial"/>
          <w:sz w:val="16"/>
          <w:szCs w:val="16"/>
          <w:color w:val="auto"/>
        </w:rPr>
        <w:t>Cost of license and other revenue decreased 17% and 16% during the three and nine months ended October 31, 2009, respectively, as compared to the same periods of the prior fiscal year primarily due to the 44% and 45% respective decreases in license and other revenue. Cost of license and other revenue did not decline as rapidly as the associated net revenue because of increased amortization of purchased intangibles related to fiscal year 2009 acquisitions, costs associated with redundant services as we migrated a portion of our IT systems onto a new platform, and higher costs associated with the implementation of our electronic fulfillment system in the first three quarters of fiscal 2010, as compared to the same period of the prior fiscal year.</w:t>
      </w:r>
    </w:p>
    <w:p>
      <w:pPr>
        <w:spacing w:after="0" w:line="89" w:lineRule="exact"/>
        <w:rPr>
          <w:sz w:val="20"/>
          <w:szCs w:val="20"/>
          <w:color w:val="auto"/>
        </w:rPr>
      </w:pPr>
    </w:p>
    <w:p>
      <w:pPr>
        <w:ind w:right="20" w:firstLine="456"/>
        <w:spacing w:after="0" w:line="256" w:lineRule="auto"/>
        <w:rPr>
          <w:sz w:val="20"/>
          <w:szCs w:val="20"/>
          <w:color w:val="auto"/>
        </w:rPr>
      </w:pPr>
      <w:r>
        <w:rPr>
          <w:rFonts w:ascii="Arial" w:cs="Arial" w:eastAsia="Arial" w:hAnsi="Arial"/>
          <w:sz w:val="18"/>
          <w:szCs w:val="18"/>
          <w:color w:val="auto"/>
        </w:rPr>
        <w:t>Cost of maintenance revenue includes labor costs of providing product support to our maintenance customers, including stock-based compensation expense for these employees, rent and occupancy, and professional services fees. Cost of maintenance revenue increased 25% and 35% during the three and nine months ended October 31, 2009, respectively, as compared to the same period of the prior fiscal year due to an increase in product support headcount due to the acquisition of Moldflow Corporation in the second quarter of fiscal 2009.</w:t>
      </w:r>
    </w:p>
    <w:p>
      <w:pPr>
        <w:spacing w:after="0" w:line="116" w:lineRule="exact"/>
        <w:rPr>
          <w:sz w:val="20"/>
          <w:szCs w:val="20"/>
          <w:color w:val="auto"/>
        </w:rPr>
      </w:pPr>
    </w:p>
    <w:p>
      <w:pPr>
        <w:ind w:right="120" w:firstLine="456"/>
        <w:spacing w:after="0" w:line="256" w:lineRule="auto"/>
        <w:rPr>
          <w:sz w:val="20"/>
          <w:szCs w:val="20"/>
          <w:color w:val="auto"/>
        </w:rPr>
      </w:pPr>
      <w:r>
        <w:rPr>
          <w:rFonts w:ascii="Arial" w:cs="Arial" w:eastAsia="Arial" w:hAnsi="Arial"/>
          <w:sz w:val="18"/>
          <w:szCs w:val="18"/>
          <w:color w:val="auto"/>
        </w:rPr>
        <w:t>Cost of revenue, at least over the near term, is affected by the volume and mix of product sales, fluctuations in consulting costs, amortization of purchased technology, new customer support offerings, royalty rates for licensed technology embedded in our products, and employee stock-based compensation expense. We expect cost of revenue to decline in absolute dollars during the fourth quarter of fiscal 2010 and remain relatively consistent as a percentage of net revenue, each as compared to the fourth quarter of fiscal 2009.</w:t>
      </w:r>
    </w:p>
    <w:p>
      <w:pPr>
        <w:spacing w:after="0" w:line="170"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Marketing and Sales</w:t>
      </w:r>
    </w:p>
    <w:p>
      <w:pPr>
        <w:spacing w:after="0" w:line="7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500" w:type="dxa"/>
            <w:vAlign w:val="bottom"/>
          </w:tcPr>
          <w:p>
            <w:pPr>
              <w:spacing w:after="0"/>
              <w:rPr>
                <w:sz w:val="14"/>
                <w:szCs w:val="14"/>
                <w:color w:val="auto"/>
              </w:rPr>
            </w:pPr>
          </w:p>
        </w:tc>
        <w:tc>
          <w:tcPr>
            <w:tcW w:w="1080" w:type="dxa"/>
            <w:vAlign w:val="bottom"/>
            <w:gridSpan w:val="3"/>
          </w:tcPr>
          <w:p>
            <w:pPr>
              <w:jc w:val="center"/>
              <w:ind w:right="280"/>
              <w:spacing w:after="0"/>
              <w:rPr>
                <w:sz w:val="20"/>
                <w:szCs w:val="20"/>
                <w:color w:val="auto"/>
              </w:rPr>
            </w:pPr>
            <w:r>
              <w:rPr>
                <w:rFonts w:ascii="Arial" w:cs="Arial" w:eastAsia="Arial" w:hAnsi="Arial"/>
                <w:sz w:val="14"/>
                <w:szCs w:val="14"/>
                <w:b w:val="1"/>
                <w:bCs w:val="1"/>
                <w:color w:val="auto"/>
                <w:w w:val="86"/>
              </w:rPr>
              <w:t>Three months</w:t>
            </w:r>
          </w:p>
        </w:tc>
        <w:tc>
          <w:tcPr>
            <w:tcW w:w="120" w:type="dxa"/>
            <w:vAlign w:val="bottom"/>
          </w:tcPr>
          <w:p>
            <w:pPr>
              <w:spacing w:after="0"/>
              <w:rPr>
                <w:sz w:val="14"/>
                <w:szCs w:val="14"/>
                <w:color w:val="auto"/>
              </w:rPr>
            </w:pPr>
          </w:p>
        </w:tc>
        <w:tc>
          <w:tcPr>
            <w:tcW w:w="1700" w:type="dxa"/>
            <w:vAlign w:val="bottom"/>
            <w:gridSpan w:val="4"/>
            <w:vMerge w:val="restart"/>
          </w:tcPr>
          <w:p>
            <w:pPr>
              <w:jc w:val="center"/>
              <w:ind w:right="380"/>
              <w:spacing w:after="0"/>
              <w:rPr>
                <w:sz w:val="20"/>
                <w:szCs w:val="20"/>
                <w:color w:val="auto"/>
              </w:rPr>
            </w:pPr>
            <w:r>
              <w:rPr>
                <w:rFonts w:ascii="Arial" w:cs="Arial" w:eastAsia="Arial" w:hAnsi="Arial"/>
                <w:sz w:val="14"/>
                <w:szCs w:val="14"/>
                <w:b w:val="1"/>
                <w:bCs w:val="1"/>
                <w:color w:val="auto"/>
                <w:w w:val="84"/>
              </w:rPr>
              <w:t>Decrease compared</w:t>
            </w:r>
          </w:p>
        </w:tc>
        <w:tc>
          <w:tcPr>
            <w:tcW w:w="1220" w:type="dxa"/>
            <w:vAlign w:val="bottom"/>
            <w:gridSpan w:val="3"/>
          </w:tcPr>
          <w:p>
            <w:pPr>
              <w:jc w:val="center"/>
              <w:ind w:right="380"/>
              <w:spacing w:after="0"/>
              <w:rPr>
                <w:sz w:val="20"/>
                <w:szCs w:val="20"/>
                <w:color w:val="auto"/>
              </w:rPr>
            </w:pPr>
            <w:r>
              <w:rPr>
                <w:rFonts w:ascii="Arial" w:cs="Arial" w:eastAsia="Arial" w:hAnsi="Arial"/>
                <w:sz w:val="14"/>
                <w:szCs w:val="14"/>
                <w:b w:val="1"/>
                <w:bCs w:val="1"/>
                <w:color w:val="auto"/>
                <w:w w:val="86"/>
              </w:rPr>
              <w:t>Three months</w:t>
            </w:r>
          </w:p>
        </w:tc>
        <w:tc>
          <w:tcPr>
            <w:tcW w:w="116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84"/>
              </w:rPr>
              <w:t>Nine months</w:t>
            </w:r>
          </w:p>
        </w:tc>
        <w:tc>
          <w:tcPr>
            <w:tcW w:w="1700" w:type="dxa"/>
            <w:vAlign w:val="bottom"/>
            <w:gridSpan w:val="4"/>
            <w:vMerge w:val="restart"/>
          </w:tcPr>
          <w:p>
            <w:pPr>
              <w:jc w:val="right"/>
              <w:ind w:right="500"/>
              <w:spacing w:after="0"/>
              <w:rPr>
                <w:sz w:val="20"/>
                <w:szCs w:val="20"/>
                <w:color w:val="auto"/>
              </w:rPr>
            </w:pPr>
            <w:r>
              <w:rPr>
                <w:rFonts w:ascii="Arial" w:cs="Arial" w:eastAsia="Arial" w:hAnsi="Arial"/>
                <w:sz w:val="14"/>
                <w:szCs w:val="14"/>
                <w:b w:val="1"/>
                <w:bCs w:val="1"/>
                <w:color w:val="auto"/>
                <w:w w:val="88"/>
              </w:rPr>
              <w:t>Decrease compared</w:t>
            </w:r>
          </w:p>
        </w:tc>
        <w:tc>
          <w:tcPr>
            <w:tcW w:w="94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87"/>
              </w:rPr>
              <w:t>Nine months</w:t>
            </w:r>
          </w:p>
        </w:tc>
        <w:tc>
          <w:tcPr>
            <w:tcW w:w="0" w:type="dxa"/>
            <w:vAlign w:val="bottom"/>
          </w:tcPr>
          <w:p>
            <w:pPr>
              <w:spacing w:after="0"/>
              <w:rPr>
                <w:sz w:val="1"/>
                <w:szCs w:val="1"/>
                <w:color w:val="auto"/>
              </w:rPr>
            </w:pPr>
          </w:p>
        </w:tc>
      </w:tr>
      <w:tr>
        <w:trPr>
          <w:trHeight w:val="81"/>
        </w:trPr>
        <w:tc>
          <w:tcPr>
            <w:tcW w:w="3500" w:type="dxa"/>
            <w:vAlign w:val="bottom"/>
          </w:tcPr>
          <w:p>
            <w:pPr>
              <w:spacing w:after="0"/>
              <w:rPr>
                <w:sz w:val="7"/>
                <w:szCs w:val="7"/>
                <w:color w:val="auto"/>
              </w:rPr>
            </w:pPr>
          </w:p>
        </w:tc>
        <w:tc>
          <w:tcPr>
            <w:tcW w:w="140" w:type="dxa"/>
            <w:vAlign w:val="bottom"/>
          </w:tcPr>
          <w:p>
            <w:pPr>
              <w:spacing w:after="0"/>
              <w:rPr>
                <w:sz w:val="7"/>
                <w:szCs w:val="7"/>
                <w:color w:val="auto"/>
              </w:rPr>
            </w:pPr>
          </w:p>
        </w:tc>
        <w:tc>
          <w:tcPr>
            <w:tcW w:w="940" w:type="dxa"/>
            <w:vAlign w:val="bottom"/>
            <w:gridSpan w:val="2"/>
            <w:vMerge w:val="restart"/>
          </w:tcPr>
          <w:p>
            <w:pPr>
              <w:jc w:val="center"/>
              <w:ind w:right="460"/>
              <w:spacing w:after="0" w:line="149" w:lineRule="exact"/>
              <w:rPr>
                <w:sz w:val="20"/>
                <w:szCs w:val="20"/>
                <w:color w:val="auto"/>
              </w:rPr>
            </w:pPr>
            <w:r>
              <w:rPr>
                <w:rFonts w:ascii="Arial" w:cs="Arial" w:eastAsia="Arial" w:hAnsi="Arial"/>
                <w:sz w:val="14"/>
                <w:szCs w:val="14"/>
                <w:b w:val="1"/>
                <w:bCs w:val="1"/>
                <w:color w:val="auto"/>
                <w:w w:val="87"/>
              </w:rPr>
              <w:t>ended</w:t>
            </w:r>
          </w:p>
        </w:tc>
        <w:tc>
          <w:tcPr>
            <w:tcW w:w="120" w:type="dxa"/>
            <w:vAlign w:val="bottom"/>
          </w:tcPr>
          <w:p>
            <w:pPr>
              <w:spacing w:after="0"/>
              <w:rPr>
                <w:sz w:val="7"/>
                <w:szCs w:val="7"/>
                <w:color w:val="auto"/>
              </w:rPr>
            </w:pPr>
          </w:p>
        </w:tc>
        <w:tc>
          <w:tcPr>
            <w:tcW w:w="1700" w:type="dxa"/>
            <w:vAlign w:val="bottom"/>
            <w:gridSpan w:val="4"/>
            <w:vMerge w:val="continue"/>
          </w:tcPr>
          <w:p>
            <w:pPr>
              <w:spacing w:after="0"/>
              <w:rPr>
                <w:sz w:val="7"/>
                <w:szCs w:val="7"/>
                <w:color w:val="auto"/>
              </w:rPr>
            </w:pPr>
          </w:p>
        </w:tc>
        <w:tc>
          <w:tcPr>
            <w:tcW w:w="160" w:type="dxa"/>
            <w:vAlign w:val="bottom"/>
          </w:tcPr>
          <w:p>
            <w:pPr>
              <w:spacing w:after="0"/>
              <w:rPr>
                <w:sz w:val="7"/>
                <w:szCs w:val="7"/>
                <w:color w:val="auto"/>
              </w:rPr>
            </w:pPr>
          </w:p>
        </w:tc>
        <w:tc>
          <w:tcPr>
            <w:tcW w:w="1060" w:type="dxa"/>
            <w:vAlign w:val="bottom"/>
            <w:gridSpan w:val="2"/>
            <w:vMerge w:val="restart"/>
          </w:tcPr>
          <w:p>
            <w:pPr>
              <w:jc w:val="center"/>
              <w:ind w:right="580"/>
              <w:spacing w:after="0" w:line="149" w:lineRule="exact"/>
              <w:rPr>
                <w:sz w:val="20"/>
                <w:szCs w:val="20"/>
                <w:color w:val="auto"/>
              </w:rPr>
            </w:pPr>
            <w:r>
              <w:rPr>
                <w:rFonts w:ascii="Arial" w:cs="Arial" w:eastAsia="Arial" w:hAnsi="Arial"/>
                <w:sz w:val="14"/>
                <w:szCs w:val="14"/>
                <w:b w:val="1"/>
                <w:bCs w:val="1"/>
                <w:color w:val="auto"/>
                <w:w w:val="87"/>
              </w:rPr>
              <w:t>ended</w:t>
            </w:r>
          </w:p>
        </w:tc>
        <w:tc>
          <w:tcPr>
            <w:tcW w:w="1160" w:type="dxa"/>
            <w:vAlign w:val="bottom"/>
            <w:gridSpan w:val="2"/>
            <w:vMerge w:val="restart"/>
          </w:tcPr>
          <w:p>
            <w:pPr>
              <w:jc w:val="center"/>
              <w:ind w:right="440"/>
              <w:spacing w:after="0" w:line="149" w:lineRule="exact"/>
              <w:rPr>
                <w:sz w:val="20"/>
                <w:szCs w:val="20"/>
                <w:color w:val="auto"/>
              </w:rPr>
            </w:pPr>
            <w:r>
              <w:rPr>
                <w:rFonts w:ascii="Arial" w:cs="Arial" w:eastAsia="Arial" w:hAnsi="Arial"/>
                <w:sz w:val="14"/>
                <w:szCs w:val="14"/>
                <w:b w:val="1"/>
                <w:bCs w:val="1"/>
                <w:color w:val="auto"/>
                <w:w w:val="87"/>
              </w:rPr>
              <w:t>ended</w:t>
            </w:r>
          </w:p>
        </w:tc>
        <w:tc>
          <w:tcPr>
            <w:tcW w:w="1700" w:type="dxa"/>
            <w:vAlign w:val="bottom"/>
            <w:gridSpan w:val="4"/>
            <w:vMerge w:val="continue"/>
          </w:tcPr>
          <w:p>
            <w:pPr>
              <w:spacing w:after="0"/>
              <w:rPr>
                <w:sz w:val="7"/>
                <w:szCs w:val="7"/>
                <w:color w:val="auto"/>
              </w:rPr>
            </w:pPr>
          </w:p>
        </w:tc>
        <w:tc>
          <w:tcPr>
            <w:tcW w:w="940" w:type="dxa"/>
            <w:vAlign w:val="bottom"/>
            <w:gridSpan w:val="2"/>
            <w:vMerge w:val="restart"/>
          </w:tcPr>
          <w:p>
            <w:pPr>
              <w:jc w:val="center"/>
              <w:ind w:right="240"/>
              <w:spacing w:after="0" w:line="149" w:lineRule="exact"/>
              <w:rPr>
                <w:sz w:val="20"/>
                <w:szCs w:val="20"/>
                <w:color w:val="auto"/>
              </w:rPr>
            </w:pPr>
            <w:r>
              <w:rPr>
                <w:rFonts w:ascii="Arial" w:cs="Arial" w:eastAsia="Arial" w:hAnsi="Arial"/>
                <w:sz w:val="14"/>
                <w:szCs w:val="14"/>
                <w:b w:val="1"/>
                <w:bCs w:val="1"/>
                <w:color w:val="auto"/>
                <w:w w:val="82"/>
              </w:rPr>
              <w:t>ended</w:t>
            </w:r>
          </w:p>
        </w:tc>
        <w:tc>
          <w:tcPr>
            <w:tcW w:w="0" w:type="dxa"/>
            <w:vAlign w:val="bottom"/>
          </w:tcPr>
          <w:p>
            <w:pPr>
              <w:spacing w:after="0"/>
              <w:rPr>
                <w:sz w:val="1"/>
                <w:szCs w:val="1"/>
                <w:color w:val="auto"/>
              </w:rPr>
            </w:pPr>
          </w:p>
        </w:tc>
      </w:tr>
      <w:tr>
        <w:trPr>
          <w:trHeight w:val="68"/>
        </w:trPr>
        <w:tc>
          <w:tcPr>
            <w:tcW w:w="3500" w:type="dxa"/>
            <w:vAlign w:val="bottom"/>
          </w:tcPr>
          <w:p>
            <w:pPr>
              <w:spacing w:after="0"/>
              <w:rPr>
                <w:sz w:val="5"/>
                <w:szCs w:val="5"/>
                <w:color w:val="auto"/>
              </w:rPr>
            </w:pPr>
          </w:p>
        </w:tc>
        <w:tc>
          <w:tcPr>
            <w:tcW w:w="140" w:type="dxa"/>
            <w:vAlign w:val="bottom"/>
          </w:tcPr>
          <w:p>
            <w:pPr>
              <w:spacing w:after="0"/>
              <w:rPr>
                <w:sz w:val="5"/>
                <w:szCs w:val="5"/>
                <w:color w:val="auto"/>
              </w:rPr>
            </w:pPr>
          </w:p>
        </w:tc>
        <w:tc>
          <w:tcPr>
            <w:tcW w:w="940" w:type="dxa"/>
            <w:vAlign w:val="bottom"/>
            <w:gridSpan w:val="2"/>
            <w:vMerge w:val="continue"/>
          </w:tcPr>
          <w:p>
            <w:pPr>
              <w:spacing w:after="0"/>
              <w:rPr>
                <w:sz w:val="5"/>
                <w:szCs w:val="5"/>
                <w:color w:val="auto"/>
              </w:rPr>
            </w:pPr>
          </w:p>
        </w:tc>
        <w:tc>
          <w:tcPr>
            <w:tcW w:w="120" w:type="dxa"/>
            <w:vAlign w:val="bottom"/>
          </w:tcPr>
          <w:p>
            <w:pPr>
              <w:spacing w:after="0"/>
              <w:rPr>
                <w:sz w:val="5"/>
                <w:szCs w:val="5"/>
                <w:color w:val="auto"/>
              </w:rPr>
            </w:pPr>
          </w:p>
        </w:tc>
        <w:tc>
          <w:tcPr>
            <w:tcW w:w="1700" w:type="dxa"/>
            <w:vAlign w:val="bottom"/>
            <w:gridSpan w:val="4"/>
            <w:vMerge w:val="restart"/>
          </w:tcPr>
          <w:p>
            <w:pPr>
              <w:jc w:val="center"/>
              <w:ind w:right="400"/>
              <w:spacing w:after="0"/>
              <w:rPr>
                <w:sz w:val="20"/>
                <w:szCs w:val="20"/>
                <w:color w:val="auto"/>
              </w:rPr>
            </w:pPr>
            <w:r>
              <w:rPr>
                <w:rFonts w:ascii="Arial" w:cs="Arial" w:eastAsia="Arial" w:hAnsi="Arial"/>
                <w:sz w:val="14"/>
                <w:szCs w:val="14"/>
                <w:b w:val="1"/>
                <w:bCs w:val="1"/>
                <w:color w:val="auto"/>
                <w:w w:val="89"/>
              </w:rPr>
              <w:t>to prior period</w:t>
            </w:r>
          </w:p>
        </w:tc>
        <w:tc>
          <w:tcPr>
            <w:tcW w:w="160" w:type="dxa"/>
            <w:vAlign w:val="bottom"/>
          </w:tcPr>
          <w:p>
            <w:pPr>
              <w:spacing w:after="0"/>
              <w:rPr>
                <w:sz w:val="5"/>
                <w:szCs w:val="5"/>
                <w:color w:val="auto"/>
              </w:rPr>
            </w:pPr>
          </w:p>
        </w:tc>
        <w:tc>
          <w:tcPr>
            <w:tcW w:w="1060" w:type="dxa"/>
            <w:vAlign w:val="bottom"/>
            <w:gridSpan w:val="2"/>
            <w:vMerge w:val="continue"/>
          </w:tcPr>
          <w:p>
            <w:pPr>
              <w:spacing w:after="0"/>
              <w:rPr>
                <w:sz w:val="5"/>
                <w:szCs w:val="5"/>
                <w:color w:val="auto"/>
              </w:rPr>
            </w:pPr>
          </w:p>
        </w:tc>
        <w:tc>
          <w:tcPr>
            <w:tcW w:w="1160" w:type="dxa"/>
            <w:vAlign w:val="bottom"/>
            <w:gridSpan w:val="2"/>
            <w:vMerge w:val="continue"/>
          </w:tcPr>
          <w:p>
            <w:pPr>
              <w:spacing w:after="0"/>
              <w:rPr>
                <w:sz w:val="5"/>
                <w:szCs w:val="5"/>
                <w:color w:val="auto"/>
              </w:rPr>
            </w:pPr>
          </w:p>
        </w:tc>
        <w:tc>
          <w:tcPr>
            <w:tcW w:w="1700" w:type="dxa"/>
            <w:vAlign w:val="bottom"/>
            <w:gridSpan w:val="4"/>
            <w:vMerge w:val="restart"/>
          </w:tcPr>
          <w:p>
            <w:pPr>
              <w:jc w:val="right"/>
              <w:ind w:right="640"/>
              <w:spacing w:after="0"/>
              <w:rPr>
                <w:sz w:val="20"/>
                <w:szCs w:val="20"/>
                <w:color w:val="auto"/>
              </w:rPr>
            </w:pPr>
            <w:r>
              <w:rPr>
                <w:rFonts w:ascii="Arial" w:cs="Arial" w:eastAsia="Arial" w:hAnsi="Arial"/>
                <w:sz w:val="14"/>
                <w:szCs w:val="14"/>
                <w:b w:val="1"/>
                <w:bCs w:val="1"/>
                <w:color w:val="auto"/>
              </w:rPr>
              <w:t>to prior period</w:t>
            </w:r>
          </w:p>
        </w:tc>
        <w:tc>
          <w:tcPr>
            <w:tcW w:w="940" w:type="dxa"/>
            <w:vAlign w:val="bottom"/>
            <w:gridSpan w:val="2"/>
            <w:vMerge w:val="continue"/>
          </w:tcPr>
          <w:p>
            <w:pPr>
              <w:spacing w:after="0"/>
              <w:rPr>
                <w:sz w:val="5"/>
                <w:szCs w:val="5"/>
                <w:color w:val="auto"/>
              </w:rPr>
            </w:pPr>
          </w:p>
        </w:tc>
        <w:tc>
          <w:tcPr>
            <w:tcW w:w="0" w:type="dxa"/>
            <w:vAlign w:val="bottom"/>
          </w:tcPr>
          <w:p>
            <w:pPr>
              <w:spacing w:after="0"/>
              <w:rPr>
                <w:sz w:val="1"/>
                <w:szCs w:val="1"/>
                <w:color w:val="auto"/>
              </w:rPr>
            </w:pPr>
          </w:p>
        </w:tc>
      </w:tr>
      <w:tr>
        <w:trPr>
          <w:trHeight w:val="94"/>
        </w:trPr>
        <w:tc>
          <w:tcPr>
            <w:tcW w:w="3500" w:type="dxa"/>
            <w:vAlign w:val="bottom"/>
          </w:tcPr>
          <w:p>
            <w:pPr>
              <w:spacing w:after="0"/>
              <w:rPr>
                <w:sz w:val="8"/>
                <w:szCs w:val="8"/>
                <w:color w:val="auto"/>
              </w:rPr>
            </w:pPr>
          </w:p>
        </w:tc>
        <w:tc>
          <w:tcPr>
            <w:tcW w:w="1080" w:type="dxa"/>
            <w:vAlign w:val="bottom"/>
            <w:gridSpan w:val="3"/>
            <w:vMerge w:val="restart"/>
          </w:tcPr>
          <w:p>
            <w:pPr>
              <w:jc w:val="center"/>
              <w:ind w:right="280"/>
              <w:spacing w:after="0" w:line="149" w:lineRule="exact"/>
              <w:rPr>
                <w:sz w:val="20"/>
                <w:szCs w:val="20"/>
                <w:color w:val="auto"/>
              </w:rPr>
            </w:pPr>
            <w:r>
              <w:rPr>
                <w:rFonts w:ascii="Arial" w:cs="Arial" w:eastAsia="Arial" w:hAnsi="Arial"/>
                <w:sz w:val="14"/>
                <w:szCs w:val="14"/>
                <w:b w:val="1"/>
                <w:bCs w:val="1"/>
                <w:color w:val="auto"/>
                <w:w w:val="88"/>
              </w:rPr>
              <w:t>October 31,</w:t>
            </w:r>
          </w:p>
        </w:tc>
        <w:tc>
          <w:tcPr>
            <w:tcW w:w="120" w:type="dxa"/>
            <w:vAlign w:val="bottom"/>
          </w:tcPr>
          <w:p>
            <w:pPr>
              <w:spacing w:after="0"/>
              <w:rPr>
                <w:sz w:val="8"/>
                <w:szCs w:val="8"/>
                <w:color w:val="auto"/>
              </w:rPr>
            </w:pPr>
          </w:p>
        </w:tc>
        <w:tc>
          <w:tcPr>
            <w:tcW w:w="1700" w:type="dxa"/>
            <w:vAlign w:val="bottom"/>
            <w:gridSpan w:val="4"/>
            <w:vMerge w:val="continue"/>
          </w:tcPr>
          <w:p>
            <w:pPr>
              <w:spacing w:after="0"/>
              <w:rPr>
                <w:sz w:val="8"/>
                <w:szCs w:val="8"/>
                <w:color w:val="auto"/>
              </w:rPr>
            </w:pPr>
          </w:p>
        </w:tc>
        <w:tc>
          <w:tcPr>
            <w:tcW w:w="1220" w:type="dxa"/>
            <w:vAlign w:val="bottom"/>
            <w:gridSpan w:val="3"/>
            <w:vMerge w:val="restart"/>
          </w:tcPr>
          <w:p>
            <w:pPr>
              <w:jc w:val="center"/>
              <w:ind w:right="380"/>
              <w:spacing w:after="0" w:line="149" w:lineRule="exact"/>
              <w:rPr>
                <w:sz w:val="20"/>
                <w:szCs w:val="20"/>
                <w:color w:val="auto"/>
              </w:rPr>
            </w:pPr>
            <w:r>
              <w:rPr>
                <w:rFonts w:ascii="Arial" w:cs="Arial" w:eastAsia="Arial" w:hAnsi="Arial"/>
                <w:sz w:val="14"/>
                <w:szCs w:val="14"/>
                <w:b w:val="1"/>
                <w:bCs w:val="1"/>
                <w:color w:val="auto"/>
                <w:w w:val="88"/>
              </w:rPr>
              <w:t>October 31,</w:t>
            </w:r>
          </w:p>
        </w:tc>
        <w:tc>
          <w:tcPr>
            <w:tcW w:w="1160" w:type="dxa"/>
            <w:vAlign w:val="bottom"/>
            <w:gridSpan w:val="2"/>
            <w:vMerge w:val="restart"/>
          </w:tcPr>
          <w:p>
            <w:pPr>
              <w:jc w:val="center"/>
              <w:ind w:right="400"/>
              <w:spacing w:after="0" w:line="149" w:lineRule="exact"/>
              <w:rPr>
                <w:sz w:val="20"/>
                <w:szCs w:val="20"/>
                <w:color w:val="auto"/>
              </w:rPr>
            </w:pPr>
            <w:r>
              <w:rPr>
                <w:rFonts w:ascii="Arial" w:cs="Arial" w:eastAsia="Arial" w:hAnsi="Arial"/>
                <w:sz w:val="14"/>
                <w:szCs w:val="14"/>
                <w:b w:val="1"/>
                <w:bCs w:val="1"/>
                <w:color w:val="auto"/>
                <w:w w:val="88"/>
              </w:rPr>
              <w:t>October 31,</w:t>
            </w:r>
          </w:p>
        </w:tc>
        <w:tc>
          <w:tcPr>
            <w:tcW w:w="1700" w:type="dxa"/>
            <w:vAlign w:val="bottom"/>
            <w:gridSpan w:val="4"/>
            <w:vMerge w:val="continue"/>
          </w:tcPr>
          <w:p>
            <w:pPr>
              <w:spacing w:after="0"/>
              <w:rPr>
                <w:sz w:val="8"/>
                <w:szCs w:val="8"/>
                <w:color w:val="auto"/>
              </w:rPr>
            </w:pPr>
          </w:p>
        </w:tc>
        <w:tc>
          <w:tcPr>
            <w:tcW w:w="940" w:type="dxa"/>
            <w:vAlign w:val="bottom"/>
            <w:gridSpan w:val="2"/>
            <w:vMerge w:val="restart"/>
          </w:tcPr>
          <w:p>
            <w:pPr>
              <w:jc w:val="center"/>
              <w:ind w:right="220"/>
              <w:spacing w:after="0" w:line="149" w:lineRule="exact"/>
              <w:rPr>
                <w:sz w:val="20"/>
                <w:szCs w:val="20"/>
                <w:color w:val="auto"/>
              </w:rPr>
            </w:pPr>
            <w:r>
              <w:rPr>
                <w:rFonts w:ascii="Arial" w:cs="Arial" w:eastAsia="Arial" w:hAnsi="Arial"/>
                <w:sz w:val="14"/>
                <w:szCs w:val="14"/>
                <w:b w:val="1"/>
                <w:bCs w:val="1"/>
                <w:color w:val="auto"/>
                <w:w w:val="88"/>
              </w:rPr>
              <w:t>October 31,</w:t>
            </w:r>
          </w:p>
        </w:tc>
        <w:tc>
          <w:tcPr>
            <w:tcW w:w="0" w:type="dxa"/>
            <w:vAlign w:val="bottom"/>
          </w:tcPr>
          <w:p>
            <w:pPr>
              <w:spacing w:after="0"/>
              <w:rPr>
                <w:sz w:val="1"/>
                <w:szCs w:val="1"/>
                <w:color w:val="auto"/>
              </w:rPr>
            </w:pPr>
          </w:p>
        </w:tc>
      </w:tr>
      <w:tr>
        <w:trPr>
          <w:trHeight w:val="35"/>
        </w:trPr>
        <w:tc>
          <w:tcPr>
            <w:tcW w:w="3500" w:type="dxa"/>
            <w:vAlign w:val="bottom"/>
          </w:tcPr>
          <w:p>
            <w:pPr>
              <w:spacing w:after="0"/>
              <w:rPr>
                <w:sz w:val="3"/>
                <w:szCs w:val="3"/>
                <w:color w:val="auto"/>
              </w:rPr>
            </w:pPr>
          </w:p>
        </w:tc>
        <w:tc>
          <w:tcPr>
            <w:tcW w:w="1080" w:type="dxa"/>
            <w:vAlign w:val="bottom"/>
            <w:gridSpan w:val="3"/>
            <w:vMerge w:val="continue"/>
          </w:tcPr>
          <w:p>
            <w:pPr>
              <w:spacing w:after="0"/>
              <w:rPr>
                <w:sz w:val="3"/>
                <w:szCs w:val="3"/>
                <w:color w:val="auto"/>
              </w:rPr>
            </w:pPr>
          </w:p>
        </w:tc>
        <w:tc>
          <w:tcPr>
            <w:tcW w:w="120" w:type="dxa"/>
            <w:vAlign w:val="bottom"/>
          </w:tcPr>
          <w:p>
            <w:pPr>
              <w:spacing w:after="0"/>
              <w:rPr>
                <w:sz w:val="3"/>
                <w:szCs w:val="3"/>
                <w:color w:val="auto"/>
              </w:rPr>
            </w:pPr>
          </w:p>
        </w:tc>
        <w:tc>
          <w:tcPr>
            <w:tcW w:w="620" w:type="dxa"/>
            <w:vAlign w:val="bottom"/>
            <w:tcBorders>
              <w:top w:val="single" w:sz="8" w:color="auto"/>
            </w:tcBorders>
          </w:tcPr>
          <w:p>
            <w:pPr>
              <w:spacing w:after="0"/>
              <w:rPr>
                <w:sz w:val="3"/>
                <w:szCs w:val="3"/>
                <w:color w:val="auto"/>
              </w:rPr>
            </w:pPr>
          </w:p>
        </w:tc>
        <w:tc>
          <w:tcPr>
            <w:tcW w:w="340" w:type="dxa"/>
            <w:vAlign w:val="bottom"/>
            <w:tcBorders>
              <w:top w:val="single" w:sz="8" w:color="auto"/>
            </w:tcBorders>
          </w:tcPr>
          <w:p>
            <w:pPr>
              <w:spacing w:after="0"/>
              <w:rPr>
                <w:sz w:val="3"/>
                <w:szCs w:val="3"/>
                <w:color w:val="auto"/>
              </w:rPr>
            </w:pPr>
          </w:p>
        </w:tc>
        <w:tc>
          <w:tcPr>
            <w:tcW w:w="340" w:type="dxa"/>
            <w:vAlign w:val="bottom"/>
            <w:tcBorders>
              <w:top w:val="single" w:sz="8" w:color="auto"/>
            </w:tcBorders>
          </w:tcPr>
          <w:p>
            <w:pPr>
              <w:spacing w:after="0"/>
              <w:rPr>
                <w:sz w:val="3"/>
                <w:szCs w:val="3"/>
                <w:color w:val="auto"/>
              </w:rPr>
            </w:pPr>
          </w:p>
        </w:tc>
        <w:tc>
          <w:tcPr>
            <w:tcW w:w="400" w:type="dxa"/>
            <w:vAlign w:val="bottom"/>
          </w:tcPr>
          <w:p>
            <w:pPr>
              <w:spacing w:after="0"/>
              <w:rPr>
                <w:sz w:val="3"/>
                <w:szCs w:val="3"/>
                <w:color w:val="auto"/>
              </w:rPr>
            </w:pPr>
          </w:p>
        </w:tc>
        <w:tc>
          <w:tcPr>
            <w:tcW w:w="1220" w:type="dxa"/>
            <w:vAlign w:val="bottom"/>
            <w:gridSpan w:val="3"/>
            <w:vMerge w:val="continue"/>
          </w:tcPr>
          <w:p>
            <w:pPr>
              <w:spacing w:after="0"/>
              <w:rPr>
                <w:sz w:val="3"/>
                <w:szCs w:val="3"/>
                <w:color w:val="auto"/>
              </w:rPr>
            </w:pPr>
          </w:p>
        </w:tc>
        <w:tc>
          <w:tcPr>
            <w:tcW w:w="1160" w:type="dxa"/>
            <w:vAlign w:val="bottom"/>
            <w:gridSpan w:val="2"/>
            <w:vMerge w:val="continue"/>
          </w:tcPr>
          <w:p>
            <w:pPr>
              <w:spacing w:after="0"/>
              <w:rPr>
                <w:sz w:val="3"/>
                <w:szCs w:val="3"/>
                <w:color w:val="auto"/>
              </w:rPr>
            </w:pPr>
          </w:p>
        </w:tc>
        <w:tc>
          <w:tcPr>
            <w:tcW w:w="660" w:type="dxa"/>
            <w:vAlign w:val="bottom"/>
            <w:tcBorders>
              <w:top w:val="single" w:sz="8" w:color="auto"/>
            </w:tcBorders>
          </w:tcPr>
          <w:p>
            <w:pPr>
              <w:spacing w:after="0"/>
              <w:rPr>
                <w:sz w:val="3"/>
                <w:szCs w:val="3"/>
                <w:color w:val="auto"/>
              </w:rPr>
            </w:pPr>
          </w:p>
        </w:tc>
        <w:tc>
          <w:tcPr>
            <w:tcW w:w="320" w:type="dxa"/>
            <w:vAlign w:val="bottom"/>
            <w:tcBorders>
              <w:top w:val="single" w:sz="8" w:color="auto"/>
            </w:tcBorders>
          </w:tcPr>
          <w:p>
            <w:pPr>
              <w:spacing w:after="0"/>
              <w:rPr>
                <w:sz w:val="3"/>
                <w:szCs w:val="3"/>
                <w:color w:val="auto"/>
              </w:rPr>
            </w:pPr>
          </w:p>
        </w:tc>
        <w:tc>
          <w:tcPr>
            <w:tcW w:w="300" w:type="dxa"/>
            <w:vAlign w:val="bottom"/>
            <w:tcBorders>
              <w:top w:val="single" w:sz="8" w:color="auto"/>
            </w:tcBorders>
          </w:tcPr>
          <w:p>
            <w:pPr>
              <w:spacing w:after="0"/>
              <w:rPr>
                <w:sz w:val="3"/>
                <w:szCs w:val="3"/>
                <w:color w:val="auto"/>
              </w:rPr>
            </w:pPr>
          </w:p>
        </w:tc>
        <w:tc>
          <w:tcPr>
            <w:tcW w:w="420" w:type="dxa"/>
            <w:vAlign w:val="bottom"/>
          </w:tcPr>
          <w:p>
            <w:pPr>
              <w:spacing w:after="0"/>
              <w:rPr>
                <w:sz w:val="3"/>
                <w:szCs w:val="3"/>
                <w:color w:val="auto"/>
              </w:rPr>
            </w:pPr>
          </w:p>
        </w:tc>
        <w:tc>
          <w:tcPr>
            <w:tcW w:w="94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61"/>
        </w:trPr>
        <w:tc>
          <w:tcPr>
            <w:tcW w:w="3500" w:type="dxa"/>
            <w:vAlign w:val="bottom"/>
          </w:tcPr>
          <w:p>
            <w:pPr>
              <w:spacing w:after="0"/>
              <w:rPr>
                <w:sz w:val="20"/>
                <w:szCs w:val="20"/>
                <w:color w:val="auto"/>
              </w:rPr>
            </w:pPr>
            <w:r>
              <w:rPr>
                <w:rFonts w:ascii="Arial" w:cs="Arial" w:eastAsia="Arial" w:hAnsi="Arial"/>
                <w:sz w:val="14"/>
                <w:szCs w:val="14"/>
                <w:i w:val="1"/>
                <w:iCs w:val="1"/>
                <w:color w:val="auto"/>
              </w:rPr>
              <w:t>(in millions)</w:t>
            </w:r>
          </w:p>
        </w:tc>
        <w:tc>
          <w:tcPr>
            <w:tcW w:w="14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center"/>
              <w:ind w:right="62"/>
              <w:spacing w:after="0"/>
              <w:rPr>
                <w:sz w:val="20"/>
                <w:szCs w:val="20"/>
                <w:color w:val="auto"/>
              </w:rPr>
            </w:pPr>
            <w:r>
              <w:rPr>
                <w:rFonts w:ascii="Arial" w:cs="Arial" w:eastAsia="Arial" w:hAnsi="Arial"/>
                <w:sz w:val="14"/>
                <w:szCs w:val="14"/>
                <w:b w:val="1"/>
                <w:bCs w:val="1"/>
                <w:color w:val="auto"/>
                <w:w w:val="89"/>
              </w:rPr>
              <w:t>2009</w:t>
            </w:r>
          </w:p>
        </w:tc>
        <w:tc>
          <w:tcPr>
            <w:tcW w:w="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tcBorders>
              <w:bottom w:val="single" w:sz="8" w:color="auto"/>
            </w:tcBorders>
          </w:tcPr>
          <w:p>
            <w:pPr>
              <w:jc w:val="right"/>
              <w:ind w:right="212"/>
              <w:spacing w:after="0"/>
              <w:rPr>
                <w:sz w:val="20"/>
                <w:szCs w:val="20"/>
                <w:color w:val="auto"/>
              </w:rPr>
            </w:pPr>
            <w:r>
              <w:rPr>
                <w:rFonts w:ascii="Arial" w:cs="Arial" w:eastAsia="Arial" w:hAnsi="Arial"/>
                <w:sz w:val="14"/>
                <w:szCs w:val="14"/>
                <w:b w:val="1"/>
                <w:bCs w:val="1"/>
                <w:color w:val="auto"/>
              </w:rPr>
              <w:t>$</w:t>
            </w:r>
          </w:p>
        </w:tc>
        <w:tc>
          <w:tcPr>
            <w:tcW w:w="340" w:type="dxa"/>
            <w:vAlign w:val="bottom"/>
          </w:tcPr>
          <w:p>
            <w:pPr>
              <w:spacing w:after="0"/>
              <w:rPr>
                <w:sz w:val="14"/>
                <w:szCs w:val="14"/>
                <w:color w:val="auto"/>
              </w:rPr>
            </w:pPr>
          </w:p>
        </w:tc>
        <w:tc>
          <w:tcPr>
            <w:tcW w:w="340" w:type="dxa"/>
            <w:vAlign w:val="bottom"/>
            <w:tcBorders>
              <w:bottom w:val="single" w:sz="8" w:color="auto"/>
            </w:tcBorders>
          </w:tcPr>
          <w:p>
            <w:pPr>
              <w:ind w:left="100"/>
              <w:spacing w:after="0"/>
              <w:rPr>
                <w:sz w:val="20"/>
                <w:szCs w:val="20"/>
                <w:color w:val="auto"/>
              </w:rPr>
            </w:pPr>
            <w:r>
              <w:rPr>
                <w:rFonts w:ascii="Arial" w:cs="Arial" w:eastAsia="Arial" w:hAnsi="Arial"/>
                <w:sz w:val="14"/>
                <w:szCs w:val="14"/>
                <w:b w:val="1"/>
                <w:bCs w:val="1"/>
                <w:color w:val="auto"/>
              </w:rPr>
              <w:t>%</w:t>
            </w:r>
          </w:p>
        </w:tc>
        <w:tc>
          <w:tcPr>
            <w:tcW w:w="40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center"/>
              <w:ind w:right="82"/>
              <w:spacing w:after="0"/>
              <w:rPr>
                <w:sz w:val="20"/>
                <w:szCs w:val="20"/>
                <w:color w:val="auto"/>
              </w:rPr>
            </w:pPr>
            <w:r>
              <w:rPr>
                <w:rFonts w:ascii="Arial" w:cs="Arial" w:eastAsia="Arial" w:hAnsi="Arial"/>
                <w:sz w:val="14"/>
                <w:szCs w:val="14"/>
                <w:b w:val="1"/>
                <w:bCs w:val="1"/>
                <w:color w:val="auto"/>
                <w:w w:val="83"/>
              </w:rPr>
              <w:t>2008</w:t>
            </w:r>
          </w:p>
        </w:tc>
        <w:tc>
          <w:tcPr>
            <w:tcW w:w="400" w:type="dxa"/>
            <w:vAlign w:val="bottom"/>
          </w:tcPr>
          <w:p>
            <w:pPr>
              <w:spacing w:after="0"/>
              <w:rPr>
                <w:sz w:val="14"/>
                <w:szCs w:val="14"/>
                <w:color w:val="auto"/>
              </w:rPr>
            </w:pPr>
          </w:p>
        </w:tc>
        <w:tc>
          <w:tcPr>
            <w:tcW w:w="7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2009</w:t>
            </w:r>
          </w:p>
        </w:tc>
        <w:tc>
          <w:tcPr>
            <w:tcW w:w="420" w:type="dxa"/>
            <w:vAlign w:val="bottom"/>
          </w:tcPr>
          <w:p>
            <w:pPr>
              <w:spacing w:after="0"/>
              <w:rPr>
                <w:sz w:val="14"/>
                <w:szCs w:val="14"/>
                <w:color w:val="auto"/>
              </w:rPr>
            </w:pPr>
          </w:p>
        </w:tc>
        <w:tc>
          <w:tcPr>
            <w:tcW w:w="660" w:type="dxa"/>
            <w:vAlign w:val="bottom"/>
            <w:tcBorders>
              <w:bottom w:val="single" w:sz="8" w:color="auto"/>
            </w:tcBorders>
          </w:tcPr>
          <w:p>
            <w:pPr>
              <w:jc w:val="right"/>
              <w:ind w:right="227"/>
              <w:spacing w:after="0"/>
              <w:rPr>
                <w:sz w:val="20"/>
                <w:szCs w:val="20"/>
                <w:color w:val="auto"/>
              </w:rPr>
            </w:pPr>
            <w:r>
              <w:rPr>
                <w:rFonts w:ascii="Arial" w:cs="Arial" w:eastAsia="Arial" w:hAnsi="Arial"/>
                <w:sz w:val="14"/>
                <w:szCs w:val="14"/>
                <w:b w:val="1"/>
                <w:bCs w:val="1"/>
                <w:color w:val="auto"/>
              </w:rPr>
              <w:t>$</w:t>
            </w:r>
          </w:p>
        </w:tc>
        <w:tc>
          <w:tcPr>
            <w:tcW w:w="320" w:type="dxa"/>
            <w:vAlign w:val="bottom"/>
          </w:tcPr>
          <w:p>
            <w:pPr>
              <w:spacing w:after="0"/>
              <w:rPr>
                <w:sz w:val="14"/>
                <w:szCs w:val="14"/>
                <w:color w:val="auto"/>
              </w:rPr>
            </w:pPr>
          </w:p>
        </w:tc>
        <w:tc>
          <w:tcPr>
            <w:tcW w:w="300" w:type="dxa"/>
            <w:vAlign w:val="bottom"/>
            <w:tcBorders>
              <w:bottom w:val="single" w:sz="8" w:color="auto"/>
            </w:tcBorders>
          </w:tcPr>
          <w:p>
            <w:pPr>
              <w:jc w:val="right"/>
              <w:ind w:right="2"/>
              <w:spacing w:after="0"/>
              <w:rPr>
                <w:sz w:val="20"/>
                <w:szCs w:val="20"/>
                <w:color w:val="auto"/>
              </w:rPr>
            </w:pPr>
            <w:r>
              <w:rPr>
                <w:rFonts w:ascii="Arial" w:cs="Arial" w:eastAsia="Arial" w:hAnsi="Arial"/>
                <w:sz w:val="14"/>
                <w:szCs w:val="14"/>
                <w:b w:val="1"/>
                <w:bCs w:val="1"/>
                <w:color w:val="auto"/>
              </w:rPr>
              <w:t>%</w:t>
            </w:r>
          </w:p>
        </w:tc>
        <w:tc>
          <w:tcPr>
            <w:tcW w:w="420" w:type="dxa"/>
            <w:vAlign w:val="bottom"/>
          </w:tcPr>
          <w:p>
            <w:pPr>
              <w:spacing w:after="0"/>
              <w:rPr>
                <w:sz w:val="14"/>
                <w:szCs w:val="14"/>
                <w:color w:val="auto"/>
              </w:rPr>
            </w:pPr>
          </w:p>
        </w:tc>
        <w:tc>
          <w:tcPr>
            <w:tcW w:w="7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3"/>
              </w:rPr>
              <w:t>2008</w:t>
            </w: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3500" w:type="dxa"/>
            <w:vAlign w:val="bottom"/>
            <w:shd w:val="clear" w:color="auto" w:fill="CCEEFF"/>
          </w:tcPr>
          <w:p>
            <w:pPr>
              <w:spacing w:after="0"/>
              <w:rPr>
                <w:sz w:val="20"/>
                <w:szCs w:val="20"/>
                <w:color w:val="auto"/>
              </w:rPr>
            </w:pPr>
            <w:r>
              <w:rPr>
                <w:rFonts w:ascii="Arial" w:cs="Arial" w:eastAsia="Arial" w:hAnsi="Arial"/>
                <w:sz w:val="18"/>
                <w:szCs w:val="18"/>
                <w:color w:val="auto"/>
              </w:rPr>
              <w:t>Marketing and sales</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180.3</w:t>
            </w:r>
          </w:p>
        </w:tc>
        <w:tc>
          <w:tcPr>
            <w:tcW w:w="108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  (46.7)</w:t>
            </w:r>
          </w:p>
        </w:tc>
        <w:tc>
          <w:tcPr>
            <w:tcW w:w="74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-21%</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227.0</w:t>
            </w:r>
          </w:p>
        </w:tc>
        <w:tc>
          <w:tcPr>
            <w:tcW w:w="4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   540.6</w:t>
            </w:r>
          </w:p>
        </w:tc>
        <w:tc>
          <w:tcPr>
            <w:tcW w:w="9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90"/>
              </w:rPr>
              <w:t>$  (142.1)</w:t>
            </w:r>
          </w:p>
        </w:tc>
        <w:tc>
          <w:tcPr>
            <w:tcW w:w="7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-21%</w:t>
            </w:r>
          </w:p>
        </w:tc>
        <w:tc>
          <w:tcPr>
            <w:tcW w:w="9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   682.7</w:t>
            </w:r>
          </w:p>
        </w:tc>
        <w:tc>
          <w:tcPr>
            <w:tcW w:w="0" w:type="dxa"/>
            <w:vAlign w:val="bottom"/>
          </w:tcPr>
          <w:p>
            <w:pPr>
              <w:spacing w:after="0"/>
              <w:rPr>
                <w:sz w:val="1"/>
                <w:szCs w:val="1"/>
                <w:color w:val="auto"/>
              </w:rPr>
            </w:pPr>
          </w:p>
        </w:tc>
      </w:tr>
      <w:tr>
        <w:trPr>
          <w:trHeight w:val="222"/>
        </w:trPr>
        <w:tc>
          <w:tcPr>
            <w:tcW w:w="3500" w:type="dxa"/>
            <w:vAlign w:val="bottom"/>
          </w:tcPr>
          <w:p>
            <w:pPr>
              <w:spacing w:after="0"/>
              <w:rPr>
                <w:sz w:val="20"/>
                <w:szCs w:val="20"/>
                <w:color w:val="auto"/>
              </w:rPr>
            </w:pPr>
            <w:r>
              <w:rPr>
                <w:rFonts w:ascii="Arial" w:cs="Arial" w:eastAsia="Arial" w:hAnsi="Arial"/>
                <w:sz w:val="18"/>
                <w:szCs w:val="18"/>
                <w:color w:val="auto"/>
              </w:rPr>
              <w:t>As a percentage of net revenue</w:t>
            </w:r>
          </w:p>
        </w:tc>
        <w:tc>
          <w:tcPr>
            <w:tcW w:w="140" w:type="dxa"/>
            <w:vAlign w:val="bottom"/>
          </w:tcPr>
          <w:p>
            <w:pPr>
              <w:spacing w:after="0"/>
              <w:rPr>
                <w:sz w:val="19"/>
                <w:szCs w:val="19"/>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8"/>
                <w:szCs w:val="18"/>
                <w:color w:val="auto"/>
              </w:rPr>
              <w:t>43%</w:t>
            </w:r>
          </w:p>
        </w:tc>
        <w:tc>
          <w:tcPr>
            <w:tcW w:w="1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60" w:type="dxa"/>
            <w:vAlign w:val="bottom"/>
            <w:gridSpan w:val="2"/>
          </w:tcPr>
          <w:p>
            <w:pPr>
              <w:jc w:val="right"/>
              <w:ind w:right="260"/>
              <w:spacing w:after="0"/>
              <w:rPr>
                <w:sz w:val="20"/>
                <w:szCs w:val="20"/>
                <w:color w:val="auto"/>
              </w:rPr>
            </w:pPr>
            <w:r>
              <w:rPr>
                <w:rFonts w:ascii="Arial" w:cs="Arial" w:eastAsia="Arial" w:hAnsi="Arial"/>
                <w:sz w:val="18"/>
                <w:szCs w:val="18"/>
                <w:color w:val="auto"/>
              </w:rPr>
              <w:t>37%</w:t>
            </w:r>
          </w:p>
        </w:tc>
        <w:tc>
          <w:tcPr>
            <w:tcW w:w="1160" w:type="dxa"/>
            <w:vAlign w:val="bottom"/>
            <w:gridSpan w:val="2"/>
          </w:tcPr>
          <w:p>
            <w:pPr>
              <w:jc w:val="right"/>
              <w:ind w:right="260"/>
              <w:spacing w:after="0"/>
              <w:rPr>
                <w:sz w:val="20"/>
                <w:szCs w:val="20"/>
                <w:color w:val="auto"/>
              </w:rPr>
            </w:pPr>
            <w:r>
              <w:rPr>
                <w:rFonts w:ascii="Arial" w:cs="Arial" w:eastAsia="Arial" w:hAnsi="Arial"/>
                <w:sz w:val="18"/>
                <w:szCs w:val="18"/>
                <w:color w:val="auto"/>
              </w:rPr>
              <w:t>43%</w:t>
            </w:r>
          </w:p>
        </w:tc>
        <w:tc>
          <w:tcPr>
            <w:tcW w:w="6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940" w:type="dxa"/>
            <w:vAlign w:val="bottom"/>
            <w:gridSpan w:val="2"/>
          </w:tcPr>
          <w:p>
            <w:pPr>
              <w:jc w:val="right"/>
              <w:ind w:right="60"/>
              <w:spacing w:after="0"/>
              <w:rPr>
                <w:sz w:val="20"/>
                <w:szCs w:val="20"/>
                <w:color w:val="auto"/>
              </w:rPr>
            </w:pPr>
            <w:r>
              <w:rPr>
                <w:rFonts w:ascii="Arial" w:cs="Arial" w:eastAsia="Arial" w:hAnsi="Arial"/>
                <w:sz w:val="18"/>
                <w:szCs w:val="18"/>
                <w:color w:val="auto"/>
              </w:rPr>
              <w:t>37%</w:t>
            </w:r>
          </w:p>
        </w:tc>
        <w:tc>
          <w:tcPr>
            <w:tcW w:w="0" w:type="dxa"/>
            <w:vAlign w:val="bottom"/>
          </w:tcPr>
          <w:p>
            <w:pPr>
              <w:spacing w:after="0"/>
              <w:rPr>
                <w:sz w:val="1"/>
                <w:szCs w:val="1"/>
                <w:color w:val="auto"/>
              </w:rPr>
            </w:pPr>
          </w:p>
        </w:tc>
      </w:tr>
    </w:tbl>
    <w:p>
      <w:pPr>
        <w:spacing w:after="0" w:line="120" w:lineRule="exact"/>
        <w:rPr>
          <w:sz w:val="20"/>
          <w:szCs w:val="20"/>
          <w:color w:val="auto"/>
        </w:rPr>
      </w:pPr>
    </w:p>
    <w:p>
      <w:pPr>
        <w:ind w:right="80" w:firstLine="456"/>
        <w:spacing w:after="0" w:line="287" w:lineRule="auto"/>
        <w:rPr>
          <w:sz w:val="20"/>
          <w:szCs w:val="20"/>
          <w:color w:val="auto"/>
        </w:rPr>
      </w:pPr>
      <w:r>
        <w:rPr>
          <w:rFonts w:ascii="Arial" w:cs="Arial" w:eastAsia="Arial" w:hAnsi="Arial"/>
          <w:sz w:val="16"/>
          <w:szCs w:val="16"/>
          <w:color w:val="auto"/>
        </w:rPr>
        <w:t>Marketing and sales expenses include salaries, benefits, bonuses and stock-based compensation expense for our marketing and sales employees, costs of programs aimed at increasing revenue, such as advertising, trade shows and expositions, and various sales and promotional programs. Marketing and sales expenses also include labor costs of sales and order processing, rent and occupancy, travel and facility costs for our marketing, sales, dealer training and administrative support personnel, sales and dealer commissions, and the cost of supplies and equipment. Marketing and sales expenses decreased 21% during the three and nine months ended October 31, 2009, as compared to the same periods of the prior fiscal year, primarily due to lower employee-related costs, including commissions and bonuses, decreased travel expenditures and reduced advertising and promotional expenses. We expect to balance our need to invest in the marketing and sales of our products with our need to reduce our operating expenses to align with our financial condition, by continuing to make strategic investments in marketing and sales. As compared to the fourth quarter of fiscal 2009, we expect marketing and sales expenses to decrease in absolute dollars. As a percentage of net revenue, we expect marketing and sales expenses to be flat to slightly down during the fourth quarter of fiscal 2010 as compared to the same period of the prior fiscal year.</w:t>
      </w:r>
    </w:p>
    <w:p>
      <w:pPr>
        <w:spacing w:after="0" w:line="150"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Research and Development</w:t>
      </w:r>
    </w:p>
    <w:p>
      <w:pPr>
        <w:spacing w:after="0" w:line="7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8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80" w:type="dxa"/>
            <w:vAlign w:val="bottom"/>
            <w:gridSpan w:val="3"/>
          </w:tcPr>
          <w:p>
            <w:pPr>
              <w:jc w:val="center"/>
              <w:ind w:right="280"/>
              <w:spacing w:after="0"/>
              <w:rPr>
                <w:sz w:val="20"/>
                <w:szCs w:val="20"/>
                <w:color w:val="auto"/>
              </w:rPr>
            </w:pPr>
            <w:r>
              <w:rPr>
                <w:rFonts w:ascii="Arial" w:cs="Arial" w:eastAsia="Arial" w:hAnsi="Arial"/>
                <w:sz w:val="14"/>
                <w:szCs w:val="14"/>
                <w:b w:val="1"/>
                <w:bCs w:val="1"/>
                <w:color w:val="auto"/>
                <w:w w:val="86"/>
              </w:rPr>
              <w:t>Three months</w:t>
            </w:r>
          </w:p>
        </w:tc>
        <w:tc>
          <w:tcPr>
            <w:tcW w:w="140" w:type="dxa"/>
            <w:vAlign w:val="bottom"/>
          </w:tcPr>
          <w:p>
            <w:pPr>
              <w:spacing w:after="0"/>
              <w:rPr>
                <w:sz w:val="14"/>
                <w:szCs w:val="14"/>
                <w:color w:val="auto"/>
              </w:rPr>
            </w:pPr>
          </w:p>
        </w:tc>
        <w:tc>
          <w:tcPr>
            <w:tcW w:w="1560" w:type="dxa"/>
            <w:vAlign w:val="bottom"/>
            <w:gridSpan w:val="4"/>
            <w:vMerge w:val="restart"/>
          </w:tcPr>
          <w:p>
            <w:pPr>
              <w:jc w:val="center"/>
              <w:ind w:right="280"/>
              <w:spacing w:after="0"/>
              <w:rPr>
                <w:sz w:val="20"/>
                <w:szCs w:val="20"/>
                <w:color w:val="auto"/>
              </w:rPr>
            </w:pPr>
            <w:r>
              <w:rPr>
                <w:rFonts w:ascii="Arial" w:cs="Arial" w:eastAsia="Arial" w:hAnsi="Arial"/>
                <w:sz w:val="14"/>
                <w:szCs w:val="14"/>
                <w:b w:val="1"/>
                <w:bCs w:val="1"/>
                <w:color w:val="auto"/>
                <w:w w:val="84"/>
              </w:rPr>
              <w:t>Decrease compared</w:t>
            </w:r>
          </w:p>
        </w:tc>
        <w:tc>
          <w:tcPr>
            <w:tcW w:w="120" w:type="dxa"/>
            <w:vAlign w:val="bottom"/>
          </w:tcPr>
          <w:p>
            <w:pPr>
              <w:spacing w:after="0"/>
              <w:rPr>
                <w:sz w:val="14"/>
                <w:szCs w:val="14"/>
                <w:color w:val="auto"/>
              </w:rPr>
            </w:pPr>
          </w:p>
        </w:tc>
        <w:tc>
          <w:tcPr>
            <w:tcW w:w="1080" w:type="dxa"/>
            <w:vAlign w:val="bottom"/>
            <w:gridSpan w:val="3"/>
          </w:tcPr>
          <w:p>
            <w:pPr>
              <w:jc w:val="center"/>
              <w:ind w:right="260"/>
              <w:spacing w:after="0"/>
              <w:rPr>
                <w:sz w:val="20"/>
                <w:szCs w:val="20"/>
                <w:color w:val="auto"/>
              </w:rPr>
            </w:pPr>
            <w:r>
              <w:rPr>
                <w:rFonts w:ascii="Arial" w:cs="Arial" w:eastAsia="Arial" w:hAnsi="Arial"/>
                <w:sz w:val="14"/>
                <w:szCs w:val="14"/>
                <w:b w:val="1"/>
                <w:bCs w:val="1"/>
                <w:color w:val="auto"/>
                <w:w w:val="88"/>
              </w:rPr>
              <w:t>Three months</w:t>
            </w:r>
          </w:p>
        </w:tc>
        <w:tc>
          <w:tcPr>
            <w:tcW w:w="140" w:type="dxa"/>
            <w:vAlign w:val="bottom"/>
          </w:tcPr>
          <w:p>
            <w:pPr>
              <w:spacing w:after="0"/>
              <w:rPr>
                <w:sz w:val="14"/>
                <w:szCs w:val="14"/>
                <w:color w:val="auto"/>
              </w:rPr>
            </w:pPr>
          </w:p>
        </w:tc>
        <w:tc>
          <w:tcPr>
            <w:tcW w:w="102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87"/>
              </w:rPr>
              <w:t>Nine months</w:t>
            </w:r>
          </w:p>
        </w:tc>
        <w:tc>
          <w:tcPr>
            <w:tcW w:w="120" w:type="dxa"/>
            <w:vAlign w:val="bottom"/>
          </w:tcPr>
          <w:p>
            <w:pPr>
              <w:spacing w:after="0"/>
              <w:rPr>
                <w:sz w:val="14"/>
                <w:szCs w:val="14"/>
                <w:color w:val="auto"/>
              </w:rPr>
            </w:pPr>
          </w:p>
        </w:tc>
        <w:tc>
          <w:tcPr>
            <w:tcW w:w="1700" w:type="dxa"/>
            <w:vAlign w:val="bottom"/>
            <w:gridSpan w:val="4"/>
            <w:vMerge w:val="restart"/>
          </w:tcPr>
          <w:p>
            <w:pPr>
              <w:jc w:val="center"/>
              <w:ind w:right="420"/>
              <w:spacing w:after="0"/>
              <w:rPr>
                <w:sz w:val="20"/>
                <w:szCs w:val="20"/>
                <w:color w:val="auto"/>
              </w:rPr>
            </w:pPr>
            <w:r>
              <w:rPr>
                <w:rFonts w:ascii="Arial" w:cs="Arial" w:eastAsia="Arial" w:hAnsi="Arial"/>
                <w:sz w:val="14"/>
                <w:szCs w:val="14"/>
                <w:b w:val="1"/>
                <w:bCs w:val="1"/>
                <w:color w:val="auto"/>
                <w:w w:val="84"/>
              </w:rPr>
              <w:t>Decrease compared</w:t>
            </w:r>
          </w:p>
        </w:tc>
        <w:tc>
          <w:tcPr>
            <w:tcW w:w="94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87"/>
              </w:rPr>
              <w:t>Nine months</w:t>
            </w:r>
          </w:p>
        </w:tc>
        <w:tc>
          <w:tcPr>
            <w:tcW w:w="0" w:type="dxa"/>
            <w:vAlign w:val="bottom"/>
          </w:tcPr>
          <w:p>
            <w:pPr>
              <w:spacing w:after="0"/>
              <w:rPr>
                <w:sz w:val="1"/>
                <w:szCs w:val="1"/>
                <w:color w:val="auto"/>
              </w:rPr>
            </w:pPr>
          </w:p>
        </w:tc>
      </w:tr>
      <w:tr>
        <w:trPr>
          <w:trHeight w:val="81"/>
        </w:trPr>
        <w:tc>
          <w:tcPr>
            <w:tcW w:w="2840" w:type="dxa"/>
            <w:vAlign w:val="bottom"/>
          </w:tcPr>
          <w:p>
            <w:pPr>
              <w:spacing w:after="0"/>
              <w:rPr>
                <w:sz w:val="7"/>
                <w:szCs w:val="7"/>
                <w:color w:val="auto"/>
              </w:rPr>
            </w:pPr>
          </w:p>
        </w:tc>
        <w:tc>
          <w:tcPr>
            <w:tcW w:w="680" w:type="dxa"/>
            <w:vAlign w:val="bottom"/>
          </w:tcPr>
          <w:p>
            <w:pPr>
              <w:spacing w:after="0"/>
              <w:rPr>
                <w:sz w:val="7"/>
                <w:szCs w:val="7"/>
                <w:color w:val="auto"/>
              </w:rPr>
            </w:pPr>
          </w:p>
        </w:tc>
        <w:tc>
          <w:tcPr>
            <w:tcW w:w="160" w:type="dxa"/>
            <w:vAlign w:val="bottom"/>
          </w:tcPr>
          <w:p>
            <w:pPr>
              <w:spacing w:after="0"/>
              <w:rPr>
                <w:sz w:val="7"/>
                <w:szCs w:val="7"/>
                <w:color w:val="auto"/>
              </w:rPr>
            </w:pPr>
          </w:p>
        </w:tc>
        <w:tc>
          <w:tcPr>
            <w:tcW w:w="920" w:type="dxa"/>
            <w:vAlign w:val="bottom"/>
            <w:gridSpan w:val="2"/>
            <w:vMerge w:val="restart"/>
          </w:tcPr>
          <w:p>
            <w:pPr>
              <w:jc w:val="center"/>
              <w:ind w:right="460"/>
              <w:spacing w:after="0" w:line="149" w:lineRule="exact"/>
              <w:rPr>
                <w:sz w:val="20"/>
                <w:szCs w:val="20"/>
                <w:color w:val="auto"/>
              </w:rPr>
            </w:pPr>
            <w:r>
              <w:rPr>
                <w:rFonts w:ascii="Arial" w:cs="Arial" w:eastAsia="Arial" w:hAnsi="Arial"/>
                <w:sz w:val="14"/>
                <w:szCs w:val="14"/>
                <w:b w:val="1"/>
                <w:bCs w:val="1"/>
                <w:color w:val="auto"/>
                <w:w w:val="82"/>
              </w:rPr>
              <w:t>ended</w:t>
            </w:r>
          </w:p>
        </w:tc>
        <w:tc>
          <w:tcPr>
            <w:tcW w:w="140" w:type="dxa"/>
            <w:vAlign w:val="bottom"/>
          </w:tcPr>
          <w:p>
            <w:pPr>
              <w:spacing w:after="0"/>
              <w:rPr>
                <w:sz w:val="7"/>
                <w:szCs w:val="7"/>
                <w:color w:val="auto"/>
              </w:rPr>
            </w:pPr>
          </w:p>
        </w:tc>
        <w:tc>
          <w:tcPr>
            <w:tcW w:w="1560" w:type="dxa"/>
            <w:vAlign w:val="bottom"/>
            <w:gridSpan w:val="4"/>
            <w:vMerge w:val="continue"/>
          </w:tcPr>
          <w:p>
            <w:pPr>
              <w:spacing w:after="0"/>
              <w:rPr>
                <w:sz w:val="7"/>
                <w:szCs w:val="7"/>
                <w:color w:val="auto"/>
              </w:rPr>
            </w:pPr>
          </w:p>
        </w:tc>
        <w:tc>
          <w:tcPr>
            <w:tcW w:w="120" w:type="dxa"/>
            <w:vAlign w:val="bottom"/>
          </w:tcPr>
          <w:p>
            <w:pPr>
              <w:spacing w:after="0"/>
              <w:rPr>
                <w:sz w:val="7"/>
                <w:szCs w:val="7"/>
                <w:color w:val="auto"/>
              </w:rPr>
            </w:pPr>
          </w:p>
        </w:tc>
        <w:tc>
          <w:tcPr>
            <w:tcW w:w="160" w:type="dxa"/>
            <w:vAlign w:val="bottom"/>
          </w:tcPr>
          <w:p>
            <w:pPr>
              <w:spacing w:after="0"/>
              <w:rPr>
                <w:sz w:val="7"/>
                <w:szCs w:val="7"/>
                <w:color w:val="auto"/>
              </w:rPr>
            </w:pPr>
          </w:p>
        </w:tc>
        <w:tc>
          <w:tcPr>
            <w:tcW w:w="920" w:type="dxa"/>
            <w:vAlign w:val="bottom"/>
            <w:gridSpan w:val="2"/>
            <w:vMerge w:val="restart"/>
          </w:tcPr>
          <w:p>
            <w:pPr>
              <w:jc w:val="center"/>
              <w:ind w:right="460"/>
              <w:spacing w:after="0" w:line="149" w:lineRule="exact"/>
              <w:rPr>
                <w:sz w:val="20"/>
                <w:szCs w:val="20"/>
                <w:color w:val="auto"/>
              </w:rPr>
            </w:pPr>
            <w:r>
              <w:rPr>
                <w:rFonts w:ascii="Arial" w:cs="Arial" w:eastAsia="Arial" w:hAnsi="Arial"/>
                <w:sz w:val="14"/>
                <w:szCs w:val="14"/>
                <w:b w:val="1"/>
                <w:bCs w:val="1"/>
                <w:color w:val="auto"/>
                <w:w w:val="82"/>
              </w:rPr>
              <w:t>ended</w:t>
            </w:r>
          </w:p>
        </w:tc>
        <w:tc>
          <w:tcPr>
            <w:tcW w:w="140" w:type="dxa"/>
            <w:vAlign w:val="bottom"/>
          </w:tcPr>
          <w:p>
            <w:pPr>
              <w:spacing w:after="0"/>
              <w:rPr>
                <w:sz w:val="7"/>
                <w:szCs w:val="7"/>
                <w:color w:val="auto"/>
              </w:rPr>
            </w:pPr>
          </w:p>
        </w:tc>
        <w:tc>
          <w:tcPr>
            <w:tcW w:w="1020" w:type="dxa"/>
            <w:vAlign w:val="bottom"/>
            <w:gridSpan w:val="2"/>
            <w:vMerge w:val="restart"/>
          </w:tcPr>
          <w:p>
            <w:pPr>
              <w:jc w:val="center"/>
              <w:ind w:right="320"/>
              <w:spacing w:after="0" w:line="149" w:lineRule="exact"/>
              <w:rPr>
                <w:sz w:val="20"/>
                <w:szCs w:val="20"/>
                <w:color w:val="auto"/>
              </w:rPr>
            </w:pPr>
            <w:r>
              <w:rPr>
                <w:rFonts w:ascii="Arial" w:cs="Arial" w:eastAsia="Arial" w:hAnsi="Arial"/>
                <w:sz w:val="14"/>
                <w:szCs w:val="14"/>
                <w:b w:val="1"/>
                <w:bCs w:val="1"/>
                <w:color w:val="auto"/>
                <w:w w:val="82"/>
              </w:rPr>
              <w:t>ended</w:t>
            </w:r>
          </w:p>
        </w:tc>
        <w:tc>
          <w:tcPr>
            <w:tcW w:w="120" w:type="dxa"/>
            <w:vAlign w:val="bottom"/>
          </w:tcPr>
          <w:p>
            <w:pPr>
              <w:spacing w:after="0"/>
              <w:rPr>
                <w:sz w:val="7"/>
                <w:szCs w:val="7"/>
                <w:color w:val="auto"/>
              </w:rPr>
            </w:pPr>
          </w:p>
        </w:tc>
        <w:tc>
          <w:tcPr>
            <w:tcW w:w="1700" w:type="dxa"/>
            <w:vAlign w:val="bottom"/>
            <w:gridSpan w:val="4"/>
            <w:vMerge w:val="continue"/>
          </w:tcPr>
          <w:p>
            <w:pPr>
              <w:spacing w:after="0"/>
              <w:rPr>
                <w:sz w:val="7"/>
                <w:szCs w:val="7"/>
                <w:color w:val="auto"/>
              </w:rPr>
            </w:pPr>
          </w:p>
        </w:tc>
        <w:tc>
          <w:tcPr>
            <w:tcW w:w="940" w:type="dxa"/>
            <w:vAlign w:val="bottom"/>
            <w:gridSpan w:val="2"/>
            <w:vMerge w:val="restart"/>
          </w:tcPr>
          <w:p>
            <w:pPr>
              <w:jc w:val="center"/>
              <w:ind w:right="240"/>
              <w:spacing w:after="0" w:line="149" w:lineRule="exact"/>
              <w:rPr>
                <w:sz w:val="20"/>
                <w:szCs w:val="20"/>
                <w:color w:val="auto"/>
              </w:rPr>
            </w:pPr>
            <w:r>
              <w:rPr>
                <w:rFonts w:ascii="Arial" w:cs="Arial" w:eastAsia="Arial" w:hAnsi="Arial"/>
                <w:sz w:val="14"/>
                <w:szCs w:val="14"/>
                <w:b w:val="1"/>
                <w:bCs w:val="1"/>
                <w:color w:val="auto"/>
                <w:w w:val="82"/>
              </w:rPr>
              <w:t>ended</w:t>
            </w:r>
          </w:p>
        </w:tc>
        <w:tc>
          <w:tcPr>
            <w:tcW w:w="0" w:type="dxa"/>
            <w:vAlign w:val="bottom"/>
          </w:tcPr>
          <w:p>
            <w:pPr>
              <w:spacing w:after="0"/>
              <w:rPr>
                <w:sz w:val="1"/>
                <w:szCs w:val="1"/>
                <w:color w:val="auto"/>
              </w:rPr>
            </w:pPr>
          </w:p>
        </w:tc>
      </w:tr>
      <w:tr>
        <w:trPr>
          <w:trHeight w:val="68"/>
        </w:trPr>
        <w:tc>
          <w:tcPr>
            <w:tcW w:w="2840" w:type="dxa"/>
            <w:vAlign w:val="bottom"/>
          </w:tcPr>
          <w:p>
            <w:pPr>
              <w:spacing w:after="0"/>
              <w:rPr>
                <w:sz w:val="5"/>
                <w:szCs w:val="5"/>
                <w:color w:val="auto"/>
              </w:rPr>
            </w:pPr>
          </w:p>
        </w:tc>
        <w:tc>
          <w:tcPr>
            <w:tcW w:w="680" w:type="dxa"/>
            <w:vAlign w:val="bottom"/>
          </w:tcPr>
          <w:p>
            <w:pPr>
              <w:spacing w:after="0"/>
              <w:rPr>
                <w:sz w:val="5"/>
                <w:szCs w:val="5"/>
                <w:color w:val="auto"/>
              </w:rPr>
            </w:pPr>
          </w:p>
        </w:tc>
        <w:tc>
          <w:tcPr>
            <w:tcW w:w="160" w:type="dxa"/>
            <w:vAlign w:val="bottom"/>
          </w:tcPr>
          <w:p>
            <w:pPr>
              <w:spacing w:after="0"/>
              <w:rPr>
                <w:sz w:val="5"/>
                <w:szCs w:val="5"/>
                <w:color w:val="auto"/>
              </w:rPr>
            </w:pPr>
          </w:p>
        </w:tc>
        <w:tc>
          <w:tcPr>
            <w:tcW w:w="920" w:type="dxa"/>
            <w:vAlign w:val="bottom"/>
            <w:gridSpan w:val="2"/>
            <w:vMerge w:val="continue"/>
          </w:tcPr>
          <w:p>
            <w:pPr>
              <w:spacing w:after="0"/>
              <w:rPr>
                <w:sz w:val="5"/>
                <w:szCs w:val="5"/>
                <w:color w:val="auto"/>
              </w:rPr>
            </w:pPr>
          </w:p>
        </w:tc>
        <w:tc>
          <w:tcPr>
            <w:tcW w:w="140" w:type="dxa"/>
            <w:vAlign w:val="bottom"/>
          </w:tcPr>
          <w:p>
            <w:pPr>
              <w:spacing w:after="0"/>
              <w:rPr>
                <w:sz w:val="5"/>
                <w:szCs w:val="5"/>
                <w:color w:val="auto"/>
              </w:rPr>
            </w:pPr>
          </w:p>
        </w:tc>
        <w:tc>
          <w:tcPr>
            <w:tcW w:w="1560" w:type="dxa"/>
            <w:vAlign w:val="bottom"/>
            <w:gridSpan w:val="4"/>
            <w:vMerge w:val="restart"/>
          </w:tcPr>
          <w:p>
            <w:pPr>
              <w:jc w:val="center"/>
              <w:ind w:right="300"/>
              <w:spacing w:after="0"/>
              <w:rPr>
                <w:sz w:val="20"/>
                <w:szCs w:val="20"/>
                <w:color w:val="auto"/>
              </w:rPr>
            </w:pPr>
            <w:r>
              <w:rPr>
                <w:rFonts w:ascii="Arial" w:cs="Arial" w:eastAsia="Arial" w:hAnsi="Arial"/>
                <w:sz w:val="14"/>
                <w:szCs w:val="14"/>
                <w:b w:val="1"/>
                <w:bCs w:val="1"/>
                <w:color w:val="auto"/>
                <w:w w:val="89"/>
              </w:rPr>
              <w:t>to prior period</w:t>
            </w:r>
          </w:p>
        </w:tc>
        <w:tc>
          <w:tcPr>
            <w:tcW w:w="120" w:type="dxa"/>
            <w:vAlign w:val="bottom"/>
          </w:tcPr>
          <w:p>
            <w:pPr>
              <w:spacing w:after="0"/>
              <w:rPr>
                <w:sz w:val="5"/>
                <w:szCs w:val="5"/>
                <w:color w:val="auto"/>
              </w:rPr>
            </w:pPr>
          </w:p>
        </w:tc>
        <w:tc>
          <w:tcPr>
            <w:tcW w:w="160" w:type="dxa"/>
            <w:vAlign w:val="bottom"/>
          </w:tcPr>
          <w:p>
            <w:pPr>
              <w:spacing w:after="0"/>
              <w:rPr>
                <w:sz w:val="5"/>
                <w:szCs w:val="5"/>
                <w:color w:val="auto"/>
              </w:rPr>
            </w:pPr>
          </w:p>
        </w:tc>
        <w:tc>
          <w:tcPr>
            <w:tcW w:w="920" w:type="dxa"/>
            <w:vAlign w:val="bottom"/>
            <w:gridSpan w:val="2"/>
            <w:vMerge w:val="continue"/>
          </w:tcPr>
          <w:p>
            <w:pPr>
              <w:spacing w:after="0"/>
              <w:rPr>
                <w:sz w:val="5"/>
                <w:szCs w:val="5"/>
                <w:color w:val="auto"/>
              </w:rPr>
            </w:pPr>
          </w:p>
        </w:tc>
        <w:tc>
          <w:tcPr>
            <w:tcW w:w="140" w:type="dxa"/>
            <w:vAlign w:val="bottom"/>
          </w:tcPr>
          <w:p>
            <w:pPr>
              <w:spacing w:after="0"/>
              <w:rPr>
                <w:sz w:val="5"/>
                <w:szCs w:val="5"/>
                <w:color w:val="auto"/>
              </w:rPr>
            </w:pPr>
          </w:p>
        </w:tc>
        <w:tc>
          <w:tcPr>
            <w:tcW w:w="1020" w:type="dxa"/>
            <w:vAlign w:val="bottom"/>
            <w:gridSpan w:val="2"/>
            <w:vMerge w:val="continue"/>
          </w:tcPr>
          <w:p>
            <w:pPr>
              <w:spacing w:after="0"/>
              <w:rPr>
                <w:sz w:val="5"/>
                <w:szCs w:val="5"/>
                <w:color w:val="auto"/>
              </w:rPr>
            </w:pPr>
          </w:p>
        </w:tc>
        <w:tc>
          <w:tcPr>
            <w:tcW w:w="120" w:type="dxa"/>
            <w:vAlign w:val="bottom"/>
          </w:tcPr>
          <w:p>
            <w:pPr>
              <w:spacing w:after="0"/>
              <w:rPr>
                <w:sz w:val="5"/>
                <w:szCs w:val="5"/>
                <w:color w:val="auto"/>
              </w:rPr>
            </w:pPr>
          </w:p>
        </w:tc>
        <w:tc>
          <w:tcPr>
            <w:tcW w:w="1700" w:type="dxa"/>
            <w:vAlign w:val="bottom"/>
            <w:gridSpan w:val="4"/>
            <w:vMerge w:val="restart"/>
          </w:tcPr>
          <w:p>
            <w:pPr>
              <w:jc w:val="center"/>
              <w:ind w:right="400"/>
              <w:spacing w:after="0"/>
              <w:rPr>
                <w:sz w:val="20"/>
                <w:szCs w:val="20"/>
                <w:color w:val="auto"/>
              </w:rPr>
            </w:pPr>
            <w:r>
              <w:rPr>
                <w:rFonts w:ascii="Arial" w:cs="Arial" w:eastAsia="Arial" w:hAnsi="Arial"/>
                <w:sz w:val="14"/>
                <w:szCs w:val="14"/>
                <w:b w:val="1"/>
                <w:bCs w:val="1"/>
                <w:color w:val="auto"/>
                <w:w w:val="89"/>
              </w:rPr>
              <w:t>to prior period</w:t>
            </w:r>
          </w:p>
        </w:tc>
        <w:tc>
          <w:tcPr>
            <w:tcW w:w="940" w:type="dxa"/>
            <w:vAlign w:val="bottom"/>
            <w:gridSpan w:val="2"/>
            <w:vMerge w:val="continue"/>
          </w:tcPr>
          <w:p>
            <w:pPr>
              <w:spacing w:after="0"/>
              <w:rPr>
                <w:sz w:val="5"/>
                <w:szCs w:val="5"/>
                <w:color w:val="auto"/>
              </w:rPr>
            </w:pPr>
          </w:p>
        </w:tc>
        <w:tc>
          <w:tcPr>
            <w:tcW w:w="0" w:type="dxa"/>
            <w:vAlign w:val="bottom"/>
          </w:tcPr>
          <w:p>
            <w:pPr>
              <w:spacing w:after="0"/>
              <w:rPr>
                <w:sz w:val="1"/>
                <w:szCs w:val="1"/>
                <w:color w:val="auto"/>
              </w:rPr>
            </w:pPr>
          </w:p>
        </w:tc>
      </w:tr>
      <w:tr>
        <w:trPr>
          <w:trHeight w:val="94"/>
        </w:trPr>
        <w:tc>
          <w:tcPr>
            <w:tcW w:w="2840" w:type="dxa"/>
            <w:vAlign w:val="bottom"/>
          </w:tcPr>
          <w:p>
            <w:pPr>
              <w:spacing w:after="0"/>
              <w:rPr>
                <w:sz w:val="8"/>
                <w:szCs w:val="8"/>
                <w:color w:val="auto"/>
              </w:rPr>
            </w:pPr>
          </w:p>
        </w:tc>
        <w:tc>
          <w:tcPr>
            <w:tcW w:w="680" w:type="dxa"/>
            <w:vAlign w:val="bottom"/>
          </w:tcPr>
          <w:p>
            <w:pPr>
              <w:spacing w:after="0"/>
              <w:rPr>
                <w:sz w:val="8"/>
                <w:szCs w:val="8"/>
                <w:color w:val="auto"/>
              </w:rPr>
            </w:pPr>
          </w:p>
        </w:tc>
        <w:tc>
          <w:tcPr>
            <w:tcW w:w="1080" w:type="dxa"/>
            <w:vAlign w:val="bottom"/>
            <w:gridSpan w:val="3"/>
            <w:vMerge w:val="restart"/>
          </w:tcPr>
          <w:p>
            <w:pPr>
              <w:jc w:val="center"/>
              <w:ind w:right="280"/>
              <w:spacing w:after="0" w:line="149" w:lineRule="exact"/>
              <w:rPr>
                <w:sz w:val="20"/>
                <w:szCs w:val="20"/>
                <w:color w:val="auto"/>
              </w:rPr>
            </w:pPr>
            <w:r>
              <w:rPr>
                <w:rFonts w:ascii="Arial" w:cs="Arial" w:eastAsia="Arial" w:hAnsi="Arial"/>
                <w:sz w:val="14"/>
                <w:szCs w:val="14"/>
                <w:b w:val="1"/>
                <w:bCs w:val="1"/>
                <w:color w:val="auto"/>
                <w:w w:val="88"/>
              </w:rPr>
              <w:t>October 31,</w:t>
            </w:r>
          </w:p>
        </w:tc>
        <w:tc>
          <w:tcPr>
            <w:tcW w:w="140" w:type="dxa"/>
            <w:vAlign w:val="bottom"/>
          </w:tcPr>
          <w:p>
            <w:pPr>
              <w:spacing w:after="0"/>
              <w:rPr>
                <w:sz w:val="8"/>
                <w:szCs w:val="8"/>
                <w:color w:val="auto"/>
              </w:rPr>
            </w:pPr>
          </w:p>
        </w:tc>
        <w:tc>
          <w:tcPr>
            <w:tcW w:w="1560" w:type="dxa"/>
            <w:vAlign w:val="bottom"/>
            <w:gridSpan w:val="4"/>
            <w:vMerge w:val="continue"/>
          </w:tcPr>
          <w:p>
            <w:pPr>
              <w:spacing w:after="0"/>
              <w:rPr>
                <w:sz w:val="8"/>
                <w:szCs w:val="8"/>
                <w:color w:val="auto"/>
              </w:rPr>
            </w:pPr>
          </w:p>
        </w:tc>
        <w:tc>
          <w:tcPr>
            <w:tcW w:w="120" w:type="dxa"/>
            <w:vAlign w:val="bottom"/>
          </w:tcPr>
          <w:p>
            <w:pPr>
              <w:spacing w:after="0"/>
              <w:rPr>
                <w:sz w:val="8"/>
                <w:szCs w:val="8"/>
                <w:color w:val="auto"/>
              </w:rPr>
            </w:pPr>
          </w:p>
        </w:tc>
        <w:tc>
          <w:tcPr>
            <w:tcW w:w="1080" w:type="dxa"/>
            <w:vAlign w:val="bottom"/>
            <w:gridSpan w:val="3"/>
            <w:vMerge w:val="restart"/>
          </w:tcPr>
          <w:p>
            <w:pPr>
              <w:jc w:val="center"/>
              <w:ind w:right="260"/>
              <w:spacing w:after="0" w:line="149" w:lineRule="exact"/>
              <w:rPr>
                <w:sz w:val="20"/>
                <w:szCs w:val="20"/>
                <w:color w:val="auto"/>
              </w:rPr>
            </w:pPr>
            <w:r>
              <w:rPr>
                <w:rFonts w:ascii="Arial" w:cs="Arial" w:eastAsia="Arial" w:hAnsi="Arial"/>
                <w:sz w:val="14"/>
                <w:szCs w:val="14"/>
                <w:b w:val="1"/>
                <w:bCs w:val="1"/>
                <w:color w:val="auto"/>
                <w:w w:val="85"/>
              </w:rPr>
              <w:t>October 31,</w:t>
            </w:r>
          </w:p>
        </w:tc>
        <w:tc>
          <w:tcPr>
            <w:tcW w:w="140" w:type="dxa"/>
            <w:vAlign w:val="bottom"/>
          </w:tcPr>
          <w:p>
            <w:pPr>
              <w:spacing w:after="0"/>
              <w:rPr>
                <w:sz w:val="8"/>
                <w:szCs w:val="8"/>
                <w:color w:val="auto"/>
              </w:rPr>
            </w:pPr>
          </w:p>
        </w:tc>
        <w:tc>
          <w:tcPr>
            <w:tcW w:w="1020" w:type="dxa"/>
            <w:vAlign w:val="bottom"/>
            <w:gridSpan w:val="2"/>
            <w:vMerge w:val="restart"/>
          </w:tcPr>
          <w:p>
            <w:pPr>
              <w:jc w:val="center"/>
              <w:ind w:right="280"/>
              <w:spacing w:after="0" w:line="149" w:lineRule="exact"/>
              <w:rPr>
                <w:sz w:val="20"/>
                <w:szCs w:val="20"/>
                <w:color w:val="auto"/>
              </w:rPr>
            </w:pPr>
            <w:r>
              <w:rPr>
                <w:rFonts w:ascii="Arial" w:cs="Arial" w:eastAsia="Arial" w:hAnsi="Arial"/>
                <w:sz w:val="14"/>
                <w:szCs w:val="14"/>
                <w:b w:val="1"/>
                <w:bCs w:val="1"/>
                <w:color w:val="auto"/>
                <w:w w:val="85"/>
              </w:rPr>
              <w:t>October 31,</w:t>
            </w:r>
          </w:p>
        </w:tc>
        <w:tc>
          <w:tcPr>
            <w:tcW w:w="120" w:type="dxa"/>
            <w:vAlign w:val="bottom"/>
          </w:tcPr>
          <w:p>
            <w:pPr>
              <w:spacing w:after="0"/>
              <w:rPr>
                <w:sz w:val="8"/>
                <w:szCs w:val="8"/>
                <w:color w:val="auto"/>
              </w:rPr>
            </w:pPr>
          </w:p>
        </w:tc>
        <w:tc>
          <w:tcPr>
            <w:tcW w:w="1700" w:type="dxa"/>
            <w:vAlign w:val="bottom"/>
            <w:gridSpan w:val="4"/>
            <w:vMerge w:val="continue"/>
          </w:tcPr>
          <w:p>
            <w:pPr>
              <w:spacing w:after="0"/>
              <w:rPr>
                <w:sz w:val="8"/>
                <w:szCs w:val="8"/>
                <w:color w:val="auto"/>
              </w:rPr>
            </w:pPr>
          </w:p>
        </w:tc>
        <w:tc>
          <w:tcPr>
            <w:tcW w:w="940" w:type="dxa"/>
            <w:vAlign w:val="bottom"/>
            <w:gridSpan w:val="2"/>
            <w:vMerge w:val="restart"/>
          </w:tcPr>
          <w:p>
            <w:pPr>
              <w:jc w:val="center"/>
              <w:ind w:right="220"/>
              <w:spacing w:after="0" w:line="149" w:lineRule="exact"/>
              <w:rPr>
                <w:sz w:val="20"/>
                <w:szCs w:val="20"/>
                <w:color w:val="auto"/>
              </w:rPr>
            </w:pPr>
            <w:r>
              <w:rPr>
                <w:rFonts w:ascii="Arial" w:cs="Arial" w:eastAsia="Arial" w:hAnsi="Arial"/>
                <w:sz w:val="14"/>
                <w:szCs w:val="14"/>
                <w:b w:val="1"/>
                <w:bCs w:val="1"/>
                <w:color w:val="auto"/>
                <w:w w:val="88"/>
              </w:rPr>
              <w:t>October 31,</w:t>
            </w:r>
          </w:p>
        </w:tc>
        <w:tc>
          <w:tcPr>
            <w:tcW w:w="0" w:type="dxa"/>
            <w:vAlign w:val="bottom"/>
          </w:tcPr>
          <w:p>
            <w:pPr>
              <w:spacing w:after="0"/>
              <w:rPr>
                <w:sz w:val="1"/>
                <w:szCs w:val="1"/>
                <w:color w:val="auto"/>
              </w:rPr>
            </w:pPr>
          </w:p>
        </w:tc>
      </w:tr>
      <w:tr>
        <w:trPr>
          <w:trHeight w:val="35"/>
        </w:trPr>
        <w:tc>
          <w:tcPr>
            <w:tcW w:w="2840" w:type="dxa"/>
            <w:vAlign w:val="bottom"/>
          </w:tcPr>
          <w:p>
            <w:pPr>
              <w:spacing w:after="0"/>
              <w:rPr>
                <w:sz w:val="3"/>
                <w:szCs w:val="3"/>
                <w:color w:val="auto"/>
              </w:rPr>
            </w:pPr>
          </w:p>
        </w:tc>
        <w:tc>
          <w:tcPr>
            <w:tcW w:w="680" w:type="dxa"/>
            <w:vAlign w:val="bottom"/>
          </w:tcPr>
          <w:p>
            <w:pPr>
              <w:spacing w:after="0"/>
              <w:rPr>
                <w:sz w:val="3"/>
                <w:szCs w:val="3"/>
                <w:color w:val="auto"/>
              </w:rPr>
            </w:pPr>
          </w:p>
        </w:tc>
        <w:tc>
          <w:tcPr>
            <w:tcW w:w="1080" w:type="dxa"/>
            <w:vAlign w:val="bottom"/>
            <w:gridSpan w:val="3"/>
            <w:vMerge w:val="continue"/>
          </w:tcPr>
          <w:p>
            <w:pPr>
              <w:spacing w:after="0"/>
              <w:rPr>
                <w:sz w:val="3"/>
                <w:szCs w:val="3"/>
                <w:color w:val="auto"/>
              </w:rPr>
            </w:pPr>
          </w:p>
        </w:tc>
        <w:tc>
          <w:tcPr>
            <w:tcW w:w="140" w:type="dxa"/>
            <w:vAlign w:val="bottom"/>
          </w:tcPr>
          <w:p>
            <w:pPr>
              <w:spacing w:after="0"/>
              <w:rPr>
                <w:sz w:val="3"/>
                <w:szCs w:val="3"/>
                <w:color w:val="auto"/>
              </w:rPr>
            </w:pPr>
          </w:p>
        </w:tc>
        <w:tc>
          <w:tcPr>
            <w:tcW w:w="600" w:type="dxa"/>
            <w:vAlign w:val="bottom"/>
            <w:tcBorders>
              <w:top w:val="single" w:sz="8" w:color="auto"/>
            </w:tcBorders>
          </w:tcPr>
          <w:p>
            <w:pPr>
              <w:spacing w:after="0"/>
              <w:rPr>
                <w:sz w:val="3"/>
                <w:szCs w:val="3"/>
                <w:color w:val="auto"/>
              </w:rPr>
            </w:pPr>
          </w:p>
        </w:tc>
        <w:tc>
          <w:tcPr>
            <w:tcW w:w="340" w:type="dxa"/>
            <w:vAlign w:val="bottom"/>
            <w:tcBorders>
              <w:top w:val="single" w:sz="8" w:color="auto"/>
            </w:tcBorders>
          </w:tcPr>
          <w:p>
            <w:pPr>
              <w:spacing w:after="0"/>
              <w:rPr>
                <w:sz w:val="3"/>
                <w:szCs w:val="3"/>
                <w:color w:val="auto"/>
              </w:rPr>
            </w:pPr>
          </w:p>
        </w:tc>
        <w:tc>
          <w:tcPr>
            <w:tcW w:w="340" w:type="dxa"/>
            <w:vAlign w:val="bottom"/>
            <w:tcBorders>
              <w:top w:val="single" w:sz="8" w:color="auto"/>
            </w:tcBorders>
          </w:tcPr>
          <w:p>
            <w:pPr>
              <w:spacing w:after="0"/>
              <w:rPr>
                <w:sz w:val="3"/>
                <w:szCs w:val="3"/>
                <w:color w:val="auto"/>
              </w:rPr>
            </w:pPr>
          </w:p>
        </w:tc>
        <w:tc>
          <w:tcPr>
            <w:tcW w:w="2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80" w:type="dxa"/>
            <w:vAlign w:val="bottom"/>
            <w:gridSpan w:val="3"/>
            <w:vMerge w:val="continue"/>
          </w:tcPr>
          <w:p>
            <w:pPr>
              <w:spacing w:after="0"/>
              <w:rPr>
                <w:sz w:val="3"/>
                <w:szCs w:val="3"/>
                <w:color w:val="auto"/>
              </w:rPr>
            </w:pPr>
          </w:p>
        </w:tc>
        <w:tc>
          <w:tcPr>
            <w:tcW w:w="140" w:type="dxa"/>
            <w:vAlign w:val="bottom"/>
          </w:tcPr>
          <w:p>
            <w:pPr>
              <w:spacing w:after="0"/>
              <w:rPr>
                <w:sz w:val="3"/>
                <w:szCs w:val="3"/>
                <w:color w:val="auto"/>
              </w:rPr>
            </w:pPr>
          </w:p>
        </w:tc>
        <w:tc>
          <w:tcPr>
            <w:tcW w:w="1020" w:type="dxa"/>
            <w:vAlign w:val="bottom"/>
            <w:gridSpan w:val="2"/>
            <w:vMerge w:val="continue"/>
          </w:tcPr>
          <w:p>
            <w:pPr>
              <w:spacing w:after="0"/>
              <w:rPr>
                <w:sz w:val="3"/>
                <w:szCs w:val="3"/>
                <w:color w:val="auto"/>
              </w:rPr>
            </w:pPr>
          </w:p>
        </w:tc>
        <w:tc>
          <w:tcPr>
            <w:tcW w:w="120" w:type="dxa"/>
            <w:vAlign w:val="bottom"/>
          </w:tcPr>
          <w:p>
            <w:pPr>
              <w:spacing w:after="0"/>
              <w:rPr>
                <w:sz w:val="3"/>
                <w:szCs w:val="3"/>
                <w:color w:val="auto"/>
              </w:rPr>
            </w:pPr>
          </w:p>
        </w:tc>
        <w:tc>
          <w:tcPr>
            <w:tcW w:w="620" w:type="dxa"/>
            <w:vAlign w:val="bottom"/>
            <w:tcBorders>
              <w:top w:val="single" w:sz="8" w:color="auto"/>
            </w:tcBorders>
          </w:tcPr>
          <w:p>
            <w:pPr>
              <w:spacing w:after="0"/>
              <w:rPr>
                <w:sz w:val="3"/>
                <w:szCs w:val="3"/>
                <w:color w:val="auto"/>
              </w:rPr>
            </w:pPr>
          </w:p>
        </w:tc>
        <w:tc>
          <w:tcPr>
            <w:tcW w:w="340" w:type="dxa"/>
            <w:vAlign w:val="bottom"/>
            <w:tcBorders>
              <w:top w:val="single" w:sz="8" w:color="auto"/>
            </w:tcBorders>
          </w:tcPr>
          <w:p>
            <w:pPr>
              <w:spacing w:after="0"/>
              <w:rPr>
                <w:sz w:val="3"/>
                <w:szCs w:val="3"/>
                <w:color w:val="auto"/>
              </w:rPr>
            </w:pPr>
          </w:p>
        </w:tc>
        <w:tc>
          <w:tcPr>
            <w:tcW w:w="320" w:type="dxa"/>
            <w:vAlign w:val="bottom"/>
            <w:tcBorders>
              <w:top w:val="single" w:sz="8" w:color="auto"/>
            </w:tcBorders>
          </w:tcPr>
          <w:p>
            <w:pPr>
              <w:spacing w:after="0"/>
              <w:rPr>
                <w:sz w:val="3"/>
                <w:szCs w:val="3"/>
                <w:color w:val="auto"/>
              </w:rPr>
            </w:pPr>
          </w:p>
        </w:tc>
        <w:tc>
          <w:tcPr>
            <w:tcW w:w="420" w:type="dxa"/>
            <w:vAlign w:val="bottom"/>
          </w:tcPr>
          <w:p>
            <w:pPr>
              <w:spacing w:after="0"/>
              <w:rPr>
                <w:sz w:val="3"/>
                <w:szCs w:val="3"/>
                <w:color w:val="auto"/>
              </w:rPr>
            </w:pPr>
          </w:p>
        </w:tc>
        <w:tc>
          <w:tcPr>
            <w:tcW w:w="94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61"/>
        </w:trPr>
        <w:tc>
          <w:tcPr>
            <w:tcW w:w="2840" w:type="dxa"/>
            <w:vAlign w:val="bottom"/>
          </w:tcPr>
          <w:p>
            <w:pPr>
              <w:spacing w:after="0"/>
              <w:rPr>
                <w:sz w:val="20"/>
                <w:szCs w:val="20"/>
                <w:color w:val="auto"/>
              </w:rPr>
            </w:pPr>
            <w:r>
              <w:rPr>
                <w:rFonts w:ascii="Arial" w:cs="Arial" w:eastAsia="Arial" w:hAnsi="Arial"/>
                <w:sz w:val="14"/>
                <w:szCs w:val="14"/>
                <w:i w:val="1"/>
                <w:iCs w:val="1"/>
                <w:color w:val="auto"/>
              </w:rPr>
              <w:t>(in millions)</w:t>
            </w:r>
          </w:p>
        </w:tc>
        <w:tc>
          <w:tcPr>
            <w:tcW w:w="68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center"/>
              <w:ind w:right="82"/>
              <w:spacing w:after="0"/>
              <w:rPr>
                <w:sz w:val="20"/>
                <w:szCs w:val="20"/>
                <w:color w:val="auto"/>
              </w:rPr>
            </w:pPr>
            <w:r>
              <w:rPr>
                <w:rFonts w:ascii="Arial" w:cs="Arial" w:eastAsia="Arial" w:hAnsi="Arial"/>
                <w:sz w:val="14"/>
                <w:szCs w:val="14"/>
                <w:b w:val="1"/>
                <w:bCs w:val="1"/>
                <w:color w:val="auto"/>
                <w:w w:val="89"/>
              </w:rPr>
              <w:t>2009</w:t>
            </w:r>
          </w:p>
        </w:tc>
        <w:tc>
          <w:tcPr>
            <w:tcW w:w="2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0" w:type="dxa"/>
            <w:vAlign w:val="bottom"/>
            <w:tcBorders>
              <w:bottom w:val="single" w:sz="8" w:color="auto"/>
            </w:tcBorders>
          </w:tcPr>
          <w:p>
            <w:pPr>
              <w:jc w:val="right"/>
              <w:ind w:right="192"/>
              <w:spacing w:after="0"/>
              <w:rPr>
                <w:sz w:val="20"/>
                <w:szCs w:val="20"/>
                <w:color w:val="auto"/>
              </w:rPr>
            </w:pPr>
            <w:r>
              <w:rPr>
                <w:rFonts w:ascii="Arial" w:cs="Arial" w:eastAsia="Arial" w:hAnsi="Arial"/>
                <w:sz w:val="14"/>
                <w:szCs w:val="14"/>
                <w:b w:val="1"/>
                <w:bCs w:val="1"/>
                <w:color w:val="auto"/>
              </w:rPr>
              <w:t>$</w:t>
            </w:r>
          </w:p>
        </w:tc>
        <w:tc>
          <w:tcPr>
            <w:tcW w:w="340" w:type="dxa"/>
            <w:vAlign w:val="bottom"/>
          </w:tcPr>
          <w:p>
            <w:pPr>
              <w:spacing w:after="0"/>
              <w:rPr>
                <w:sz w:val="14"/>
                <w:szCs w:val="14"/>
                <w:color w:val="auto"/>
              </w:rPr>
            </w:pPr>
          </w:p>
        </w:tc>
        <w:tc>
          <w:tcPr>
            <w:tcW w:w="340" w:type="dxa"/>
            <w:vAlign w:val="bottom"/>
            <w:tcBorders>
              <w:bottom w:val="single" w:sz="8" w:color="auto"/>
            </w:tcBorders>
          </w:tcPr>
          <w:p>
            <w:pPr>
              <w:ind w:left="100"/>
              <w:spacing w:after="0"/>
              <w:rPr>
                <w:sz w:val="20"/>
                <w:szCs w:val="20"/>
                <w:color w:val="auto"/>
              </w:rPr>
            </w:pPr>
            <w:r>
              <w:rPr>
                <w:rFonts w:ascii="Arial" w:cs="Arial" w:eastAsia="Arial" w:hAnsi="Arial"/>
                <w:sz w:val="14"/>
                <w:szCs w:val="14"/>
                <w:b w:val="1"/>
                <w:bCs w:val="1"/>
                <w:color w:val="auto"/>
              </w:rPr>
              <w:t>%</w:t>
            </w:r>
          </w:p>
        </w:tc>
        <w:tc>
          <w:tcPr>
            <w:tcW w:w="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center"/>
              <w:ind w:right="82"/>
              <w:spacing w:after="0"/>
              <w:rPr>
                <w:sz w:val="20"/>
                <w:szCs w:val="20"/>
                <w:color w:val="auto"/>
              </w:rPr>
            </w:pPr>
            <w:r>
              <w:rPr>
                <w:rFonts w:ascii="Arial" w:cs="Arial" w:eastAsia="Arial" w:hAnsi="Arial"/>
                <w:sz w:val="14"/>
                <w:szCs w:val="14"/>
                <w:b w:val="1"/>
                <w:bCs w:val="1"/>
                <w:color w:val="auto"/>
                <w:w w:val="83"/>
              </w:rPr>
              <w:t>2008</w:t>
            </w:r>
          </w:p>
        </w:tc>
        <w:tc>
          <w:tcPr>
            <w:tcW w:w="2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3"/>
              </w:rPr>
              <w:t>2009</w:t>
            </w:r>
          </w:p>
        </w:tc>
        <w:tc>
          <w:tcPr>
            <w:tcW w:w="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tcBorders>
              <w:bottom w:val="single" w:sz="8" w:color="auto"/>
            </w:tcBorders>
          </w:tcPr>
          <w:p>
            <w:pPr>
              <w:jc w:val="right"/>
              <w:ind w:right="212"/>
              <w:spacing w:after="0"/>
              <w:rPr>
                <w:sz w:val="20"/>
                <w:szCs w:val="20"/>
                <w:color w:val="auto"/>
              </w:rPr>
            </w:pPr>
            <w:r>
              <w:rPr>
                <w:rFonts w:ascii="Arial" w:cs="Arial" w:eastAsia="Arial" w:hAnsi="Arial"/>
                <w:sz w:val="14"/>
                <w:szCs w:val="14"/>
                <w:b w:val="1"/>
                <w:bCs w:val="1"/>
                <w:color w:val="auto"/>
              </w:rPr>
              <w:t>$</w:t>
            </w:r>
          </w:p>
        </w:tc>
        <w:tc>
          <w:tcPr>
            <w:tcW w:w="340" w:type="dxa"/>
            <w:vAlign w:val="bottom"/>
          </w:tcPr>
          <w:p>
            <w:pPr>
              <w:spacing w:after="0"/>
              <w:rPr>
                <w:sz w:val="14"/>
                <w:szCs w:val="14"/>
                <w:color w:val="auto"/>
              </w:rPr>
            </w:pPr>
          </w:p>
        </w:tc>
        <w:tc>
          <w:tcPr>
            <w:tcW w:w="320" w:type="dxa"/>
            <w:vAlign w:val="bottom"/>
            <w:tcBorders>
              <w:bottom w:val="single" w:sz="8" w:color="auto"/>
            </w:tcBorders>
          </w:tcPr>
          <w:p>
            <w:pPr>
              <w:ind w:left="100"/>
              <w:spacing w:after="0"/>
              <w:rPr>
                <w:sz w:val="20"/>
                <w:szCs w:val="20"/>
                <w:color w:val="auto"/>
              </w:rPr>
            </w:pPr>
            <w:r>
              <w:rPr>
                <w:rFonts w:ascii="Arial" w:cs="Arial" w:eastAsia="Arial" w:hAnsi="Arial"/>
                <w:sz w:val="14"/>
                <w:szCs w:val="14"/>
                <w:b w:val="1"/>
                <w:bCs w:val="1"/>
                <w:color w:val="auto"/>
              </w:rPr>
              <w:t>%</w:t>
            </w:r>
          </w:p>
        </w:tc>
        <w:tc>
          <w:tcPr>
            <w:tcW w:w="420" w:type="dxa"/>
            <w:vAlign w:val="bottom"/>
          </w:tcPr>
          <w:p>
            <w:pPr>
              <w:spacing w:after="0"/>
              <w:rPr>
                <w:sz w:val="14"/>
                <w:szCs w:val="14"/>
                <w:color w:val="auto"/>
              </w:rPr>
            </w:pPr>
          </w:p>
        </w:tc>
        <w:tc>
          <w:tcPr>
            <w:tcW w:w="7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3"/>
              </w:rPr>
              <w:t>2008</w:t>
            </w: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840" w:type="dxa"/>
            <w:vAlign w:val="bottom"/>
            <w:shd w:val="clear" w:color="auto" w:fill="CCEEFF"/>
          </w:tcPr>
          <w:p>
            <w:pPr>
              <w:spacing w:after="0"/>
              <w:rPr>
                <w:sz w:val="20"/>
                <w:szCs w:val="20"/>
                <w:color w:val="auto"/>
              </w:rPr>
            </w:pPr>
            <w:r>
              <w:rPr>
                <w:rFonts w:ascii="Arial" w:cs="Arial" w:eastAsia="Arial" w:hAnsi="Arial"/>
                <w:sz w:val="18"/>
                <w:szCs w:val="18"/>
                <w:color w:val="auto"/>
              </w:rPr>
              <w:t>Research and development</w:t>
            </w:r>
          </w:p>
        </w:tc>
        <w:tc>
          <w:tcPr>
            <w:tcW w:w="840" w:type="dxa"/>
            <w:vAlign w:val="bottom"/>
            <w:gridSpan w:val="2"/>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109.3</w:t>
            </w:r>
          </w:p>
        </w:tc>
        <w:tc>
          <w:tcPr>
            <w:tcW w:w="108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  (27.7)</w:t>
            </w:r>
          </w:p>
        </w:tc>
        <w:tc>
          <w:tcPr>
            <w:tcW w:w="62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-20%</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137.0</w:t>
            </w: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340.7</w:t>
            </w:r>
          </w:p>
        </w:tc>
        <w:tc>
          <w:tcPr>
            <w:tcW w:w="280" w:type="dxa"/>
            <w:vAlign w:val="bottom"/>
            <w:shd w:val="clear" w:color="auto" w:fill="CCEEFF"/>
          </w:tcPr>
          <w:p>
            <w:pPr>
              <w:spacing w:after="0"/>
              <w:rPr>
                <w:sz w:val="18"/>
                <w:szCs w:val="18"/>
                <w:color w:val="auto"/>
              </w:rPr>
            </w:pPr>
          </w:p>
        </w:tc>
        <w:tc>
          <w:tcPr>
            <w:tcW w:w="108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  (96.7)</w:t>
            </w:r>
          </w:p>
        </w:tc>
        <w:tc>
          <w:tcPr>
            <w:tcW w:w="74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-22%</w:t>
            </w:r>
          </w:p>
        </w:tc>
        <w:tc>
          <w:tcPr>
            <w:tcW w:w="9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   437.4</w:t>
            </w:r>
          </w:p>
        </w:tc>
        <w:tc>
          <w:tcPr>
            <w:tcW w:w="0" w:type="dxa"/>
            <w:vAlign w:val="bottom"/>
          </w:tcPr>
          <w:p>
            <w:pPr>
              <w:spacing w:after="0"/>
              <w:rPr>
                <w:sz w:val="1"/>
                <w:szCs w:val="1"/>
                <w:color w:val="auto"/>
              </w:rPr>
            </w:pPr>
          </w:p>
        </w:tc>
      </w:tr>
      <w:tr>
        <w:trPr>
          <w:trHeight w:val="222"/>
        </w:trPr>
        <w:tc>
          <w:tcPr>
            <w:tcW w:w="2840" w:type="dxa"/>
            <w:vAlign w:val="bottom"/>
          </w:tcPr>
          <w:p>
            <w:pPr>
              <w:spacing w:after="0"/>
              <w:rPr>
                <w:sz w:val="20"/>
                <w:szCs w:val="20"/>
                <w:color w:val="auto"/>
              </w:rPr>
            </w:pPr>
            <w:r>
              <w:rPr>
                <w:rFonts w:ascii="Arial" w:cs="Arial" w:eastAsia="Arial" w:hAnsi="Arial"/>
                <w:sz w:val="18"/>
                <w:szCs w:val="18"/>
                <w:color w:val="auto"/>
              </w:rPr>
              <w:t>As a percentage of net revenue</w:t>
            </w:r>
          </w:p>
        </w:tc>
        <w:tc>
          <w:tcPr>
            <w:tcW w:w="6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20" w:type="dxa"/>
            <w:vAlign w:val="bottom"/>
            <w:gridSpan w:val="2"/>
          </w:tcPr>
          <w:p>
            <w:pPr>
              <w:jc w:val="right"/>
              <w:ind w:right="120"/>
              <w:spacing w:after="0"/>
              <w:rPr>
                <w:sz w:val="20"/>
                <w:szCs w:val="20"/>
                <w:color w:val="auto"/>
              </w:rPr>
            </w:pPr>
            <w:r>
              <w:rPr>
                <w:rFonts w:ascii="Arial" w:cs="Arial" w:eastAsia="Arial" w:hAnsi="Arial"/>
                <w:sz w:val="18"/>
                <w:szCs w:val="18"/>
                <w:color w:val="auto"/>
              </w:rPr>
              <w:t>26%</w:t>
            </w:r>
          </w:p>
        </w:tc>
        <w:tc>
          <w:tcPr>
            <w:tcW w:w="1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20" w:type="dxa"/>
            <w:vAlign w:val="bottom"/>
            <w:gridSpan w:val="2"/>
          </w:tcPr>
          <w:p>
            <w:pPr>
              <w:jc w:val="right"/>
              <w:ind w:right="120"/>
              <w:spacing w:after="0"/>
              <w:rPr>
                <w:sz w:val="20"/>
                <w:szCs w:val="20"/>
                <w:color w:val="auto"/>
              </w:rPr>
            </w:pPr>
            <w:r>
              <w:rPr>
                <w:rFonts w:ascii="Arial" w:cs="Arial" w:eastAsia="Arial" w:hAnsi="Arial"/>
                <w:sz w:val="18"/>
                <w:szCs w:val="18"/>
                <w:color w:val="auto"/>
              </w:rPr>
              <w:t>23%</w:t>
            </w:r>
          </w:p>
        </w:tc>
        <w:tc>
          <w:tcPr>
            <w:tcW w:w="1160" w:type="dxa"/>
            <w:vAlign w:val="bottom"/>
            <w:gridSpan w:val="3"/>
          </w:tcPr>
          <w:p>
            <w:pPr>
              <w:jc w:val="right"/>
              <w:ind w:right="140"/>
              <w:spacing w:after="0"/>
              <w:rPr>
                <w:sz w:val="20"/>
                <w:szCs w:val="20"/>
                <w:color w:val="auto"/>
              </w:rPr>
            </w:pPr>
            <w:r>
              <w:rPr>
                <w:rFonts w:ascii="Arial" w:cs="Arial" w:eastAsia="Arial" w:hAnsi="Arial"/>
                <w:sz w:val="18"/>
                <w:szCs w:val="18"/>
                <w:color w:val="auto"/>
              </w:rPr>
              <w:t>27%</w:t>
            </w:r>
          </w:p>
        </w:tc>
        <w:tc>
          <w:tcPr>
            <w:tcW w:w="1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940" w:type="dxa"/>
            <w:vAlign w:val="bottom"/>
            <w:gridSpan w:val="2"/>
          </w:tcPr>
          <w:p>
            <w:pPr>
              <w:jc w:val="right"/>
              <w:ind w:right="60"/>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bl>
    <w:p>
      <w:pPr>
        <w:spacing w:after="0" w:line="120" w:lineRule="exact"/>
        <w:rPr>
          <w:sz w:val="20"/>
          <w:szCs w:val="20"/>
          <w:color w:val="auto"/>
        </w:rPr>
      </w:pPr>
    </w:p>
    <w:p>
      <w:pPr>
        <w:ind w:right="40" w:firstLine="456"/>
        <w:spacing w:after="0" w:line="289" w:lineRule="auto"/>
        <w:rPr>
          <w:sz w:val="20"/>
          <w:szCs w:val="20"/>
          <w:color w:val="auto"/>
        </w:rPr>
      </w:pPr>
      <w:r>
        <w:rPr>
          <w:rFonts w:ascii="Arial" w:cs="Arial" w:eastAsia="Arial" w:hAnsi="Arial"/>
          <w:sz w:val="16"/>
          <w:szCs w:val="16"/>
          <w:color w:val="auto"/>
        </w:rPr>
        <w:t>Research and development expenses, which are expensed as incurred, consist primarily of salaries, benefits, bonuses and stock-based compensation expense for research and development employees, rent and occupancy, professional services such as fees paid to software development firms and independent contractors, and the expense of travel, entertainment and training. Research and development expenses decreased 20% and 22% during the three and nine months ended October 31, 2009, respectively, as compared to the same periods of the prior fiscal year, primarily due to decreases in employee-related costs driven by decreased research and development headcount and lower bonus expense. Also contributing to the decline was a decrease in in-process research and development expense from the three and nine months ended October 31, 2008. As compared to the fourth quarter of fiscal 2009, we expect research and development expenses to decrease in absolute dollars. As a percentage of net revenue, we expect research and development expenses to be flat to slightly down during the fourth quarter of fiscal 2010 as compared to the same period of the prior fiscal year.</w:t>
      </w:r>
    </w:p>
    <w:p>
      <w:pPr>
        <w:spacing w:after="0" w:line="1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420"/>
          </w:cols>
          <w:pgMar w:left="240" w:top="459" w:right="239" w:bottom="1440" w:gutter="0" w:footer="0" w:header="0"/>
        </w:sectPr>
      </w:pPr>
    </w:p>
    <w:bookmarkStart w:id="35" w:name="page36"/>
    <w:bookmarkEnd w:id="3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General and Administrative</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7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260" w:type="dxa"/>
            <w:vAlign w:val="bottom"/>
            <w:gridSpan w:val="3"/>
          </w:tcPr>
          <w:p>
            <w:pPr>
              <w:jc w:val="center"/>
              <w:ind w:right="420"/>
              <w:spacing w:after="0"/>
              <w:rPr>
                <w:sz w:val="20"/>
                <w:szCs w:val="20"/>
                <w:color w:val="auto"/>
              </w:rPr>
            </w:pPr>
            <w:r>
              <w:rPr>
                <w:rFonts w:ascii="Arial" w:cs="Arial" w:eastAsia="Arial" w:hAnsi="Arial"/>
                <w:sz w:val="14"/>
                <w:szCs w:val="14"/>
                <w:b w:val="1"/>
                <w:bCs w:val="1"/>
                <w:color w:val="auto"/>
                <w:w w:val="86"/>
              </w:rPr>
              <w:t>Three months</w:t>
            </w:r>
          </w:p>
        </w:tc>
        <w:tc>
          <w:tcPr>
            <w:tcW w:w="100" w:type="dxa"/>
            <w:vAlign w:val="bottom"/>
          </w:tcPr>
          <w:p>
            <w:pPr>
              <w:spacing w:after="0"/>
              <w:rPr>
                <w:sz w:val="14"/>
                <w:szCs w:val="14"/>
                <w:color w:val="auto"/>
              </w:rPr>
            </w:pPr>
          </w:p>
        </w:tc>
        <w:tc>
          <w:tcPr>
            <w:tcW w:w="1620" w:type="dxa"/>
            <w:vAlign w:val="bottom"/>
            <w:gridSpan w:val="4"/>
            <w:vMerge w:val="restart"/>
          </w:tcPr>
          <w:p>
            <w:pPr>
              <w:jc w:val="right"/>
              <w:ind w:right="540"/>
              <w:spacing w:after="0"/>
              <w:rPr>
                <w:sz w:val="20"/>
                <w:szCs w:val="20"/>
                <w:color w:val="auto"/>
              </w:rPr>
            </w:pPr>
            <w:r>
              <w:rPr>
                <w:rFonts w:ascii="Arial" w:cs="Arial" w:eastAsia="Arial" w:hAnsi="Arial"/>
                <w:sz w:val="14"/>
                <w:szCs w:val="14"/>
                <w:b w:val="1"/>
                <w:bCs w:val="1"/>
                <w:color w:val="auto"/>
                <w:w w:val="83"/>
              </w:rPr>
              <w:t>Increase compared</w:t>
            </w:r>
          </w:p>
        </w:tc>
        <w:tc>
          <w:tcPr>
            <w:tcW w:w="1260" w:type="dxa"/>
            <w:vAlign w:val="bottom"/>
            <w:gridSpan w:val="3"/>
          </w:tcPr>
          <w:p>
            <w:pPr>
              <w:jc w:val="center"/>
              <w:ind w:right="460"/>
              <w:spacing w:after="0"/>
              <w:rPr>
                <w:sz w:val="20"/>
                <w:szCs w:val="20"/>
                <w:color w:val="auto"/>
              </w:rPr>
            </w:pPr>
            <w:r>
              <w:rPr>
                <w:rFonts w:ascii="Arial" w:cs="Arial" w:eastAsia="Arial" w:hAnsi="Arial"/>
                <w:sz w:val="14"/>
                <w:szCs w:val="14"/>
                <w:b w:val="1"/>
                <w:bCs w:val="1"/>
                <w:color w:val="auto"/>
                <w:w w:val="86"/>
              </w:rPr>
              <w:t>Three months</w:t>
            </w:r>
          </w:p>
        </w:tc>
        <w:tc>
          <w:tcPr>
            <w:tcW w:w="1040" w:type="dxa"/>
            <w:vAlign w:val="bottom"/>
            <w:gridSpan w:val="3"/>
          </w:tcPr>
          <w:p>
            <w:pPr>
              <w:jc w:val="center"/>
              <w:ind w:right="300"/>
              <w:spacing w:after="0"/>
              <w:rPr>
                <w:sz w:val="20"/>
                <w:szCs w:val="20"/>
                <w:color w:val="auto"/>
              </w:rPr>
            </w:pPr>
            <w:r>
              <w:rPr>
                <w:rFonts w:ascii="Arial" w:cs="Arial" w:eastAsia="Arial" w:hAnsi="Arial"/>
                <w:sz w:val="14"/>
                <w:szCs w:val="14"/>
                <w:b w:val="1"/>
                <w:bCs w:val="1"/>
                <w:color w:val="auto"/>
                <w:w w:val="87"/>
              </w:rPr>
              <w:t>Nine months</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80" w:type="dxa"/>
            <w:vAlign w:val="bottom"/>
            <w:gridSpan w:val="5"/>
            <w:vMerge w:val="restart"/>
          </w:tcPr>
          <w:p>
            <w:pPr>
              <w:jc w:val="center"/>
              <w:ind w:right="560"/>
              <w:spacing w:after="0"/>
              <w:rPr>
                <w:sz w:val="20"/>
                <w:szCs w:val="20"/>
                <w:color w:val="auto"/>
              </w:rPr>
            </w:pPr>
            <w:r>
              <w:rPr>
                <w:rFonts w:ascii="Arial" w:cs="Arial" w:eastAsia="Arial" w:hAnsi="Arial"/>
                <w:sz w:val="14"/>
                <w:szCs w:val="14"/>
                <w:b w:val="1"/>
                <w:bCs w:val="1"/>
                <w:color w:val="auto"/>
                <w:w w:val="84"/>
              </w:rPr>
              <w:t>Decrease compared</w:t>
            </w:r>
          </w:p>
        </w:tc>
        <w:tc>
          <w:tcPr>
            <w:tcW w:w="940" w:type="dxa"/>
            <w:vAlign w:val="bottom"/>
            <w:gridSpan w:val="3"/>
          </w:tcPr>
          <w:p>
            <w:pPr>
              <w:jc w:val="center"/>
              <w:ind w:right="200"/>
              <w:spacing w:after="0"/>
              <w:rPr>
                <w:sz w:val="20"/>
                <w:szCs w:val="20"/>
                <w:color w:val="auto"/>
              </w:rPr>
            </w:pPr>
            <w:r>
              <w:rPr>
                <w:rFonts w:ascii="Arial" w:cs="Arial" w:eastAsia="Arial" w:hAnsi="Arial"/>
                <w:sz w:val="14"/>
                <w:szCs w:val="14"/>
                <w:b w:val="1"/>
                <w:bCs w:val="1"/>
                <w:color w:val="auto"/>
                <w:w w:val="87"/>
              </w:rPr>
              <w:t>Nine months</w:t>
            </w:r>
          </w:p>
        </w:tc>
        <w:tc>
          <w:tcPr>
            <w:tcW w:w="0" w:type="dxa"/>
            <w:vAlign w:val="bottom"/>
          </w:tcPr>
          <w:p>
            <w:pPr>
              <w:spacing w:after="0"/>
              <w:rPr>
                <w:sz w:val="1"/>
                <w:szCs w:val="1"/>
                <w:color w:val="auto"/>
              </w:rPr>
            </w:pPr>
          </w:p>
        </w:tc>
      </w:tr>
      <w:tr>
        <w:trPr>
          <w:trHeight w:val="81"/>
        </w:trPr>
        <w:tc>
          <w:tcPr>
            <w:tcW w:w="2740" w:type="dxa"/>
            <w:vAlign w:val="bottom"/>
          </w:tcPr>
          <w:p>
            <w:pPr>
              <w:spacing w:after="0"/>
              <w:rPr>
                <w:sz w:val="7"/>
                <w:szCs w:val="7"/>
                <w:color w:val="auto"/>
              </w:rPr>
            </w:pPr>
          </w:p>
        </w:tc>
        <w:tc>
          <w:tcPr>
            <w:tcW w:w="540" w:type="dxa"/>
            <w:vAlign w:val="bottom"/>
          </w:tcPr>
          <w:p>
            <w:pPr>
              <w:spacing w:after="0"/>
              <w:rPr>
                <w:sz w:val="7"/>
                <w:szCs w:val="7"/>
                <w:color w:val="auto"/>
              </w:rPr>
            </w:pPr>
          </w:p>
        </w:tc>
        <w:tc>
          <w:tcPr>
            <w:tcW w:w="180" w:type="dxa"/>
            <w:vAlign w:val="bottom"/>
          </w:tcPr>
          <w:p>
            <w:pPr>
              <w:spacing w:after="0"/>
              <w:rPr>
                <w:sz w:val="7"/>
                <w:szCs w:val="7"/>
                <w:color w:val="auto"/>
              </w:rPr>
            </w:pPr>
          </w:p>
        </w:tc>
        <w:tc>
          <w:tcPr>
            <w:tcW w:w="1080" w:type="dxa"/>
            <w:vAlign w:val="bottom"/>
            <w:gridSpan w:val="2"/>
            <w:vMerge w:val="restart"/>
          </w:tcPr>
          <w:p>
            <w:pPr>
              <w:jc w:val="center"/>
              <w:ind w:right="620"/>
              <w:spacing w:after="0" w:line="149" w:lineRule="exact"/>
              <w:rPr>
                <w:sz w:val="20"/>
                <w:szCs w:val="20"/>
                <w:color w:val="auto"/>
              </w:rPr>
            </w:pPr>
            <w:r>
              <w:rPr>
                <w:rFonts w:ascii="Arial" w:cs="Arial" w:eastAsia="Arial" w:hAnsi="Arial"/>
                <w:sz w:val="14"/>
                <w:szCs w:val="14"/>
                <w:b w:val="1"/>
                <w:bCs w:val="1"/>
                <w:color w:val="auto"/>
                <w:w w:val="82"/>
              </w:rPr>
              <w:t>ended</w:t>
            </w:r>
          </w:p>
        </w:tc>
        <w:tc>
          <w:tcPr>
            <w:tcW w:w="100" w:type="dxa"/>
            <w:vAlign w:val="bottom"/>
          </w:tcPr>
          <w:p>
            <w:pPr>
              <w:spacing w:after="0"/>
              <w:rPr>
                <w:sz w:val="7"/>
                <w:szCs w:val="7"/>
                <w:color w:val="auto"/>
              </w:rPr>
            </w:pPr>
          </w:p>
        </w:tc>
        <w:tc>
          <w:tcPr>
            <w:tcW w:w="1620" w:type="dxa"/>
            <w:vAlign w:val="bottom"/>
            <w:gridSpan w:val="4"/>
            <w:vMerge w:val="continue"/>
          </w:tcPr>
          <w:p>
            <w:pPr>
              <w:spacing w:after="0"/>
              <w:rPr>
                <w:sz w:val="7"/>
                <w:szCs w:val="7"/>
                <w:color w:val="auto"/>
              </w:rPr>
            </w:pPr>
          </w:p>
        </w:tc>
        <w:tc>
          <w:tcPr>
            <w:tcW w:w="160" w:type="dxa"/>
            <w:vAlign w:val="bottom"/>
          </w:tcPr>
          <w:p>
            <w:pPr>
              <w:spacing w:after="0"/>
              <w:rPr>
                <w:sz w:val="7"/>
                <w:szCs w:val="7"/>
                <w:color w:val="auto"/>
              </w:rPr>
            </w:pPr>
          </w:p>
        </w:tc>
        <w:tc>
          <w:tcPr>
            <w:tcW w:w="1100" w:type="dxa"/>
            <w:vAlign w:val="bottom"/>
            <w:gridSpan w:val="2"/>
            <w:vMerge w:val="restart"/>
          </w:tcPr>
          <w:p>
            <w:pPr>
              <w:jc w:val="center"/>
              <w:ind w:right="600"/>
              <w:spacing w:after="0" w:line="149" w:lineRule="exact"/>
              <w:rPr>
                <w:sz w:val="20"/>
                <w:szCs w:val="20"/>
                <w:color w:val="auto"/>
              </w:rPr>
            </w:pPr>
            <w:r>
              <w:rPr>
                <w:rFonts w:ascii="Arial" w:cs="Arial" w:eastAsia="Arial" w:hAnsi="Arial"/>
                <w:sz w:val="14"/>
                <w:szCs w:val="14"/>
                <w:b w:val="1"/>
                <w:bCs w:val="1"/>
                <w:color w:val="auto"/>
                <w:w w:val="82"/>
              </w:rPr>
              <w:t>ended</w:t>
            </w:r>
          </w:p>
        </w:tc>
        <w:tc>
          <w:tcPr>
            <w:tcW w:w="140" w:type="dxa"/>
            <w:vAlign w:val="bottom"/>
          </w:tcPr>
          <w:p>
            <w:pPr>
              <w:spacing w:after="0"/>
              <w:rPr>
                <w:sz w:val="7"/>
                <w:szCs w:val="7"/>
                <w:color w:val="auto"/>
              </w:rPr>
            </w:pPr>
          </w:p>
        </w:tc>
        <w:tc>
          <w:tcPr>
            <w:tcW w:w="900" w:type="dxa"/>
            <w:vAlign w:val="bottom"/>
            <w:gridSpan w:val="2"/>
            <w:vMerge w:val="restart"/>
          </w:tcPr>
          <w:p>
            <w:pPr>
              <w:jc w:val="center"/>
              <w:ind w:right="440"/>
              <w:spacing w:after="0" w:line="149" w:lineRule="exact"/>
              <w:rPr>
                <w:sz w:val="20"/>
                <w:szCs w:val="20"/>
                <w:color w:val="auto"/>
              </w:rPr>
            </w:pPr>
            <w:r>
              <w:rPr>
                <w:rFonts w:ascii="Arial" w:cs="Arial" w:eastAsia="Arial" w:hAnsi="Arial"/>
                <w:sz w:val="14"/>
                <w:szCs w:val="14"/>
                <w:b w:val="1"/>
                <w:bCs w:val="1"/>
                <w:color w:val="auto"/>
                <w:w w:val="82"/>
              </w:rPr>
              <w:t>ended</w:t>
            </w:r>
          </w:p>
        </w:tc>
        <w:tc>
          <w:tcPr>
            <w:tcW w:w="140" w:type="dxa"/>
            <w:vAlign w:val="bottom"/>
          </w:tcPr>
          <w:p>
            <w:pPr>
              <w:spacing w:after="0"/>
              <w:rPr>
                <w:sz w:val="7"/>
                <w:szCs w:val="7"/>
                <w:color w:val="auto"/>
              </w:rPr>
            </w:pPr>
          </w:p>
        </w:tc>
        <w:tc>
          <w:tcPr>
            <w:tcW w:w="100" w:type="dxa"/>
            <w:vAlign w:val="bottom"/>
          </w:tcPr>
          <w:p>
            <w:pPr>
              <w:spacing w:after="0"/>
              <w:rPr>
                <w:sz w:val="7"/>
                <w:szCs w:val="7"/>
                <w:color w:val="auto"/>
              </w:rPr>
            </w:pPr>
          </w:p>
        </w:tc>
        <w:tc>
          <w:tcPr>
            <w:tcW w:w="1680" w:type="dxa"/>
            <w:vAlign w:val="bottom"/>
            <w:gridSpan w:val="5"/>
            <w:vMerge w:val="continue"/>
          </w:tcPr>
          <w:p>
            <w:pPr>
              <w:spacing w:after="0"/>
              <w:rPr>
                <w:sz w:val="7"/>
                <w:szCs w:val="7"/>
                <w:color w:val="auto"/>
              </w:rPr>
            </w:pPr>
          </w:p>
        </w:tc>
        <w:tc>
          <w:tcPr>
            <w:tcW w:w="140" w:type="dxa"/>
            <w:vAlign w:val="bottom"/>
          </w:tcPr>
          <w:p>
            <w:pPr>
              <w:spacing w:after="0"/>
              <w:rPr>
                <w:sz w:val="7"/>
                <w:szCs w:val="7"/>
                <w:color w:val="auto"/>
              </w:rPr>
            </w:pPr>
          </w:p>
        </w:tc>
        <w:tc>
          <w:tcPr>
            <w:tcW w:w="800" w:type="dxa"/>
            <w:vAlign w:val="bottom"/>
            <w:gridSpan w:val="2"/>
            <w:vMerge w:val="restart"/>
          </w:tcPr>
          <w:p>
            <w:pPr>
              <w:jc w:val="center"/>
              <w:ind w:right="340"/>
              <w:spacing w:after="0" w:line="149" w:lineRule="exact"/>
              <w:rPr>
                <w:sz w:val="20"/>
                <w:szCs w:val="20"/>
                <w:color w:val="auto"/>
              </w:rPr>
            </w:pPr>
            <w:r>
              <w:rPr>
                <w:rFonts w:ascii="Arial" w:cs="Arial" w:eastAsia="Arial" w:hAnsi="Arial"/>
                <w:sz w:val="14"/>
                <w:szCs w:val="14"/>
                <w:b w:val="1"/>
                <w:bCs w:val="1"/>
                <w:color w:val="auto"/>
                <w:w w:val="82"/>
              </w:rPr>
              <w:t>ended</w:t>
            </w:r>
          </w:p>
        </w:tc>
        <w:tc>
          <w:tcPr>
            <w:tcW w:w="0" w:type="dxa"/>
            <w:vAlign w:val="bottom"/>
          </w:tcPr>
          <w:p>
            <w:pPr>
              <w:spacing w:after="0"/>
              <w:rPr>
                <w:sz w:val="1"/>
                <w:szCs w:val="1"/>
                <w:color w:val="auto"/>
              </w:rPr>
            </w:pPr>
          </w:p>
        </w:tc>
      </w:tr>
      <w:tr>
        <w:trPr>
          <w:trHeight w:val="68"/>
        </w:trPr>
        <w:tc>
          <w:tcPr>
            <w:tcW w:w="2740" w:type="dxa"/>
            <w:vAlign w:val="bottom"/>
          </w:tcPr>
          <w:p>
            <w:pPr>
              <w:spacing w:after="0"/>
              <w:rPr>
                <w:sz w:val="5"/>
                <w:szCs w:val="5"/>
                <w:color w:val="auto"/>
              </w:rPr>
            </w:pPr>
          </w:p>
        </w:tc>
        <w:tc>
          <w:tcPr>
            <w:tcW w:w="540" w:type="dxa"/>
            <w:vAlign w:val="bottom"/>
          </w:tcPr>
          <w:p>
            <w:pPr>
              <w:spacing w:after="0"/>
              <w:rPr>
                <w:sz w:val="5"/>
                <w:szCs w:val="5"/>
                <w:color w:val="auto"/>
              </w:rPr>
            </w:pPr>
          </w:p>
        </w:tc>
        <w:tc>
          <w:tcPr>
            <w:tcW w:w="180" w:type="dxa"/>
            <w:vAlign w:val="bottom"/>
          </w:tcPr>
          <w:p>
            <w:pPr>
              <w:spacing w:after="0"/>
              <w:rPr>
                <w:sz w:val="5"/>
                <w:szCs w:val="5"/>
                <w:color w:val="auto"/>
              </w:rPr>
            </w:pPr>
          </w:p>
        </w:tc>
        <w:tc>
          <w:tcPr>
            <w:tcW w:w="1080" w:type="dxa"/>
            <w:vAlign w:val="bottom"/>
            <w:gridSpan w:val="2"/>
            <w:vMerge w:val="continue"/>
          </w:tcPr>
          <w:p>
            <w:pPr>
              <w:spacing w:after="0"/>
              <w:rPr>
                <w:sz w:val="5"/>
                <w:szCs w:val="5"/>
                <w:color w:val="auto"/>
              </w:rPr>
            </w:pPr>
          </w:p>
        </w:tc>
        <w:tc>
          <w:tcPr>
            <w:tcW w:w="100" w:type="dxa"/>
            <w:vAlign w:val="bottom"/>
          </w:tcPr>
          <w:p>
            <w:pPr>
              <w:spacing w:after="0"/>
              <w:rPr>
                <w:sz w:val="5"/>
                <w:szCs w:val="5"/>
                <w:color w:val="auto"/>
              </w:rPr>
            </w:pPr>
          </w:p>
        </w:tc>
        <w:tc>
          <w:tcPr>
            <w:tcW w:w="1620" w:type="dxa"/>
            <w:vAlign w:val="bottom"/>
            <w:gridSpan w:val="4"/>
            <w:vMerge w:val="restart"/>
          </w:tcPr>
          <w:p>
            <w:pPr>
              <w:jc w:val="right"/>
              <w:ind w:right="660"/>
              <w:spacing w:after="0"/>
              <w:rPr>
                <w:sz w:val="20"/>
                <w:szCs w:val="20"/>
                <w:color w:val="auto"/>
              </w:rPr>
            </w:pPr>
            <w:r>
              <w:rPr>
                <w:rFonts w:ascii="Arial" w:cs="Arial" w:eastAsia="Arial" w:hAnsi="Arial"/>
                <w:sz w:val="14"/>
                <w:szCs w:val="14"/>
                <w:b w:val="1"/>
                <w:bCs w:val="1"/>
                <w:color w:val="auto"/>
                <w:w w:val="98"/>
              </w:rPr>
              <w:t>to prior period</w:t>
            </w:r>
          </w:p>
        </w:tc>
        <w:tc>
          <w:tcPr>
            <w:tcW w:w="160" w:type="dxa"/>
            <w:vAlign w:val="bottom"/>
          </w:tcPr>
          <w:p>
            <w:pPr>
              <w:spacing w:after="0"/>
              <w:rPr>
                <w:sz w:val="5"/>
                <w:szCs w:val="5"/>
                <w:color w:val="auto"/>
              </w:rPr>
            </w:pPr>
          </w:p>
        </w:tc>
        <w:tc>
          <w:tcPr>
            <w:tcW w:w="1100" w:type="dxa"/>
            <w:vAlign w:val="bottom"/>
            <w:gridSpan w:val="2"/>
            <w:vMerge w:val="continue"/>
          </w:tcPr>
          <w:p>
            <w:pPr>
              <w:spacing w:after="0"/>
              <w:rPr>
                <w:sz w:val="5"/>
                <w:szCs w:val="5"/>
                <w:color w:val="auto"/>
              </w:rPr>
            </w:pPr>
          </w:p>
        </w:tc>
        <w:tc>
          <w:tcPr>
            <w:tcW w:w="140" w:type="dxa"/>
            <w:vAlign w:val="bottom"/>
          </w:tcPr>
          <w:p>
            <w:pPr>
              <w:spacing w:after="0"/>
              <w:rPr>
                <w:sz w:val="5"/>
                <w:szCs w:val="5"/>
                <w:color w:val="auto"/>
              </w:rPr>
            </w:pPr>
          </w:p>
        </w:tc>
        <w:tc>
          <w:tcPr>
            <w:tcW w:w="900" w:type="dxa"/>
            <w:vAlign w:val="bottom"/>
            <w:gridSpan w:val="2"/>
            <w:vMerge w:val="continue"/>
          </w:tcPr>
          <w:p>
            <w:pPr>
              <w:spacing w:after="0"/>
              <w:rPr>
                <w:sz w:val="5"/>
                <w:szCs w:val="5"/>
                <w:color w:val="auto"/>
              </w:rPr>
            </w:pPr>
          </w:p>
        </w:tc>
        <w:tc>
          <w:tcPr>
            <w:tcW w:w="140" w:type="dxa"/>
            <w:vAlign w:val="bottom"/>
          </w:tcPr>
          <w:p>
            <w:pPr>
              <w:spacing w:after="0"/>
              <w:rPr>
                <w:sz w:val="5"/>
                <w:szCs w:val="5"/>
                <w:color w:val="auto"/>
              </w:rPr>
            </w:pPr>
          </w:p>
        </w:tc>
        <w:tc>
          <w:tcPr>
            <w:tcW w:w="100" w:type="dxa"/>
            <w:vAlign w:val="bottom"/>
          </w:tcPr>
          <w:p>
            <w:pPr>
              <w:spacing w:after="0"/>
              <w:rPr>
                <w:sz w:val="5"/>
                <w:szCs w:val="5"/>
                <w:color w:val="auto"/>
              </w:rPr>
            </w:pPr>
          </w:p>
        </w:tc>
        <w:tc>
          <w:tcPr>
            <w:tcW w:w="1000" w:type="dxa"/>
            <w:vAlign w:val="bottom"/>
            <w:gridSpan w:val="3"/>
            <w:vMerge w:val="restart"/>
          </w:tcPr>
          <w:p>
            <w:pPr>
              <w:jc w:val="center"/>
              <w:ind w:left="67"/>
              <w:spacing w:after="0"/>
              <w:rPr>
                <w:sz w:val="20"/>
                <w:szCs w:val="20"/>
                <w:color w:val="auto"/>
              </w:rPr>
            </w:pPr>
            <w:r>
              <w:rPr>
                <w:rFonts w:ascii="Arial" w:cs="Arial" w:eastAsia="Arial" w:hAnsi="Arial"/>
                <w:sz w:val="14"/>
                <w:szCs w:val="14"/>
                <w:b w:val="1"/>
                <w:bCs w:val="1"/>
                <w:color w:val="auto"/>
                <w:w w:val="89"/>
              </w:rPr>
              <w:t>to prior period</w:t>
            </w:r>
          </w:p>
        </w:tc>
        <w:tc>
          <w:tcPr>
            <w:tcW w:w="220" w:type="dxa"/>
            <w:vAlign w:val="bottom"/>
          </w:tcPr>
          <w:p>
            <w:pPr>
              <w:spacing w:after="0"/>
              <w:rPr>
                <w:sz w:val="5"/>
                <w:szCs w:val="5"/>
                <w:color w:val="auto"/>
              </w:rPr>
            </w:pPr>
          </w:p>
        </w:tc>
        <w:tc>
          <w:tcPr>
            <w:tcW w:w="460" w:type="dxa"/>
            <w:vAlign w:val="bottom"/>
          </w:tcPr>
          <w:p>
            <w:pPr>
              <w:spacing w:after="0"/>
              <w:rPr>
                <w:sz w:val="5"/>
                <w:szCs w:val="5"/>
                <w:color w:val="auto"/>
              </w:rPr>
            </w:pPr>
          </w:p>
        </w:tc>
        <w:tc>
          <w:tcPr>
            <w:tcW w:w="140" w:type="dxa"/>
            <w:vAlign w:val="bottom"/>
          </w:tcPr>
          <w:p>
            <w:pPr>
              <w:spacing w:after="0"/>
              <w:rPr>
                <w:sz w:val="5"/>
                <w:szCs w:val="5"/>
                <w:color w:val="auto"/>
              </w:rPr>
            </w:pPr>
          </w:p>
        </w:tc>
        <w:tc>
          <w:tcPr>
            <w:tcW w:w="800" w:type="dxa"/>
            <w:vAlign w:val="bottom"/>
            <w:gridSpan w:val="2"/>
            <w:vMerge w:val="continue"/>
          </w:tcPr>
          <w:p>
            <w:pPr>
              <w:spacing w:after="0"/>
              <w:rPr>
                <w:sz w:val="5"/>
                <w:szCs w:val="5"/>
                <w:color w:val="auto"/>
              </w:rPr>
            </w:pPr>
          </w:p>
        </w:tc>
        <w:tc>
          <w:tcPr>
            <w:tcW w:w="0" w:type="dxa"/>
            <w:vAlign w:val="bottom"/>
          </w:tcPr>
          <w:p>
            <w:pPr>
              <w:spacing w:after="0"/>
              <w:rPr>
                <w:sz w:val="1"/>
                <w:szCs w:val="1"/>
                <w:color w:val="auto"/>
              </w:rPr>
            </w:pPr>
          </w:p>
        </w:tc>
      </w:tr>
      <w:tr>
        <w:trPr>
          <w:trHeight w:val="94"/>
        </w:trPr>
        <w:tc>
          <w:tcPr>
            <w:tcW w:w="2740" w:type="dxa"/>
            <w:vAlign w:val="bottom"/>
          </w:tcPr>
          <w:p>
            <w:pPr>
              <w:spacing w:after="0"/>
              <w:rPr>
                <w:sz w:val="8"/>
                <w:szCs w:val="8"/>
                <w:color w:val="auto"/>
              </w:rPr>
            </w:pPr>
          </w:p>
        </w:tc>
        <w:tc>
          <w:tcPr>
            <w:tcW w:w="540" w:type="dxa"/>
            <w:vAlign w:val="bottom"/>
          </w:tcPr>
          <w:p>
            <w:pPr>
              <w:spacing w:after="0"/>
              <w:rPr>
                <w:sz w:val="8"/>
                <w:szCs w:val="8"/>
                <w:color w:val="auto"/>
              </w:rPr>
            </w:pPr>
          </w:p>
        </w:tc>
        <w:tc>
          <w:tcPr>
            <w:tcW w:w="1260" w:type="dxa"/>
            <w:vAlign w:val="bottom"/>
            <w:gridSpan w:val="3"/>
            <w:vMerge w:val="restart"/>
          </w:tcPr>
          <w:p>
            <w:pPr>
              <w:jc w:val="center"/>
              <w:ind w:right="420"/>
              <w:spacing w:after="0" w:line="149" w:lineRule="exact"/>
              <w:rPr>
                <w:sz w:val="20"/>
                <w:szCs w:val="20"/>
                <w:color w:val="auto"/>
              </w:rPr>
            </w:pPr>
            <w:r>
              <w:rPr>
                <w:rFonts w:ascii="Arial" w:cs="Arial" w:eastAsia="Arial" w:hAnsi="Arial"/>
                <w:sz w:val="14"/>
                <w:szCs w:val="14"/>
                <w:b w:val="1"/>
                <w:bCs w:val="1"/>
                <w:color w:val="auto"/>
                <w:w w:val="88"/>
              </w:rPr>
              <w:t>October 31,</w:t>
            </w:r>
          </w:p>
        </w:tc>
        <w:tc>
          <w:tcPr>
            <w:tcW w:w="100" w:type="dxa"/>
            <w:vAlign w:val="bottom"/>
          </w:tcPr>
          <w:p>
            <w:pPr>
              <w:spacing w:after="0"/>
              <w:rPr>
                <w:sz w:val="8"/>
                <w:szCs w:val="8"/>
                <w:color w:val="auto"/>
              </w:rPr>
            </w:pPr>
          </w:p>
        </w:tc>
        <w:tc>
          <w:tcPr>
            <w:tcW w:w="1620" w:type="dxa"/>
            <w:vAlign w:val="bottom"/>
            <w:gridSpan w:val="4"/>
            <w:vMerge w:val="continue"/>
          </w:tcPr>
          <w:p>
            <w:pPr>
              <w:spacing w:after="0"/>
              <w:rPr>
                <w:sz w:val="8"/>
                <w:szCs w:val="8"/>
                <w:color w:val="auto"/>
              </w:rPr>
            </w:pPr>
          </w:p>
        </w:tc>
        <w:tc>
          <w:tcPr>
            <w:tcW w:w="1260" w:type="dxa"/>
            <w:vAlign w:val="bottom"/>
            <w:gridSpan w:val="3"/>
            <w:vMerge w:val="restart"/>
          </w:tcPr>
          <w:p>
            <w:pPr>
              <w:jc w:val="center"/>
              <w:ind w:right="460"/>
              <w:spacing w:after="0" w:line="149" w:lineRule="exact"/>
              <w:rPr>
                <w:sz w:val="20"/>
                <w:szCs w:val="20"/>
                <w:color w:val="auto"/>
              </w:rPr>
            </w:pPr>
            <w:r>
              <w:rPr>
                <w:rFonts w:ascii="Arial" w:cs="Arial" w:eastAsia="Arial" w:hAnsi="Arial"/>
                <w:sz w:val="14"/>
                <w:szCs w:val="14"/>
                <w:b w:val="1"/>
                <w:bCs w:val="1"/>
                <w:color w:val="auto"/>
                <w:w w:val="88"/>
              </w:rPr>
              <w:t>October 31,</w:t>
            </w:r>
          </w:p>
        </w:tc>
        <w:tc>
          <w:tcPr>
            <w:tcW w:w="1040" w:type="dxa"/>
            <w:vAlign w:val="bottom"/>
            <w:gridSpan w:val="3"/>
            <w:vMerge w:val="restart"/>
          </w:tcPr>
          <w:p>
            <w:pPr>
              <w:jc w:val="center"/>
              <w:ind w:right="300"/>
              <w:spacing w:after="0" w:line="149" w:lineRule="exact"/>
              <w:rPr>
                <w:sz w:val="20"/>
                <w:szCs w:val="20"/>
                <w:color w:val="auto"/>
              </w:rPr>
            </w:pPr>
            <w:r>
              <w:rPr>
                <w:rFonts w:ascii="Arial" w:cs="Arial" w:eastAsia="Arial" w:hAnsi="Arial"/>
                <w:sz w:val="14"/>
                <w:szCs w:val="14"/>
                <w:b w:val="1"/>
                <w:bCs w:val="1"/>
                <w:color w:val="auto"/>
                <w:w w:val="85"/>
              </w:rPr>
              <w:t>October 31,</w:t>
            </w:r>
          </w:p>
        </w:tc>
        <w:tc>
          <w:tcPr>
            <w:tcW w:w="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0" w:type="dxa"/>
            <w:vAlign w:val="bottom"/>
            <w:gridSpan w:val="3"/>
            <w:vMerge w:val="continue"/>
          </w:tcPr>
          <w:p>
            <w:pPr>
              <w:spacing w:after="0"/>
              <w:rPr>
                <w:sz w:val="8"/>
                <w:szCs w:val="8"/>
                <w:color w:val="auto"/>
              </w:rPr>
            </w:pPr>
          </w:p>
        </w:tc>
        <w:tc>
          <w:tcPr>
            <w:tcW w:w="220" w:type="dxa"/>
            <w:vAlign w:val="bottom"/>
          </w:tcPr>
          <w:p>
            <w:pPr>
              <w:spacing w:after="0"/>
              <w:rPr>
                <w:sz w:val="8"/>
                <w:szCs w:val="8"/>
                <w:color w:val="auto"/>
              </w:rPr>
            </w:pPr>
          </w:p>
        </w:tc>
        <w:tc>
          <w:tcPr>
            <w:tcW w:w="460" w:type="dxa"/>
            <w:vAlign w:val="bottom"/>
          </w:tcPr>
          <w:p>
            <w:pPr>
              <w:spacing w:after="0"/>
              <w:rPr>
                <w:sz w:val="8"/>
                <w:szCs w:val="8"/>
                <w:color w:val="auto"/>
              </w:rPr>
            </w:pPr>
          </w:p>
        </w:tc>
        <w:tc>
          <w:tcPr>
            <w:tcW w:w="940" w:type="dxa"/>
            <w:vAlign w:val="bottom"/>
            <w:gridSpan w:val="3"/>
            <w:vMerge w:val="restart"/>
          </w:tcPr>
          <w:p>
            <w:pPr>
              <w:jc w:val="center"/>
              <w:ind w:right="220"/>
              <w:spacing w:after="0" w:line="149" w:lineRule="exact"/>
              <w:rPr>
                <w:sz w:val="20"/>
                <w:szCs w:val="20"/>
                <w:color w:val="auto"/>
              </w:rPr>
            </w:pPr>
            <w:r>
              <w:rPr>
                <w:rFonts w:ascii="Arial" w:cs="Arial" w:eastAsia="Arial" w:hAnsi="Arial"/>
                <w:sz w:val="14"/>
                <w:szCs w:val="14"/>
                <w:b w:val="1"/>
                <w:bCs w:val="1"/>
                <w:color w:val="auto"/>
                <w:w w:val="88"/>
              </w:rPr>
              <w:t>October 31,</w:t>
            </w:r>
          </w:p>
        </w:tc>
        <w:tc>
          <w:tcPr>
            <w:tcW w:w="0" w:type="dxa"/>
            <w:vAlign w:val="bottom"/>
          </w:tcPr>
          <w:p>
            <w:pPr>
              <w:spacing w:after="0"/>
              <w:rPr>
                <w:sz w:val="1"/>
                <w:szCs w:val="1"/>
                <w:color w:val="auto"/>
              </w:rPr>
            </w:pPr>
          </w:p>
        </w:tc>
      </w:tr>
      <w:tr>
        <w:trPr>
          <w:trHeight w:val="35"/>
        </w:trPr>
        <w:tc>
          <w:tcPr>
            <w:tcW w:w="2740" w:type="dxa"/>
            <w:vAlign w:val="bottom"/>
          </w:tcPr>
          <w:p>
            <w:pPr>
              <w:spacing w:after="0"/>
              <w:rPr>
                <w:sz w:val="3"/>
                <w:szCs w:val="3"/>
                <w:color w:val="auto"/>
              </w:rPr>
            </w:pPr>
          </w:p>
        </w:tc>
        <w:tc>
          <w:tcPr>
            <w:tcW w:w="540" w:type="dxa"/>
            <w:vAlign w:val="bottom"/>
          </w:tcPr>
          <w:p>
            <w:pPr>
              <w:spacing w:after="0"/>
              <w:rPr>
                <w:sz w:val="3"/>
                <w:szCs w:val="3"/>
                <w:color w:val="auto"/>
              </w:rPr>
            </w:pPr>
          </w:p>
        </w:tc>
        <w:tc>
          <w:tcPr>
            <w:tcW w:w="1260" w:type="dxa"/>
            <w:vAlign w:val="bottom"/>
            <w:gridSpan w:val="3"/>
            <w:vMerge w:val="continue"/>
          </w:tcPr>
          <w:p>
            <w:pPr>
              <w:spacing w:after="0"/>
              <w:rPr>
                <w:sz w:val="3"/>
                <w:szCs w:val="3"/>
                <w:color w:val="auto"/>
              </w:rPr>
            </w:pPr>
          </w:p>
        </w:tc>
        <w:tc>
          <w:tcPr>
            <w:tcW w:w="100" w:type="dxa"/>
            <w:vAlign w:val="bottom"/>
            <w:tcBorders>
              <w:top w:val="single" w:sz="8" w:color="auto"/>
            </w:tcBorders>
          </w:tcPr>
          <w:p>
            <w:pPr>
              <w:spacing w:after="0"/>
              <w:rPr>
                <w:sz w:val="3"/>
                <w:szCs w:val="3"/>
                <w:color w:val="auto"/>
              </w:rPr>
            </w:pPr>
          </w:p>
        </w:tc>
        <w:tc>
          <w:tcPr>
            <w:tcW w:w="580" w:type="dxa"/>
            <w:vAlign w:val="bottom"/>
            <w:tcBorders>
              <w:top w:val="single" w:sz="8" w:color="auto"/>
            </w:tcBorders>
          </w:tcPr>
          <w:p>
            <w:pPr>
              <w:spacing w:after="0"/>
              <w:rPr>
                <w:sz w:val="3"/>
                <w:szCs w:val="3"/>
                <w:color w:val="auto"/>
              </w:rPr>
            </w:pPr>
          </w:p>
        </w:tc>
        <w:tc>
          <w:tcPr>
            <w:tcW w:w="300" w:type="dxa"/>
            <w:vAlign w:val="bottom"/>
            <w:tcBorders>
              <w:top w:val="single" w:sz="8" w:color="auto"/>
            </w:tcBorders>
          </w:tcPr>
          <w:p>
            <w:pPr>
              <w:spacing w:after="0"/>
              <w:rPr>
                <w:sz w:val="3"/>
                <w:szCs w:val="3"/>
                <w:color w:val="auto"/>
              </w:rPr>
            </w:pPr>
          </w:p>
        </w:tc>
        <w:tc>
          <w:tcPr>
            <w:tcW w:w="300" w:type="dxa"/>
            <w:vAlign w:val="bottom"/>
            <w:tcBorders>
              <w:top w:val="single" w:sz="8" w:color="auto"/>
            </w:tcBorders>
          </w:tcPr>
          <w:p>
            <w:pPr>
              <w:spacing w:after="0"/>
              <w:rPr>
                <w:sz w:val="3"/>
                <w:szCs w:val="3"/>
                <w:color w:val="auto"/>
              </w:rPr>
            </w:pPr>
          </w:p>
        </w:tc>
        <w:tc>
          <w:tcPr>
            <w:tcW w:w="440" w:type="dxa"/>
            <w:vAlign w:val="bottom"/>
          </w:tcPr>
          <w:p>
            <w:pPr>
              <w:spacing w:after="0"/>
              <w:rPr>
                <w:sz w:val="3"/>
                <w:szCs w:val="3"/>
                <w:color w:val="auto"/>
              </w:rPr>
            </w:pPr>
          </w:p>
        </w:tc>
        <w:tc>
          <w:tcPr>
            <w:tcW w:w="1260" w:type="dxa"/>
            <w:vAlign w:val="bottom"/>
            <w:gridSpan w:val="3"/>
            <w:vMerge w:val="continue"/>
          </w:tcPr>
          <w:p>
            <w:pPr>
              <w:spacing w:after="0"/>
              <w:rPr>
                <w:sz w:val="3"/>
                <w:szCs w:val="3"/>
                <w:color w:val="auto"/>
              </w:rPr>
            </w:pPr>
          </w:p>
        </w:tc>
        <w:tc>
          <w:tcPr>
            <w:tcW w:w="1040" w:type="dxa"/>
            <w:vAlign w:val="bottom"/>
            <w:gridSpan w:val="3"/>
            <w:vMerge w:val="continue"/>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Borders>
              <w:top w:val="single" w:sz="8" w:color="auto"/>
            </w:tcBorders>
          </w:tcPr>
          <w:p>
            <w:pPr>
              <w:spacing w:after="0"/>
              <w:rPr>
                <w:sz w:val="3"/>
                <w:szCs w:val="3"/>
                <w:color w:val="auto"/>
              </w:rPr>
            </w:pPr>
          </w:p>
        </w:tc>
        <w:tc>
          <w:tcPr>
            <w:tcW w:w="520" w:type="dxa"/>
            <w:vAlign w:val="bottom"/>
            <w:tcBorders>
              <w:top w:val="single" w:sz="8" w:color="auto"/>
            </w:tcBorders>
          </w:tcPr>
          <w:p>
            <w:pPr>
              <w:spacing w:after="0"/>
              <w:rPr>
                <w:sz w:val="3"/>
                <w:szCs w:val="3"/>
                <w:color w:val="auto"/>
              </w:rPr>
            </w:pPr>
          </w:p>
        </w:tc>
        <w:tc>
          <w:tcPr>
            <w:tcW w:w="440" w:type="dxa"/>
            <w:vAlign w:val="bottom"/>
            <w:tcBorders>
              <w:top w:val="single" w:sz="8" w:color="auto"/>
            </w:tcBorders>
          </w:tcPr>
          <w:p>
            <w:pPr>
              <w:spacing w:after="0"/>
              <w:rPr>
                <w:sz w:val="3"/>
                <w:szCs w:val="3"/>
                <w:color w:val="auto"/>
              </w:rPr>
            </w:pPr>
          </w:p>
        </w:tc>
        <w:tc>
          <w:tcPr>
            <w:tcW w:w="40" w:type="dxa"/>
            <w:vAlign w:val="bottom"/>
            <w:tcBorders>
              <w:top w:val="single" w:sz="8" w:color="auto"/>
            </w:tcBorders>
          </w:tcPr>
          <w:p>
            <w:pPr>
              <w:spacing w:after="0"/>
              <w:rPr>
                <w:sz w:val="3"/>
                <w:szCs w:val="3"/>
                <w:color w:val="auto"/>
              </w:rPr>
            </w:pPr>
          </w:p>
        </w:tc>
        <w:tc>
          <w:tcPr>
            <w:tcW w:w="220" w:type="dxa"/>
            <w:vAlign w:val="bottom"/>
            <w:tcBorders>
              <w:top w:val="single" w:sz="8" w:color="auto"/>
            </w:tcBorders>
          </w:tcPr>
          <w:p>
            <w:pPr>
              <w:spacing w:after="0"/>
              <w:rPr>
                <w:sz w:val="3"/>
                <w:szCs w:val="3"/>
                <w:color w:val="auto"/>
              </w:rPr>
            </w:pPr>
          </w:p>
        </w:tc>
        <w:tc>
          <w:tcPr>
            <w:tcW w:w="460" w:type="dxa"/>
            <w:vAlign w:val="bottom"/>
          </w:tcPr>
          <w:p>
            <w:pPr>
              <w:spacing w:after="0"/>
              <w:rPr>
                <w:sz w:val="3"/>
                <w:szCs w:val="3"/>
                <w:color w:val="auto"/>
              </w:rPr>
            </w:pPr>
          </w:p>
        </w:tc>
        <w:tc>
          <w:tcPr>
            <w:tcW w:w="94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61"/>
        </w:trPr>
        <w:tc>
          <w:tcPr>
            <w:tcW w:w="2740" w:type="dxa"/>
            <w:vAlign w:val="bottom"/>
          </w:tcPr>
          <w:p>
            <w:pPr>
              <w:spacing w:after="0"/>
              <w:rPr>
                <w:sz w:val="20"/>
                <w:szCs w:val="20"/>
                <w:color w:val="auto"/>
              </w:rPr>
            </w:pPr>
            <w:r>
              <w:rPr>
                <w:rFonts w:ascii="Arial" w:cs="Arial" w:eastAsia="Arial" w:hAnsi="Arial"/>
                <w:sz w:val="14"/>
                <w:szCs w:val="14"/>
                <w:i w:val="1"/>
                <w:iCs w:val="1"/>
                <w:color w:val="auto"/>
              </w:rPr>
              <w:t>(in millions)</w:t>
            </w:r>
          </w:p>
        </w:tc>
        <w:tc>
          <w:tcPr>
            <w:tcW w:w="54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center"/>
              <w:ind w:right="82"/>
              <w:spacing w:after="0"/>
              <w:rPr>
                <w:sz w:val="20"/>
                <w:szCs w:val="20"/>
                <w:color w:val="auto"/>
              </w:rPr>
            </w:pPr>
            <w:r>
              <w:rPr>
                <w:rFonts w:ascii="Arial" w:cs="Arial" w:eastAsia="Arial" w:hAnsi="Arial"/>
                <w:sz w:val="14"/>
                <w:szCs w:val="14"/>
                <w:b w:val="1"/>
                <w:bCs w:val="1"/>
                <w:color w:val="auto"/>
                <w:w w:val="89"/>
              </w:rPr>
              <w:t>2009</w:t>
            </w:r>
          </w:p>
        </w:tc>
        <w:tc>
          <w:tcPr>
            <w:tcW w:w="4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ind w:right="227"/>
              <w:spacing w:after="0"/>
              <w:rPr>
                <w:sz w:val="20"/>
                <w:szCs w:val="20"/>
                <w:color w:val="auto"/>
              </w:rPr>
            </w:pPr>
            <w:r>
              <w:rPr>
                <w:rFonts w:ascii="Arial" w:cs="Arial" w:eastAsia="Arial" w:hAnsi="Arial"/>
                <w:sz w:val="14"/>
                <w:szCs w:val="14"/>
                <w:b w:val="1"/>
                <w:bCs w:val="1"/>
                <w:color w:val="auto"/>
              </w:rPr>
              <w:t>$</w:t>
            </w:r>
          </w:p>
        </w:tc>
        <w:tc>
          <w:tcPr>
            <w:tcW w:w="300" w:type="dxa"/>
            <w:vAlign w:val="bottom"/>
          </w:tcPr>
          <w:p>
            <w:pPr>
              <w:spacing w:after="0"/>
              <w:rPr>
                <w:sz w:val="14"/>
                <w:szCs w:val="14"/>
                <w:color w:val="auto"/>
              </w:rPr>
            </w:pPr>
          </w:p>
        </w:tc>
        <w:tc>
          <w:tcPr>
            <w:tcW w:w="300" w:type="dxa"/>
            <w:vAlign w:val="bottom"/>
            <w:tcBorders>
              <w:bottom w:val="single" w:sz="8" w:color="auto"/>
            </w:tcBorders>
          </w:tcPr>
          <w:p>
            <w:pPr>
              <w:jc w:val="right"/>
              <w:ind w:right="12"/>
              <w:spacing w:after="0"/>
              <w:rPr>
                <w:sz w:val="20"/>
                <w:szCs w:val="20"/>
                <w:color w:val="auto"/>
              </w:rPr>
            </w:pPr>
            <w:r>
              <w:rPr>
                <w:rFonts w:ascii="Arial" w:cs="Arial" w:eastAsia="Arial" w:hAnsi="Arial"/>
                <w:sz w:val="14"/>
                <w:szCs w:val="14"/>
                <w:b w:val="1"/>
                <w:bCs w:val="1"/>
                <w:color w:val="auto"/>
              </w:rPr>
              <w:t>%</w:t>
            </w:r>
          </w:p>
        </w:tc>
        <w:tc>
          <w:tcPr>
            <w:tcW w:w="44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center"/>
              <w:ind w:right="82"/>
              <w:spacing w:after="0"/>
              <w:rPr>
                <w:sz w:val="20"/>
                <w:szCs w:val="20"/>
                <w:color w:val="auto"/>
              </w:rPr>
            </w:pPr>
            <w:r>
              <w:rPr>
                <w:rFonts w:ascii="Arial" w:cs="Arial" w:eastAsia="Arial" w:hAnsi="Arial"/>
                <w:sz w:val="14"/>
                <w:szCs w:val="14"/>
                <w:b w:val="1"/>
                <w:bCs w:val="1"/>
                <w:color w:val="auto"/>
                <w:w w:val="83"/>
              </w:rPr>
              <w:t>2008</w:t>
            </w:r>
          </w:p>
        </w:tc>
        <w:tc>
          <w:tcPr>
            <w:tcW w:w="44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center"/>
              <w:ind w:right="62"/>
              <w:spacing w:after="0"/>
              <w:rPr>
                <w:sz w:val="20"/>
                <w:szCs w:val="20"/>
                <w:color w:val="auto"/>
              </w:rPr>
            </w:pPr>
            <w:r>
              <w:rPr>
                <w:rFonts w:ascii="Arial" w:cs="Arial" w:eastAsia="Arial" w:hAnsi="Arial"/>
                <w:sz w:val="14"/>
                <w:szCs w:val="14"/>
                <w:b w:val="1"/>
                <w:bCs w:val="1"/>
                <w:color w:val="auto"/>
                <w:w w:val="83"/>
              </w:rPr>
              <w:t>2009</w:t>
            </w:r>
          </w:p>
        </w:tc>
        <w:tc>
          <w:tcPr>
            <w:tcW w:w="3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jc w:val="right"/>
              <w:ind w:right="207"/>
              <w:spacing w:after="0"/>
              <w:rPr>
                <w:sz w:val="20"/>
                <w:szCs w:val="20"/>
                <w:color w:val="auto"/>
              </w:rPr>
            </w:pPr>
            <w:r>
              <w:rPr>
                <w:rFonts w:ascii="Arial" w:cs="Arial" w:eastAsia="Arial" w:hAnsi="Arial"/>
                <w:sz w:val="14"/>
                <w:szCs w:val="14"/>
                <w:b w:val="1"/>
                <w:bCs w:val="1"/>
                <w:color w:val="auto"/>
              </w:rPr>
              <w:t>$</w:t>
            </w:r>
          </w:p>
        </w:tc>
        <w:tc>
          <w:tcPr>
            <w:tcW w:w="440" w:type="dxa"/>
            <w:vAlign w:val="bottom"/>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46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center"/>
              <w:ind w:right="62"/>
              <w:spacing w:after="0"/>
              <w:rPr>
                <w:sz w:val="20"/>
                <w:szCs w:val="20"/>
                <w:color w:val="auto"/>
              </w:rPr>
            </w:pPr>
            <w:r>
              <w:rPr>
                <w:rFonts w:ascii="Arial" w:cs="Arial" w:eastAsia="Arial" w:hAnsi="Arial"/>
                <w:sz w:val="14"/>
                <w:szCs w:val="14"/>
                <w:b w:val="1"/>
                <w:bCs w:val="1"/>
                <w:color w:val="auto"/>
                <w:w w:val="83"/>
              </w:rPr>
              <w:t>2008</w:t>
            </w: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740" w:type="dxa"/>
            <w:vAlign w:val="bottom"/>
            <w:shd w:val="clear" w:color="auto" w:fill="CCEEFF"/>
          </w:tcPr>
          <w:p>
            <w:pPr>
              <w:spacing w:after="0"/>
              <w:rPr>
                <w:sz w:val="20"/>
                <w:szCs w:val="20"/>
                <w:color w:val="auto"/>
              </w:rPr>
            </w:pPr>
            <w:r>
              <w:rPr>
                <w:rFonts w:ascii="Arial" w:cs="Arial" w:eastAsia="Arial" w:hAnsi="Arial"/>
                <w:sz w:val="18"/>
                <w:szCs w:val="18"/>
                <w:color w:val="auto"/>
              </w:rPr>
              <w:t>General and administrative</w:t>
            </w:r>
          </w:p>
        </w:tc>
        <w:tc>
          <w:tcPr>
            <w:tcW w:w="720" w:type="dxa"/>
            <w:vAlign w:val="bottom"/>
            <w:gridSpan w:val="2"/>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51.1</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0.5</w:t>
            </w:r>
          </w:p>
        </w:tc>
        <w:tc>
          <w:tcPr>
            <w:tcW w:w="104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1%</w:t>
            </w:r>
          </w:p>
        </w:tc>
        <w:tc>
          <w:tcPr>
            <w:tcW w:w="160" w:type="dxa"/>
            <w:vAlign w:val="bottom"/>
            <w:shd w:val="clear" w:color="auto" w:fill="CCEEFF"/>
          </w:tcPr>
          <w:p>
            <w:pPr>
              <w:jc w:val="right"/>
              <w:ind w:right="9"/>
              <w:spacing w:after="0"/>
              <w:rPr>
                <w:sz w:val="20"/>
                <w:szCs w:val="20"/>
                <w:color w:val="auto"/>
              </w:rPr>
            </w:pPr>
            <w:r>
              <w:rPr>
                <w:rFonts w:ascii="Arial" w:cs="Arial" w:eastAsia="Arial" w:hAnsi="Arial"/>
                <w:sz w:val="15"/>
                <w:szCs w:val="15"/>
                <w:color w:val="auto"/>
                <w:w w:val="71"/>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50.6</w:t>
            </w:r>
          </w:p>
        </w:tc>
        <w:tc>
          <w:tcPr>
            <w:tcW w:w="44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150.6</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(5.8)</w:t>
            </w:r>
          </w:p>
        </w:tc>
        <w:tc>
          <w:tcPr>
            <w:tcW w:w="4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-4%</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156.4</w:t>
            </w:r>
          </w:p>
        </w:tc>
        <w:tc>
          <w:tcPr>
            <w:tcW w:w="0" w:type="dxa"/>
            <w:vAlign w:val="bottom"/>
          </w:tcPr>
          <w:p>
            <w:pPr>
              <w:spacing w:after="0"/>
              <w:rPr>
                <w:sz w:val="1"/>
                <w:szCs w:val="1"/>
                <w:color w:val="auto"/>
              </w:rPr>
            </w:pPr>
          </w:p>
        </w:tc>
      </w:tr>
      <w:tr>
        <w:trPr>
          <w:trHeight w:val="222"/>
        </w:trPr>
        <w:tc>
          <w:tcPr>
            <w:tcW w:w="2740" w:type="dxa"/>
            <w:vAlign w:val="bottom"/>
          </w:tcPr>
          <w:p>
            <w:pPr>
              <w:spacing w:after="0"/>
              <w:rPr>
                <w:sz w:val="20"/>
                <w:szCs w:val="20"/>
                <w:color w:val="auto"/>
              </w:rPr>
            </w:pPr>
            <w:r>
              <w:rPr>
                <w:rFonts w:ascii="Arial" w:cs="Arial" w:eastAsia="Arial" w:hAnsi="Arial"/>
                <w:sz w:val="18"/>
                <w:szCs w:val="18"/>
                <w:color w:val="auto"/>
              </w:rPr>
              <w:t>As a percentage of net revenue</w:t>
            </w:r>
          </w:p>
        </w:tc>
        <w:tc>
          <w:tcPr>
            <w:tcW w:w="5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80" w:type="dxa"/>
            <w:vAlign w:val="bottom"/>
            <w:gridSpan w:val="2"/>
          </w:tcPr>
          <w:p>
            <w:pPr>
              <w:jc w:val="right"/>
              <w:ind w:right="300"/>
              <w:spacing w:after="0"/>
              <w:rPr>
                <w:sz w:val="20"/>
                <w:szCs w:val="20"/>
                <w:color w:val="auto"/>
              </w:rPr>
            </w:pPr>
            <w:r>
              <w:rPr>
                <w:rFonts w:ascii="Arial" w:cs="Arial" w:eastAsia="Arial" w:hAnsi="Arial"/>
                <w:sz w:val="18"/>
                <w:szCs w:val="18"/>
                <w:color w:val="auto"/>
              </w:rPr>
              <w:t>12%</w:t>
            </w: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00" w:type="dxa"/>
            <w:vAlign w:val="bottom"/>
            <w:gridSpan w:val="2"/>
          </w:tcPr>
          <w:p>
            <w:pPr>
              <w:jc w:val="right"/>
              <w:ind w:right="300"/>
              <w:spacing w:after="0"/>
              <w:rPr>
                <w:sz w:val="20"/>
                <w:szCs w:val="20"/>
                <w:color w:val="auto"/>
              </w:rPr>
            </w:pPr>
            <w:r>
              <w:rPr>
                <w:rFonts w:ascii="Arial" w:cs="Arial" w:eastAsia="Arial" w:hAnsi="Arial"/>
                <w:sz w:val="18"/>
                <w:szCs w:val="18"/>
                <w:color w:val="auto"/>
              </w:rPr>
              <w:t>8%</w:t>
            </w:r>
          </w:p>
        </w:tc>
        <w:tc>
          <w:tcPr>
            <w:tcW w:w="140" w:type="dxa"/>
            <w:vAlign w:val="bottom"/>
          </w:tcPr>
          <w:p>
            <w:pPr>
              <w:spacing w:after="0"/>
              <w:rPr>
                <w:sz w:val="19"/>
                <w:szCs w:val="19"/>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8"/>
                <w:szCs w:val="18"/>
                <w:color w:val="auto"/>
              </w:rPr>
              <w:t>12%</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0" w:type="dxa"/>
            <w:vAlign w:val="bottom"/>
            <w:gridSpan w:val="2"/>
          </w:tcPr>
          <w:p>
            <w:pPr>
              <w:jc w:val="right"/>
              <w:ind w:right="60"/>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bl>
    <w:p>
      <w:pPr>
        <w:spacing w:after="0" w:line="147" w:lineRule="exact"/>
        <w:rPr>
          <w:sz w:val="20"/>
          <w:szCs w:val="20"/>
          <w:color w:val="auto"/>
        </w:rPr>
      </w:pPr>
    </w:p>
    <w:p>
      <w:pPr>
        <w:ind w:right="40" w:firstLine="456"/>
        <w:spacing w:after="0" w:line="288" w:lineRule="auto"/>
        <w:rPr>
          <w:sz w:val="20"/>
          <w:szCs w:val="20"/>
          <w:color w:val="auto"/>
        </w:rPr>
      </w:pPr>
      <w:r>
        <w:rPr>
          <w:rFonts w:ascii="Arial" w:cs="Arial" w:eastAsia="Arial" w:hAnsi="Arial"/>
          <w:sz w:val="16"/>
          <w:szCs w:val="16"/>
          <w:color w:val="auto"/>
        </w:rPr>
        <w:t>General and administrative expenses include salaries, benefits, bonuses and stock-based compensation expense for our finance, human resources and legal personnel, as well as professional fees for legal and accounting services, cost of supplies and equipment, amortization expense of customer relationships and trademarks acquired, and expense of communication. General and administrative expenses increased 1% during the three months ended October 31, 2009, as compared to the same period of the prior fiscal year, primarily due to the increase in stock-based compensation expense. This increase was partially offset by the decrease in employee-related costs associated with lower general and administrative headcount. General and administrative expenses decreased 4% during the nine months ended October 31, 2009, as compared to the same period of the prior fiscal year, primarily due to decreases in employee-related costs due to decreased general and administrative headcount. As compared to the fourth quarter of fiscal 2009, we expect that general and administrative expenses will remain relatively flat in absolute dollars during the fourth quarter of fiscal 2010. As a percentage of net revenue, we expect general and administrative expenses to be flat to slightly up during the fourth quarter of fiscal 2010 as compared to the same period of the prior fiscal year.</w:t>
      </w:r>
    </w:p>
    <w:p>
      <w:pPr>
        <w:spacing w:after="0" w:line="201"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Restructuring Charges</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9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280" w:type="dxa"/>
            <w:vAlign w:val="bottom"/>
            <w:gridSpan w:val="3"/>
          </w:tcPr>
          <w:p>
            <w:pPr>
              <w:jc w:val="center"/>
              <w:ind w:right="440"/>
              <w:spacing w:after="0"/>
              <w:rPr>
                <w:sz w:val="20"/>
                <w:szCs w:val="20"/>
                <w:color w:val="auto"/>
              </w:rPr>
            </w:pPr>
            <w:r>
              <w:rPr>
                <w:rFonts w:ascii="Arial" w:cs="Arial" w:eastAsia="Arial" w:hAnsi="Arial"/>
                <w:sz w:val="14"/>
                <w:szCs w:val="14"/>
                <w:b w:val="1"/>
                <w:bCs w:val="1"/>
                <w:color w:val="auto"/>
                <w:w w:val="86"/>
              </w:rPr>
              <w:t>Three months</w:t>
            </w:r>
          </w:p>
        </w:tc>
        <w:tc>
          <w:tcPr>
            <w:tcW w:w="80" w:type="dxa"/>
            <w:vAlign w:val="bottom"/>
          </w:tcPr>
          <w:p>
            <w:pPr>
              <w:spacing w:after="0"/>
              <w:rPr>
                <w:sz w:val="14"/>
                <w:szCs w:val="14"/>
                <w:color w:val="auto"/>
              </w:rPr>
            </w:pPr>
          </w:p>
        </w:tc>
        <w:tc>
          <w:tcPr>
            <w:tcW w:w="1340" w:type="dxa"/>
            <w:vAlign w:val="bottom"/>
            <w:gridSpan w:val="4"/>
            <w:vMerge w:val="restart"/>
          </w:tcPr>
          <w:p>
            <w:pPr>
              <w:jc w:val="center"/>
              <w:ind w:right="220"/>
              <w:spacing w:after="0"/>
              <w:rPr>
                <w:sz w:val="20"/>
                <w:szCs w:val="20"/>
                <w:color w:val="auto"/>
              </w:rPr>
            </w:pPr>
            <w:r>
              <w:rPr>
                <w:rFonts w:ascii="Arial" w:cs="Arial" w:eastAsia="Arial" w:hAnsi="Arial"/>
                <w:sz w:val="14"/>
                <w:szCs w:val="14"/>
                <w:b w:val="1"/>
                <w:bCs w:val="1"/>
                <w:color w:val="auto"/>
                <w:w w:val="84"/>
              </w:rPr>
              <w:t>Increase compared</w:t>
            </w:r>
          </w:p>
        </w:tc>
        <w:tc>
          <w:tcPr>
            <w:tcW w:w="140" w:type="dxa"/>
            <w:vAlign w:val="bottom"/>
          </w:tcPr>
          <w:p>
            <w:pPr>
              <w:spacing w:after="0"/>
              <w:rPr>
                <w:sz w:val="14"/>
                <w:szCs w:val="14"/>
                <w:color w:val="auto"/>
              </w:rPr>
            </w:pPr>
          </w:p>
        </w:tc>
        <w:tc>
          <w:tcPr>
            <w:tcW w:w="1260" w:type="dxa"/>
            <w:vAlign w:val="bottom"/>
            <w:gridSpan w:val="3"/>
          </w:tcPr>
          <w:p>
            <w:pPr>
              <w:jc w:val="center"/>
              <w:ind w:right="460"/>
              <w:spacing w:after="0"/>
              <w:rPr>
                <w:sz w:val="20"/>
                <w:szCs w:val="20"/>
                <w:color w:val="auto"/>
              </w:rPr>
            </w:pPr>
            <w:r>
              <w:rPr>
                <w:rFonts w:ascii="Arial" w:cs="Arial" w:eastAsia="Arial" w:hAnsi="Arial"/>
                <w:sz w:val="14"/>
                <w:szCs w:val="14"/>
                <w:b w:val="1"/>
                <w:bCs w:val="1"/>
                <w:color w:val="auto"/>
                <w:w w:val="86"/>
              </w:rPr>
              <w:t>Three months</w:t>
            </w:r>
          </w:p>
        </w:tc>
        <w:tc>
          <w:tcPr>
            <w:tcW w:w="1040" w:type="dxa"/>
            <w:vAlign w:val="bottom"/>
            <w:gridSpan w:val="3"/>
          </w:tcPr>
          <w:p>
            <w:pPr>
              <w:jc w:val="center"/>
              <w:ind w:right="300"/>
              <w:spacing w:after="0"/>
              <w:rPr>
                <w:sz w:val="20"/>
                <w:szCs w:val="20"/>
                <w:color w:val="auto"/>
              </w:rPr>
            </w:pPr>
            <w:r>
              <w:rPr>
                <w:rFonts w:ascii="Arial" w:cs="Arial" w:eastAsia="Arial" w:hAnsi="Arial"/>
                <w:sz w:val="14"/>
                <w:szCs w:val="14"/>
                <w:b w:val="1"/>
                <w:bCs w:val="1"/>
                <w:color w:val="auto"/>
                <w:w w:val="87"/>
              </w:rPr>
              <w:t>Nine months</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80" w:type="dxa"/>
            <w:vAlign w:val="bottom"/>
            <w:gridSpan w:val="4"/>
            <w:vMerge w:val="restart"/>
          </w:tcPr>
          <w:p>
            <w:pPr>
              <w:jc w:val="center"/>
              <w:ind w:right="2"/>
              <w:spacing w:after="0"/>
              <w:rPr>
                <w:sz w:val="20"/>
                <w:szCs w:val="20"/>
                <w:color w:val="auto"/>
              </w:rPr>
            </w:pPr>
            <w:r>
              <w:rPr>
                <w:rFonts w:ascii="Arial" w:cs="Arial" w:eastAsia="Arial" w:hAnsi="Arial"/>
                <w:sz w:val="14"/>
                <w:szCs w:val="14"/>
                <w:b w:val="1"/>
                <w:bCs w:val="1"/>
                <w:color w:val="auto"/>
                <w:w w:val="86"/>
              </w:rPr>
              <w:t>Increase compared</w:t>
            </w:r>
          </w:p>
        </w:tc>
        <w:tc>
          <w:tcPr>
            <w:tcW w:w="280" w:type="dxa"/>
            <w:vAlign w:val="bottom"/>
          </w:tcPr>
          <w:p>
            <w:pPr>
              <w:spacing w:after="0"/>
              <w:rPr>
                <w:sz w:val="14"/>
                <w:szCs w:val="14"/>
                <w:color w:val="auto"/>
              </w:rPr>
            </w:pPr>
          </w:p>
        </w:tc>
        <w:tc>
          <w:tcPr>
            <w:tcW w:w="940" w:type="dxa"/>
            <w:vAlign w:val="bottom"/>
            <w:gridSpan w:val="3"/>
          </w:tcPr>
          <w:p>
            <w:pPr>
              <w:jc w:val="center"/>
              <w:ind w:right="200"/>
              <w:spacing w:after="0"/>
              <w:rPr>
                <w:sz w:val="20"/>
                <w:szCs w:val="20"/>
                <w:color w:val="auto"/>
              </w:rPr>
            </w:pPr>
            <w:r>
              <w:rPr>
                <w:rFonts w:ascii="Arial" w:cs="Arial" w:eastAsia="Arial" w:hAnsi="Arial"/>
                <w:sz w:val="14"/>
                <w:szCs w:val="14"/>
                <w:b w:val="1"/>
                <w:bCs w:val="1"/>
                <w:color w:val="auto"/>
                <w:w w:val="87"/>
              </w:rPr>
              <w:t>Nine months</w:t>
            </w:r>
          </w:p>
        </w:tc>
        <w:tc>
          <w:tcPr>
            <w:tcW w:w="0" w:type="dxa"/>
            <w:vAlign w:val="bottom"/>
          </w:tcPr>
          <w:p>
            <w:pPr>
              <w:spacing w:after="0"/>
              <w:rPr>
                <w:sz w:val="1"/>
                <w:szCs w:val="1"/>
                <w:color w:val="auto"/>
              </w:rPr>
            </w:pPr>
          </w:p>
        </w:tc>
      </w:tr>
      <w:tr>
        <w:trPr>
          <w:trHeight w:val="81"/>
        </w:trPr>
        <w:tc>
          <w:tcPr>
            <w:tcW w:w="2900" w:type="dxa"/>
            <w:vAlign w:val="bottom"/>
          </w:tcPr>
          <w:p>
            <w:pPr>
              <w:spacing w:after="0"/>
              <w:rPr>
                <w:sz w:val="7"/>
                <w:szCs w:val="7"/>
                <w:color w:val="auto"/>
              </w:rPr>
            </w:pPr>
          </w:p>
        </w:tc>
        <w:tc>
          <w:tcPr>
            <w:tcW w:w="720" w:type="dxa"/>
            <w:vAlign w:val="bottom"/>
          </w:tcPr>
          <w:p>
            <w:pPr>
              <w:spacing w:after="0"/>
              <w:rPr>
                <w:sz w:val="7"/>
                <w:szCs w:val="7"/>
                <w:color w:val="auto"/>
              </w:rPr>
            </w:pPr>
          </w:p>
        </w:tc>
        <w:tc>
          <w:tcPr>
            <w:tcW w:w="160" w:type="dxa"/>
            <w:vAlign w:val="bottom"/>
          </w:tcPr>
          <w:p>
            <w:pPr>
              <w:spacing w:after="0"/>
              <w:rPr>
                <w:sz w:val="7"/>
                <w:szCs w:val="7"/>
                <w:color w:val="auto"/>
              </w:rPr>
            </w:pPr>
          </w:p>
        </w:tc>
        <w:tc>
          <w:tcPr>
            <w:tcW w:w="1120" w:type="dxa"/>
            <w:vAlign w:val="bottom"/>
            <w:gridSpan w:val="2"/>
            <w:vMerge w:val="restart"/>
          </w:tcPr>
          <w:p>
            <w:pPr>
              <w:jc w:val="center"/>
              <w:ind w:right="620"/>
              <w:spacing w:after="0" w:line="149" w:lineRule="exact"/>
              <w:rPr>
                <w:sz w:val="20"/>
                <w:szCs w:val="20"/>
                <w:color w:val="auto"/>
              </w:rPr>
            </w:pPr>
            <w:r>
              <w:rPr>
                <w:rFonts w:ascii="Arial" w:cs="Arial" w:eastAsia="Arial" w:hAnsi="Arial"/>
                <w:sz w:val="14"/>
                <w:szCs w:val="14"/>
                <w:b w:val="1"/>
                <w:bCs w:val="1"/>
                <w:color w:val="auto"/>
                <w:w w:val="82"/>
              </w:rPr>
              <w:t>ended</w:t>
            </w:r>
          </w:p>
        </w:tc>
        <w:tc>
          <w:tcPr>
            <w:tcW w:w="80" w:type="dxa"/>
            <w:vAlign w:val="bottom"/>
          </w:tcPr>
          <w:p>
            <w:pPr>
              <w:spacing w:after="0"/>
              <w:rPr>
                <w:sz w:val="7"/>
                <w:szCs w:val="7"/>
                <w:color w:val="auto"/>
              </w:rPr>
            </w:pPr>
          </w:p>
        </w:tc>
        <w:tc>
          <w:tcPr>
            <w:tcW w:w="1340" w:type="dxa"/>
            <w:vAlign w:val="bottom"/>
            <w:gridSpan w:val="4"/>
            <w:vMerge w:val="continue"/>
          </w:tcPr>
          <w:p>
            <w:pPr>
              <w:spacing w:after="0"/>
              <w:rPr>
                <w:sz w:val="7"/>
                <w:szCs w:val="7"/>
                <w:color w:val="auto"/>
              </w:rPr>
            </w:pPr>
          </w:p>
        </w:tc>
        <w:tc>
          <w:tcPr>
            <w:tcW w:w="140" w:type="dxa"/>
            <w:vAlign w:val="bottom"/>
          </w:tcPr>
          <w:p>
            <w:pPr>
              <w:spacing w:after="0"/>
              <w:rPr>
                <w:sz w:val="7"/>
                <w:szCs w:val="7"/>
                <w:color w:val="auto"/>
              </w:rPr>
            </w:pPr>
          </w:p>
        </w:tc>
        <w:tc>
          <w:tcPr>
            <w:tcW w:w="160" w:type="dxa"/>
            <w:vAlign w:val="bottom"/>
          </w:tcPr>
          <w:p>
            <w:pPr>
              <w:spacing w:after="0"/>
              <w:rPr>
                <w:sz w:val="7"/>
                <w:szCs w:val="7"/>
                <w:color w:val="auto"/>
              </w:rPr>
            </w:pPr>
          </w:p>
        </w:tc>
        <w:tc>
          <w:tcPr>
            <w:tcW w:w="1100" w:type="dxa"/>
            <w:vAlign w:val="bottom"/>
            <w:gridSpan w:val="2"/>
            <w:vMerge w:val="restart"/>
          </w:tcPr>
          <w:p>
            <w:pPr>
              <w:jc w:val="center"/>
              <w:ind w:right="640"/>
              <w:spacing w:after="0" w:line="149" w:lineRule="exact"/>
              <w:rPr>
                <w:sz w:val="20"/>
                <w:szCs w:val="20"/>
                <w:color w:val="auto"/>
              </w:rPr>
            </w:pPr>
            <w:r>
              <w:rPr>
                <w:rFonts w:ascii="Arial" w:cs="Arial" w:eastAsia="Arial" w:hAnsi="Arial"/>
                <w:sz w:val="14"/>
                <w:szCs w:val="14"/>
                <w:b w:val="1"/>
                <w:bCs w:val="1"/>
                <w:color w:val="auto"/>
                <w:w w:val="82"/>
              </w:rPr>
              <w:t>ended</w:t>
            </w:r>
          </w:p>
        </w:tc>
        <w:tc>
          <w:tcPr>
            <w:tcW w:w="140" w:type="dxa"/>
            <w:vAlign w:val="bottom"/>
          </w:tcPr>
          <w:p>
            <w:pPr>
              <w:spacing w:after="0"/>
              <w:rPr>
                <w:sz w:val="7"/>
                <w:szCs w:val="7"/>
                <w:color w:val="auto"/>
              </w:rPr>
            </w:pPr>
          </w:p>
        </w:tc>
        <w:tc>
          <w:tcPr>
            <w:tcW w:w="900" w:type="dxa"/>
            <w:vAlign w:val="bottom"/>
            <w:gridSpan w:val="2"/>
            <w:vMerge w:val="restart"/>
          </w:tcPr>
          <w:p>
            <w:pPr>
              <w:jc w:val="center"/>
              <w:ind w:right="440"/>
              <w:spacing w:after="0" w:line="149" w:lineRule="exact"/>
              <w:rPr>
                <w:sz w:val="20"/>
                <w:szCs w:val="20"/>
                <w:color w:val="auto"/>
              </w:rPr>
            </w:pPr>
            <w:r>
              <w:rPr>
                <w:rFonts w:ascii="Arial" w:cs="Arial" w:eastAsia="Arial" w:hAnsi="Arial"/>
                <w:sz w:val="14"/>
                <w:szCs w:val="14"/>
                <w:b w:val="1"/>
                <w:bCs w:val="1"/>
                <w:color w:val="auto"/>
                <w:w w:val="82"/>
              </w:rPr>
              <w:t>ended</w:t>
            </w:r>
          </w:p>
        </w:tc>
        <w:tc>
          <w:tcPr>
            <w:tcW w:w="160" w:type="dxa"/>
            <w:vAlign w:val="bottom"/>
          </w:tcPr>
          <w:p>
            <w:pPr>
              <w:spacing w:after="0"/>
              <w:rPr>
                <w:sz w:val="7"/>
                <w:szCs w:val="7"/>
                <w:color w:val="auto"/>
              </w:rPr>
            </w:pPr>
          </w:p>
        </w:tc>
        <w:tc>
          <w:tcPr>
            <w:tcW w:w="100" w:type="dxa"/>
            <w:vAlign w:val="bottom"/>
          </w:tcPr>
          <w:p>
            <w:pPr>
              <w:spacing w:after="0"/>
              <w:rPr>
                <w:sz w:val="7"/>
                <w:szCs w:val="7"/>
                <w:color w:val="auto"/>
              </w:rPr>
            </w:pPr>
          </w:p>
        </w:tc>
        <w:tc>
          <w:tcPr>
            <w:tcW w:w="1180" w:type="dxa"/>
            <w:vAlign w:val="bottom"/>
            <w:gridSpan w:val="4"/>
            <w:vMerge w:val="continue"/>
          </w:tcPr>
          <w:p>
            <w:pPr>
              <w:spacing w:after="0"/>
              <w:rPr>
                <w:sz w:val="7"/>
                <w:szCs w:val="7"/>
                <w:color w:val="auto"/>
              </w:rPr>
            </w:pPr>
          </w:p>
        </w:tc>
        <w:tc>
          <w:tcPr>
            <w:tcW w:w="280" w:type="dxa"/>
            <w:vAlign w:val="bottom"/>
          </w:tcPr>
          <w:p>
            <w:pPr>
              <w:spacing w:after="0"/>
              <w:rPr>
                <w:sz w:val="7"/>
                <w:szCs w:val="7"/>
                <w:color w:val="auto"/>
              </w:rPr>
            </w:pPr>
          </w:p>
        </w:tc>
        <w:tc>
          <w:tcPr>
            <w:tcW w:w="140" w:type="dxa"/>
            <w:vAlign w:val="bottom"/>
          </w:tcPr>
          <w:p>
            <w:pPr>
              <w:spacing w:after="0"/>
              <w:rPr>
                <w:sz w:val="7"/>
                <w:szCs w:val="7"/>
                <w:color w:val="auto"/>
              </w:rPr>
            </w:pPr>
          </w:p>
        </w:tc>
        <w:tc>
          <w:tcPr>
            <w:tcW w:w="800" w:type="dxa"/>
            <w:vAlign w:val="bottom"/>
            <w:gridSpan w:val="2"/>
            <w:vMerge w:val="restart"/>
          </w:tcPr>
          <w:p>
            <w:pPr>
              <w:jc w:val="center"/>
              <w:ind w:right="340"/>
              <w:spacing w:after="0" w:line="149" w:lineRule="exact"/>
              <w:rPr>
                <w:sz w:val="20"/>
                <w:szCs w:val="20"/>
                <w:color w:val="auto"/>
              </w:rPr>
            </w:pPr>
            <w:r>
              <w:rPr>
                <w:rFonts w:ascii="Arial" w:cs="Arial" w:eastAsia="Arial" w:hAnsi="Arial"/>
                <w:sz w:val="14"/>
                <w:szCs w:val="14"/>
                <w:b w:val="1"/>
                <w:bCs w:val="1"/>
                <w:color w:val="auto"/>
                <w:w w:val="82"/>
              </w:rPr>
              <w:t>ended</w:t>
            </w:r>
          </w:p>
        </w:tc>
        <w:tc>
          <w:tcPr>
            <w:tcW w:w="0" w:type="dxa"/>
            <w:vAlign w:val="bottom"/>
          </w:tcPr>
          <w:p>
            <w:pPr>
              <w:spacing w:after="0"/>
              <w:rPr>
                <w:sz w:val="1"/>
                <w:szCs w:val="1"/>
                <w:color w:val="auto"/>
              </w:rPr>
            </w:pPr>
          </w:p>
        </w:tc>
      </w:tr>
      <w:tr>
        <w:trPr>
          <w:trHeight w:val="68"/>
        </w:trPr>
        <w:tc>
          <w:tcPr>
            <w:tcW w:w="2900" w:type="dxa"/>
            <w:vAlign w:val="bottom"/>
          </w:tcPr>
          <w:p>
            <w:pPr>
              <w:spacing w:after="0"/>
              <w:rPr>
                <w:sz w:val="5"/>
                <w:szCs w:val="5"/>
                <w:color w:val="auto"/>
              </w:rPr>
            </w:pPr>
          </w:p>
        </w:tc>
        <w:tc>
          <w:tcPr>
            <w:tcW w:w="720" w:type="dxa"/>
            <w:vAlign w:val="bottom"/>
          </w:tcPr>
          <w:p>
            <w:pPr>
              <w:spacing w:after="0"/>
              <w:rPr>
                <w:sz w:val="5"/>
                <w:szCs w:val="5"/>
                <w:color w:val="auto"/>
              </w:rPr>
            </w:pPr>
          </w:p>
        </w:tc>
        <w:tc>
          <w:tcPr>
            <w:tcW w:w="160" w:type="dxa"/>
            <w:vAlign w:val="bottom"/>
          </w:tcPr>
          <w:p>
            <w:pPr>
              <w:spacing w:after="0"/>
              <w:rPr>
                <w:sz w:val="5"/>
                <w:szCs w:val="5"/>
                <w:color w:val="auto"/>
              </w:rPr>
            </w:pPr>
          </w:p>
        </w:tc>
        <w:tc>
          <w:tcPr>
            <w:tcW w:w="1120" w:type="dxa"/>
            <w:vAlign w:val="bottom"/>
            <w:gridSpan w:val="2"/>
            <w:vMerge w:val="continue"/>
          </w:tcPr>
          <w:p>
            <w:pPr>
              <w:spacing w:after="0"/>
              <w:rPr>
                <w:sz w:val="5"/>
                <w:szCs w:val="5"/>
                <w:color w:val="auto"/>
              </w:rPr>
            </w:pPr>
          </w:p>
        </w:tc>
        <w:tc>
          <w:tcPr>
            <w:tcW w:w="80" w:type="dxa"/>
            <w:vAlign w:val="bottom"/>
          </w:tcPr>
          <w:p>
            <w:pPr>
              <w:spacing w:after="0"/>
              <w:rPr>
                <w:sz w:val="5"/>
                <w:szCs w:val="5"/>
                <w:color w:val="auto"/>
              </w:rPr>
            </w:pPr>
          </w:p>
        </w:tc>
        <w:tc>
          <w:tcPr>
            <w:tcW w:w="1340" w:type="dxa"/>
            <w:vAlign w:val="bottom"/>
            <w:gridSpan w:val="4"/>
            <w:vMerge w:val="restart"/>
          </w:tcPr>
          <w:p>
            <w:pPr>
              <w:jc w:val="center"/>
              <w:ind w:right="220"/>
              <w:spacing w:after="0"/>
              <w:rPr>
                <w:sz w:val="20"/>
                <w:szCs w:val="20"/>
                <w:color w:val="auto"/>
              </w:rPr>
            </w:pPr>
            <w:r>
              <w:rPr>
                <w:rFonts w:ascii="Arial" w:cs="Arial" w:eastAsia="Arial" w:hAnsi="Arial"/>
                <w:sz w:val="14"/>
                <w:szCs w:val="14"/>
                <w:b w:val="1"/>
                <w:bCs w:val="1"/>
                <w:color w:val="auto"/>
                <w:w w:val="87"/>
              </w:rPr>
              <w:t>to prior period</w:t>
            </w:r>
          </w:p>
        </w:tc>
        <w:tc>
          <w:tcPr>
            <w:tcW w:w="140" w:type="dxa"/>
            <w:vAlign w:val="bottom"/>
          </w:tcPr>
          <w:p>
            <w:pPr>
              <w:spacing w:after="0"/>
              <w:rPr>
                <w:sz w:val="5"/>
                <w:szCs w:val="5"/>
                <w:color w:val="auto"/>
              </w:rPr>
            </w:pPr>
          </w:p>
        </w:tc>
        <w:tc>
          <w:tcPr>
            <w:tcW w:w="160" w:type="dxa"/>
            <w:vAlign w:val="bottom"/>
          </w:tcPr>
          <w:p>
            <w:pPr>
              <w:spacing w:after="0"/>
              <w:rPr>
                <w:sz w:val="5"/>
                <w:szCs w:val="5"/>
                <w:color w:val="auto"/>
              </w:rPr>
            </w:pPr>
          </w:p>
        </w:tc>
        <w:tc>
          <w:tcPr>
            <w:tcW w:w="1100" w:type="dxa"/>
            <w:vAlign w:val="bottom"/>
            <w:gridSpan w:val="2"/>
            <w:vMerge w:val="continue"/>
          </w:tcPr>
          <w:p>
            <w:pPr>
              <w:spacing w:after="0"/>
              <w:rPr>
                <w:sz w:val="5"/>
                <w:szCs w:val="5"/>
                <w:color w:val="auto"/>
              </w:rPr>
            </w:pPr>
          </w:p>
        </w:tc>
        <w:tc>
          <w:tcPr>
            <w:tcW w:w="140" w:type="dxa"/>
            <w:vAlign w:val="bottom"/>
          </w:tcPr>
          <w:p>
            <w:pPr>
              <w:spacing w:after="0"/>
              <w:rPr>
                <w:sz w:val="5"/>
                <w:szCs w:val="5"/>
                <w:color w:val="auto"/>
              </w:rPr>
            </w:pPr>
          </w:p>
        </w:tc>
        <w:tc>
          <w:tcPr>
            <w:tcW w:w="900" w:type="dxa"/>
            <w:vAlign w:val="bottom"/>
            <w:gridSpan w:val="2"/>
            <w:vMerge w:val="continue"/>
          </w:tcPr>
          <w:p>
            <w:pPr>
              <w:spacing w:after="0"/>
              <w:rPr>
                <w:sz w:val="5"/>
                <w:szCs w:val="5"/>
                <w:color w:val="auto"/>
              </w:rPr>
            </w:pPr>
          </w:p>
        </w:tc>
        <w:tc>
          <w:tcPr>
            <w:tcW w:w="160" w:type="dxa"/>
            <w:vAlign w:val="bottom"/>
          </w:tcPr>
          <w:p>
            <w:pPr>
              <w:spacing w:after="0"/>
              <w:rPr>
                <w:sz w:val="5"/>
                <w:szCs w:val="5"/>
                <w:color w:val="auto"/>
              </w:rPr>
            </w:pPr>
          </w:p>
        </w:tc>
        <w:tc>
          <w:tcPr>
            <w:tcW w:w="100" w:type="dxa"/>
            <w:vAlign w:val="bottom"/>
          </w:tcPr>
          <w:p>
            <w:pPr>
              <w:spacing w:after="0"/>
              <w:rPr>
                <w:sz w:val="5"/>
                <w:szCs w:val="5"/>
                <w:color w:val="auto"/>
              </w:rPr>
            </w:pPr>
          </w:p>
        </w:tc>
        <w:tc>
          <w:tcPr>
            <w:tcW w:w="980" w:type="dxa"/>
            <w:vAlign w:val="bottom"/>
            <w:gridSpan w:val="3"/>
            <w:vMerge w:val="restart"/>
          </w:tcPr>
          <w:p>
            <w:pPr>
              <w:jc w:val="center"/>
              <w:ind w:left="47"/>
              <w:spacing w:after="0"/>
              <w:rPr>
                <w:sz w:val="20"/>
                <w:szCs w:val="20"/>
                <w:color w:val="auto"/>
              </w:rPr>
            </w:pPr>
            <w:r>
              <w:rPr>
                <w:rFonts w:ascii="Arial" w:cs="Arial" w:eastAsia="Arial" w:hAnsi="Arial"/>
                <w:sz w:val="14"/>
                <w:szCs w:val="14"/>
                <w:b w:val="1"/>
                <w:bCs w:val="1"/>
                <w:color w:val="auto"/>
                <w:w w:val="89"/>
              </w:rPr>
              <w:t>to prior period</w:t>
            </w:r>
          </w:p>
        </w:tc>
        <w:tc>
          <w:tcPr>
            <w:tcW w:w="200" w:type="dxa"/>
            <w:vAlign w:val="bottom"/>
          </w:tcPr>
          <w:p>
            <w:pPr>
              <w:spacing w:after="0"/>
              <w:rPr>
                <w:sz w:val="5"/>
                <w:szCs w:val="5"/>
                <w:color w:val="auto"/>
              </w:rPr>
            </w:pPr>
          </w:p>
        </w:tc>
        <w:tc>
          <w:tcPr>
            <w:tcW w:w="280" w:type="dxa"/>
            <w:vAlign w:val="bottom"/>
          </w:tcPr>
          <w:p>
            <w:pPr>
              <w:spacing w:after="0"/>
              <w:rPr>
                <w:sz w:val="5"/>
                <w:szCs w:val="5"/>
                <w:color w:val="auto"/>
              </w:rPr>
            </w:pPr>
          </w:p>
        </w:tc>
        <w:tc>
          <w:tcPr>
            <w:tcW w:w="140" w:type="dxa"/>
            <w:vAlign w:val="bottom"/>
          </w:tcPr>
          <w:p>
            <w:pPr>
              <w:spacing w:after="0"/>
              <w:rPr>
                <w:sz w:val="5"/>
                <w:szCs w:val="5"/>
                <w:color w:val="auto"/>
              </w:rPr>
            </w:pPr>
          </w:p>
        </w:tc>
        <w:tc>
          <w:tcPr>
            <w:tcW w:w="800" w:type="dxa"/>
            <w:vAlign w:val="bottom"/>
            <w:gridSpan w:val="2"/>
            <w:vMerge w:val="continue"/>
          </w:tcPr>
          <w:p>
            <w:pPr>
              <w:spacing w:after="0"/>
              <w:rPr>
                <w:sz w:val="5"/>
                <w:szCs w:val="5"/>
                <w:color w:val="auto"/>
              </w:rPr>
            </w:pPr>
          </w:p>
        </w:tc>
        <w:tc>
          <w:tcPr>
            <w:tcW w:w="0" w:type="dxa"/>
            <w:vAlign w:val="bottom"/>
          </w:tcPr>
          <w:p>
            <w:pPr>
              <w:spacing w:after="0"/>
              <w:rPr>
                <w:sz w:val="1"/>
                <w:szCs w:val="1"/>
                <w:color w:val="auto"/>
              </w:rPr>
            </w:pPr>
          </w:p>
        </w:tc>
      </w:tr>
      <w:tr>
        <w:trPr>
          <w:trHeight w:val="94"/>
        </w:trPr>
        <w:tc>
          <w:tcPr>
            <w:tcW w:w="2900" w:type="dxa"/>
            <w:vAlign w:val="bottom"/>
          </w:tcPr>
          <w:p>
            <w:pPr>
              <w:spacing w:after="0"/>
              <w:rPr>
                <w:sz w:val="8"/>
                <w:szCs w:val="8"/>
                <w:color w:val="auto"/>
              </w:rPr>
            </w:pPr>
          </w:p>
        </w:tc>
        <w:tc>
          <w:tcPr>
            <w:tcW w:w="720" w:type="dxa"/>
            <w:vAlign w:val="bottom"/>
          </w:tcPr>
          <w:p>
            <w:pPr>
              <w:spacing w:after="0"/>
              <w:rPr>
                <w:sz w:val="8"/>
                <w:szCs w:val="8"/>
                <w:color w:val="auto"/>
              </w:rPr>
            </w:pPr>
          </w:p>
        </w:tc>
        <w:tc>
          <w:tcPr>
            <w:tcW w:w="1280" w:type="dxa"/>
            <w:vAlign w:val="bottom"/>
            <w:gridSpan w:val="3"/>
            <w:vMerge w:val="restart"/>
          </w:tcPr>
          <w:p>
            <w:pPr>
              <w:jc w:val="center"/>
              <w:ind w:right="460"/>
              <w:spacing w:after="0" w:line="149" w:lineRule="exact"/>
              <w:rPr>
                <w:sz w:val="20"/>
                <w:szCs w:val="20"/>
                <w:color w:val="auto"/>
              </w:rPr>
            </w:pPr>
            <w:r>
              <w:rPr>
                <w:rFonts w:ascii="Arial" w:cs="Arial" w:eastAsia="Arial" w:hAnsi="Arial"/>
                <w:sz w:val="14"/>
                <w:szCs w:val="14"/>
                <w:b w:val="1"/>
                <w:bCs w:val="1"/>
                <w:color w:val="auto"/>
                <w:w w:val="85"/>
              </w:rPr>
              <w:t>October 31,</w:t>
            </w:r>
          </w:p>
        </w:tc>
        <w:tc>
          <w:tcPr>
            <w:tcW w:w="80" w:type="dxa"/>
            <w:vAlign w:val="bottom"/>
          </w:tcPr>
          <w:p>
            <w:pPr>
              <w:spacing w:after="0"/>
              <w:rPr>
                <w:sz w:val="8"/>
                <w:szCs w:val="8"/>
                <w:color w:val="auto"/>
              </w:rPr>
            </w:pPr>
          </w:p>
        </w:tc>
        <w:tc>
          <w:tcPr>
            <w:tcW w:w="1340" w:type="dxa"/>
            <w:vAlign w:val="bottom"/>
            <w:gridSpan w:val="4"/>
            <w:vMerge w:val="continue"/>
          </w:tcPr>
          <w:p>
            <w:pPr>
              <w:spacing w:after="0"/>
              <w:rPr>
                <w:sz w:val="8"/>
                <w:szCs w:val="8"/>
                <w:color w:val="auto"/>
              </w:rPr>
            </w:pPr>
          </w:p>
        </w:tc>
        <w:tc>
          <w:tcPr>
            <w:tcW w:w="140" w:type="dxa"/>
            <w:vAlign w:val="bottom"/>
          </w:tcPr>
          <w:p>
            <w:pPr>
              <w:spacing w:after="0"/>
              <w:rPr>
                <w:sz w:val="8"/>
                <w:szCs w:val="8"/>
                <w:color w:val="auto"/>
              </w:rPr>
            </w:pPr>
          </w:p>
        </w:tc>
        <w:tc>
          <w:tcPr>
            <w:tcW w:w="1260" w:type="dxa"/>
            <w:vAlign w:val="bottom"/>
            <w:gridSpan w:val="3"/>
            <w:vMerge w:val="restart"/>
          </w:tcPr>
          <w:p>
            <w:pPr>
              <w:jc w:val="center"/>
              <w:ind w:right="460"/>
              <w:spacing w:after="0" w:line="149" w:lineRule="exact"/>
              <w:rPr>
                <w:sz w:val="20"/>
                <w:szCs w:val="20"/>
                <w:color w:val="auto"/>
              </w:rPr>
            </w:pPr>
            <w:r>
              <w:rPr>
                <w:rFonts w:ascii="Arial" w:cs="Arial" w:eastAsia="Arial" w:hAnsi="Arial"/>
                <w:sz w:val="14"/>
                <w:szCs w:val="14"/>
                <w:b w:val="1"/>
                <w:bCs w:val="1"/>
                <w:color w:val="auto"/>
                <w:w w:val="88"/>
              </w:rPr>
              <w:t>October 31,</w:t>
            </w:r>
          </w:p>
        </w:tc>
        <w:tc>
          <w:tcPr>
            <w:tcW w:w="1040" w:type="dxa"/>
            <w:vAlign w:val="bottom"/>
            <w:gridSpan w:val="3"/>
            <w:vMerge w:val="restart"/>
          </w:tcPr>
          <w:p>
            <w:pPr>
              <w:jc w:val="center"/>
              <w:ind w:right="300"/>
              <w:spacing w:after="0" w:line="149" w:lineRule="exact"/>
              <w:rPr>
                <w:sz w:val="20"/>
                <w:szCs w:val="20"/>
                <w:color w:val="auto"/>
              </w:rPr>
            </w:pPr>
            <w:r>
              <w:rPr>
                <w:rFonts w:ascii="Arial" w:cs="Arial" w:eastAsia="Arial" w:hAnsi="Arial"/>
                <w:sz w:val="14"/>
                <w:szCs w:val="14"/>
                <w:b w:val="1"/>
                <w:bCs w:val="1"/>
                <w:color w:val="auto"/>
                <w:w w:val="85"/>
              </w:rPr>
              <w:t>October 31,</w:t>
            </w:r>
          </w:p>
        </w:tc>
        <w:tc>
          <w:tcPr>
            <w:tcW w:w="160" w:type="dxa"/>
            <w:vAlign w:val="bottom"/>
          </w:tcPr>
          <w:p>
            <w:pPr>
              <w:spacing w:after="0"/>
              <w:rPr>
                <w:sz w:val="8"/>
                <w:szCs w:val="8"/>
                <w:color w:val="auto"/>
              </w:rPr>
            </w:pPr>
          </w:p>
        </w:tc>
        <w:tc>
          <w:tcPr>
            <w:tcW w:w="100" w:type="dxa"/>
            <w:vAlign w:val="bottom"/>
          </w:tcPr>
          <w:p>
            <w:pPr>
              <w:spacing w:after="0"/>
              <w:rPr>
                <w:sz w:val="8"/>
                <w:szCs w:val="8"/>
                <w:color w:val="auto"/>
              </w:rPr>
            </w:pPr>
          </w:p>
        </w:tc>
        <w:tc>
          <w:tcPr>
            <w:tcW w:w="980" w:type="dxa"/>
            <w:vAlign w:val="bottom"/>
            <w:gridSpan w:val="3"/>
            <w:vMerge w:val="continue"/>
          </w:tcPr>
          <w:p>
            <w:pPr>
              <w:spacing w:after="0"/>
              <w:rPr>
                <w:sz w:val="8"/>
                <w:szCs w:val="8"/>
                <w:color w:val="auto"/>
              </w:rPr>
            </w:pPr>
          </w:p>
        </w:tc>
        <w:tc>
          <w:tcPr>
            <w:tcW w:w="200" w:type="dxa"/>
            <w:vAlign w:val="bottom"/>
          </w:tcPr>
          <w:p>
            <w:pPr>
              <w:spacing w:after="0"/>
              <w:rPr>
                <w:sz w:val="8"/>
                <w:szCs w:val="8"/>
                <w:color w:val="auto"/>
              </w:rPr>
            </w:pPr>
          </w:p>
        </w:tc>
        <w:tc>
          <w:tcPr>
            <w:tcW w:w="280" w:type="dxa"/>
            <w:vAlign w:val="bottom"/>
          </w:tcPr>
          <w:p>
            <w:pPr>
              <w:spacing w:after="0"/>
              <w:rPr>
                <w:sz w:val="8"/>
                <w:szCs w:val="8"/>
                <w:color w:val="auto"/>
              </w:rPr>
            </w:pPr>
          </w:p>
        </w:tc>
        <w:tc>
          <w:tcPr>
            <w:tcW w:w="940" w:type="dxa"/>
            <w:vAlign w:val="bottom"/>
            <w:gridSpan w:val="3"/>
            <w:vMerge w:val="restart"/>
          </w:tcPr>
          <w:p>
            <w:pPr>
              <w:jc w:val="center"/>
              <w:ind w:right="220"/>
              <w:spacing w:after="0" w:line="149" w:lineRule="exact"/>
              <w:rPr>
                <w:sz w:val="20"/>
                <w:szCs w:val="20"/>
                <w:color w:val="auto"/>
              </w:rPr>
            </w:pPr>
            <w:r>
              <w:rPr>
                <w:rFonts w:ascii="Arial" w:cs="Arial" w:eastAsia="Arial" w:hAnsi="Arial"/>
                <w:sz w:val="14"/>
                <w:szCs w:val="14"/>
                <w:b w:val="1"/>
                <w:bCs w:val="1"/>
                <w:color w:val="auto"/>
                <w:w w:val="88"/>
              </w:rPr>
              <w:t>October 31,</w:t>
            </w:r>
          </w:p>
        </w:tc>
        <w:tc>
          <w:tcPr>
            <w:tcW w:w="0" w:type="dxa"/>
            <w:vAlign w:val="bottom"/>
          </w:tcPr>
          <w:p>
            <w:pPr>
              <w:spacing w:after="0"/>
              <w:rPr>
                <w:sz w:val="1"/>
                <w:szCs w:val="1"/>
                <w:color w:val="auto"/>
              </w:rPr>
            </w:pPr>
          </w:p>
        </w:tc>
      </w:tr>
      <w:tr>
        <w:trPr>
          <w:trHeight w:val="35"/>
        </w:trPr>
        <w:tc>
          <w:tcPr>
            <w:tcW w:w="2900" w:type="dxa"/>
            <w:vAlign w:val="bottom"/>
          </w:tcPr>
          <w:p>
            <w:pPr>
              <w:spacing w:after="0"/>
              <w:rPr>
                <w:sz w:val="3"/>
                <w:szCs w:val="3"/>
                <w:color w:val="auto"/>
              </w:rPr>
            </w:pPr>
          </w:p>
        </w:tc>
        <w:tc>
          <w:tcPr>
            <w:tcW w:w="720" w:type="dxa"/>
            <w:vAlign w:val="bottom"/>
          </w:tcPr>
          <w:p>
            <w:pPr>
              <w:spacing w:after="0"/>
              <w:rPr>
                <w:sz w:val="3"/>
                <w:szCs w:val="3"/>
                <w:color w:val="auto"/>
              </w:rPr>
            </w:pPr>
          </w:p>
        </w:tc>
        <w:tc>
          <w:tcPr>
            <w:tcW w:w="1280" w:type="dxa"/>
            <w:vAlign w:val="bottom"/>
            <w:gridSpan w:val="3"/>
            <w:vMerge w:val="continue"/>
          </w:tcPr>
          <w:p>
            <w:pPr>
              <w:spacing w:after="0"/>
              <w:rPr>
                <w:sz w:val="3"/>
                <w:szCs w:val="3"/>
                <w:color w:val="auto"/>
              </w:rPr>
            </w:pPr>
          </w:p>
        </w:tc>
        <w:tc>
          <w:tcPr>
            <w:tcW w:w="80" w:type="dxa"/>
            <w:vAlign w:val="bottom"/>
            <w:tcBorders>
              <w:top w:val="single" w:sz="8" w:color="auto"/>
            </w:tcBorders>
          </w:tcPr>
          <w:p>
            <w:pPr>
              <w:spacing w:after="0"/>
              <w:rPr>
                <w:sz w:val="3"/>
                <w:szCs w:val="3"/>
                <w:color w:val="auto"/>
              </w:rPr>
            </w:pPr>
          </w:p>
        </w:tc>
        <w:tc>
          <w:tcPr>
            <w:tcW w:w="600" w:type="dxa"/>
            <w:vAlign w:val="bottom"/>
            <w:tcBorders>
              <w:top w:val="single" w:sz="8" w:color="auto"/>
            </w:tcBorders>
          </w:tcPr>
          <w:p>
            <w:pPr>
              <w:spacing w:after="0"/>
              <w:rPr>
                <w:sz w:val="3"/>
                <w:szCs w:val="3"/>
                <w:color w:val="auto"/>
              </w:rPr>
            </w:pPr>
          </w:p>
        </w:tc>
        <w:tc>
          <w:tcPr>
            <w:tcW w:w="300" w:type="dxa"/>
            <w:vAlign w:val="bottom"/>
            <w:tcBorders>
              <w:top w:val="single" w:sz="8" w:color="auto"/>
            </w:tcBorders>
          </w:tcPr>
          <w:p>
            <w:pPr>
              <w:spacing w:after="0"/>
              <w:rPr>
                <w:sz w:val="3"/>
                <w:szCs w:val="3"/>
                <w:color w:val="auto"/>
              </w:rPr>
            </w:pPr>
          </w:p>
        </w:tc>
        <w:tc>
          <w:tcPr>
            <w:tcW w:w="300" w:type="dxa"/>
            <w:vAlign w:val="bottom"/>
            <w:tcBorders>
              <w:top w:val="single" w:sz="8" w:color="auto"/>
            </w:tcBorders>
          </w:tcPr>
          <w:p>
            <w:pPr>
              <w:spacing w:after="0"/>
              <w:rPr>
                <w:sz w:val="3"/>
                <w:szCs w:val="3"/>
                <w:color w:val="auto"/>
              </w:rPr>
            </w:pPr>
          </w:p>
        </w:tc>
        <w:tc>
          <w:tcPr>
            <w:tcW w:w="1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260" w:type="dxa"/>
            <w:vAlign w:val="bottom"/>
            <w:gridSpan w:val="3"/>
            <w:vMerge w:val="continue"/>
          </w:tcPr>
          <w:p>
            <w:pPr>
              <w:spacing w:after="0"/>
              <w:rPr>
                <w:sz w:val="3"/>
                <w:szCs w:val="3"/>
                <w:color w:val="auto"/>
              </w:rPr>
            </w:pPr>
          </w:p>
        </w:tc>
        <w:tc>
          <w:tcPr>
            <w:tcW w:w="1040" w:type="dxa"/>
            <w:vAlign w:val="bottom"/>
            <w:gridSpan w:val="3"/>
            <w:vMerge w:val="continue"/>
          </w:tcPr>
          <w:p>
            <w:pPr>
              <w:spacing w:after="0"/>
              <w:rPr>
                <w:sz w:val="3"/>
                <w:szCs w:val="3"/>
                <w:color w:val="auto"/>
              </w:rPr>
            </w:pPr>
          </w:p>
        </w:tc>
        <w:tc>
          <w:tcPr>
            <w:tcW w:w="160" w:type="dxa"/>
            <w:vAlign w:val="bottom"/>
          </w:tcPr>
          <w:p>
            <w:pPr>
              <w:spacing w:after="0"/>
              <w:rPr>
                <w:sz w:val="3"/>
                <w:szCs w:val="3"/>
                <w:color w:val="auto"/>
              </w:rPr>
            </w:pPr>
          </w:p>
        </w:tc>
        <w:tc>
          <w:tcPr>
            <w:tcW w:w="100" w:type="dxa"/>
            <w:vAlign w:val="bottom"/>
            <w:tcBorders>
              <w:top w:val="single" w:sz="8" w:color="auto"/>
            </w:tcBorders>
          </w:tcPr>
          <w:p>
            <w:pPr>
              <w:spacing w:after="0"/>
              <w:rPr>
                <w:sz w:val="3"/>
                <w:szCs w:val="3"/>
                <w:color w:val="auto"/>
              </w:rPr>
            </w:pPr>
          </w:p>
        </w:tc>
        <w:tc>
          <w:tcPr>
            <w:tcW w:w="640" w:type="dxa"/>
            <w:vAlign w:val="bottom"/>
            <w:tcBorders>
              <w:top w:val="single" w:sz="8" w:color="auto"/>
            </w:tcBorders>
          </w:tcPr>
          <w:p>
            <w:pPr>
              <w:spacing w:after="0"/>
              <w:rPr>
                <w:sz w:val="3"/>
                <w:szCs w:val="3"/>
                <w:color w:val="auto"/>
              </w:rPr>
            </w:pPr>
          </w:p>
        </w:tc>
        <w:tc>
          <w:tcPr>
            <w:tcW w:w="280" w:type="dxa"/>
            <w:vAlign w:val="bottom"/>
            <w:tcBorders>
              <w:top w:val="single" w:sz="8" w:color="auto"/>
            </w:tcBorders>
          </w:tcPr>
          <w:p>
            <w:pPr>
              <w:spacing w:after="0"/>
              <w:rPr>
                <w:sz w:val="3"/>
                <w:szCs w:val="3"/>
                <w:color w:val="auto"/>
              </w:rPr>
            </w:pPr>
          </w:p>
        </w:tc>
        <w:tc>
          <w:tcPr>
            <w:tcW w:w="60" w:type="dxa"/>
            <w:vAlign w:val="bottom"/>
            <w:tcBorders>
              <w:top w:val="single" w:sz="8" w:color="auto"/>
            </w:tcBorders>
          </w:tcPr>
          <w:p>
            <w:pPr>
              <w:spacing w:after="0"/>
              <w:rPr>
                <w:sz w:val="3"/>
                <w:szCs w:val="3"/>
                <w:color w:val="auto"/>
              </w:rPr>
            </w:pPr>
          </w:p>
        </w:tc>
        <w:tc>
          <w:tcPr>
            <w:tcW w:w="200" w:type="dxa"/>
            <w:vAlign w:val="bottom"/>
            <w:tcBorders>
              <w:top w:val="single" w:sz="8" w:color="auto"/>
            </w:tcBorders>
          </w:tcPr>
          <w:p>
            <w:pPr>
              <w:spacing w:after="0"/>
              <w:rPr>
                <w:sz w:val="3"/>
                <w:szCs w:val="3"/>
                <w:color w:val="auto"/>
              </w:rPr>
            </w:pPr>
          </w:p>
        </w:tc>
        <w:tc>
          <w:tcPr>
            <w:tcW w:w="280" w:type="dxa"/>
            <w:vAlign w:val="bottom"/>
          </w:tcPr>
          <w:p>
            <w:pPr>
              <w:spacing w:after="0"/>
              <w:rPr>
                <w:sz w:val="3"/>
                <w:szCs w:val="3"/>
                <w:color w:val="auto"/>
              </w:rPr>
            </w:pPr>
          </w:p>
        </w:tc>
        <w:tc>
          <w:tcPr>
            <w:tcW w:w="94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61"/>
        </w:trPr>
        <w:tc>
          <w:tcPr>
            <w:tcW w:w="2900" w:type="dxa"/>
            <w:vAlign w:val="bottom"/>
          </w:tcPr>
          <w:p>
            <w:pPr>
              <w:spacing w:after="0"/>
              <w:rPr>
                <w:sz w:val="20"/>
                <w:szCs w:val="20"/>
                <w:color w:val="auto"/>
              </w:rPr>
            </w:pPr>
            <w:r>
              <w:rPr>
                <w:rFonts w:ascii="Arial" w:cs="Arial" w:eastAsia="Arial" w:hAnsi="Arial"/>
                <w:sz w:val="14"/>
                <w:szCs w:val="14"/>
                <w:i w:val="1"/>
                <w:iCs w:val="1"/>
                <w:color w:val="auto"/>
              </w:rPr>
              <w:t>(in millions)</w:t>
            </w:r>
          </w:p>
        </w:tc>
        <w:tc>
          <w:tcPr>
            <w:tcW w:w="72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center"/>
              <w:ind w:right="82"/>
              <w:spacing w:after="0"/>
              <w:rPr>
                <w:sz w:val="20"/>
                <w:szCs w:val="20"/>
                <w:color w:val="auto"/>
              </w:rPr>
            </w:pPr>
            <w:r>
              <w:rPr>
                <w:rFonts w:ascii="Arial" w:cs="Arial" w:eastAsia="Arial" w:hAnsi="Arial"/>
                <w:sz w:val="14"/>
                <w:szCs w:val="14"/>
                <w:b w:val="1"/>
                <w:bCs w:val="1"/>
                <w:color w:val="auto"/>
                <w:w w:val="83"/>
              </w:rPr>
              <w:t>2009</w:t>
            </w:r>
          </w:p>
        </w:tc>
        <w:tc>
          <w:tcPr>
            <w:tcW w:w="46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ind w:right="247"/>
              <w:spacing w:after="0"/>
              <w:rPr>
                <w:sz w:val="20"/>
                <w:szCs w:val="20"/>
                <w:color w:val="auto"/>
              </w:rPr>
            </w:pPr>
            <w:r>
              <w:rPr>
                <w:rFonts w:ascii="Arial" w:cs="Arial" w:eastAsia="Arial" w:hAnsi="Arial"/>
                <w:sz w:val="14"/>
                <w:szCs w:val="14"/>
                <w:b w:val="1"/>
                <w:bCs w:val="1"/>
                <w:color w:val="auto"/>
              </w:rPr>
              <w:t>$</w:t>
            </w:r>
          </w:p>
        </w:tc>
        <w:tc>
          <w:tcPr>
            <w:tcW w:w="300" w:type="dxa"/>
            <w:vAlign w:val="bottom"/>
          </w:tcPr>
          <w:p>
            <w:pPr>
              <w:spacing w:after="0"/>
              <w:rPr>
                <w:sz w:val="14"/>
                <w:szCs w:val="14"/>
                <w:color w:val="auto"/>
              </w:rPr>
            </w:pPr>
          </w:p>
        </w:tc>
        <w:tc>
          <w:tcPr>
            <w:tcW w:w="300" w:type="dxa"/>
            <w:vAlign w:val="bottom"/>
            <w:tcBorders>
              <w:bottom w:val="single" w:sz="8" w:color="auto"/>
            </w:tcBorders>
          </w:tcPr>
          <w:p>
            <w:pPr>
              <w:jc w:val="right"/>
              <w:ind w:right="2"/>
              <w:spacing w:after="0"/>
              <w:rPr>
                <w:sz w:val="20"/>
                <w:szCs w:val="20"/>
                <w:color w:val="auto"/>
              </w:rPr>
            </w:pPr>
            <w:r>
              <w:rPr>
                <w:rFonts w:ascii="Arial" w:cs="Arial" w:eastAsia="Arial" w:hAnsi="Arial"/>
                <w:sz w:val="14"/>
                <w:szCs w:val="14"/>
                <w:b w:val="1"/>
                <w:bCs w:val="1"/>
                <w:color w:val="auto"/>
              </w:rPr>
              <w:t>%</w:t>
            </w: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center"/>
              <w:ind w:right="82"/>
              <w:spacing w:after="0"/>
              <w:rPr>
                <w:sz w:val="20"/>
                <w:szCs w:val="20"/>
                <w:color w:val="auto"/>
              </w:rPr>
            </w:pPr>
            <w:r>
              <w:rPr>
                <w:rFonts w:ascii="Arial" w:cs="Arial" w:eastAsia="Arial" w:hAnsi="Arial"/>
                <w:sz w:val="14"/>
                <w:szCs w:val="14"/>
                <w:b w:val="1"/>
                <w:bCs w:val="1"/>
                <w:color w:val="auto"/>
                <w:w w:val="89"/>
              </w:rPr>
              <w:t>2008</w:t>
            </w:r>
          </w:p>
        </w:tc>
        <w:tc>
          <w:tcPr>
            <w:tcW w:w="46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center"/>
              <w:ind w:right="62"/>
              <w:spacing w:after="0"/>
              <w:rPr>
                <w:sz w:val="20"/>
                <w:szCs w:val="20"/>
                <w:color w:val="auto"/>
              </w:rPr>
            </w:pPr>
            <w:r>
              <w:rPr>
                <w:rFonts w:ascii="Arial" w:cs="Arial" w:eastAsia="Arial" w:hAnsi="Arial"/>
                <w:sz w:val="14"/>
                <w:szCs w:val="14"/>
                <w:b w:val="1"/>
                <w:bCs w:val="1"/>
                <w:color w:val="auto"/>
                <w:w w:val="83"/>
              </w:rPr>
              <w:t>2009</w:t>
            </w:r>
          </w:p>
        </w:tc>
        <w:tc>
          <w:tcPr>
            <w:tcW w:w="3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267"/>
              <w:spacing w:after="0"/>
              <w:rPr>
                <w:sz w:val="20"/>
                <w:szCs w:val="20"/>
                <w:color w:val="auto"/>
              </w:rPr>
            </w:pPr>
            <w:r>
              <w:rPr>
                <w:rFonts w:ascii="Arial" w:cs="Arial" w:eastAsia="Arial" w:hAnsi="Arial"/>
                <w:sz w:val="14"/>
                <w:szCs w:val="14"/>
                <w:b w:val="1"/>
                <w:bCs w:val="1"/>
                <w:color w:val="auto"/>
              </w:rPr>
              <w:t>$</w:t>
            </w:r>
          </w:p>
        </w:tc>
        <w:tc>
          <w:tcPr>
            <w:tcW w:w="280" w:type="dxa"/>
            <w:vAlign w:val="bottom"/>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96"/>
              </w:rPr>
              <w:t>%</w:t>
            </w:r>
          </w:p>
        </w:tc>
        <w:tc>
          <w:tcPr>
            <w:tcW w:w="28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center"/>
              <w:ind w:right="62"/>
              <w:spacing w:after="0"/>
              <w:rPr>
                <w:sz w:val="20"/>
                <w:szCs w:val="20"/>
                <w:color w:val="auto"/>
              </w:rPr>
            </w:pPr>
            <w:r>
              <w:rPr>
                <w:rFonts w:ascii="Arial" w:cs="Arial" w:eastAsia="Arial" w:hAnsi="Arial"/>
                <w:sz w:val="14"/>
                <w:szCs w:val="14"/>
                <w:b w:val="1"/>
                <w:bCs w:val="1"/>
                <w:color w:val="auto"/>
                <w:w w:val="83"/>
              </w:rPr>
              <w:t>2008</w:t>
            </w: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900" w:type="dxa"/>
            <w:vAlign w:val="bottom"/>
            <w:shd w:val="clear" w:color="auto" w:fill="CCEEFF"/>
          </w:tcPr>
          <w:p>
            <w:pPr>
              <w:spacing w:after="0"/>
              <w:rPr>
                <w:sz w:val="20"/>
                <w:szCs w:val="20"/>
                <w:color w:val="auto"/>
              </w:rPr>
            </w:pPr>
            <w:r>
              <w:rPr>
                <w:rFonts w:ascii="Arial" w:cs="Arial" w:eastAsia="Arial" w:hAnsi="Arial"/>
                <w:sz w:val="18"/>
                <w:szCs w:val="18"/>
                <w:color w:val="auto"/>
              </w:rPr>
              <w:t>Restructuring charges</w:t>
            </w: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4.9</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4.9</w:t>
            </w:r>
          </w:p>
        </w:tc>
        <w:tc>
          <w:tcPr>
            <w:tcW w:w="4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300" w:type="dxa"/>
            <w:vAlign w:val="bottom"/>
            <w:gridSpan w:val="2"/>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47.8</w:t>
            </w:r>
          </w:p>
        </w:tc>
        <w:tc>
          <w:tcPr>
            <w:tcW w:w="2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47.8</w:t>
            </w:r>
          </w:p>
        </w:tc>
        <w:tc>
          <w:tcPr>
            <w:tcW w:w="60" w:type="dxa"/>
            <w:vAlign w:val="bottom"/>
            <w:shd w:val="clear" w:color="auto" w:fill="CCEEFF"/>
          </w:tcPr>
          <w:p>
            <w:pPr>
              <w:spacing w:after="0"/>
              <w:rPr>
                <w:sz w:val="18"/>
                <w:szCs w:val="18"/>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2"/>
        </w:trPr>
        <w:tc>
          <w:tcPr>
            <w:tcW w:w="2900" w:type="dxa"/>
            <w:vAlign w:val="bottom"/>
          </w:tcPr>
          <w:p>
            <w:pPr>
              <w:spacing w:after="0"/>
              <w:rPr>
                <w:sz w:val="20"/>
                <w:szCs w:val="20"/>
                <w:color w:val="auto"/>
              </w:rPr>
            </w:pPr>
            <w:r>
              <w:rPr>
                <w:rFonts w:ascii="Arial" w:cs="Arial" w:eastAsia="Arial" w:hAnsi="Arial"/>
                <w:sz w:val="18"/>
                <w:szCs w:val="18"/>
                <w:color w:val="auto"/>
              </w:rPr>
              <w:t>As a percentage of net revenue</w:t>
            </w:r>
          </w:p>
        </w:tc>
        <w:tc>
          <w:tcPr>
            <w:tcW w:w="7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20" w:type="dxa"/>
            <w:vAlign w:val="bottom"/>
            <w:gridSpan w:val="2"/>
          </w:tcPr>
          <w:p>
            <w:pPr>
              <w:jc w:val="right"/>
              <w:ind w:right="320"/>
              <w:spacing w:after="0"/>
              <w:rPr>
                <w:sz w:val="20"/>
                <w:szCs w:val="20"/>
                <w:color w:val="auto"/>
              </w:rPr>
            </w:pPr>
            <w:r>
              <w:rPr>
                <w:rFonts w:ascii="Arial" w:cs="Arial" w:eastAsia="Arial" w:hAnsi="Arial"/>
                <w:sz w:val="18"/>
                <w:szCs w:val="18"/>
                <w:color w:val="auto"/>
              </w:rPr>
              <w:t>1%</w:t>
            </w:r>
          </w:p>
        </w:tc>
        <w:tc>
          <w:tcPr>
            <w:tcW w:w="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00" w:type="dxa"/>
            <w:vAlign w:val="bottom"/>
            <w:gridSpan w:val="2"/>
          </w:tcPr>
          <w:p>
            <w:pPr>
              <w:jc w:val="right"/>
              <w:ind w:right="320"/>
              <w:spacing w:after="0"/>
              <w:rPr>
                <w:sz w:val="20"/>
                <w:szCs w:val="20"/>
                <w:color w:val="auto"/>
              </w:rPr>
            </w:pPr>
            <w:r>
              <w:rPr>
                <w:rFonts w:ascii="Arial" w:cs="Arial" w:eastAsia="Arial" w:hAnsi="Arial"/>
                <w:sz w:val="18"/>
                <w:szCs w:val="18"/>
                <w:color w:val="auto"/>
              </w:rPr>
              <w:t>0%</w:t>
            </w:r>
          </w:p>
        </w:tc>
        <w:tc>
          <w:tcPr>
            <w:tcW w:w="140" w:type="dxa"/>
            <w:vAlign w:val="bottom"/>
          </w:tcPr>
          <w:p>
            <w:pPr>
              <w:spacing w:after="0"/>
              <w:rPr>
                <w:sz w:val="19"/>
                <w:szCs w:val="19"/>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8"/>
                <w:szCs w:val="18"/>
                <w:color w:val="auto"/>
              </w:rPr>
              <w:t>4%</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0" w:type="dxa"/>
            <w:vAlign w:val="bottom"/>
            <w:gridSpan w:val="2"/>
          </w:tcPr>
          <w:p>
            <w:pPr>
              <w:jc w:val="right"/>
              <w:ind w:right="6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64770</wp:posOffset>
            </wp:positionV>
            <wp:extent cx="728980"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14" w:lineRule="exact"/>
        <w:rPr>
          <w:sz w:val="20"/>
          <w:szCs w:val="20"/>
          <w:color w:val="auto"/>
        </w:rPr>
      </w:pPr>
    </w:p>
    <w:p>
      <w:pPr>
        <w:spacing w:after="0"/>
        <w:rPr>
          <w:sz w:val="20"/>
          <w:szCs w:val="20"/>
          <w:color w:val="auto"/>
        </w:rPr>
      </w:pPr>
      <w:r>
        <w:rPr>
          <w:rFonts w:ascii="Arial" w:cs="Arial" w:eastAsia="Arial" w:hAnsi="Arial"/>
          <w:sz w:val="18"/>
          <w:szCs w:val="18"/>
          <w:color w:val="auto"/>
        </w:rPr>
        <w:t>*  Percentage is not meaningful</w:t>
      </w:r>
    </w:p>
    <w:p>
      <w:pPr>
        <w:spacing w:after="0" w:line="171" w:lineRule="exact"/>
        <w:rPr>
          <w:sz w:val="20"/>
          <w:szCs w:val="20"/>
          <w:color w:val="auto"/>
        </w:rPr>
      </w:pPr>
    </w:p>
    <w:p>
      <w:pPr>
        <w:ind w:right="300" w:firstLine="456"/>
        <w:spacing w:after="0" w:line="332" w:lineRule="auto"/>
        <w:rPr>
          <w:sz w:val="20"/>
          <w:szCs w:val="20"/>
          <w:color w:val="auto"/>
        </w:rPr>
      </w:pPr>
      <w:r>
        <w:rPr>
          <w:rFonts w:ascii="Arial" w:cs="Arial" w:eastAsia="Arial" w:hAnsi="Arial"/>
          <w:sz w:val="16"/>
          <w:szCs w:val="16"/>
          <w:color w:val="auto"/>
        </w:rPr>
        <w:t>In the fourth quarter of fiscal 2009, we initiated a restructuring program in order to reduce our operating costs. This program has reduced the number of employees by a total of approximately 700 positions globally and resulted in the consolidation of approximately 27 leased facilities.</w:t>
      </w:r>
    </w:p>
    <w:p>
      <w:pPr>
        <w:spacing w:after="0" w:line="85" w:lineRule="exact"/>
        <w:rPr>
          <w:sz w:val="20"/>
          <w:szCs w:val="20"/>
          <w:color w:val="auto"/>
        </w:rPr>
      </w:pPr>
    </w:p>
    <w:p>
      <w:pPr>
        <w:ind w:right="20" w:firstLine="456"/>
        <w:spacing w:after="0" w:line="256" w:lineRule="auto"/>
        <w:rPr>
          <w:sz w:val="20"/>
          <w:szCs w:val="20"/>
          <w:color w:val="auto"/>
        </w:rPr>
      </w:pPr>
      <w:r>
        <w:rPr>
          <w:rFonts w:ascii="Arial" w:cs="Arial" w:eastAsia="Arial" w:hAnsi="Arial"/>
          <w:sz w:val="18"/>
          <w:szCs w:val="18"/>
          <w:color w:val="auto"/>
        </w:rPr>
        <w:t>In the second quarter of fiscal 2010, we initiated an additional restructuring program, which resulted in headcount reduction of approximately 430 positions globally and resulted in the consolidation of approximately 32 leased facilities around the world in order to reduce our operating expenses. The restructuring program, and resulting staff reductions and facilities consolidations, initiated during the quarter ended July 31, 2009 is in addition to that initiated in the fourth quarter of fiscal 2009.</w:t>
      </w:r>
    </w:p>
    <w:p>
      <w:pPr>
        <w:spacing w:after="0" w:line="143" w:lineRule="exact"/>
        <w:rPr>
          <w:sz w:val="20"/>
          <w:szCs w:val="20"/>
          <w:color w:val="auto"/>
        </w:rPr>
      </w:pPr>
    </w:p>
    <w:p>
      <w:pPr>
        <w:ind w:right="80" w:firstLine="456"/>
        <w:spacing w:after="0" w:line="289" w:lineRule="auto"/>
        <w:rPr>
          <w:sz w:val="20"/>
          <w:szCs w:val="20"/>
          <w:color w:val="auto"/>
        </w:rPr>
      </w:pPr>
      <w:r>
        <w:rPr>
          <w:rFonts w:ascii="Arial" w:cs="Arial" w:eastAsia="Arial" w:hAnsi="Arial"/>
          <w:sz w:val="16"/>
          <w:szCs w:val="16"/>
          <w:color w:val="auto"/>
        </w:rPr>
        <w:t>In connection with these restructuring plans, we recorded restructuring and impairment charges of $4.9 million and $47.8 million during the three and nine months ended October 31, 2009, respectively. Of these amounts, $3.5 million and $24.2 million were recorded for one-time employee termination benefits and other costs during the three and nine months ended October 31, 2009, respectively, and $1.4 million and $23.5 million were recorded for facilities-related costs during the three and nine months ended October 31, 2009, respectively. The remainder of the termination benefits will be substantially paid during the fourth quarter of fiscal 2010. We expect to pay the facility-related liabilities through fiscal 2018. If our revenue should further decline or not begin to grow, we may further reduce our operating expenses to align them with our financial condition, including the possibility of a further restructuring. In taking these actions, we may incur additional costs which could negatively impact our net income and cash flows from operating activities. See Note 8, “Restructuring Reserve,” in the Notes to Condensed Consolidated Financial Statements for further discussion.</w:t>
      </w:r>
    </w:p>
    <w:p>
      <w:pPr>
        <w:spacing w:after="0" w:line="1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420"/>
          </w:cols>
          <w:pgMar w:left="240" w:top="459" w:right="239" w:bottom="1440" w:gutter="0" w:footer="0" w:header="0"/>
        </w:sectPr>
      </w:pPr>
    </w:p>
    <w:bookmarkStart w:id="36" w:name="page37"/>
    <w:bookmarkEnd w:id="3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Impairment of Goodwill</w:t>
      </w:r>
    </w:p>
    <w:p>
      <w:pPr>
        <w:spacing w:after="0" w:line="7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8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260" w:type="dxa"/>
            <w:vAlign w:val="bottom"/>
            <w:gridSpan w:val="3"/>
          </w:tcPr>
          <w:p>
            <w:pPr>
              <w:jc w:val="center"/>
              <w:ind w:right="460"/>
              <w:spacing w:after="0"/>
              <w:rPr>
                <w:sz w:val="20"/>
                <w:szCs w:val="20"/>
                <w:color w:val="auto"/>
              </w:rPr>
            </w:pPr>
            <w:r>
              <w:rPr>
                <w:rFonts w:ascii="Arial" w:cs="Arial" w:eastAsia="Arial" w:hAnsi="Arial"/>
                <w:sz w:val="14"/>
                <w:szCs w:val="14"/>
                <w:b w:val="1"/>
                <w:bCs w:val="1"/>
                <w:color w:val="auto"/>
                <w:w w:val="86"/>
              </w:rPr>
              <w:t>Three months</w:t>
            </w:r>
          </w:p>
        </w:tc>
        <w:tc>
          <w:tcPr>
            <w:tcW w:w="100" w:type="dxa"/>
            <w:vAlign w:val="bottom"/>
          </w:tcPr>
          <w:p>
            <w:pPr>
              <w:spacing w:after="0"/>
              <w:rPr>
                <w:sz w:val="14"/>
                <w:szCs w:val="14"/>
                <w:color w:val="auto"/>
              </w:rPr>
            </w:pPr>
          </w:p>
        </w:tc>
        <w:tc>
          <w:tcPr>
            <w:tcW w:w="1320" w:type="dxa"/>
            <w:vAlign w:val="bottom"/>
            <w:gridSpan w:val="5"/>
            <w:vMerge w:val="restart"/>
          </w:tcPr>
          <w:p>
            <w:pPr>
              <w:jc w:val="center"/>
              <w:ind w:right="220"/>
              <w:spacing w:after="0"/>
              <w:rPr>
                <w:sz w:val="20"/>
                <w:szCs w:val="20"/>
                <w:color w:val="auto"/>
              </w:rPr>
            </w:pPr>
            <w:r>
              <w:rPr>
                <w:rFonts w:ascii="Arial" w:cs="Arial" w:eastAsia="Arial" w:hAnsi="Arial"/>
                <w:sz w:val="14"/>
                <w:szCs w:val="14"/>
                <w:b w:val="1"/>
                <w:bCs w:val="1"/>
                <w:color w:val="auto"/>
                <w:w w:val="86"/>
              </w:rPr>
              <w:t>Increase compared</w:t>
            </w:r>
          </w:p>
        </w:tc>
        <w:tc>
          <w:tcPr>
            <w:tcW w:w="140" w:type="dxa"/>
            <w:vAlign w:val="bottom"/>
          </w:tcPr>
          <w:p>
            <w:pPr>
              <w:spacing w:after="0"/>
              <w:rPr>
                <w:sz w:val="14"/>
                <w:szCs w:val="14"/>
                <w:color w:val="auto"/>
              </w:rPr>
            </w:pPr>
          </w:p>
        </w:tc>
        <w:tc>
          <w:tcPr>
            <w:tcW w:w="1280" w:type="dxa"/>
            <w:vAlign w:val="bottom"/>
            <w:gridSpan w:val="3"/>
          </w:tcPr>
          <w:p>
            <w:pPr>
              <w:jc w:val="center"/>
              <w:ind w:right="460"/>
              <w:spacing w:after="0"/>
              <w:rPr>
                <w:sz w:val="20"/>
                <w:szCs w:val="20"/>
                <w:color w:val="auto"/>
              </w:rPr>
            </w:pPr>
            <w:r>
              <w:rPr>
                <w:rFonts w:ascii="Arial" w:cs="Arial" w:eastAsia="Arial" w:hAnsi="Arial"/>
                <w:sz w:val="14"/>
                <w:szCs w:val="14"/>
                <w:b w:val="1"/>
                <w:bCs w:val="1"/>
                <w:color w:val="auto"/>
                <w:w w:val="88"/>
              </w:rPr>
              <w:t>Three months</w:t>
            </w:r>
          </w:p>
        </w:tc>
        <w:tc>
          <w:tcPr>
            <w:tcW w:w="1200" w:type="dxa"/>
            <w:vAlign w:val="bottom"/>
            <w:gridSpan w:val="3"/>
          </w:tcPr>
          <w:p>
            <w:pPr>
              <w:jc w:val="center"/>
              <w:ind w:right="480"/>
              <w:spacing w:after="0"/>
              <w:rPr>
                <w:sz w:val="20"/>
                <w:szCs w:val="20"/>
                <w:color w:val="auto"/>
              </w:rPr>
            </w:pPr>
            <w:r>
              <w:rPr>
                <w:rFonts w:ascii="Arial" w:cs="Arial" w:eastAsia="Arial" w:hAnsi="Arial"/>
                <w:sz w:val="14"/>
                <w:szCs w:val="14"/>
                <w:b w:val="1"/>
                <w:bCs w:val="1"/>
                <w:color w:val="auto"/>
                <w:w w:val="84"/>
              </w:rPr>
              <w:t>Nine months</w:t>
            </w:r>
          </w:p>
        </w:tc>
        <w:tc>
          <w:tcPr>
            <w:tcW w:w="100" w:type="dxa"/>
            <w:vAlign w:val="bottom"/>
          </w:tcPr>
          <w:p>
            <w:pPr>
              <w:spacing w:after="0"/>
              <w:rPr>
                <w:sz w:val="14"/>
                <w:szCs w:val="14"/>
                <w:color w:val="auto"/>
              </w:rPr>
            </w:pPr>
          </w:p>
        </w:tc>
        <w:tc>
          <w:tcPr>
            <w:tcW w:w="1480" w:type="dxa"/>
            <w:vAlign w:val="bottom"/>
            <w:gridSpan w:val="5"/>
            <w:vMerge w:val="restart"/>
          </w:tcPr>
          <w:p>
            <w:pPr>
              <w:jc w:val="center"/>
              <w:ind w:right="380"/>
              <w:spacing w:after="0"/>
              <w:rPr>
                <w:sz w:val="20"/>
                <w:szCs w:val="20"/>
                <w:color w:val="auto"/>
              </w:rPr>
            </w:pPr>
            <w:r>
              <w:rPr>
                <w:rFonts w:ascii="Arial" w:cs="Arial" w:eastAsia="Arial" w:hAnsi="Arial"/>
                <w:sz w:val="14"/>
                <w:szCs w:val="14"/>
                <w:b w:val="1"/>
                <w:bCs w:val="1"/>
                <w:color w:val="auto"/>
                <w:w w:val="86"/>
              </w:rPr>
              <w:t>Increase compared</w:t>
            </w:r>
          </w:p>
        </w:tc>
        <w:tc>
          <w:tcPr>
            <w:tcW w:w="940" w:type="dxa"/>
            <w:vAlign w:val="bottom"/>
            <w:gridSpan w:val="3"/>
          </w:tcPr>
          <w:p>
            <w:pPr>
              <w:jc w:val="center"/>
              <w:ind w:right="200"/>
              <w:spacing w:after="0"/>
              <w:rPr>
                <w:sz w:val="20"/>
                <w:szCs w:val="20"/>
                <w:color w:val="auto"/>
              </w:rPr>
            </w:pPr>
            <w:r>
              <w:rPr>
                <w:rFonts w:ascii="Arial" w:cs="Arial" w:eastAsia="Arial" w:hAnsi="Arial"/>
                <w:sz w:val="14"/>
                <w:szCs w:val="14"/>
                <w:b w:val="1"/>
                <w:bCs w:val="1"/>
                <w:color w:val="auto"/>
                <w:w w:val="87"/>
              </w:rPr>
              <w:t>Nine months</w:t>
            </w:r>
          </w:p>
        </w:tc>
        <w:tc>
          <w:tcPr>
            <w:tcW w:w="0" w:type="dxa"/>
            <w:vAlign w:val="bottom"/>
          </w:tcPr>
          <w:p>
            <w:pPr>
              <w:spacing w:after="0"/>
              <w:rPr>
                <w:sz w:val="1"/>
                <w:szCs w:val="1"/>
                <w:color w:val="auto"/>
              </w:rPr>
            </w:pPr>
          </w:p>
        </w:tc>
      </w:tr>
      <w:tr>
        <w:trPr>
          <w:trHeight w:val="81"/>
        </w:trPr>
        <w:tc>
          <w:tcPr>
            <w:tcW w:w="2880" w:type="dxa"/>
            <w:vAlign w:val="bottom"/>
          </w:tcPr>
          <w:p>
            <w:pPr>
              <w:spacing w:after="0"/>
              <w:rPr>
                <w:sz w:val="7"/>
                <w:szCs w:val="7"/>
                <w:color w:val="auto"/>
              </w:rPr>
            </w:pPr>
          </w:p>
        </w:tc>
        <w:tc>
          <w:tcPr>
            <w:tcW w:w="720" w:type="dxa"/>
            <w:vAlign w:val="bottom"/>
          </w:tcPr>
          <w:p>
            <w:pPr>
              <w:spacing w:after="0"/>
              <w:rPr>
                <w:sz w:val="7"/>
                <w:szCs w:val="7"/>
                <w:color w:val="auto"/>
              </w:rPr>
            </w:pPr>
          </w:p>
        </w:tc>
        <w:tc>
          <w:tcPr>
            <w:tcW w:w="160" w:type="dxa"/>
            <w:vAlign w:val="bottom"/>
          </w:tcPr>
          <w:p>
            <w:pPr>
              <w:spacing w:after="0"/>
              <w:rPr>
                <w:sz w:val="7"/>
                <w:szCs w:val="7"/>
                <w:color w:val="auto"/>
              </w:rPr>
            </w:pPr>
          </w:p>
        </w:tc>
        <w:tc>
          <w:tcPr>
            <w:tcW w:w="1100" w:type="dxa"/>
            <w:vAlign w:val="bottom"/>
            <w:gridSpan w:val="2"/>
            <w:vMerge w:val="restart"/>
          </w:tcPr>
          <w:p>
            <w:pPr>
              <w:jc w:val="center"/>
              <w:ind w:right="600"/>
              <w:spacing w:after="0" w:line="149" w:lineRule="exact"/>
              <w:rPr>
                <w:sz w:val="20"/>
                <w:szCs w:val="20"/>
                <w:color w:val="auto"/>
              </w:rPr>
            </w:pPr>
            <w:r>
              <w:rPr>
                <w:rFonts w:ascii="Arial" w:cs="Arial" w:eastAsia="Arial" w:hAnsi="Arial"/>
                <w:sz w:val="14"/>
                <w:szCs w:val="14"/>
                <w:b w:val="1"/>
                <w:bCs w:val="1"/>
                <w:color w:val="auto"/>
                <w:w w:val="82"/>
              </w:rPr>
              <w:t>ended</w:t>
            </w:r>
          </w:p>
        </w:tc>
        <w:tc>
          <w:tcPr>
            <w:tcW w:w="100" w:type="dxa"/>
            <w:vAlign w:val="bottom"/>
          </w:tcPr>
          <w:p>
            <w:pPr>
              <w:spacing w:after="0"/>
              <w:rPr>
                <w:sz w:val="7"/>
                <w:szCs w:val="7"/>
                <w:color w:val="auto"/>
              </w:rPr>
            </w:pPr>
          </w:p>
        </w:tc>
        <w:tc>
          <w:tcPr>
            <w:tcW w:w="1320" w:type="dxa"/>
            <w:vAlign w:val="bottom"/>
            <w:gridSpan w:val="5"/>
            <w:vMerge w:val="continue"/>
          </w:tcPr>
          <w:p>
            <w:pPr>
              <w:spacing w:after="0"/>
              <w:rPr>
                <w:sz w:val="7"/>
                <w:szCs w:val="7"/>
                <w:color w:val="auto"/>
              </w:rPr>
            </w:pPr>
          </w:p>
        </w:tc>
        <w:tc>
          <w:tcPr>
            <w:tcW w:w="140" w:type="dxa"/>
            <w:vAlign w:val="bottom"/>
          </w:tcPr>
          <w:p>
            <w:pPr>
              <w:spacing w:after="0"/>
              <w:rPr>
                <w:sz w:val="7"/>
                <w:szCs w:val="7"/>
                <w:color w:val="auto"/>
              </w:rPr>
            </w:pPr>
          </w:p>
        </w:tc>
        <w:tc>
          <w:tcPr>
            <w:tcW w:w="160" w:type="dxa"/>
            <w:vAlign w:val="bottom"/>
          </w:tcPr>
          <w:p>
            <w:pPr>
              <w:spacing w:after="0"/>
              <w:rPr>
                <w:sz w:val="7"/>
                <w:szCs w:val="7"/>
                <w:color w:val="auto"/>
              </w:rPr>
            </w:pPr>
          </w:p>
        </w:tc>
        <w:tc>
          <w:tcPr>
            <w:tcW w:w="1120" w:type="dxa"/>
            <w:vAlign w:val="bottom"/>
            <w:gridSpan w:val="2"/>
            <w:vMerge w:val="restart"/>
          </w:tcPr>
          <w:p>
            <w:pPr>
              <w:jc w:val="center"/>
              <w:ind w:right="620"/>
              <w:spacing w:after="0" w:line="149" w:lineRule="exact"/>
              <w:rPr>
                <w:sz w:val="20"/>
                <w:szCs w:val="20"/>
                <w:color w:val="auto"/>
              </w:rPr>
            </w:pPr>
            <w:r>
              <w:rPr>
                <w:rFonts w:ascii="Arial" w:cs="Arial" w:eastAsia="Arial" w:hAnsi="Arial"/>
                <w:sz w:val="14"/>
                <w:szCs w:val="14"/>
                <w:b w:val="1"/>
                <w:bCs w:val="1"/>
                <w:color w:val="auto"/>
                <w:w w:val="82"/>
              </w:rPr>
              <w:t>ended</w:t>
            </w:r>
          </w:p>
        </w:tc>
        <w:tc>
          <w:tcPr>
            <w:tcW w:w="140" w:type="dxa"/>
            <w:vAlign w:val="bottom"/>
          </w:tcPr>
          <w:p>
            <w:pPr>
              <w:spacing w:after="0"/>
              <w:rPr>
                <w:sz w:val="7"/>
                <w:szCs w:val="7"/>
                <w:color w:val="auto"/>
              </w:rPr>
            </w:pPr>
          </w:p>
        </w:tc>
        <w:tc>
          <w:tcPr>
            <w:tcW w:w="1060" w:type="dxa"/>
            <w:vAlign w:val="bottom"/>
            <w:gridSpan w:val="2"/>
            <w:vMerge w:val="restart"/>
          </w:tcPr>
          <w:p>
            <w:pPr>
              <w:jc w:val="center"/>
              <w:ind w:right="600"/>
              <w:spacing w:after="0" w:line="149" w:lineRule="exact"/>
              <w:rPr>
                <w:sz w:val="20"/>
                <w:szCs w:val="20"/>
                <w:color w:val="auto"/>
              </w:rPr>
            </w:pPr>
            <w:r>
              <w:rPr>
                <w:rFonts w:ascii="Arial" w:cs="Arial" w:eastAsia="Arial" w:hAnsi="Arial"/>
                <w:sz w:val="14"/>
                <w:szCs w:val="14"/>
                <w:b w:val="1"/>
                <w:bCs w:val="1"/>
                <w:color w:val="auto"/>
                <w:w w:val="82"/>
              </w:rPr>
              <w:t>ended</w:t>
            </w:r>
          </w:p>
        </w:tc>
        <w:tc>
          <w:tcPr>
            <w:tcW w:w="100" w:type="dxa"/>
            <w:vAlign w:val="bottom"/>
          </w:tcPr>
          <w:p>
            <w:pPr>
              <w:spacing w:after="0"/>
              <w:rPr>
                <w:sz w:val="7"/>
                <w:szCs w:val="7"/>
                <w:color w:val="auto"/>
              </w:rPr>
            </w:pPr>
          </w:p>
        </w:tc>
        <w:tc>
          <w:tcPr>
            <w:tcW w:w="1480" w:type="dxa"/>
            <w:vAlign w:val="bottom"/>
            <w:gridSpan w:val="5"/>
            <w:vMerge w:val="continue"/>
          </w:tcPr>
          <w:p>
            <w:pPr>
              <w:spacing w:after="0"/>
              <w:rPr>
                <w:sz w:val="7"/>
                <w:szCs w:val="7"/>
                <w:color w:val="auto"/>
              </w:rPr>
            </w:pPr>
          </w:p>
        </w:tc>
        <w:tc>
          <w:tcPr>
            <w:tcW w:w="140" w:type="dxa"/>
            <w:vAlign w:val="bottom"/>
          </w:tcPr>
          <w:p>
            <w:pPr>
              <w:spacing w:after="0"/>
              <w:rPr>
                <w:sz w:val="7"/>
                <w:szCs w:val="7"/>
                <w:color w:val="auto"/>
              </w:rPr>
            </w:pPr>
          </w:p>
        </w:tc>
        <w:tc>
          <w:tcPr>
            <w:tcW w:w="800" w:type="dxa"/>
            <w:vAlign w:val="bottom"/>
            <w:gridSpan w:val="2"/>
            <w:vMerge w:val="restart"/>
          </w:tcPr>
          <w:p>
            <w:pPr>
              <w:jc w:val="center"/>
              <w:ind w:right="340"/>
              <w:spacing w:after="0" w:line="149" w:lineRule="exact"/>
              <w:rPr>
                <w:sz w:val="20"/>
                <w:szCs w:val="20"/>
                <w:color w:val="auto"/>
              </w:rPr>
            </w:pPr>
            <w:r>
              <w:rPr>
                <w:rFonts w:ascii="Arial" w:cs="Arial" w:eastAsia="Arial" w:hAnsi="Arial"/>
                <w:sz w:val="14"/>
                <w:szCs w:val="14"/>
                <w:b w:val="1"/>
                <w:bCs w:val="1"/>
                <w:color w:val="auto"/>
                <w:w w:val="82"/>
              </w:rPr>
              <w:t>ended</w:t>
            </w:r>
          </w:p>
        </w:tc>
        <w:tc>
          <w:tcPr>
            <w:tcW w:w="0" w:type="dxa"/>
            <w:vAlign w:val="bottom"/>
          </w:tcPr>
          <w:p>
            <w:pPr>
              <w:spacing w:after="0"/>
              <w:rPr>
                <w:sz w:val="1"/>
                <w:szCs w:val="1"/>
                <w:color w:val="auto"/>
              </w:rPr>
            </w:pPr>
          </w:p>
        </w:tc>
      </w:tr>
      <w:tr>
        <w:trPr>
          <w:trHeight w:val="68"/>
        </w:trPr>
        <w:tc>
          <w:tcPr>
            <w:tcW w:w="2880" w:type="dxa"/>
            <w:vAlign w:val="bottom"/>
          </w:tcPr>
          <w:p>
            <w:pPr>
              <w:spacing w:after="0"/>
              <w:rPr>
                <w:sz w:val="5"/>
                <w:szCs w:val="5"/>
                <w:color w:val="auto"/>
              </w:rPr>
            </w:pPr>
          </w:p>
        </w:tc>
        <w:tc>
          <w:tcPr>
            <w:tcW w:w="720" w:type="dxa"/>
            <w:vAlign w:val="bottom"/>
          </w:tcPr>
          <w:p>
            <w:pPr>
              <w:spacing w:after="0"/>
              <w:rPr>
                <w:sz w:val="5"/>
                <w:szCs w:val="5"/>
                <w:color w:val="auto"/>
              </w:rPr>
            </w:pPr>
          </w:p>
        </w:tc>
        <w:tc>
          <w:tcPr>
            <w:tcW w:w="160" w:type="dxa"/>
            <w:vAlign w:val="bottom"/>
          </w:tcPr>
          <w:p>
            <w:pPr>
              <w:spacing w:after="0"/>
              <w:rPr>
                <w:sz w:val="5"/>
                <w:szCs w:val="5"/>
                <w:color w:val="auto"/>
              </w:rPr>
            </w:pPr>
          </w:p>
        </w:tc>
        <w:tc>
          <w:tcPr>
            <w:tcW w:w="1100" w:type="dxa"/>
            <w:vAlign w:val="bottom"/>
            <w:gridSpan w:val="2"/>
            <w:vMerge w:val="continue"/>
          </w:tcPr>
          <w:p>
            <w:pPr>
              <w:spacing w:after="0"/>
              <w:rPr>
                <w:sz w:val="5"/>
                <w:szCs w:val="5"/>
                <w:color w:val="auto"/>
              </w:rPr>
            </w:pPr>
          </w:p>
        </w:tc>
        <w:tc>
          <w:tcPr>
            <w:tcW w:w="100" w:type="dxa"/>
            <w:vAlign w:val="bottom"/>
          </w:tcPr>
          <w:p>
            <w:pPr>
              <w:spacing w:after="0"/>
              <w:rPr>
                <w:sz w:val="5"/>
                <w:szCs w:val="5"/>
                <w:color w:val="auto"/>
              </w:rPr>
            </w:pPr>
          </w:p>
        </w:tc>
        <w:tc>
          <w:tcPr>
            <w:tcW w:w="980" w:type="dxa"/>
            <w:vAlign w:val="bottom"/>
            <w:gridSpan w:val="3"/>
            <w:vMerge w:val="restart"/>
          </w:tcPr>
          <w:p>
            <w:pPr>
              <w:jc w:val="center"/>
              <w:ind w:left="47"/>
              <w:spacing w:after="0"/>
              <w:rPr>
                <w:sz w:val="20"/>
                <w:szCs w:val="20"/>
                <w:color w:val="auto"/>
              </w:rPr>
            </w:pPr>
            <w:r>
              <w:rPr>
                <w:rFonts w:ascii="Arial" w:cs="Arial" w:eastAsia="Arial" w:hAnsi="Arial"/>
                <w:sz w:val="14"/>
                <w:szCs w:val="14"/>
                <w:b w:val="1"/>
                <w:bCs w:val="1"/>
                <w:color w:val="auto"/>
                <w:w w:val="89"/>
              </w:rPr>
              <w:t>to prior period</w:t>
            </w:r>
          </w:p>
        </w:tc>
        <w:tc>
          <w:tcPr>
            <w:tcW w:w="220" w:type="dxa"/>
            <w:vAlign w:val="bottom"/>
          </w:tcPr>
          <w:p>
            <w:pPr>
              <w:spacing w:after="0"/>
              <w:rPr>
                <w:sz w:val="5"/>
                <w:szCs w:val="5"/>
                <w:color w:val="auto"/>
              </w:rPr>
            </w:pPr>
          </w:p>
        </w:tc>
        <w:tc>
          <w:tcPr>
            <w:tcW w:w="120" w:type="dxa"/>
            <w:vAlign w:val="bottom"/>
          </w:tcPr>
          <w:p>
            <w:pPr>
              <w:spacing w:after="0"/>
              <w:rPr>
                <w:sz w:val="5"/>
                <w:szCs w:val="5"/>
                <w:color w:val="auto"/>
              </w:rPr>
            </w:pPr>
          </w:p>
        </w:tc>
        <w:tc>
          <w:tcPr>
            <w:tcW w:w="140" w:type="dxa"/>
            <w:vAlign w:val="bottom"/>
          </w:tcPr>
          <w:p>
            <w:pPr>
              <w:spacing w:after="0"/>
              <w:rPr>
                <w:sz w:val="5"/>
                <w:szCs w:val="5"/>
                <w:color w:val="auto"/>
              </w:rPr>
            </w:pPr>
          </w:p>
        </w:tc>
        <w:tc>
          <w:tcPr>
            <w:tcW w:w="160" w:type="dxa"/>
            <w:vAlign w:val="bottom"/>
          </w:tcPr>
          <w:p>
            <w:pPr>
              <w:spacing w:after="0"/>
              <w:rPr>
                <w:sz w:val="5"/>
                <w:szCs w:val="5"/>
                <w:color w:val="auto"/>
              </w:rPr>
            </w:pPr>
          </w:p>
        </w:tc>
        <w:tc>
          <w:tcPr>
            <w:tcW w:w="1120" w:type="dxa"/>
            <w:vAlign w:val="bottom"/>
            <w:gridSpan w:val="2"/>
            <w:vMerge w:val="continue"/>
          </w:tcPr>
          <w:p>
            <w:pPr>
              <w:spacing w:after="0"/>
              <w:rPr>
                <w:sz w:val="5"/>
                <w:szCs w:val="5"/>
                <w:color w:val="auto"/>
              </w:rPr>
            </w:pPr>
          </w:p>
        </w:tc>
        <w:tc>
          <w:tcPr>
            <w:tcW w:w="140" w:type="dxa"/>
            <w:vAlign w:val="bottom"/>
          </w:tcPr>
          <w:p>
            <w:pPr>
              <w:spacing w:after="0"/>
              <w:rPr>
                <w:sz w:val="5"/>
                <w:szCs w:val="5"/>
                <w:color w:val="auto"/>
              </w:rPr>
            </w:pPr>
          </w:p>
        </w:tc>
        <w:tc>
          <w:tcPr>
            <w:tcW w:w="1060" w:type="dxa"/>
            <w:vAlign w:val="bottom"/>
            <w:gridSpan w:val="2"/>
            <w:vMerge w:val="continue"/>
          </w:tcPr>
          <w:p>
            <w:pPr>
              <w:spacing w:after="0"/>
              <w:rPr>
                <w:sz w:val="5"/>
                <w:szCs w:val="5"/>
                <w:color w:val="auto"/>
              </w:rPr>
            </w:pPr>
          </w:p>
        </w:tc>
        <w:tc>
          <w:tcPr>
            <w:tcW w:w="100" w:type="dxa"/>
            <w:vAlign w:val="bottom"/>
          </w:tcPr>
          <w:p>
            <w:pPr>
              <w:spacing w:after="0"/>
              <w:rPr>
                <w:sz w:val="5"/>
                <w:szCs w:val="5"/>
                <w:color w:val="auto"/>
              </w:rPr>
            </w:pPr>
          </w:p>
        </w:tc>
        <w:tc>
          <w:tcPr>
            <w:tcW w:w="980" w:type="dxa"/>
            <w:vAlign w:val="bottom"/>
            <w:gridSpan w:val="3"/>
            <w:vMerge w:val="restart"/>
          </w:tcPr>
          <w:p>
            <w:pPr>
              <w:jc w:val="center"/>
              <w:ind w:left="47"/>
              <w:spacing w:after="0"/>
              <w:rPr>
                <w:sz w:val="20"/>
                <w:szCs w:val="20"/>
                <w:color w:val="auto"/>
              </w:rPr>
            </w:pPr>
            <w:r>
              <w:rPr>
                <w:rFonts w:ascii="Arial" w:cs="Arial" w:eastAsia="Arial" w:hAnsi="Arial"/>
                <w:sz w:val="14"/>
                <w:szCs w:val="14"/>
                <w:b w:val="1"/>
                <w:bCs w:val="1"/>
                <w:color w:val="auto"/>
                <w:w w:val="89"/>
              </w:rPr>
              <w:t>to prior period</w:t>
            </w:r>
          </w:p>
        </w:tc>
        <w:tc>
          <w:tcPr>
            <w:tcW w:w="220" w:type="dxa"/>
            <w:vAlign w:val="bottom"/>
          </w:tcPr>
          <w:p>
            <w:pPr>
              <w:spacing w:after="0"/>
              <w:rPr>
                <w:sz w:val="5"/>
                <w:szCs w:val="5"/>
                <w:color w:val="auto"/>
              </w:rPr>
            </w:pPr>
          </w:p>
        </w:tc>
        <w:tc>
          <w:tcPr>
            <w:tcW w:w="280" w:type="dxa"/>
            <w:vAlign w:val="bottom"/>
          </w:tcPr>
          <w:p>
            <w:pPr>
              <w:spacing w:after="0"/>
              <w:rPr>
                <w:sz w:val="5"/>
                <w:szCs w:val="5"/>
                <w:color w:val="auto"/>
              </w:rPr>
            </w:pPr>
          </w:p>
        </w:tc>
        <w:tc>
          <w:tcPr>
            <w:tcW w:w="140" w:type="dxa"/>
            <w:vAlign w:val="bottom"/>
          </w:tcPr>
          <w:p>
            <w:pPr>
              <w:spacing w:after="0"/>
              <w:rPr>
                <w:sz w:val="5"/>
                <w:szCs w:val="5"/>
                <w:color w:val="auto"/>
              </w:rPr>
            </w:pPr>
          </w:p>
        </w:tc>
        <w:tc>
          <w:tcPr>
            <w:tcW w:w="800" w:type="dxa"/>
            <w:vAlign w:val="bottom"/>
            <w:gridSpan w:val="2"/>
            <w:vMerge w:val="continue"/>
          </w:tcPr>
          <w:p>
            <w:pPr>
              <w:spacing w:after="0"/>
              <w:rPr>
                <w:sz w:val="5"/>
                <w:szCs w:val="5"/>
                <w:color w:val="auto"/>
              </w:rPr>
            </w:pPr>
          </w:p>
        </w:tc>
        <w:tc>
          <w:tcPr>
            <w:tcW w:w="0" w:type="dxa"/>
            <w:vAlign w:val="bottom"/>
          </w:tcPr>
          <w:p>
            <w:pPr>
              <w:spacing w:after="0"/>
              <w:rPr>
                <w:sz w:val="1"/>
                <w:szCs w:val="1"/>
                <w:color w:val="auto"/>
              </w:rPr>
            </w:pPr>
          </w:p>
        </w:tc>
      </w:tr>
      <w:tr>
        <w:trPr>
          <w:trHeight w:val="94"/>
        </w:trPr>
        <w:tc>
          <w:tcPr>
            <w:tcW w:w="2880" w:type="dxa"/>
            <w:vAlign w:val="bottom"/>
          </w:tcPr>
          <w:p>
            <w:pPr>
              <w:spacing w:after="0"/>
              <w:rPr>
                <w:sz w:val="8"/>
                <w:szCs w:val="8"/>
                <w:color w:val="auto"/>
              </w:rPr>
            </w:pPr>
          </w:p>
        </w:tc>
        <w:tc>
          <w:tcPr>
            <w:tcW w:w="720" w:type="dxa"/>
            <w:vAlign w:val="bottom"/>
          </w:tcPr>
          <w:p>
            <w:pPr>
              <w:spacing w:after="0"/>
              <w:rPr>
                <w:sz w:val="8"/>
                <w:szCs w:val="8"/>
                <w:color w:val="auto"/>
              </w:rPr>
            </w:pPr>
          </w:p>
        </w:tc>
        <w:tc>
          <w:tcPr>
            <w:tcW w:w="1260" w:type="dxa"/>
            <w:vAlign w:val="bottom"/>
            <w:gridSpan w:val="3"/>
            <w:vMerge w:val="restart"/>
          </w:tcPr>
          <w:p>
            <w:pPr>
              <w:jc w:val="center"/>
              <w:ind w:right="460"/>
              <w:spacing w:after="0" w:line="149" w:lineRule="exact"/>
              <w:rPr>
                <w:sz w:val="20"/>
                <w:szCs w:val="20"/>
                <w:color w:val="auto"/>
              </w:rPr>
            </w:pPr>
            <w:r>
              <w:rPr>
                <w:rFonts w:ascii="Arial" w:cs="Arial" w:eastAsia="Arial" w:hAnsi="Arial"/>
                <w:sz w:val="14"/>
                <w:szCs w:val="14"/>
                <w:b w:val="1"/>
                <w:bCs w:val="1"/>
                <w:color w:val="auto"/>
                <w:w w:val="88"/>
              </w:rPr>
              <w:t>October 31,</w:t>
            </w:r>
          </w:p>
        </w:tc>
        <w:tc>
          <w:tcPr>
            <w:tcW w:w="100" w:type="dxa"/>
            <w:vAlign w:val="bottom"/>
            <w:tcBorders>
              <w:bottom w:val="single" w:sz="8" w:color="auto"/>
            </w:tcBorders>
          </w:tcPr>
          <w:p>
            <w:pPr>
              <w:spacing w:after="0"/>
              <w:rPr>
                <w:sz w:val="8"/>
                <w:szCs w:val="8"/>
                <w:color w:val="auto"/>
              </w:rPr>
            </w:pPr>
          </w:p>
        </w:tc>
        <w:tc>
          <w:tcPr>
            <w:tcW w:w="980" w:type="dxa"/>
            <w:vAlign w:val="bottom"/>
            <w:tcBorders>
              <w:bottom w:val="single" w:sz="8" w:color="auto"/>
            </w:tcBorders>
            <w:gridSpan w:val="3"/>
            <w:vMerge w:val="continue"/>
          </w:tcPr>
          <w:p>
            <w:pPr>
              <w:spacing w:after="0"/>
              <w:rPr>
                <w:sz w:val="8"/>
                <w:szCs w:val="8"/>
                <w:color w:val="auto"/>
              </w:rPr>
            </w:pPr>
          </w:p>
        </w:tc>
        <w:tc>
          <w:tcPr>
            <w:tcW w:w="220" w:type="dxa"/>
            <w:vAlign w:val="bottom"/>
            <w:tcBorders>
              <w:bottom w:val="single" w:sz="8" w:color="auto"/>
            </w:tcBorders>
          </w:tcPr>
          <w:p>
            <w:pPr>
              <w:spacing w:after="0"/>
              <w:rPr>
                <w:sz w:val="8"/>
                <w:szCs w:val="8"/>
                <w:color w:val="auto"/>
              </w:rPr>
            </w:pPr>
          </w:p>
        </w:tc>
        <w:tc>
          <w:tcPr>
            <w:tcW w:w="120" w:type="dxa"/>
            <w:vAlign w:val="bottom"/>
          </w:tcPr>
          <w:p>
            <w:pPr>
              <w:spacing w:after="0"/>
              <w:rPr>
                <w:sz w:val="8"/>
                <w:szCs w:val="8"/>
                <w:color w:val="auto"/>
              </w:rPr>
            </w:pPr>
          </w:p>
        </w:tc>
        <w:tc>
          <w:tcPr>
            <w:tcW w:w="140" w:type="dxa"/>
            <w:vAlign w:val="bottom"/>
          </w:tcPr>
          <w:p>
            <w:pPr>
              <w:spacing w:after="0"/>
              <w:rPr>
                <w:sz w:val="8"/>
                <w:szCs w:val="8"/>
                <w:color w:val="auto"/>
              </w:rPr>
            </w:pPr>
          </w:p>
        </w:tc>
        <w:tc>
          <w:tcPr>
            <w:tcW w:w="1280" w:type="dxa"/>
            <w:vAlign w:val="bottom"/>
            <w:gridSpan w:val="3"/>
            <w:vMerge w:val="restart"/>
          </w:tcPr>
          <w:p>
            <w:pPr>
              <w:jc w:val="center"/>
              <w:ind w:right="460"/>
              <w:spacing w:after="0" w:line="149" w:lineRule="exact"/>
              <w:rPr>
                <w:sz w:val="20"/>
                <w:szCs w:val="20"/>
                <w:color w:val="auto"/>
              </w:rPr>
            </w:pPr>
            <w:r>
              <w:rPr>
                <w:rFonts w:ascii="Arial" w:cs="Arial" w:eastAsia="Arial" w:hAnsi="Arial"/>
                <w:sz w:val="14"/>
                <w:szCs w:val="14"/>
                <w:b w:val="1"/>
                <w:bCs w:val="1"/>
                <w:color w:val="auto"/>
                <w:w w:val="85"/>
              </w:rPr>
              <w:t>October 31,</w:t>
            </w:r>
          </w:p>
        </w:tc>
        <w:tc>
          <w:tcPr>
            <w:tcW w:w="1200" w:type="dxa"/>
            <w:vAlign w:val="bottom"/>
            <w:gridSpan w:val="3"/>
            <w:vMerge w:val="restart"/>
          </w:tcPr>
          <w:p>
            <w:pPr>
              <w:jc w:val="center"/>
              <w:ind w:right="480"/>
              <w:spacing w:after="0" w:line="149" w:lineRule="exact"/>
              <w:rPr>
                <w:sz w:val="20"/>
                <w:szCs w:val="20"/>
                <w:color w:val="auto"/>
              </w:rPr>
            </w:pPr>
            <w:r>
              <w:rPr>
                <w:rFonts w:ascii="Arial" w:cs="Arial" w:eastAsia="Arial" w:hAnsi="Arial"/>
                <w:sz w:val="14"/>
                <w:szCs w:val="14"/>
                <w:b w:val="1"/>
                <w:bCs w:val="1"/>
                <w:color w:val="auto"/>
                <w:w w:val="88"/>
              </w:rPr>
              <w:t>October 31,</w:t>
            </w:r>
          </w:p>
        </w:tc>
        <w:tc>
          <w:tcPr>
            <w:tcW w:w="100" w:type="dxa"/>
            <w:vAlign w:val="bottom"/>
            <w:tcBorders>
              <w:bottom w:val="single" w:sz="8" w:color="auto"/>
            </w:tcBorders>
          </w:tcPr>
          <w:p>
            <w:pPr>
              <w:spacing w:after="0"/>
              <w:rPr>
                <w:sz w:val="8"/>
                <w:szCs w:val="8"/>
                <w:color w:val="auto"/>
              </w:rPr>
            </w:pPr>
          </w:p>
        </w:tc>
        <w:tc>
          <w:tcPr>
            <w:tcW w:w="980" w:type="dxa"/>
            <w:vAlign w:val="bottom"/>
            <w:tcBorders>
              <w:bottom w:val="single" w:sz="8" w:color="auto"/>
            </w:tcBorders>
            <w:gridSpan w:val="3"/>
            <w:vMerge w:val="continue"/>
          </w:tcPr>
          <w:p>
            <w:pPr>
              <w:spacing w:after="0"/>
              <w:rPr>
                <w:sz w:val="8"/>
                <w:szCs w:val="8"/>
                <w:color w:val="auto"/>
              </w:rPr>
            </w:pPr>
          </w:p>
        </w:tc>
        <w:tc>
          <w:tcPr>
            <w:tcW w:w="220" w:type="dxa"/>
            <w:vAlign w:val="bottom"/>
            <w:tcBorders>
              <w:bottom w:val="single" w:sz="8" w:color="auto"/>
            </w:tcBorders>
          </w:tcPr>
          <w:p>
            <w:pPr>
              <w:spacing w:after="0"/>
              <w:rPr>
                <w:sz w:val="8"/>
                <w:szCs w:val="8"/>
                <w:color w:val="auto"/>
              </w:rPr>
            </w:pPr>
          </w:p>
        </w:tc>
        <w:tc>
          <w:tcPr>
            <w:tcW w:w="280" w:type="dxa"/>
            <w:vAlign w:val="bottom"/>
          </w:tcPr>
          <w:p>
            <w:pPr>
              <w:spacing w:after="0"/>
              <w:rPr>
                <w:sz w:val="8"/>
                <w:szCs w:val="8"/>
                <w:color w:val="auto"/>
              </w:rPr>
            </w:pPr>
          </w:p>
        </w:tc>
        <w:tc>
          <w:tcPr>
            <w:tcW w:w="940" w:type="dxa"/>
            <w:vAlign w:val="bottom"/>
            <w:gridSpan w:val="3"/>
            <w:vMerge w:val="restart"/>
          </w:tcPr>
          <w:p>
            <w:pPr>
              <w:jc w:val="center"/>
              <w:ind w:right="220"/>
              <w:spacing w:after="0" w:line="149" w:lineRule="exact"/>
              <w:rPr>
                <w:sz w:val="20"/>
                <w:szCs w:val="20"/>
                <w:color w:val="auto"/>
              </w:rPr>
            </w:pPr>
            <w:r>
              <w:rPr>
                <w:rFonts w:ascii="Arial" w:cs="Arial" w:eastAsia="Arial" w:hAnsi="Arial"/>
                <w:sz w:val="14"/>
                <w:szCs w:val="14"/>
                <w:b w:val="1"/>
                <w:bCs w:val="1"/>
                <w:color w:val="auto"/>
                <w:w w:val="88"/>
              </w:rPr>
              <w:t>October 31,</w:t>
            </w:r>
          </w:p>
        </w:tc>
        <w:tc>
          <w:tcPr>
            <w:tcW w:w="0" w:type="dxa"/>
            <w:vAlign w:val="bottom"/>
          </w:tcPr>
          <w:p>
            <w:pPr>
              <w:spacing w:after="0"/>
              <w:rPr>
                <w:sz w:val="1"/>
                <w:szCs w:val="1"/>
                <w:color w:val="auto"/>
              </w:rPr>
            </w:pPr>
          </w:p>
        </w:tc>
      </w:tr>
      <w:tr>
        <w:trPr>
          <w:trHeight w:val="35"/>
        </w:trPr>
        <w:tc>
          <w:tcPr>
            <w:tcW w:w="2880" w:type="dxa"/>
            <w:vAlign w:val="bottom"/>
          </w:tcPr>
          <w:p>
            <w:pPr>
              <w:spacing w:after="0"/>
              <w:rPr>
                <w:sz w:val="3"/>
                <w:szCs w:val="3"/>
                <w:color w:val="auto"/>
              </w:rPr>
            </w:pPr>
          </w:p>
        </w:tc>
        <w:tc>
          <w:tcPr>
            <w:tcW w:w="720" w:type="dxa"/>
            <w:vAlign w:val="bottom"/>
          </w:tcPr>
          <w:p>
            <w:pPr>
              <w:spacing w:after="0"/>
              <w:rPr>
                <w:sz w:val="3"/>
                <w:szCs w:val="3"/>
                <w:color w:val="auto"/>
              </w:rPr>
            </w:pPr>
          </w:p>
        </w:tc>
        <w:tc>
          <w:tcPr>
            <w:tcW w:w="1260" w:type="dxa"/>
            <w:vAlign w:val="bottom"/>
            <w:gridSpan w:val="3"/>
            <w:vMerge w:val="continue"/>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300" w:type="dxa"/>
            <w:vAlign w:val="bottom"/>
          </w:tcPr>
          <w:p>
            <w:pPr>
              <w:spacing w:after="0"/>
              <w:rPr>
                <w:sz w:val="3"/>
                <w:szCs w:val="3"/>
                <w:color w:val="auto"/>
              </w:rPr>
            </w:pPr>
          </w:p>
        </w:tc>
        <w:tc>
          <w:tcPr>
            <w:tcW w:w="60" w:type="dxa"/>
            <w:vAlign w:val="bottom"/>
          </w:tcPr>
          <w:p>
            <w:pPr>
              <w:spacing w:after="0"/>
              <w:rPr>
                <w:sz w:val="3"/>
                <w:szCs w:val="3"/>
                <w:color w:val="auto"/>
              </w:rPr>
            </w:pPr>
          </w:p>
        </w:tc>
        <w:tc>
          <w:tcPr>
            <w:tcW w:w="220" w:type="dxa"/>
            <w:vAlign w:val="bottom"/>
          </w:tcPr>
          <w:p>
            <w:pPr>
              <w:spacing w:after="0"/>
              <w:rPr>
                <w:sz w:val="3"/>
                <w:szCs w:val="3"/>
                <w:color w:val="auto"/>
              </w:rPr>
            </w:pPr>
          </w:p>
        </w:tc>
        <w:tc>
          <w:tcPr>
            <w:tcW w:w="120" w:type="dxa"/>
            <w:vAlign w:val="bottom"/>
          </w:tcPr>
          <w:p>
            <w:pPr>
              <w:spacing w:after="0"/>
              <w:rPr>
                <w:sz w:val="3"/>
                <w:szCs w:val="3"/>
                <w:color w:val="auto"/>
              </w:rPr>
            </w:pPr>
          </w:p>
        </w:tc>
        <w:tc>
          <w:tcPr>
            <w:tcW w:w="140" w:type="dxa"/>
            <w:vAlign w:val="bottom"/>
          </w:tcPr>
          <w:p>
            <w:pPr>
              <w:spacing w:after="0"/>
              <w:rPr>
                <w:sz w:val="3"/>
                <w:szCs w:val="3"/>
                <w:color w:val="auto"/>
              </w:rPr>
            </w:pPr>
          </w:p>
        </w:tc>
        <w:tc>
          <w:tcPr>
            <w:tcW w:w="1280" w:type="dxa"/>
            <w:vAlign w:val="bottom"/>
            <w:gridSpan w:val="3"/>
            <w:vMerge w:val="continue"/>
          </w:tcPr>
          <w:p>
            <w:pPr>
              <w:spacing w:after="0"/>
              <w:rPr>
                <w:sz w:val="3"/>
                <w:szCs w:val="3"/>
                <w:color w:val="auto"/>
              </w:rPr>
            </w:pPr>
          </w:p>
        </w:tc>
        <w:tc>
          <w:tcPr>
            <w:tcW w:w="1200" w:type="dxa"/>
            <w:vAlign w:val="bottom"/>
            <w:gridSpan w:val="3"/>
            <w:vMerge w:val="continue"/>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300" w:type="dxa"/>
            <w:vAlign w:val="bottom"/>
          </w:tcPr>
          <w:p>
            <w:pPr>
              <w:spacing w:after="0"/>
              <w:rPr>
                <w:sz w:val="3"/>
                <w:szCs w:val="3"/>
                <w:color w:val="auto"/>
              </w:rPr>
            </w:pPr>
          </w:p>
        </w:tc>
        <w:tc>
          <w:tcPr>
            <w:tcW w:w="40" w:type="dxa"/>
            <w:vAlign w:val="bottom"/>
          </w:tcPr>
          <w:p>
            <w:pPr>
              <w:spacing w:after="0"/>
              <w:rPr>
                <w:sz w:val="3"/>
                <w:szCs w:val="3"/>
                <w:color w:val="auto"/>
              </w:rPr>
            </w:pPr>
          </w:p>
        </w:tc>
        <w:tc>
          <w:tcPr>
            <w:tcW w:w="220" w:type="dxa"/>
            <w:vAlign w:val="bottom"/>
          </w:tcPr>
          <w:p>
            <w:pPr>
              <w:spacing w:after="0"/>
              <w:rPr>
                <w:sz w:val="3"/>
                <w:szCs w:val="3"/>
                <w:color w:val="auto"/>
              </w:rPr>
            </w:pPr>
          </w:p>
        </w:tc>
        <w:tc>
          <w:tcPr>
            <w:tcW w:w="280" w:type="dxa"/>
            <w:vAlign w:val="bottom"/>
          </w:tcPr>
          <w:p>
            <w:pPr>
              <w:spacing w:after="0"/>
              <w:rPr>
                <w:sz w:val="3"/>
                <w:szCs w:val="3"/>
                <w:color w:val="auto"/>
              </w:rPr>
            </w:pPr>
          </w:p>
        </w:tc>
        <w:tc>
          <w:tcPr>
            <w:tcW w:w="94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61"/>
        </w:trPr>
        <w:tc>
          <w:tcPr>
            <w:tcW w:w="2880" w:type="dxa"/>
            <w:vAlign w:val="bottom"/>
          </w:tcPr>
          <w:p>
            <w:pPr>
              <w:spacing w:after="0"/>
              <w:rPr>
                <w:sz w:val="20"/>
                <w:szCs w:val="20"/>
                <w:color w:val="auto"/>
              </w:rPr>
            </w:pPr>
            <w:r>
              <w:rPr>
                <w:rFonts w:ascii="Arial" w:cs="Arial" w:eastAsia="Arial" w:hAnsi="Arial"/>
                <w:sz w:val="14"/>
                <w:szCs w:val="14"/>
                <w:i w:val="1"/>
                <w:iCs w:val="1"/>
                <w:color w:val="auto"/>
              </w:rPr>
              <w:t>(in millions)</w:t>
            </w:r>
          </w:p>
        </w:tc>
        <w:tc>
          <w:tcPr>
            <w:tcW w:w="72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center"/>
              <w:ind w:right="82"/>
              <w:spacing w:after="0"/>
              <w:rPr>
                <w:sz w:val="20"/>
                <w:szCs w:val="20"/>
                <w:color w:val="auto"/>
              </w:rPr>
            </w:pPr>
            <w:r>
              <w:rPr>
                <w:rFonts w:ascii="Arial" w:cs="Arial" w:eastAsia="Arial" w:hAnsi="Arial"/>
                <w:sz w:val="14"/>
                <w:szCs w:val="14"/>
                <w:b w:val="1"/>
                <w:bCs w:val="1"/>
                <w:color w:val="auto"/>
                <w:w w:val="83"/>
              </w:rPr>
              <w:t>2009</w:t>
            </w:r>
          </w:p>
        </w:tc>
        <w:tc>
          <w:tcPr>
            <w:tcW w:w="4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ind w:right="247"/>
              <w:spacing w:after="0"/>
              <w:rPr>
                <w:sz w:val="20"/>
                <w:szCs w:val="20"/>
                <w:color w:val="auto"/>
              </w:rPr>
            </w:pPr>
            <w:r>
              <w:rPr>
                <w:rFonts w:ascii="Arial" w:cs="Arial" w:eastAsia="Arial" w:hAnsi="Arial"/>
                <w:sz w:val="14"/>
                <w:szCs w:val="14"/>
                <w:b w:val="1"/>
                <w:bCs w:val="1"/>
                <w:color w:val="auto"/>
              </w:rPr>
              <w:t>$</w:t>
            </w:r>
          </w:p>
        </w:tc>
        <w:tc>
          <w:tcPr>
            <w:tcW w:w="300" w:type="dxa"/>
            <w:vAlign w:val="bottom"/>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jc w:val="right"/>
              <w:ind w:right="2"/>
              <w:spacing w:after="0"/>
              <w:rPr>
                <w:sz w:val="20"/>
                <w:szCs w:val="20"/>
                <w:color w:val="auto"/>
              </w:rPr>
            </w:pPr>
            <w:r>
              <w:rPr>
                <w:rFonts w:ascii="Arial" w:cs="Arial" w:eastAsia="Arial" w:hAnsi="Arial"/>
                <w:sz w:val="14"/>
                <w:szCs w:val="14"/>
                <w:b w:val="1"/>
                <w:bCs w:val="1"/>
                <w:color w:val="auto"/>
                <w:w w:val="96"/>
              </w:rPr>
              <w:t>%</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center"/>
              <w:ind w:right="82"/>
              <w:spacing w:after="0"/>
              <w:rPr>
                <w:sz w:val="20"/>
                <w:szCs w:val="20"/>
                <w:color w:val="auto"/>
              </w:rPr>
            </w:pPr>
            <w:r>
              <w:rPr>
                <w:rFonts w:ascii="Arial" w:cs="Arial" w:eastAsia="Arial" w:hAnsi="Arial"/>
                <w:sz w:val="14"/>
                <w:szCs w:val="14"/>
                <w:b w:val="1"/>
                <w:bCs w:val="1"/>
                <w:color w:val="auto"/>
                <w:w w:val="83"/>
              </w:rPr>
              <w:t>2008</w:t>
            </w:r>
          </w:p>
        </w:tc>
        <w:tc>
          <w:tcPr>
            <w:tcW w:w="46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center"/>
              <w:ind w:right="82"/>
              <w:spacing w:after="0"/>
              <w:rPr>
                <w:sz w:val="20"/>
                <w:szCs w:val="20"/>
                <w:color w:val="auto"/>
              </w:rPr>
            </w:pPr>
            <w:r>
              <w:rPr>
                <w:rFonts w:ascii="Arial" w:cs="Arial" w:eastAsia="Arial" w:hAnsi="Arial"/>
                <w:sz w:val="14"/>
                <w:szCs w:val="14"/>
                <w:b w:val="1"/>
                <w:bCs w:val="1"/>
                <w:color w:val="auto"/>
                <w:w w:val="89"/>
              </w:rPr>
              <w:t>2009</w:t>
            </w:r>
          </w:p>
        </w:tc>
        <w:tc>
          <w:tcPr>
            <w:tcW w:w="4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267"/>
              <w:spacing w:after="0"/>
              <w:rPr>
                <w:sz w:val="20"/>
                <w:szCs w:val="20"/>
                <w:color w:val="auto"/>
              </w:rPr>
            </w:pPr>
            <w:r>
              <w:rPr>
                <w:rFonts w:ascii="Arial" w:cs="Arial" w:eastAsia="Arial" w:hAnsi="Arial"/>
                <w:sz w:val="14"/>
                <w:szCs w:val="14"/>
                <w:b w:val="1"/>
                <w:bCs w:val="1"/>
                <w:color w:val="auto"/>
              </w:rPr>
              <w:t>$</w:t>
            </w:r>
          </w:p>
        </w:tc>
        <w:tc>
          <w:tcPr>
            <w:tcW w:w="300" w:type="dxa"/>
            <w:vAlign w:val="bottom"/>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28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center"/>
              <w:ind w:right="62"/>
              <w:spacing w:after="0"/>
              <w:rPr>
                <w:sz w:val="20"/>
                <w:szCs w:val="20"/>
                <w:color w:val="auto"/>
              </w:rPr>
            </w:pPr>
            <w:r>
              <w:rPr>
                <w:rFonts w:ascii="Arial" w:cs="Arial" w:eastAsia="Arial" w:hAnsi="Arial"/>
                <w:sz w:val="14"/>
                <w:szCs w:val="14"/>
                <w:b w:val="1"/>
                <w:bCs w:val="1"/>
                <w:color w:val="auto"/>
                <w:w w:val="83"/>
              </w:rPr>
              <w:t>2008</w:t>
            </w: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880" w:type="dxa"/>
            <w:vAlign w:val="bottom"/>
            <w:shd w:val="clear" w:color="auto" w:fill="CCEEFF"/>
          </w:tcPr>
          <w:p>
            <w:pPr>
              <w:spacing w:after="0"/>
              <w:rPr>
                <w:sz w:val="20"/>
                <w:szCs w:val="20"/>
                <w:color w:val="auto"/>
              </w:rPr>
            </w:pPr>
            <w:r>
              <w:rPr>
                <w:rFonts w:ascii="Arial" w:cs="Arial" w:eastAsia="Arial" w:hAnsi="Arial"/>
                <w:sz w:val="18"/>
                <w:szCs w:val="18"/>
                <w:color w:val="auto"/>
              </w:rPr>
              <w:t>Impairment of goodwill</w:t>
            </w:r>
          </w:p>
        </w:tc>
        <w:tc>
          <w:tcPr>
            <w:tcW w:w="880" w:type="dxa"/>
            <w:vAlign w:val="bottom"/>
            <w:gridSpan w:val="2"/>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gridSpan w:val="3"/>
            <w:shd w:val="clear" w:color="auto" w:fill="CCEEFF"/>
          </w:tcPr>
          <w:p>
            <w:pPr>
              <w:ind w:left="340"/>
              <w:spacing w:after="0"/>
              <w:rPr>
                <w:sz w:val="20"/>
                <w:szCs w:val="20"/>
                <w:color w:val="auto"/>
              </w:rPr>
            </w:pPr>
            <w:r>
              <w:rPr>
                <w:rFonts w:ascii="Arial" w:cs="Arial" w:eastAsia="Arial" w:hAnsi="Arial"/>
                <w:sz w:val="18"/>
                <w:szCs w:val="18"/>
                <w:color w:val="auto"/>
              </w:rPr>
              <w:t>—</w:t>
            </w:r>
          </w:p>
        </w:tc>
        <w:tc>
          <w:tcPr>
            <w:tcW w:w="3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21.0</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21.0</w:t>
            </w:r>
          </w:p>
        </w:tc>
        <w:tc>
          <w:tcPr>
            <w:tcW w:w="3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2"/>
        </w:trPr>
        <w:tc>
          <w:tcPr>
            <w:tcW w:w="2880" w:type="dxa"/>
            <w:vAlign w:val="bottom"/>
          </w:tcPr>
          <w:p>
            <w:pPr>
              <w:spacing w:after="0"/>
              <w:rPr>
                <w:sz w:val="20"/>
                <w:szCs w:val="20"/>
                <w:color w:val="auto"/>
              </w:rPr>
            </w:pPr>
            <w:r>
              <w:rPr>
                <w:rFonts w:ascii="Arial" w:cs="Arial" w:eastAsia="Arial" w:hAnsi="Arial"/>
                <w:sz w:val="18"/>
                <w:szCs w:val="18"/>
                <w:color w:val="auto"/>
              </w:rPr>
              <w:t>As a percentage of net revenue</w:t>
            </w:r>
          </w:p>
        </w:tc>
        <w:tc>
          <w:tcPr>
            <w:tcW w:w="7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00" w:type="dxa"/>
            <w:vAlign w:val="bottom"/>
            <w:gridSpan w:val="2"/>
          </w:tcPr>
          <w:p>
            <w:pPr>
              <w:jc w:val="right"/>
              <w:ind w:right="300"/>
              <w:spacing w:after="0"/>
              <w:rPr>
                <w:sz w:val="20"/>
                <w:szCs w:val="20"/>
                <w:color w:val="auto"/>
              </w:rPr>
            </w:pPr>
            <w:r>
              <w:rPr>
                <w:rFonts w:ascii="Arial" w:cs="Arial" w:eastAsia="Arial" w:hAnsi="Arial"/>
                <w:sz w:val="18"/>
                <w:szCs w:val="18"/>
                <w:color w:val="auto"/>
              </w:rPr>
              <w:t>0%</w:t>
            </w: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20" w:type="dxa"/>
            <w:vAlign w:val="bottom"/>
            <w:gridSpan w:val="2"/>
          </w:tcPr>
          <w:p>
            <w:pPr>
              <w:jc w:val="right"/>
              <w:ind w:right="320"/>
              <w:spacing w:after="0"/>
              <w:rPr>
                <w:sz w:val="20"/>
                <w:szCs w:val="20"/>
                <w:color w:val="auto"/>
              </w:rPr>
            </w:pPr>
            <w:r>
              <w:rPr>
                <w:rFonts w:ascii="Arial" w:cs="Arial" w:eastAsia="Arial" w:hAnsi="Arial"/>
                <w:sz w:val="18"/>
                <w:szCs w:val="18"/>
                <w:color w:val="auto"/>
              </w:rPr>
              <w:t>0%</w:t>
            </w:r>
          </w:p>
        </w:tc>
        <w:tc>
          <w:tcPr>
            <w:tcW w:w="140" w:type="dxa"/>
            <w:vAlign w:val="bottom"/>
          </w:tcPr>
          <w:p>
            <w:pPr>
              <w:spacing w:after="0"/>
              <w:rPr>
                <w:sz w:val="19"/>
                <w:szCs w:val="19"/>
                <w:color w:val="auto"/>
              </w:rPr>
            </w:pPr>
          </w:p>
        </w:tc>
        <w:tc>
          <w:tcPr>
            <w:tcW w:w="1060" w:type="dxa"/>
            <w:vAlign w:val="bottom"/>
            <w:gridSpan w:val="2"/>
          </w:tcPr>
          <w:p>
            <w:pPr>
              <w:jc w:val="right"/>
              <w:ind w:right="320"/>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0" w:type="dxa"/>
            <w:vAlign w:val="bottom"/>
            <w:gridSpan w:val="2"/>
          </w:tcPr>
          <w:p>
            <w:pPr>
              <w:jc w:val="right"/>
              <w:ind w:right="6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64770</wp:posOffset>
            </wp:positionV>
            <wp:extent cx="728980"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14" w:lineRule="exact"/>
        <w:rPr>
          <w:sz w:val="20"/>
          <w:szCs w:val="20"/>
          <w:color w:val="auto"/>
        </w:rPr>
      </w:pPr>
    </w:p>
    <w:p>
      <w:pPr>
        <w:spacing w:after="0"/>
        <w:rPr>
          <w:sz w:val="20"/>
          <w:szCs w:val="20"/>
          <w:color w:val="auto"/>
        </w:rPr>
      </w:pPr>
      <w:r>
        <w:rPr>
          <w:rFonts w:ascii="Arial" w:cs="Arial" w:eastAsia="Arial" w:hAnsi="Arial"/>
          <w:sz w:val="18"/>
          <w:szCs w:val="18"/>
          <w:color w:val="auto"/>
        </w:rPr>
        <w:t>*  Percentage is not meaningful</w:t>
      </w:r>
    </w:p>
    <w:p>
      <w:pPr>
        <w:spacing w:after="0" w:line="171" w:lineRule="exact"/>
        <w:rPr>
          <w:sz w:val="20"/>
          <w:szCs w:val="20"/>
          <w:color w:val="auto"/>
        </w:rPr>
      </w:pPr>
    </w:p>
    <w:p>
      <w:pPr>
        <w:ind w:right="20" w:firstLine="456"/>
        <w:spacing w:after="0" w:line="287" w:lineRule="auto"/>
        <w:rPr>
          <w:sz w:val="20"/>
          <w:szCs w:val="20"/>
          <w:color w:val="auto"/>
        </w:rPr>
      </w:pPr>
      <w:r>
        <w:rPr>
          <w:rFonts w:ascii="Arial" w:cs="Arial" w:eastAsia="Arial" w:hAnsi="Arial"/>
          <w:sz w:val="16"/>
          <w:szCs w:val="16"/>
          <w:color w:val="auto"/>
        </w:rPr>
        <w:t xml:space="preserve">We recorded an impairment charge of $21.0 million affecting the first quarter of fiscal 2010 representing the entire goodwill balance of the M&amp;E segment as of April 30, 2009. This goodwill balance related to the M&amp;E segment’s fourth quarter fiscal 2009 acquisition of substantially all of the assets of Softimage. In May 2009, we concluded that an impairment of goodwill had occurred as of April 30, 2009 due to revisions to our revenue and cash flow projections prepared in the second half of the first quarter of fiscal 2010 in response to the significant and sustained revenue declines we were experiencing in all segments and geographies in the first quarter of fiscal 2010. The revenue and cash flow projections were substantially impacted for all segments, and the M&amp;E segment was the only segment which had a current fair value of its future discounted cash flows that fell below the carrying value of its assets. Should our revenue and cash flow projections decline significantly in the future, additional impairment charges may be recorded on goodwill. See Note 12, “Goodwill,” in the Notes to Condensed Consolidated Financial Statements and “Critical Accounting Policies and Estimates – </w:t>
      </w:r>
      <w:r>
        <w:rPr>
          <w:rFonts w:ascii="Arial" w:cs="Arial" w:eastAsia="Arial" w:hAnsi="Arial"/>
          <w:sz w:val="16"/>
          <w:szCs w:val="16"/>
          <w:i w:val="1"/>
          <w:iCs w:val="1"/>
          <w:color w:val="auto"/>
        </w:rPr>
        <w:t>Goodwill</w:t>
      </w:r>
      <w:r>
        <w:rPr>
          <w:rFonts w:ascii="Arial" w:cs="Arial" w:eastAsia="Arial" w:hAnsi="Arial"/>
          <w:sz w:val="16"/>
          <w:szCs w:val="16"/>
          <w:color w:val="auto"/>
        </w:rPr>
        <w:t>” above for further discussion. As of October 31, 2009, a hypothetical 10% decrease in the fair value of our reporting units would not have an impact on the carrying value of goodwill nor result in additional impairment of goodwill.</w:t>
      </w:r>
    </w:p>
    <w:p>
      <w:pPr>
        <w:spacing w:after="0" w:line="204"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Interest and Other Income, Net</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sets forth the components of interest and other income, net:</w:t>
      </w:r>
    </w:p>
    <w:tbl>
      <w:tblPr>
        <w:tblLayout w:type="fixed"/>
        <w:tblInd w:w="0" w:type="dxa"/>
        <w:tblCellMar>
          <w:top w:w="0" w:type="dxa"/>
          <w:left w:w="0" w:type="dxa"/>
          <w:bottom w:w="0" w:type="dxa"/>
          <w:right w:w="0" w:type="dxa"/>
        </w:tblCellMar>
      </w:tblPr>
      <w:tr>
        <w:trPr>
          <w:trHeight w:val="153"/>
        </w:trPr>
        <w:tc>
          <w:tcPr>
            <w:tcW w:w="9000" w:type="dxa"/>
            <w:vAlign w:val="bottom"/>
          </w:tcPr>
          <w:p>
            <w:pPr>
              <w:spacing w:after="0"/>
              <w:rPr>
                <w:sz w:val="13"/>
                <w:szCs w:val="13"/>
                <w:color w:val="auto"/>
              </w:rPr>
            </w:pPr>
          </w:p>
        </w:tc>
        <w:tc>
          <w:tcPr>
            <w:tcW w:w="1280" w:type="dxa"/>
            <w:vAlign w:val="bottom"/>
            <w:gridSpan w:val="5"/>
          </w:tcPr>
          <w:p>
            <w:pPr>
              <w:jc w:val="center"/>
              <w:ind w:right="320"/>
              <w:spacing w:after="0" w:line="153" w:lineRule="exact"/>
              <w:rPr>
                <w:sz w:val="20"/>
                <w:szCs w:val="20"/>
                <w:color w:val="auto"/>
              </w:rPr>
            </w:pPr>
            <w:r>
              <w:rPr>
                <w:rFonts w:ascii="Arial" w:cs="Arial" w:eastAsia="Arial" w:hAnsi="Arial"/>
                <w:sz w:val="14"/>
                <w:szCs w:val="14"/>
                <w:b w:val="1"/>
                <w:bCs w:val="1"/>
                <w:color w:val="auto"/>
                <w:w w:val="86"/>
              </w:rPr>
              <w:t>Three months</w:t>
            </w:r>
          </w:p>
        </w:tc>
        <w:tc>
          <w:tcPr>
            <w:tcW w:w="100" w:type="dxa"/>
            <w:vAlign w:val="bottom"/>
          </w:tcPr>
          <w:p>
            <w:pPr>
              <w:spacing w:after="0"/>
              <w:rPr>
                <w:sz w:val="13"/>
                <w:szCs w:val="13"/>
                <w:color w:val="auto"/>
              </w:rPr>
            </w:pPr>
          </w:p>
        </w:tc>
        <w:tc>
          <w:tcPr>
            <w:tcW w:w="1040" w:type="dxa"/>
            <w:vAlign w:val="bottom"/>
            <w:gridSpan w:val="5"/>
          </w:tcPr>
          <w:p>
            <w:pPr>
              <w:jc w:val="center"/>
              <w:ind w:right="200"/>
              <w:spacing w:after="0" w:line="153" w:lineRule="exact"/>
              <w:rPr>
                <w:sz w:val="20"/>
                <w:szCs w:val="20"/>
                <w:color w:val="auto"/>
              </w:rPr>
            </w:pPr>
            <w:r>
              <w:rPr>
                <w:rFonts w:ascii="Arial" w:cs="Arial" w:eastAsia="Arial" w:hAnsi="Arial"/>
                <w:sz w:val="14"/>
                <w:szCs w:val="14"/>
                <w:b w:val="1"/>
                <w:bCs w:val="1"/>
                <w:color w:val="auto"/>
                <w:w w:val="84"/>
              </w:rPr>
              <w:t>Nine months</w:t>
            </w:r>
          </w:p>
        </w:tc>
      </w:tr>
      <w:tr>
        <w:trPr>
          <w:trHeight w:val="149"/>
        </w:trPr>
        <w:tc>
          <w:tcPr>
            <w:tcW w:w="9000" w:type="dxa"/>
            <w:vAlign w:val="bottom"/>
          </w:tcPr>
          <w:p>
            <w:pPr>
              <w:spacing w:after="0"/>
              <w:rPr>
                <w:sz w:val="12"/>
                <w:szCs w:val="12"/>
                <w:color w:val="auto"/>
              </w:rPr>
            </w:pPr>
          </w:p>
        </w:tc>
        <w:tc>
          <w:tcPr>
            <w:tcW w:w="1280" w:type="dxa"/>
            <w:vAlign w:val="bottom"/>
            <w:gridSpan w:val="5"/>
          </w:tcPr>
          <w:p>
            <w:pPr>
              <w:jc w:val="center"/>
              <w:ind w:right="320"/>
              <w:spacing w:after="0" w:line="149" w:lineRule="exact"/>
              <w:rPr>
                <w:sz w:val="20"/>
                <w:szCs w:val="20"/>
                <w:color w:val="auto"/>
              </w:rPr>
            </w:pPr>
            <w:r>
              <w:rPr>
                <w:rFonts w:ascii="Arial" w:cs="Arial" w:eastAsia="Arial" w:hAnsi="Arial"/>
                <w:sz w:val="14"/>
                <w:szCs w:val="14"/>
                <w:b w:val="1"/>
                <w:bCs w:val="1"/>
                <w:color w:val="auto"/>
                <w:w w:val="87"/>
              </w:rPr>
              <w:t>ended</w:t>
            </w:r>
          </w:p>
        </w:tc>
        <w:tc>
          <w:tcPr>
            <w:tcW w:w="100" w:type="dxa"/>
            <w:vAlign w:val="bottom"/>
          </w:tcPr>
          <w:p>
            <w:pPr>
              <w:spacing w:after="0"/>
              <w:rPr>
                <w:sz w:val="12"/>
                <w:szCs w:val="12"/>
                <w:color w:val="auto"/>
              </w:rPr>
            </w:pPr>
          </w:p>
        </w:tc>
        <w:tc>
          <w:tcPr>
            <w:tcW w:w="620" w:type="dxa"/>
            <w:vAlign w:val="bottom"/>
            <w:gridSpan w:val="3"/>
          </w:tcPr>
          <w:p>
            <w:pPr>
              <w:jc w:val="center"/>
              <w:ind w:left="140"/>
              <w:spacing w:after="0" w:line="149" w:lineRule="exact"/>
              <w:rPr>
                <w:sz w:val="20"/>
                <w:szCs w:val="20"/>
                <w:color w:val="auto"/>
              </w:rPr>
            </w:pPr>
            <w:r>
              <w:rPr>
                <w:rFonts w:ascii="Arial" w:cs="Arial" w:eastAsia="Arial" w:hAnsi="Arial"/>
                <w:sz w:val="14"/>
                <w:szCs w:val="14"/>
                <w:b w:val="1"/>
                <w:bCs w:val="1"/>
                <w:color w:val="auto"/>
                <w:w w:val="87"/>
              </w:rPr>
              <w:t>ended</w:t>
            </w:r>
          </w:p>
        </w:tc>
        <w:tc>
          <w:tcPr>
            <w:tcW w:w="32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61"/>
        </w:trPr>
        <w:tc>
          <w:tcPr>
            <w:tcW w:w="9000" w:type="dxa"/>
            <w:vAlign w:val="bottom"/>
          </w:tcPr>
          <w:p>
            <w:pPr>
              <w:spacing w:after="0"/>
              <w:rPr>
                <w:sz w:val="14"/>
                <w:szCs w:val="14"/>
                <w:color w:val="auto"/>
              </w:rPr>
            </w:pPr>
          </w:p>
        </w:tc>
        <w:tc>
          <w:tcPr>
            <w:tcW w:w="1280" w:type="dxa"/>
            <w:vAlign w:val="bottom"/>
            <w:gridSpan w:val="5"/>
          </w:tcPr>
          <w:p>
            <w:pPr>
              <w:jc w:val="center"/>
              <w:ind w:right="320"/>
              <w:spacing w:after="0"/>
              <w:rPr>
                <w:sz w:val="20"/>
                <w:szCs w:val="20"/>
                <w:color w:val="auto"/>
              </w:rPr>
            </w:pPr>
            <w:r>
              <w:rPr>
                <w:rFonts w:ascii="Arial" w:cs="Arial" w:eastAsia="Arial" w:hAnsi="Arial"/>
                <w:sz w:val="14"/>
                <w:szCs w:val="14"/>
                <w:b w:val="1"/>
                <w:bCs w:val="1"/>
                <w:color w:val="auto"/>
                <w:w w:val="88"/>
              </w:rPr>
              <w:t>October 31,</w:t>
            </w:r>
          </w:p>
        </w:tc>
        <w:tc>
          <w:tcPr>
            <w:tcW w:w="100" w:type="dxa"/>
            <w:vAlign w:val="bottom"/>
          </w:tcPr>
          <w:p>
            <w:pPr>
              <w:spacing w:after="0"/>
              <w:rPr>
                <w:sz w:val="14"/>
                <w:szCs w:val="14"/>
                <w:color w:val="auto"/>
              </w:rPr>
            </w:pPr>
          </w:p>
        </w:tc>
        <w:tc>
          <w:tcPr>
            <w:tcW w:w="1040" w:type="dxa"/>
            <w:vAlign w:val="bottom"/>
            <w:gridSpan w:val="5"/>
          </w:tcPr>
          <w:p>
            <w:pPr>
              <w:jc w:val="center"/>
              <w:ind w:right="200"/>
              <w:spacing w:after="0"/>
              <w:rPr>
                <w:sz w:val="20"/>
                <w:szCs w:val="20"/>
                <w:color w:val="auto"/>
              </w:rPr>
            </w:pPr>
            <w:r>
              <w:rPr>
                <w:rFonts w:ascii="Arial" w:cs="Arial" w:eastAsia="Arial" w:hAnsi="Arial"/>
                <w:sz w:val="14"/>
                <w:szCs w:val="14"/>
                <w:b w:val="1"/>
                <w:bCs w:val="1"/>
                <w:color w:val="auto"/>
                <w:w w:val="88"/>
              </w:rPr>
              <w:t>October 31,</w:t>
            </w:r>
          </w:p>
        </w:tc>
      </w:tr>
      <w:tr>
        <w:trPr>
          <w:trHeight w:val="142"/>
        </w:trPr>
        <w:tc>
          <w:tcPr>
            <w:tcW w:w="9000" w:type="dxa"/>
            <w:vAlign w:val="bottom"/>
          </w:tcPr>
          <w:p>
            <w:pPr>
              <w:spacing w:after="0" w:line="142" w:lineRule="exact"/>
              <w:rPr>
                <w:sz w:val="20"/>
                <w:szCs w:val="20"/>
                <w:color w:val="auto"/>
              </w:rPr>
            </w:pPr>
            <w:r>
              <w:rPr>
                <w:rFonts w:ascii="Arial" w:cs="Arial" w:eastAsia="Arial" w:hAnsi="Arial"/>
                <w:sz w:val="14"/>
                <w:szCs w:val="14"/>
                <w:i w:val="1"/>
                <w:iCs w:val="1"/>
                <w:color w:val="auto"/>
              </w:rPr>
              <w:t>(in millions)</w:t>
            </w:r>
          </w:p>
        </w:tc>
        <w:tc>
          <w:tcPr>
            <w:tcW w:w="36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96"/>
              </w:rPr>
              <w:t>2009</w:t>
            </w:r>
          </w:p>
        </w:tc>
        <w:tc>
          <w:tcPr>
            <w:tcW w:w="12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38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96"/>
              </w:rPr>
              <w:t>2008</w:t>
            </w:r>
          </w:p>
        </w:tc>
        <w:tc>
          <w:tcPr>
            <w:tcW w:w="320" w:type="dxa"/>
            <w:vAlign w:val="bottom"/>
          </w:tcPr>
          <w:p>
            <w:pPr>
              <w:spacing w:after="0"/>
              <w:rPr>
                <w:sz w:val="12"/>
                <w:szCs w:val="12"/>
                <w:color w:val="auto"/>
              </w:rPr>
            </w:pPr>
          </w:p>
        </w:tc>
        <w:tc>
          <w:tcPr>
            <w:tcW w:w="420" w:type="dxa"/>
            <w:vAlign w:val="bottom"/>
            <w:tcBorders>
              <w:top w:val="single" w:sz="8" w:color="auto"/>
              <w:bottom w:val="single" w:sz="8" w:color="auto"/>
            </w:tcBorders>
            <w:gridSpan w:val="2"/>
          </w:tcPr>
          <w:p>
            <w:pPr>
              <w:jc w:val="right"/>
              <w:spacing w:after="0" w:line="142" w:lineRule="exact"/>
              <w:rPr>
                <w:sz w:val="20"/>
                <w:szCs w:val="20"/>
                <w:color w:val="auto"/>
              </w:rPr>
            </w:pPr>
            <w:r>
              <w:rPr>
                <w:rFonts w:ascii="Arial" w:cs="Arial" w:eastAsia="Arial" w:hAnsi="Arial"/>
                <w:sz w:val="14"/>
                <w:szCs w:val="14"/>
                <w:b w:val="1"/>
                <w:bCs w:val="1"/>
                <w:color w:val="auto"/>
              </w:rPr>
              <w:t>2009</w:t>
            </w:r>
          </w:p>
        </w:tc>
        <w:tc>
          <w:tcPr>
            <w:tcW w:w="200" w:type="dxa"/>
            <w:vAlign w:val="bottom"/>
            <w:tcBorders>
              <w:top w:val="single" w:sz="8" w:color="auto"/>
            </w:tcBorders>
          </w:tcPr>
          <w:p>
            <w:pPr>
              <w:spacing w:after="0"/>
              <w:rPr>
                <w:sz w:val="12"/>
                <w:szCs w:val="12"/>
                <w:color w:val="auto"/>
              </w:rPr>
            </w:pPr>
          </w:p>
        </w:tc>
        <w:tc>
          <w:tcPr>
            <w:tcW w:w="420" w:type="dxa"/>
            <w:vAlign w:val="bottom"/>
            <w:tcBorders>
              <w:top w:val="single" w:sz="8" w:color="auto"/>
              <w:bottom w:val="single" w:sz="8" w:color="auto"/>
            </w:tcBorders>
            <w:gridSpan w:val="2"/>
          </w:tcPr>
          <w:p>
            <w:pPr>
              <w:jc w:val="right"/>
              <w:spacing w:after="0" w:line="142" w:lineRule="exact"/>
              <w:rPr>
                <w:sz w:val="20"/>
                <w:szCs w:val="20"/>
                <w:color w:val="auto"/>
              </w:rPr>
            </w:pPr>
            <w:r>
              <w:rPr>
                <w:rFonts w:ascii="Arial" w:cs="Arial" w:eastAsia="Arial" w:hAnsi="Arial"/>
                <w:sz w:val="14"/>
                <w:szCs w:val="14"/>
                <w:b w:val="1"/>
                <w:bCs w:val="1"/>
                <w:color w:val="auto"/>
              </w:rPr>
              <w:t>2008</w:t>
            </w:r>
          </w:p>
        </w:tc>
        <w:tc>
          <w:tcPr>
            <w:tcW w:w="100" w:type="dxa"/>
            <w:vAlign w:val="bottom"/>
          </w:tcPr>
          <w:p>
            <w:pPr>
              <w:spacing w:after="0"/>
              <w:rPr>
                <w:sz w:val="12"/>
                <w:szCs w:val="12"/>
                <w:color w:val="auto"/>
              </w:rPr>
            </w:pPr>
          </w:p>
        </w:tc>
      </w:tr>
      <w:tr>
        <w:trPr>
          <w:trHeight w:val="210"/>
        </w:trPr>
        <w:tc>
          <w:tcPr>
            <w:tcW w:w="9000" w:type="dxa"/>
            <w:vAlign w:val="bottom"/>
            <w:shd w:val="clear" w:color="auto" w:fill="CCEEFF"/>
          </w:tcPr>
          <w:p>
            <w:pPr>
              <w:spacing w:after="0"/>
              <w:rPr>
                <w:sz w:val="20"/>
                <w:szCs w:val="20"/>
                <w:color w:val="auto"/>
              </w:rPr>
            </w:pPr>
            <w:r>
              <w:rPr>
                <w:rFonts w:ascii="Arial" w:cs="Arial" w:eastAsia="Arial" w:hAnsi="Arial"/>
                <w:sz w:val="18"/>
                <w:szCs w:val="18"/>
                <w:color w:val="auto"/>
              </w:rPr>
              <w:t>Interest and investment income, net</w:t>
            </w:r>
          </w:p>
        </w:tc>
        <w:tc>
          <w:tcPr>
            <w:tcW w:w="4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84"/>
              </w:rPr>
              <w:t>$ 3.1</w:t>
            </w:r>
          </w:p>
        </w:tc>
        <w:tc>
          <w:tcPr>
            <w:tcW w:w="80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$ 2.8</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5"/>
              </w:rPr>
              <w:t>13.2</w:t>
            </w:r>
          </w:p>
        </w:tc>
      </w:tr>
      <w:tr>
        <w:trPr>
          <w:trHeight w:val="216"/>
        </w:trPr>
        <w:tc>
          <w:tcPr>
            <w:tcW w:w="9000" w:type="dxa"/>
            <w:vAlign w:val="bottom"/>
          </w:tcPr>
          <w:p>
            <w:pPr>
              <w:spacing w:after="0"/>
              <w:rPr>
                <w:sz w:val="20"/>
                <w:szCs w:val="20"/>
                <w:color w:val="auto"/>
              </w:rPr>
            </w:pPr>
            <w:r>
              <w:rPr>
                <w:rFonts w:ascii="Arial" w:cs="Arial" w:eastAsia="Arial" w:hAnsi="Arial"/>
                <w:sz w:val="18"/>
                <w:szCs w:val="18"/>
                <w:color w:val="auto"/>
              </w:rPr>
              <w:t>Investment impairment</w:t>
            </w:r>
          </w:p>
        </w:tc>
        <w:tc>
          <w:tcPr>
            <w:tcW w:w="4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800" w:type="dxa"/>
            <w:vAlign w:val="bottom"/>
            <w:gridSpan w:val="3"/>
          </w:tcPr>
          <w:p>
            <w:pPr>
              <w:jc w:val="right"/>
              <w:ind w:right="260"/>
              <w:spacing w:after="0"/>
              <w:rPr>
                <w:sz w:val="20"/>
                <w:szCs w:val="20"/>
                <w:color w:val="auto"/>
              </w:rPr>
            </w:pPr>
            <w:r>
              <w:rPr>
                <w:rFonts w:ascii="Arial" w:cs="Arial" w:eastAsia="Arial" w:hAnsi="Arial"/>
                <w:sz w:val="18"/>
                <w:szCs w:val="18"/>
                <w:color w:val="auto"/>
              </w:rPr>
              <w:t>(2.0)</w:t>
            </w:r>
          </w:p>
        </w:tc>
        <w:tc>
          <w:tcPr>
            <w:tcW w:w="100" w:type="dxa"/>
            <w:vAlign w:val="bottom"/>
          </w:tcPr>
          <w:p>
            <w:pPr>
              <w:spacing w:after="0"/>
              <w:rPr>
                <w:sz w:val="18"/>
                <w:szCs w:val="18"/>
                <w:color w:val="auto"/>
              </w:rPr>
            </w:pPr>
          </w:p>
        </w:tc>
        <w:tc>
          <w:tcPr>
            <w:tcW w:w="320" w:type="dxa"/>
            <w:vAlign w:val="bottom"/>
          </w:tcPr>
          <w:p>
            <w:pPr>
              <w:jc w:val="right"/>
              <w:ind w:right="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gridSpan w:val="2"/>
          </w:tcPr>
          <w:p>
            <w:pPr>
              <w:jc w:val="right"/>
              <w:ind w:right="40"/>
              <w:spacing w:after="0"/>
              <w:rPr>
                <w:sz w:val="20"/>
                <w:szCs w:val="20"/>
                <w:color w:val="auto"/>
              </w:rPr>
            </w:pPr>
            <w:r>
              <w:rPr>
                <w:rFonts w:ascii="Arial" w:cs="Arial" w:eastAsia="Arial" w:hAnsi="Arial"/>
                <w:sz w:val="18"/>
                <w:szCs w:val="18"/>
                <w:color w:val="auto"/>
                <w:w w:val="97"/>
              </w:rPr>
              <w:t>(2.0)</w:t>
            </w:r>
          </w:p>
        </w:tc>
      </w:tr>
      <w:tr>
        <w:trPr>
          <w:trHeight w:val="216"/>
        </w:trPr>
        <w:tc>
          <w:tcPr>
            <w:tcW w:w="9000" w:type="dxa"/>
            <w:vAlign w:val="bottom"/>
            <w:shd w:val="clear" w:color="auto" w:fill="CCEEFF"/>
          </w:tcPr>
          <w:p>
            <w:pPr>
              <w:spacing w:after="0"/>
              <w:rPr>
                <w:sz w:val="20"/>
                <w:szCs w:val="20"/>
                <w:color w:val="auto"/>
              </w:rPr>
            </w:pPr>
            <w:r>
              <w:rPr>
                <w:rFonts w:ascii="Arial" w:cs="Arial" w:eastAsia="Arial" w:hAnsi="Arial"/>
                <w:sz w:val="18"/>
                <w:szCs w:val="18"/>
                <w:color w:val="auto"/>
              </w:rPr>
              <w:t>Gain (loss) on foreign currency transactions</w:t>
            </w:r>
          </w:p>
        </w:tc>
        <w:tc>
          <w:tcPr>
            <w:tcW w:w="4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0.8</w:t>
            </w:r>
          </w:p>
        </w:tc>
        <w:tc>
          <w:tcPr>
            <w:tcW w:w="80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(3.9)</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7"/>
              </w:rPr>
              <w:t>(2.4)</w:t>
            </w:r>
          </w:p>
        </w:tc>
      </w:tr>
      <w:tr>
        <w:trPr>
          <w:trHeight w:val="216"/>
        </w:trPr>
        <w:tc>
          <w:tcPr>
            <w:tcW w:w="9000" w:type="dxa"/>
            <w:vAlign w:val="bottom"/>
          </w:tcPr>
          <w:p>
            <w:pPr>
              <w:spacing w:after="0"/>
              <w:rPr>
                <w:sz w:val="20"/>
                <w:szCs w:val="20"/>
                <w:color w:val="auto"/>
              </w:rPr>
            </w:pPr>
            <w:r>
              <w:rPr>
                <w:rFonts w:ascii="Arial" w:cs="Arial" w:eastAsia="Arial" w:hAnsi="Arial"/>
                <w:sz w:val="18"/>
                <w:szCs w:val="18"/>
                <w:color w:val="auto"/>
              </w:rPr>
              <w:t>Other income (expense)</w:t>
            </w:r>
          </w:p>
        </w:tc>
        <w:tc>
          <w:tcPr>
            <w:tcW w:w="480" w:type="dxa"/>
            <w:vAlign w:val="bottom"/>
            <w:gridSpan w:val="2"/>
          </w:tcPr>
          <w:p>
            <w:pPr>
              <w:jc w:val="right"/>
              <w:ind w:right="120"/>
              <w:spacing w:after="0"/>
              <w:rPr>
                <w:sz w:val="20"/>
                <w:szCs w:val="20"/>
                <w:color w:val="auto"/>
              </w:rPr>
            </w:pPr>
            <w:r>
              <w:rPr>
                <w:rFonts w:ascii="Arial" w:cs="Arial" w:eastAsia="Arial" w:hAnsi="Arial"/>
                <w:sz w:val="18"/>
                <w:szCs w:val="18"/>
                <w:color w:val="auto"/>
              </w:rPr>
              <w:t>1.8</w:t>
            </w:r>
          </w:p>
        </w:tc>
        <w:tc>
          <w:tcPr>
            <w:tcW w:w="800" w:type="dxa"/>
            <w:vAlign w:val="bottom"/>
            <w:gridSpan w:val="3"/>
          </w:tcPr>
          <w:p>
            <w:pPr>
              <w:jc w:val="right"/>
              <w:ind w:right="260"/>
              <w:spacing w:after="0"/>
              <w:rPr>
                <w:sz w:val="20"/>
                <w:szCs w:val="20"/>
                <w:color w:val="auto"/>
              </w:rPr>
            </w:pPr>
            <w:r>
              <w:rPr>
                <w:rFonts w:ascii="Arial" w:cs="Arial" w:eastAsia="Arial" w:hAnsi="Arial"/>
                <w:sz w:val="18"/>
                <w:szCs w:val="18"/>
                <w:color w:val="auto"/>
              </w:rPr>
              <w:t>(0.3)</w:t>
            </w:r>
          </w:p>
        </w:tc>
        <w:tc>
          <w:tcPr>
            <w:tcW w:w="100" w:type="dxa"/>
            <w:vAlign w:val="bottom"/>
          </w:tcPr>
          <w:p>
            <w:pPr>
              <w:spacing w:after="0"/>
              <w:rPr>
                <w:sz w:val="18"/>
                <w:szCs w:val="18"/>
                <w:color w:val="auto"/>
              </w:rPr>
            </w:pPr>
          </w:p>
        </w:tc>
        <w:tc>
          <w:tcPr>
            <w:tcW w:w="320" w:type="dxa"/>
            <w:vAlign w:val="bottom"/>
          </w:tcPr>
          <w:p>
            <w:pPr>
              <w:jc w:val="right"/>
              <w:spacing w:after="0"/>
              <w:rPr>
                <w:sz w:val="20"/>
                <w:szCs w:val="20"/>
                <w:color w:val="auto"/>
              </w:rPr>
            </w:pPr>
            <w:r>
              <w:rPr>
                <w:rFonts w:ascii="Arial" w:cs="Arial" w:eastAsia="Arial" w:hAnsi="Arial"/>
                <w:sz w:val="18"/>
                <w:szCs w:val="18"/>
                <w:color w:val="auto"/>
              </w:rPr>
              <w:t>5.3</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gridSpan w:val="2"/>
          </w:tcPr>
          <w:p>
            <w:pPr>
              <w:jc w:val="right"/>
              <w:ind w:right="100"/>
              <w:spacing w:after="0"/>
              <w:rPr>
                <w:sz w:val="20"/>
                <w:szCs w:val="20"/>
                <w:color w:val="auto"/>
              </w:rPr>
            </w:pPr>
            <w:r>
              <w:rPr>
                <w:rFonts w:ascii="Arial" w:cs="Arial" w:eastAsia="Arial" w:hAnsi="Arial"/>
                <w:sz w:val="18"/>
                <w:szCs w:val="18"/>
                <w:color w:val="auto"/>
              </w:rPr>
              <w:t>1.1</w:t>
            </w:r>
          </w:p>
        </w:tc>
      </w:tr>
      <w:tr>
        <w:trPr>
          <w:trHeight w:val="27"/>
        </w:trPr>
        <w:tc>
          <w:tcPr>
            <w:tcW w:w="9000" w:type="dxa"/>
            <w:vAlign w:val="bottom"/>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900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84"/>
              </w:rPr>
              <w:t>$ 5.7</w:t>
            </w:r>
          </w:p>
        </w:tc>
        <w:tc>
          <w:tcPr>
            <w:tcW w:w="80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(3.4)</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79"/>
              </w:rPr>
              <w:t>$</w:t>
            </w: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5"/>
              </w:rPr>
              <w:t>16.5</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9.9</w:t>
            </w:r>
          </w:p>
        </w:tc>
      </w:tr>
      <w:tr>
        <w:trPr>
          <w:trHeight w:val="20"/>
        </w:trPr>
        <w:tc>
          <w:tcPr>
            <w:tcW w:w="900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67" w:lineRule="exact"/>
        <w:rPr>
          <w:sz w:val="20"/>
          <w:szCs w:val="20"/>
          <w:color w:val="auto"/>
        </w:rPr>
      </w:pPr>
    </w:p>
    <w:p>
      <w:pPr>
        <w:ind w:right="20" w:firstLine="456"/>
        <w:spacing w:after="0" w:line="312" w:lineRule="auto"/>
        <w:rPr>
          <w:sz w:val="20"/>
          <w:szCs w:val="20"/>
          <w:color w:val="auto"/>
        </w:rPr>
      </w:pPr>
      <w:r>
        <w:rPr>
          <w:rFonts w:ascii="Arial" w:cs="Arial" w:eastAsia="Arial" w:hAnsi="Arial"/>
          <w:sz w:val="15"/>
          <w:szCs w:val="15"/>
          <w:color w:val="auto"/>
        </w:rPr>
        <w:t>Interest and investment income, net fluctuates based on average cash and marketable securities balances, average maturities and interest rates. The increase in interest and other income, net, during the three months ended October 31, 2009, as compared to the same period in the prior fiscal year, is primarily due to gains on foreign currency transactions, gains on marketable securities and the impairment of an investment during the three months ended October 31, 2008. These increases were partially offset by lower interest rate yields on investments during the three months ended October 31, 2009. The increase in interest and other income, net, during the nine months ended October 31, 2009, as compared to the same period in the prior fiscal year, is primarily due to gains on marketable securities, gains on foreign currency transactions, a gain on the sale of an investment, and the impairment of an investment during the nine months ended October 31, 2008. These increases were partially offset by lower interest rate yields on investments during the nine months ended October 31, 2009.</w:t>
      </w:r>
    </w:p>
    <w:p>
      <w:pPr>
        <w:spacing w:after="0" w:line="186"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Provision for Income Taxes</w:t>
      </w:r>
    </w:p>
    <w:p>
      <w:pPr>
        <w:spacing w:after="0" w:line="90" w:lineRule="exact"/>
        <w:rPr>
          <w:sz w:val="20"/>
          <w:szCs w:val="20"/>
          <w:color w:val="auto"/>
        </w:rPr>
      </w:pPr>
    </w:p>
    <w:p>
      <w:pPr>
        <w:ind w:right="20" w:firstLine="456"/>
        <w:spacing w:after="0" w:line="286" w:lineRule="auto"/>
        <w:rPr>
          <w:sz w:val="20"/>
          <w:szCs w:val="20"/>
          <w:color w:val="auto"/>
        </w:rPr>
      </w:pPr>
      <w:r>
        <w:rPr>
          <w:rFonts w:ascii="Arial" w:cs="Arial" w:eastAsia="Arial" w:hAnsi="Arial"/>
          <w:sz w:val="16"/>
          <w:szCs w:val="16"/>
          <w:color w:val="auto"/>
        </w:rPr>
        <w:t>Our effective tax rate was 8% during the three months ended October 31, 2009 and 70% during the nine months ended October 31, 2009, compared to 23% and 26% in the respective periods of the prior fiscal year. Our effective tax rate decreased 15 percentage points during the three months ended October 31, 2009 as compared to the same period in the prior fiscal year primarily due to a discrete tax benefit related to the stock-based compensation expense adjustment recorded during the three months ended October 31, 2009. Our effective tax rate increased 44 percentage points during the nine months ended October 31, 2009 as compared to the same period in the prior fiscal year as a result of a $20.9 million discrete non-cash tax charge from recording a valuation allowance against California deferred tax assets partially offset by a discrete tax benefit of $7.7 million associated with the impairment of goodwill recorded during the first quarter of fiscal 2010, the tax impact of non-deductible in-process research and development expense recorded during the second quarter of fiscal 2009, and a discrete tax benefit of $4.4 million related to the stock-based compensation expense adjustment recorded during the third quarter of fiscal 2010. Excluding the impact of discrete tax items, the effective tax rates for the three and nine month periods ended October 31, 2009 were lower than the Federal statutory tax rate of 35% primarily due to foreign income taxed at lower rates and Federal and state research tax credits partially offset by the tax impact of stock-based compensation expense.</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420"/>
          </w:cols>
          <w:pgMar w:left="240" w:top="459" w:right="239" w:bottom="1440" w:gutter="0" w:footer="0" w:header="0"/>
        </w:sectPr>
      </w:pPr>
    </w:p>
    <w:bookmarkStart w:id="37" w:name="page38"/>
    <w:bookmarkEnd w:id="3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40" w:firstLine="456"/>
        <w:spacing w:after="0" w:line="318" w:lineRule="auto"/>
        <w:rPr>
          <w:sz w:val="20"/>
          <w:szCs w:val="20"/>
          <w:color w:val="auto"/>
        </w:rPr>
      </w:pPr>
      <w:r>
        <w:rPr>
          <w:rFonts w:ascii="Arial" w:cs="Arial" w:eastAsia="Arial" w:hAnsi="Arial"/>
          <w:sz w:val="15"/>
          <w:szCs w:val="15"/>
          <w:color w:val="auto"/>
        </w:rPr>
        <w:t>During the first quarter of fiscal 2010, the State of California enacted significant California tax law changes. As a result of the enacted legislation, we expect that in fiscal years 2012 and beyond, our income subject to tax in California will be less than under prior tax law and accordingly our California deferred tax assets are less likely to be realized. During the first quarter of fiscal 2010 we recorded a net discrete tax charge of $20.9 million related to the re-measurement of our California deferred tax assets to account for this change in tax law, as well as an increase in the valuation allowance for our California deferred tax assets that existed as of January 31, 2009. We will continue to assess the valuation allowance on our California deferred tax assets in future periods.</w:t>
      </w:r>
    </w:p>
    <w:p>
      <w:pPr>
        <w:spacing w:after="0" w:line="100" w:lineRule="exact"/>
        <w:rPr>
          <w:sz w:val="20"/>
          <w:szCs w:val="20"/>
          <w:color w:val="auto"/>
        </w:rPr>
      </w:pPr>
    </w:p>
    <w:p>
      <w:pPr>
        <w:ind w:right="80" w:firstLine="456"/>
        <w:spacing w:after="0" w:line="256" w:lineRule="auto"/>
        <w:rPr>
          <w:sz w:val="20"/>
          <w:szCs w:val="20"/>
          <w:color w:val="auto"/>
        </w:rPr>
      </w:pPr>
      <w:r>
        <w:rPr>
          <w:rFonts w:ascii="Arial" w:cs="Arial" w:eastAsia="Arial" w:hAnsi="Arial"/>
          <w:sz w:val="18"/>
          <w:szCs w:val="18"/>
          <w:color w:val="auto"/>
        </w:rPr>
        <w:t>Our future effective tax rate may be materially impacted by the amount of benefits and charges from tax amounts associated with our foreign earnings that are taxed at rates different from the Federal statutory rate, research credits, state income taxes, the tax impact of stock-based compensation expense, accounting for uncertain tax positions, business combinations, U.S. Manufacturer’s deduction, closure of statute of limitations or settlement of tax audits, changes in valuation allowances and changes in tax law.</w:t>
      </w:r>
    </w:p>
    <w:p>
      <w:pPr>
        <w:spacing w:after="0" w:line="143"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The amount of unrecognized tax benefits was determined in accordance with ASC 740-10 Income Taxes. As of October 31, 2009, the Company had $192.0 million of gross unrecognized tax benefits, excluding interest, of which approximately $178.6 million represents the amount of unrecognized tax benefits that would impact the effective tax rate, if recognized. The remaining $13.4 million relates to items that would result in balance sheet reclassification only, with no impact to income tax expense. It is possible that the amount of unrecognized tax benefits will change in the next twelve months; however an estimate of the range of the possible change cannot be made at this time.</w:t>
      </w:r>
    </w:p>
    <w:p>
      <w:pPr>
        <w:spacing w:after="0" w:line="143" w:lineRule="exact"/>
        <w:rPr>
          <w:sz w:val="20"/>
          <w:szCs w:val="20"/>
          <w:color w:val="auto"/>
        </w:rPr>
      </w:pPr>
    </w:p>
    <w:p>
      <w:pPr>
        <w:ind w:right="100" w:firstLine="456"/>
        <w:spacing w:after="0" w:line="268" w:lineRule="auto"/>
        <w:rPr>
          <w:sz w:val="20"/>
          <w:szCs w:val="20"/>
          <w:color w:val="auto"/>
        </w:rPr>
      </w:pPr>
      <w:r>
        <w:rPr>
          <w:rFonts w:ascii="Arial" w:cs="Arial" w:eastAsia="Arial" w:hAnsi="Arial"/>
          <w:sz w:val="18"/>
          <w:szCs w:val="18"/>
          <w:color w:val="auto"/>
        </w:rPr>
        <w:t>At October 31, 2009, we had net deferred tax assets of $142.5 million. We believe that we will generate sufficient future taxable income in appropriate tax jurisdictions to realize these assets.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96" w:lineRule="exact"/>
        <w:rPr>
          <w:sz w:val="20"/>
          <w:szCs w:val="20"/>
          <w:color w:val="auto"/>
        </w:rPr>
      </w:pPr>
    </w:p>
    <w:p>
      <w:pPr>
        <w:ind w:right="80" w:firstLine="456"/>
        <w:spacing w:after="0" w:line="256" w:lineRule="auto"/>
        <w:rPr>
          <w:sz w:val="20"/>
          <w:szCs w:val="20"/>
          <w:color w:val="auto"/>
        </w:rPr>
      </w:pPr>
      <w:r>
        <w:rPr>
          <w:rFonts w:ascii="Arial" w:cs="Arial" w:eastAsia="Arial" w:hAnsi="Arial"/>
          <w:sz w:val="18"/>
          <w:szCs w:val="18"/>
          <w:color w:val="auto"/>
        </w:rPr>
        <w:t>Our primary source of cash is from the sale of licenses to our products. Our primary use of cash is payment of our operating costs, which consist primarily of employee-related expenses, such as compensation and benefits, as well as general operating expenses for marketing, facilities and overhead costs. In addition to operating expenses, we also use cash to invest in our growth initiatives, which include acquisitions of products, technology and businesses, and to fund our stock repurchase program. See further discussion of these items below.</w:t>
      </w:r>
    </w:p>
    <w:p>
      <w:pPr>
        <w:spacing w:after="0" w:line="143" w:lineRule="exact"/>
        <w:rPr>
          <w:sz w:val="20"/>
          <w:szCs w:val="20"/>
          <w:color w:val="auto"/>
        </w:rPr>
      </w:pPr>
    </w:p>
    <w:p>
      <w:pPr>
        <w:ind w:right="100" w:firstLine="456"/>
        <w:spacing w:after="0" w:line="291" w:lineRule="auto"/>
        <w:rPr>
          <w:sz w:val="20"/>
          <w:szCs w:val="20"/>
          <w:color w:val="auto"/>
        </w:rPr>
      </w:pPr>
      <w:r>
        <w:rPr>
          <w:rFonts w:ascii="Arial" w:cs="Arial" w:eastAsia="Arial" w:hAnsi="Arial"/>
          <w:sz w:val="16"/>
          <w:szCs w:val="16"/>
          <w:color w:val="auto"/>
        </w:rPr>
        <w:t>At October 31, 2009, our principal sources of liquidity were cash, cash equivalents and marketable securities totaling $1,053.6 million and net accounts receivable of $215.7 million. In addition, we have a U.S. line of credit facility that permits unsecured short-term borrowings of up to $250.0 million and a China line of credit that permits unsecured short-term borrowings of up to $5.0 million. These line of credit agreements contain customary covenants that could restrict the imposition of liens on our assets and restrict our ability to incur additional indebtedness or make dispositions of assets if we fail to maintain their financial covenants. These credit facilities are available for working capital and other business needs. At October 31, 2009, we had no borrowings outstanding on the U.S. or China line of credit. The U.S. facility expires in August 2012, and the China facility has no contractual expiration.</w:t>
      </w:r>
    </w:p>
    <w:p>
      <w:pPr>
        <w:spacing w:after="0" w:line="120" w:lineRule="exact"/>
        <w:rPr>
          <w:sz w:val="20"/>
          <w:szCs w:val="20"/>
          <w:color w:val="auto"/>
        </w:rPr>
      </w:pPr>
    </w:p>
    <w:p>
      <w:pPr>
        <w:jc w:val="both"/>
        <w:ind w:right="80" w:firstLine="456"/>
        <w:spacing w:after="0" w:line="259" w:lineRule="auto"/>
        <w:rPr>
          <w:sz w:val="20"/>
          <w:szCs w:val="20"/>
          <w:color w:val="auto"/>
        </w:rPr>
      </w:pPr>
      <w:r>
        <w:rPr>
          <w:rFonts w:ascii="Arial" w:cs="Arial" w:eastAsia="Arial" w:hAnsi="Arial"/>
          <w:sz w:val="18"/>
          <w:szCs w:val="18"/>
          <w:color w:val="auto"/>
        </w:rPr>
        <w:t>Our cash and cash equivalents are held by diversified financial institutions globally. Our primary commercial banking relationship is with Citibank and its global affiliates (“Citibank”). In addition, Citicorp USA, Inc., an affiliate of Citibank, is the lead lender and agent in the syndicate of our $250.0 million U.S. line of credit.</w:t>
      </w:r>
    </w:p>
    <w:p>
      <w:pPr>
        <w:spacing w:after="0" w:line="140" w:lineRule="exact"/>
        <w:rPr>
          <w:sz w:val="20"/>
          <w:szCs w:val="20"/>
          <w:color w:val="auto"/>
        </w:rPr>
      </w:pPr>
    </w:p>
    <w:p>
      <w:pPr>
        <w:ind w:right="280" w:firstLine="456"/>
        <w:spacing w:after="0" w:line="323" w:lineRule="auto"/>
        <w:rPr>
          <w:sz w:val="20"/>
          <w:szCs w:val="20"/>
          <w:color w:val="auto"/>
        </w:rPr>
      </w:pPr>
      <w:r>
        <w:rPr>
          <w:rFonts w:ascii="Arial" w:cs="Arial" w:eastAsia="Arial" w:hAnsi="Arial"/>
          <w:sz w:val="15"/>
          <w:szCs w:val="15"/>
          <w:color w:val="auto"/>
        </w:rPr>
        <w:t>The increase in our cash, cash equivalents and marketable securities from $988.7 million at January 31, 2009 to $1,053.6 million at October 31, 2009 is principally the result of cash generated from operations and the proceeds from the issuance of common stock. These increases to cash, cash equivalents and marketable securities were partially offset by cash used for the repayment of our lines of credit, repurchases of our common stock, capital expenditures and an equity investment. Cash generated from operations was negatively impacted by lower net revenue and the payment of employee-related restructuring charges.</w:t>
      </w:r>
    </w:p>
    <w:p>
      <w:pPr>
        <w:spacing w:after="0" w:line="98"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At October 31, 2009, our short-term investment portfolio had an estimated fair value of $263.1 million and a cost basis of $271.5 million. The portfolio fair value consisted of $88.3 million invested in commercial paper and corporate securities, $54.0 million invested in U.S. treasury securities, $37.4 million invested in certificates of deposit and time deposits with original maturities greater than 90 days and less than one year, $26.9 million invested in mutual funds, $24.1 million invested in U.S. government agency securities, $17.8 million invested in money market funds, $10.0 million in sovereign debt and $4.6 million invested in municipal securities and available-for-sale equity securities.</w:t>
      </w:r>
    </w:p>
    <w:p>
      <w:pPr>
        <w:spacing w:after="0" w:line="12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400"/>
          </w:cols>
          <w:pgMar w:left="240" w:top="459" w:right="259" w:bottom="1440" w:gutter="0" w:footer="0" w:header="0"/>
        </w:sectPr>
      </w:pPr>
    </w:p>
    <w:bookmarkStart w:id="38" w:name="page39"/>
    <w:bookmarkEnd w:id="3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 w:firstLine="456"/>
        <w:spacing w:after="0" w:line="291" w:lineRule="auto"/>
        <w:rPr>
          <w:sz w:val="20"/>
          <w:szCs w:val="20"/>
          <w:color w:val="auto"/>
        </w:rPr>
      </w:pPr>
      <w:r>
        <w:rPr>
          <w:rFonts w:ascii="Arial" w:cs="Arial" w:eastAsia="Arial" w:hAnsi="Arial"/>
          <w:sz w:val="16"/>
          <w:szCs w:val="16"/>
          <w:color w:val="auto"/>
        </w:rPr>
        <w:t>At October 31, 2009, we had investments in two money market funds with cost basis of $22.3 million and an estimated fair value of $17.8 million, of which $17.0 million was invested in The Reserve International Liquidity Fund (the “International Fund”) and $0.8 million was invested in The Reserve Primary Fund (the “Primary Fund,” and together with the International Fund, the “Reserve Funds”). During the third quarter of fiscal 2009, the Reserve Funds ceased redemptions after net asset values of the funds decreased below $1 per share. This occurred as a result of the Reserve Funds revaluing their holdings of debt securities issued by Lehman Brothers, which filed for Chapter 11 bankruptcy on September 15, 2008, and the resulting unusually high redemption requests on the Reserve Funds. Our investments in the Reserve Funds are unrelated to the assets of our Deferred Compensation Plan.</w:t>
      </w:r>
    </w:p>
    <w:p>
      <w:pPr>
        <w:spacing w:after="0" w:line="120"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The SEC is overseeing the administration, accounting and payout of the U.S.-based Primary Fund, and a third party court appointed supervisor is overseeing, but not managing, the accounting and payment administration of the non U.S.-based International Fund. At this time, these investments are not currently liquid, and in the event we need to access these funds, we will not be able to do so. However, based on currently available information, we expect to recover substantially all of our current holdings, net of reserves, from the Reserve Funds within the next 12 months. Accordingly, the Reserve Funds are classified in current “Marketable Securities” in the Condensed Consolidated Balance Sheets.</w:t>
      </w:r>
    </w:p>
    <w:p>
      <w:pPr>
        <w:spacing w:after="0" w:line="116"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At October 31, 2009, we owned two auction rate securities with an estimated fair value of $7.6 million and a cost basis of $9.0 million. Our auction rate securities are variable rate debt instruments that have underlying securities with contractual maturities greater than ten years and interest rates that were structured to reset at auction every 28 days. The securities, which met our investment guidelines at the time the investments were made, have failed to settle in auctions since August 2007 and have earned a premium interest rate since that time. While we expect to recover substantially all of our current holdings, net of reserves, in the auction rate securities, we cannot predict when this will occur or the amount we will receive. Due to the lack of liquidity of these investments, they are included in non-current “Marketable securities” in the Condensed Consolidated Balance Sheets. See Note 4, “Financial Instruments and Hedging Activities,” in the Notes to Condensed Consolidated Financial Statements for further discussion of our financial instruments.</w:t>
      </w:r>
    </w:p>
    <w:p>
      <w:pPr>
        <w:spacing w:after="0" w:line="118" w:lineRule="exact"/>
        <w:rPr>
          <w:sz w:val="20"/>
          <w:szCs w:val="20"/>
          <w:color w:val="auto"/>
        </w:rPr>
      </w:pPr>
    </w:p>
    <w:p>
      <w:pPr>
        <w:ind w:right="480" w:firstLine="456"/>
        <w:spacing w:after="0" w:line="332" w:lineRule="auto"/>
        <w:rPr>
          <w:sz w:val="20"/>
          <w:szCs w:val="20"/>
          <w:color w:val="auto"/>
        </w:rPr>
      </w:pPr>
      <w:r>
        <w:rPr>
          <w:rFonts w:ascii="Arial" w:cs="Arial" w:eastAsia="Arial" w:hAnsi="Arial"/>
          <w:sz w:val="16"/>
          <w:szCs w:val="16"/>
          <w:color w:val="auto"/>
        </w:rPr>
        <w:t>At October 31, 2009, $26.9 million of trading securities were invested in a defined set of mutual funds as directed by the participants in our Deferred Compensation Plan (see Note 9, “Deferred Compensation,” in the Notes to Condensed Consolidated Financial Statements for further discussion).</w:t>
      </w:r>
    </w:p>
    <w:p>
      <w:pPr>
        <w:spacing w:after="0" w:line="85" w:lineRule="exact"/>
        <w:rPr>
          <w:sz w:val="20"/>
          <w:szCs w:val="20"/>
          <w:color w:val="auto"/>
        </w:rPr>
      </w:pPr>
    </w:p>
    <w:p>
      <w:pPr>
        <w:ind w:right="40" w:firstLine="456"/>
        <w:spacing w:after="0" w:line="291" w:lineRule="auto"/>
        <w:rPr>
          <w:sz w:val="20"/>
          <w:szCs w:val="20"/>
          <w:color w:val="auto"/>
        </w:rPr>
      </w:pPr>
      <w:r>
        <w:rPr>
          <w:rFonts w:ascii="Arial" w:cs="Arial" w:eastAsia="Arial" w:hAnsi="Arial"/>
          <w:sz w:val="16"/>
          <w:szCs w:val="16"/>
          <w:color w:val="auto"/>
        </w:rPr>
        <w:t>The primary source for net cash provided by operating activities of $121.2 million for the nine months ended October 31, 2009 was net income increased by the effect of non-cash expenses associated with depreciation and amortization, stock-based compensation, restructuring charges, impairment of goodwill, and establishment of a valuation allowance for deferred tax assets. The primary working capital source of cash was a decrease in accounts receivable. The decrease in accounts receivable relates primarily to the decrease in our total billings. Our days sales outstanding in trade receivables was 47 days at October 31, 2009. The primary working capital uses of cash were for reductions of accrued expenses primarily related to our fiscal 2009 employee bonus accrual and fourth quarter fiscal 2009 commissions, payment of restructuring-related costs and the reduction of deferred revenue due to declining maintenance billings.</w:t>
      </w:r>
    </w:p>
    <w:p>
      <w:pPr>
        <w:spacing w:after="0" w:line="120" w:lineRule="exact"/>
        <w:rPr>
          <w:sz w:val="20"/>
          <w:szCs w:val="20"/>
          <w:color w:val="auto"/>
        </w:rPr>
      </w:pPr>
    </w:p>
    <w:p>
      <w:pPr>
        <w:ind w:right="20" w:firstLine="456"/>
        <w:spacing w:after="0" w:line="290" w:lineRule="auto"/>
        <w:rPr>
          <w:sz w:val="20"/>
          <w:szCs w:val="20"/>
          <w:color w:val="auto"/>
        </w:rPr>
      </w:pPr>
      <w:r>
        <w:rPr>
          <w:rFonts w:ascii="Arial" w:cs="Arial" w:eastAsia="Arial" w:hAnsi="Arial"/>
          <w:sz w:val="16"/>
          <w:szCs w:val="16"/>
          <w:color w:val="auto"/>
        </w:rPr>
        <w:t>As of October 31, 2009, there have been no material changes in our contractual obligations or commercial commitments compared to those we disclosed in Management’s Discussion and Analysis of Financial Condition and Results of Operations included in our Annual Report on Form 10-K for the fiscal year ended January 31, 2009. Long-term cash requirements for items other than normal operating expenses are anticipated for the following: stock repurchases; the acquisition of businesses, software products, or technologies complementary to our business; capital expenditures, including the purchase and implementation of internal-use software applications; and funding restructuring costs. In addition, $26.9 million of our marketable securities are held in a rabbi trust under non-qualified deferred compensation plans at October 31, 2009. See Note 4, “Financial Instruments and Hedging Activities,” and Note 9, “Deferred Compensation,” in the Notes to Condensed Consolidated Financial Statements for further discussion.</w:t>
      </w:r>
    </w:p>
    <w:p>
      <w:pPr>
        <w:spacing w:after="0" w:line="118" w:lineRule="exact"/>
        <w:rPr>
          <w:sz w:val="20"/>
          <w:szCs w:val="20"/>
          <w:color w:val="auto"/>
        </w:rPr>
      </w:pPr>
    </w:p>
    <w:p>
      <w:pPr>
        <w:ind w:right="60" w:firstLine="456"/>
        <w:spacing w:after="0" w:line="254" w:lineRule="auto"/>
        <w:rPr>
          <w:sz w:val="20"/>
          <w:szCs w:val="20"/>
          <w:color w:val="auto"/>
        </w:rPr>
      </w:pPr>
      <w:r>
        <w:rPr>
          <w:rFonts w:ascii="Arial" w:cs="Arial" w:eastAsia="Arial" w:hAnsi="Arial"/>
          <w:sz w:val="18"/>
          <w:szCs w:val="18"/>
          <w:color w:val="auto"/>
        </w:rPr>
        <w:t>Our existing cash, cash equivalents and investment balances may decline in fiscal 2010 in the event of a further weakening of the economy or changes in our planned cash outlay. Cash from operations could also be affected by various risks and uncertainties, including, but not limited to the risks detailed in Part II, Item 1A titled “Risk Factors.” However, based on our current business plan and revenue prospects, we believe that our existing balances, our anticipated cash flows from operations and our available credit facility will be sufficient to meet our working capital and operating resource expenditure requirements for the next 12 months. Our existing U.S. credit facility is currently $250.0 million of which we have no amounts outstanding. This credit facility is available for working capital and other business needs.</w:t>
      </w:r>
    </w:p>
    <w:p>
      <w:pPr>
        <w:spacing w:after="0" w:line="13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400"/>
          </w:cols>
          <w:pgMar w:left="240" w:top="459" w:right="259" w:bottom="1440" w:gutter="0" w:footer="0" w:header="0"/>
        </w:sectPr>
      </w:pPr>
    </w:p>
    <w:bookmarkStart w:id="39" w:name="page40"/>
    <w:bookmarkEnd w:id="3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40" w:firstLine="456"/>
        <w:spacing w:after="0" w:line="289" w:lineRule="auto"/>
        <w:rPr>
          <w:sz w:val="20"/>
          <w:szCs w:val="20"/>
          <w:color w:val="auto"/>
        </w:rPr>
      </w:pPr>
      <w:r>
        <w:rPr>
          <w:rFonts w:ascii="Arial" w:cs="Arial" w:eastAsia="Arial" w:hAnsi="Arial"/>
          <w:sz w:val="16"/>
          <w:szCs w:val="16"/>
          <w:color w:val="auto"/>
        </w:rPr>
        <w:t>Our revenue, earnings and cash flows are subject to fluctuations due to changes in foreign currency exchange rates. Our risk management strategy utilizes two types of derivative instruments, option collar and forward contracts, to hedge a majority of our foreign currency transaction exposures that exist as part of our ongoing business operations. Prior to the third quarter of fiscal 2009, such contracts did not extend beyond the current quarter; however, beginning in the third quarter of fiscal 2009, we entered into longer-term hedging contracts. We have expanded our foreign currency cash flow hedge program beyond one quarter, and as of October 31, 2009, have open contracts to hedge expected cash flows for one to twelve months in the future in order to reduce foreign currency volatility. Contracts are primarily denominated in euros, Japanese yen, Swiss francs, British pounds and Canadian dollars. We do not enter into any derivative instruments for trading or speculative purposes. The notional amount of our option and forward contracts was $200.6 million and $276.7 million at October 31, 2009 and January 31, 2009, respectively.</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Issuer Purchases of Equity Securities</w:t>
      </w:r>
    </w:p>
    <w:p>
      <w:pPr>
        <w:spacing w:after="0" w:line="96" w:lineRule="exact"/>
        <w:rPr>
          <w:sz w:val="20"/>
          <w:szCs w:val="20"/>
          <w:color w:val="auto"/>
        </w:rPr>
      </w:pPr>
    </w:p>
    <w:p>
      <w:pPr>
        <w:ind w:right="20" w:firstLine="456"/>
        <w:spacing w:after="0" w:line="290" w:lineRule="auto"/>
        <w:rPr>
          <w:sz w:val="20"/>
          <w:szCs w:val="20"/>
          <w:color w:val="auto"/>
        </w:rPr>
      </w:pPr>
      <w:r>
        <w:rPr>
          <w:rFonts w:ascii="Arial" w:cs="Arial" w:eastAsia="Arial" w:hAnsi="Arial"/>
          <w:sz w:val="16"/>
          <w:szCs w:val="16"/>
          <w:color w:val="auto"/>
        </w:rPr>
        <w:t>The purpose of Autodesk’s stock repurchase program is to help offset the dilution to net income per share caused by the issuance of stock under our employee stock plans and has the effect of returning excess cash generated from our business to stockholders. The number of shares acquired and the timing of the purchases are based on several factors, including anticipated employee stock purchases during the period, the level of our cash balances, general business and market conditions, the market price of our stock, cash on hand and available in the U.S., company defined trading windows and other investment opportunities. In December 2007, the Board of Directors approved a plan which authorized the repurchase of 20.0 million shares. At October 31, 2009, 14.5 million shares remained available for repurchase under the existing repurchase authorization. This program does not have a fixed expiration date. See Note 15, “Stock Repurchase Program,” in the Notes to Condensed Consolidated Financial Statements for further discussion.</w:t>
      </w:r>
    </w:p>
    <w:p>
      <w:pPr>
        <w:spacing w:after="0" w:line="118"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following table provides information about the repurchase of our common stock in open-market transactions during the quarter ended October 31,</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2009:</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7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580" w:type="dxa"/>
            <w:vAlign w:val="bottom"/>
            <w:gridSpan w:val="2"/>
          </w:tcPr>
          <w:p>
            <w:pPr>
              <w:jc w:val="center"/>
              <w:ind w:right="640"/>
              <w:spacing w:after="0"/>
              <w:rPr>
                <w:sz w:val="20"/>
                <w:szCs w:val="20"/>
                <w:color w:val="auto"/>
              </w:rPr>
            </w:pPr>
            <w:r>
              <w:rPr>
                <w:rFonts w:ascii="Arial" w:cs="Arial" w:eastAsia="Arial" w:hAnsi="Arial"/>
                <w:sz w:val="14"/>
                <w:szCs w:val="14"/>
                <w:b w:val="1"/>
                <w:bCs w:val="1"/>
                <w:color w:val="auto"/>
                <w:w w:val="87"/>
              </w:rPr>
              <w:t>Total Number of</w:t>
            </w:r>
          </w:p>
        </w:tc>
        <w:tc>
          <w:tcPr>
            <w:tcW w:w="1040" w:type="dxa"/>
            <w:vAlign w:val="bottom"/>
            <w:gridSpan w:val="2"/>
          </w:tcPr>
          <w:p>
            <w:pPr>
              <w:jc w:val="center"/>
              <w:spacing w:after="0"/>
              <w:rPr>
                <w:sz w:val="20"/>
                <w:szCs w:val="20"/>
                <w:color w:val="auto"/>
              </w:rPr>
            </w:pPr>
            <w:r>
              <w:rPr>
                <w:rFonts w:ascii="Arial" w:cs="Arial" w:eastAsia="Arial" w:hAnsi="Arial"/>
                <w:sz w:val="14"/>
                <w:szCs w:val="14"/>
                <w:b w:val="1"/>
                <w:bCs w:val="1"/>
                <w:color w:val="auto"/>
                <w:w w:val="92"/>
              </w:rPr>
              <w:t>Maximum</w:t>
            </w:r>
          </w:p>
        </w:tc>
      </w:tr>
      <w:tr>
        <w:trPr>
          <w:trHeight w:val="149"/>
        </w:trPr>
        <w:tc>
          <w:tcPr>
            <w:tcW w:w="574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580" w:type="dxa"/>
            <w:vAlign w:val="bottom"/>
            <w:gridSpan w:val="2"/>
          </w:tcPr>
          <w:p>
            <w:pPr>
              <w:jc w:val="center"/>
              <w:ind w:right="640"/>
              <w:spacing w:after="0" w:line="149" w:lineRule="exact"/>
              <w:rPr>
                <w:sz w:val="20"/>
                <w:szCs w:val="20"/>
                <w:color w:val="auto"/>
              </w:rPr>
            </w:pPr>
            <w:r>
              <w:rPr>
                <w:rFonts w:ascii="Arial" w:cs="Arial" w:eastAsia="Arial" w:hAnsi="Arial"/>
                <w:sz w:val="14"/>
                <w:szCs w:val="14"/>
                <w:b w:val="1"/>
                <w:bCs w:val="1"/>
                <w:color w:val="auto"/>
                <w:w w:val="81"/>
              </w:rPr>
              <w:t>Shares</w:t>
            </w:r>
          </w:p>
        </w:tc>
        <w:tc>
          <w:tcPr>
            <w:tcW w:w="1040" w:type="dxa"/>
            <w:vAlign w:val="bottom"/>
            <w:gridSpan w:val="2"/>
          </w:tcPr>
          <w:p>
            <w:pPr>
              <w:jc w:val="center"/>
              <w:ind w:right="20"/>
              <w:spacing w:after="0" w:line="149" w:lineRule="exact"/>
              <w:rPr>
                <w:sz w:val="20"/>
                <w:szCs w:val="20"/>
                <w:color w:val="auto"/>
              </w:rPr>
            </w:pPr>
            <w:r>
              <w:rPr>
                <w:rFonts w:ascii="Arial" w:cs="Arial" w:eastAsia="Arial" w:hAnsi="Arial"/>
                <w:sz w:val="14"/>
                <w:szCs w:val="14"/>
                <w:b w:val="1"/>
                <w:bCs w:val="1"/>
                <w:color w:val="auto"/>
                <w:w w:val="88"/>
              </w:rPr>
              <w:t>Number of</w:t>
            </w:r>
          </w:p>
        </w:tc>
      </w:tr>
      <w:tr>
        <w:trPr>
          <w:trHeight w:val="149"/>
        </w:trPr>
        <w:tc>
          <w:tcPr>
            <w:tcW w:w="574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580" w:type="dxa"/>
            <w:vAlign w:val="bottom"/>
            <w:gridSpan w:val="2"/>
          </w:tcPr>
          <w:p>
            <w:pPr>
              <w:jc w:val="center"/>
              <w:ind w:right="620"/>
              <w:spacing w:after="0" w:line="149" w:lineRule="exact"/>
              <w:rPr>
                <w:sz w:val="20"/>
                <w:szCs w:val="20"/>
                <w:color w:val="auto"/>
              </w:rPr>
            </w:pPr>
            <w:r>
              <w:rPr>
                <w:rFonts w:ascii="Arial" w:cs="Arial" w:eastAsia="Arial" w:hAnsi="Arial"/>
                <w:sz w:val="14"/>
                <w:szCs w:val="14"/>
                <w:b w:val="1"/>
                <w:bCs w:val="1"/>
                <w:color w:val="auto"/>
                <w:w w:val="83"/>
              </w:rPr>
              <w:t>Purchased as</w:t>
            </w:r>
          </w:p>
        </w:tc>
        <w:tc>
          <w:tcPr>
            <w:tcW w:w="1040" w:type="dxa"/>
            <w:vAlign w:val="bottom"/>
            <w:gridSpan w:val="2"/>
          </w:tcPr>
          <w:p>
            <w:pPr>
              <w:jc w:val="center"/>
              <w:ind w:right="20"/>
              <w:spacing w:after="0" w:line="149" w:lineRule="exact"/>
              <w:rPr>
                <w:sz w:val="20"/>
                <w:szCs w:val="20"/>
                <w:color w:val="auto"/>
              </w:rPr>
            </w:pPr>
            <w:r>
              <w:rPr>
                <w:rFonts w:ascii="Arial" w:cs="Arial" w:eastAsia="Arial" w:hAnsi="Arial"/>
                <w:sz w:val="14"/>
                <w:szCs w:val="14"/>
                <w:b w:val="1"/>
                <w:bCs w:val="1"/>
                <w:color w:val="auto"/>
                <w:w w:val="87"/>
              </w:rPr>
              <w:t>Shares that May</w:t>
            </w:r>
          </w:p>
        </w:tc>
      </w:tr>
      <w:tr>
        <w:trPr>
          <w:trHeight w:val="149"/>
        </w:trPr>
        <w:tc>
          <w:tcPr>
            <w:tcW w:w="574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580" w:type="dxa"/>
            <w:vAlign w:val="bottom"/>
            <w:gridSpan w:val="2"/>
          </w:tcPr>
          <w:p>
            <w:pPr>
              <w:jc w:val="center"/>
              <w:ind w:right="640"/>
              <w:spacing w:after="0" w:line="149" w:lineRule="exact"/>
              <w:rPr>
                <w:sz w:val="20"/>
                <w:szCs w:val="20"/>
                <w:color w:val="auto"/>
              </w:rPr>
            </w:pPr>
            <w:r>
              <w:rPr>
                <w:rFonts w:ascii="Arial" w:cs="Arial" w:eastAsia="Arial" w:hAnsi="Arial"/>
                <w:sz w:val="14"/>
                <w:szCs w:val="14"/>
                <w:b w:val="1"/>
                <w:bCs w:val="1"/>
                <w:color w:val="auto"/>
                <w:w w:val="88"/>
              </w:rPr>
              <w:t>Part of Publicly</w:t>
            </w:r>
          </w:p>
        </w:tc>
        <w:tc>
          <w:tcPr>
            <w:tcW w:w="1040" w:type="dxa"/>
            <w:vAlign w:val="bottom"/>
            <w:gridSpan w:val="2"/>
          </w:tcPr>
          <w:p>
            <w:pPr>
              <w:jc w:val="center"/>
              <w:ind w:right="20"/>
              <w:spacing w:after="0" w:line="149" w:lineRule="exact"/>
              <w:rPr>
                <w:sz w:val="20"/>
                <w:szCs w:val="20"/>
                <w:color w:val="auto"/>
              </w:rPr>
            </w:pPr>
            <w:r>
              <w:rPr>
                <w:rFonts w:ascii="Arial" w:cs="Arial" w:eastAsia="Arial" w:hAnsi="Arial"/>
                <w:sz w:val="14"/>
                <w:szCs w:val="14"/>
                <w:b w:val="1"/>
                <w:bCs w:val="1"/>
                <w:color w:val="auto"/>
                <w:w w:val="87"/>
              </w:rPr>
              <w:t>Yet Be</w:t>
            </w:r>
          </w:p>
        </w:tc>
      </w:tr>
      <w:tr>
        <w:trPr>
          <w:trHeight w:val="149"/>
        </w:trPr>
        <w:tc>
          <w:tcPr>
            <w:tcW w:w="5740" w:type="dxa"/>
            <w:vAlign w:val="bottom"/>
          </w:tcPr>
          <w:p>
            <w:pPr>
              <w:spacing w:after="0"/>
              <w:rPr>
                <w:sz w:val="12"/>
                <w:szCs w:val="12"/>
                <w:color w:val="auto"/>
              </w:rPr>
            </w:pPr>
          </w:p>
        </w:tc>
        <w:tc>
          <w:tcPr>
            <w:tcW w:w="9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7"/>
              </w:rPr>
              <w:t>Total Number of</w:t>
            </w:r>
          </w:p>
        </w:tc>
        <w:tc>
          <w:tcPr>
            <w:tcW w:w="6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580" w:type="dxa"/>
            <w:vAlign w:val="bottom"/>
            <w:gridSpan w:val="2"/>
          </w:tcPr>
          <w:p>
            <w:pPr>
              <w:jc w:val="center"/>
              <w:ind w:right="640"/>
              <w:spacing w:after="0" w:line="149" w:lineRule="exact"/>
              <w:rPr>
                <w:sz w:val="20"/>
                <w:szCs w:val="20"/>
                <w:color w:val="auto"/>
              </w:rPr>
            </w:pPr>
            <w:r>
              <w:rPr>
                <w:rFonts w:ascii="Arial" w:cs="Arial" w:eastAsia="Arial" w:hAnsi="Arial"/>
                <w:sz w:val="14"/>
                <w:szCs w:val="14"/>
                <w:b w:val="1"/>
                <w:bCs w:val="1"/>
                <w:color w:val="auto"/>
                <w:w w:val="85"/>
              </w:rPr>
              <w:t>Announced</w:t>
            </w:r>
          </w:p>
        </w:tc>
        <w:tc>
          <w:tcPr>
            <w:tcW w:w="104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86"/>
              </w:rPr>
              <w:t>Purchased Under</w:t>
            </w:r>
          </w:p>
        </w:tc>
      </w:tr>
      <w:tr>
        <w:trPr>
          <w:trHeight w:val="134"/>
        </w:trPr>
        <w:tc>
          <w:tcPr>
            <w:tcW w:w="5740" w:type="dxa"/>
            <w:vAlign w:val="bottom"/>
          </w:tcPr>
          <w:p>
            <w:pPr>
              <w:spacing w:after="0"/>
              <w:rPr>
                <w:sz w:val="11"/>
                <w:szCs w:val="11"/>
                <w:color w:val="auto"/>
              </w:rPr>
            </w:pPr>
          </w:p>
        </w:tc>
        <w:tc>
          <w:tcPr>
            <w:tcW w:w="96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w w:val="81"/>
              </w:rPr>
              <w:t>Shares</w:t>
            </w:r>
          </w:p>
        </w:tc>
        <w:tc>
          <w:tcPr>
            <w:tcW w:w="620" w:type="dxa"/>
            <w:vAlign w:val="bottom"/>
          </w:tcPr>
          <w:p>
            <w:pPr>
              <w:spacing w:after="0"/>
              <w:rPr>
                <w:sz w:val="11"/>
                <w:szCs w:val="11"/>
                <w:color w:val="auto"/>
              </w:rPr>
            </w:pPr>
          </w:p>
        </w:tc>
        <w:tc>
          <w:tcPr>
            <w:tcW w:w="880" w:type="dxa"/>
            <w:vAlign w:val="bottom"/>
            <w:gridSpan w:val="2"/>
          </w:tcPr>
          <w:p>
            <w:pPr>
              <w:jc w:val="right"/>
              <w:spacing w:after="0" w:line="135" w:lineRule="exact"/>
              <w:rPr>
                <w:sz w:val="20"/>
                <w:szCs w:val="20"/>
                <w:color w:val="auto"/>
              </w:rPr>
            </w:pPr>
            <w:r>
              <w:rPr>
                <w:rFonts w:ascii="Arial" w:cs="Arial" w:eastAsia="Arial" w:hAnsi="Arial"/>
                <w:sz w:val="14"/>
                <w:szCs w:val="14"/>
                <w:b w:val="1"/>
                <w:bCs w:val="1"/>
                <w:color w:val="auto"/>
                <w:w w:val="87"/>
              </w:rPr>
              <w:t>Average Price</w:t>
            </w:r>
          </w:p>
        </w:tc>
        <w:tc>
          <w:tcPr>
            <w:tcW w:w="620" w:type="dxa"/>
            <w:vAlign w:val="bottom"/>
          </w:tcPr>
          <w:p>
            <w:pPr>
              <w:spacing w:after="0"/>
              <w:rPr>
                <w:sz w:val="11"/>
                <w:szCs w:val="11"/>
                <w:color w:val="auto"/>
              </w:rPr>
            </w:pPr>
          </w:p>
        </w:tc>
        <w:tc>
          <w:tcPr>
            <w:tcW w:w="1580" w:type="dxa"/>
            <w:vAlign w:val="bottom"/>
            <w:gridSpan w:val="2"/>
          </w:tcPr>
          <w:p>
            <w:pPr>
              <w:jc w:val="center"/>
              <w:ind w:right="620"/>
              <w:spacing w:after="0" w:line="135" w:lineRule="exact"/>
              <w:rPr>
                <w:sz w:val="20"/>
                <w:szCs w:val="20"/>
                <w:color w:val="auto"/>
              </w:rPr>
            </w:pPr>
            <w:r>
              <w:rPr>
                <w:rFonts w:ascii="Arial" w:cs="Arial" w:eastAsia="Arial" w:hAnsi="Arial"/>
                <w:sz w:val="14"/>
                <w:szCs w:val="14"/>
                <w:b w:val="1"/>
                <w:bCs w:val="1"/>
                <w:color w:val="auto"/>
                <w:w w:val="86"/>
              </w:rPr>
              <w:t>Plans or</w:t>
            </w:r>
          </w:p>
        </w:tc>
        <w:tc>
          <w:tcPr>
            <w:tcW w:w="1040" w:type="dxa"/>
            <w:vAlign w:val="bottom"/>
            <w:gridSpan w:val="2"/>
          </w:tcPr>
          <w:p>
            <w:pPr>
              <w:jc w:val="center"/>
              <w:ind w:right="20"/>
              <w:spacing w:after="0" w:line="135" w:lineRule="exact"/>
              <w:rPr>
                <w:sz w:val="20"/>
                <w:szCs w:val="20"/>
                <w:color w:val="auto"/>
              </w:rPr>
            </w:pPr>
            <w:r>
              <w:rPr>
                <w:rFonts w:ascii="Arial" w:cs="Arial" w:eastAsia="Arial" w:hAnsi="Arial"/>
                <w:sz w:val="14"/>
                <w:szCs w:val="14"/>
                <w:b w:val="1"/>
                <w:bCs w:val="1"/>
                <w:color w:val="auto"/>
                <w:w w:val="87"/>
              </w:rPr>
              <w:t>the Plans or</w:t>
            </w:r>
          </w:p>
        </w:tc>
      </w:tr>
      <w:tr>
        <w:trPr>
          <w:trHeight w:val="176"/>
        </w:trPr>
        <w:tc>
          <w:tcPr>
            <w:tcW w:w="5740" w:type="dxa"/>
            <w:vAlign w:val="bottom"/>
          </w:tcPr>
          <w:p>
            <w:pPr>
              <w:spacing w:after="0"/>
              <w:rPr>
                <w:sz w:val="20"/>
                <w:szCs w:val="20"/>
                <w:color w:val="auto"/>
              </w:rPr>
            </w:pPr>
            <w:r>
              <w:rPr>
                <w:rFonts w:ascii="Arial" w:cs="Arial" w:eastAsia="Arial" w:hAnsi="Arial"/>
                <w:sz w:val="14"/>
                <w:szCs w:val="14"/>
                <w:i w:val="1"/>
                <w:iCs w:val="1"/>
                <w:color w:val="auto"/>
              </w:rPr>
              <w:t>(Shares in thousands)</w:t>
            </w:r>
          </w:p>
        </w:tc>
        <w:tc>
          <w:tcPr>
            <w:tcW w:w="9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3"/>
              </w:rPr>
              <w:t>Purchased</w:t>
            </w:r>
          </w:p>
        </w:tc>
        <w:tc>
          <w:tcPr>
            <w:tcW w:w="620" w:type="dxa"/>
            <w:vAlign w:val="bottom"/>
          </w:tcPr>
          <w:p>
            <w:pPr>
              <w:spacing w:after="0"/>
              <w:rPr>
                <w:sz w:val="15"/>
                <w:szCs w:val="15"/>
                <w:color w:val="auto"/>
              </w:rPr>
            </w:pPr>
          </w:p>
        </w:tc>
        <w:tc>
          <w:tcPr>
            <w:tcW w:w="88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w w:val="85"/>
              </w:rPr>
              <w:t>Paid per Share</w:t>
            </w:r>
          </w:p>
        </w:tc>
        <w:tc>
          <w:tcPr>
            <w:tcW w:w="620" w:type="dxa"/>
            <w:vAlign w:val="bottom"/>
          </w:tcPr>
          <w:p>
            <w:pPr>
              <w:spacing w:after="0"/>
              <w:rPr>
                <w:sz w:val="15"/>
                <w:szCs w:val="15"/>
                <w:color w:val="auto"/>
              </w:rPr>
            </w:pPr>
          </w:p>
        </w:tc>
        <w:tc>
          <w:tcPr>
            <w:tcW w:w="960" w:type="dxa"/>
            <w:vAlign w:val="bottom"/>
            <w:tcBorders>
              <w:bottom w:val="single" w:sz="8" w:color="auto"/>
            </w:tcBorders>
          </w:tcPr>
          <w:p>
            <w:pPr>
              <w:jc w:val="center"/>
              <w:spacing w:after="0" w:line="176" w:lineRule="exact"/>
              <w:rPr>
                <w:sz w:val="20"/>
                <w:szCs w:val="20"/>
                <w:color w:val="auto"/>
              </w:rPr>
            </w:pPr>
            <w:r>
              <w:rPr>
                <w:rFonts w:ascii="Arial" w:cs="Arial" w:eastAsia="Arial" w:hAnsi="Arial"/>
                <w:sz w:val="13"/>
                <w:szCs w:val="13"/>
                <w:b w:val="1"/>
                <w:bCs w:val="1"/>
                <w:color w:val="auto"/>
                <w:w w:val="90"/>
              </w:rPr>
              <w:t>Programs</w:t>
            </w:r>
            <w:r>
              <w:rPr>
                <w:rFonts w:ascii="Arial" w:cs="Arial" w:eastAsia="Arial" w:hAnsi="Arial"/>
                <w:sz w:val="20"/>
                <w:szCs w:val="20"/>
                <w:b w:val="1"/>
                <w:bCs w:val="1"/>
                <w:color w:val="auto"/>
                <w:w w:val="90"/>
                <w:vertAlign w:val="superscript"/>
              </w:rPr>
              <w:t>(1)</w:t>
            </w:r>
          </w:p>
        </w:tc>
        <w:tc>
          <w:tcPr>
            <w:tcW w:w="620" w:type="dxa"/>
            <w:vAlign w:val="bottom"/>
          </w:tcPr>
          <w:p>
            <w:pPr>
              <w:spacing w:after="0"/>
              <w:rPr>
                <w:sz w:val="15"/>
                <w:szCs w:val="15"/>
                <w:color w:val="auto"/>
              </w:rPr>
            </w:pPr>
          </w:p>
        </w:tc>
        <w:tc>
          <w:tcPr>
            <w:tcW w:w="1020" w:type="dxa"/>
            <w:vAlign w:val="bottom"/>
            <w:tcBorders>
              <w:bottom w:val="single" w:sz="8" w:color="auto"/>
            </w:tcBorders>
          </w:tcPr>
          <w:p>
            <w:pPr>
              <w:jc w:val="center"/>
              <w:spacing w:after="0" w:line="176" w:lineRule="exact"/>
              <w:rPr>
                <w:sz w:val="20"/>
                <w:szCs w:val="20"/>
                <w:color w:val="auto"/>
              </w:rPr>
            </w:pPr>
            <w:r>
              <w:rPr>
                <w:rFonts w:ascii="Arial" w:cs="Arial" w:eastAsia="Arial" w:hAnsi="Arial"/>
                <w:sz w:val="13"/>
                <w:szCs w:val="13"/>
                <w:b w:val="1"/>
                <w:bCs w:val="1"/>
                <w:color w:val="auto"/>
                <w:w w:val="90"/>
              </w:rPr>
              <w:t>Programs</w:t>
            </w:r>
            <w:r>
              <w:rPr>
                <w:rFonts w:ascii="Arial" w:cs="Arial" w:eastAsia="Arial" w:hAnsi="Arial"/>
                <w:sz w:val="20"/>
                <w:szCs w:val="20"/>
                <w:b w:val="1"/>
                <w:bCs w:val="1"/>
                <w:color w:val="auto"/>
                <w:w w:val="90"/>
                <w:vertAlign w:val="superscript"/>
              </w:rPr>
              <w:t>(2)</w:t>
            </w:r>
          </w:p>
        </w:tc>
        <w:tc>
          <w:tcPr>
            <w:tcW w:w="20" w:type="dxa"/>
            <w:vAlign w:val="bottom"/>
          </w:tcPr>
          <w:p>
            <w:pPr>
              <w:spacing w:after="0"/>
              <w:rPr>
                <w:sz w:val="15"/>
                <w:szCs w:val="15"/>
                <w:color w:val="auto"/>
              </w:rPr>
            </w:pPr>
          </w:p>
        </w:tc>
      </w:tr>
      <w:tr>
        <w:trPr>
          <w:trHeight w:val="210"/>
        </w:trPr>
        <w:tc>
          <w:tcPr>
            <w:tcW w:w="5740" w:type="dxa"/>
            <w:vAlign w:val="bottom"/>
            <w:shd w:val="clear" w:color="auto" w:fill="CCEEFF"/>
          </w:tcPr>
          <w:p>
            <w:pPr>
              <w:spacing w:after="0"/>
              <w:rPr>
                <w:sz w:val="20"/>
                <w:szCs w:val="20"/>
                <w:color w:val="auto"/>
              </w:rPr>
            </w:pPr>
            <w:r>
              <w:rPr>
                <w:rFonts w:ascii="Arial" w:cs="Arial" w:eastAsia="Arial" w:hAnsi="Arial"/>
                <w:sz w:val="18"/>
                <w:szCs w:val="18"/>
                <w:color w:val="auto"/>
              </w:rPr>
              <w:t>August 1 - August 31</w:t>
            </w:r>
          </w:p>
        </w:tc>
        <w:tc>
          <w:tcPr>
            <w:tcW w:w="960" w:type="dxa"/>
            <w:vAlign w:val="bottom"/>
            <w:shd w:val="clear" w:color="auto" w:fill="CCEEFF"/>
          </w:tcPr>
          <w:p>
            <w:pPr>
              <w:jc w:val="right"/>
              <w:ind w:right="1"/>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112"/>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ind w:left="68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16,135</w:t>
            </w:r>
          </w:p>
        </w:tc>
        <w:tc>
          <w:tcPr>
            <w:tcW w:w="20" w:type="dxa"/>
            <w:vAlign w:val="bottom"/>
          </w:tcPr>
          <w:p>
            <w:pPr>
              <w:spacing w:after="0"/>
              <w:rPr>
                <w:sz w:val="18"/>
                <w:szCs w:val="18"/>
                <w:color w:val="auto"/>
              </w:rPr>
            </w:pPr>
          </w:p>
        </w:tc>
      </w:tr>
      <w:tr>
        <w:trPr>
          <w:trHeight w:val="216"/>
        </w:trPr>
        <w:tc>
          <w:tcPr>
            <w:tcW w:w="5740" w:type="dxa"/>
            <w:vAlign w:val="bottom"/>
          </w:tcPr>
          <w:p>
            <w:pPr>
              <w:spacing w:after="0"/>
              <w:rPr>
                <w:sz w:val="20"/>
                <w:szCs w:val="20"/>
                <w:color w:val="auto"/>
              </w:rPr>
            </w:pPr>
            <w:r>
              <w:rPr>
                <w:rFonts w:ascii="Arial" w:cs="Arial" w:eastAsia="Arial" w:hAnsi="Arial"/>
                <w:sz w:val="18"/>
                <w:szCs w:val="18"/>
                <w:color w:val="auto"/>
              </w:rPr>
              <w:t>September 1 - September 30</w:t>
            </w:r>
          </w:p>
        </w:tc>
        <w:tc>
          <w:tcPr>
            <w:tcW w:w="960" w:type="dxa"/>
            <w:vAlign w:val="bottom"/>
          </w:tcPr>
          <w:p>
            <w:pPr>
              <w:jc w:val="right"/>
              <w:spacing w:after="0"/>
              <w:rPr>
                <w:sz w:val="20"/>
                <w:szCs w:val="20"/>
                <w:color w:val="auto"/>
              </w:rPr>
            </w:pPr>
            <w:r>
              <w:rPr>
                <w:rFonts w:ascii="Arial" w:cs="Arial" w:eastAsia="Arial" w:hAnsi="Arial"/>
                <w:sz w:val="18"/>
                <w:szCs w:val="18"/>
                <w:color w:val="auto"/>
              </w:rPr>
              <w:t>1,273</w:t>
            </w:r>
          </w:p>
        </w:tc>
        <w:tc>
          <w:tcPr>
            <w:tcW w:w="6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23.82</w:t>
            </w:r>
          </w:p>
        </w:tc>
        <w:tc>
          <w:tcPr>
            <w:tcW w:w="2200" w:type="dxa"/>
            <w:vAlign w:val="bottom"/>
            <w:gridSpan w:val="3"/>
          </w:tcPr>
          <w:p>
            <w:pPr>
              <w:jc w:val="right"/>
              <w:ind w:right="620"/>
              <w:spacing w:after="0"/>
              <w:rPr>
                <w:sz w:val="20"/>
                <w:szCs w:val="20"/>
                <w:color w:val="auto"/>
              </w:rPr>
            </w:pPr>
            <w:r>
              <w:rPr>
                <w:rFonts w:ascii="Arial" w:cs="Arial" w:eastAsia="Arial" w:hAnsi="Arial"/>
                <w:sz w:val="18"/>
                <w:szCs w:val="18"/>
                <w:color w:val="auto"/>
              </w:rPr>
              <w:t>1,273</w:t>
            </w:r>
          </w:p>
        </w:tc>
        <w:tc>
          <w:tcPr>
            <w:tcW w:w="1020" w:type="dxa"/>
            <w:vAlign w:val="bottom"/>
          </w:tcPr>
          <w:p>
            <w:pPr>
              <w:jc w:val="right"/>
              <w:spacing w:after="0"/>
              <w:rPr>
                <w:sz w:val="20"/>
                <w:szCs w:val="20"/>
                <w:color w:val="auto"/>
              </w:rPr>
            </w:pPr>
            <w:r>
              <w:rPr>
                <w:rFonts w:ascii="Arial" w:cs="Arial" w:eastAsia="Arial" w:hAnsi="Arial"/>
                <w:sz w:val="18"/>
                <w:szCs w:val="18"/>
                <w:color w:val="auto"/>
              </w:rPr>
              <w:t>14,862</w:t>
            </w:r>
          </w:p>
        </w:tc>
        <w:tc>
          <w:tcPr>
            <w:tcW w:w="20" w:type="dxa"/>
            <w:vAlign w:val="bottom"/>
          </w:tcPr>
          <w:p>
            <w:pPr>
              <w:spacing w:after="0"/>
              <w:rPr>
                <w:sz w:val="18"/>
                <w:szCs w:val="18"/>
                <w:color w:val="auto"/>
              </w:rPr>
            </w:pPr>
          </w:p>
        </w:tc>
      </w:tr>
      <w:tr>
        <w:trPr>
          <w:trHeight w:val="216"/>
        </w:trPr>
        <w:tc>
          <w:tcPr>
            <w:tcW w:w="5740" w:type="dxa"/>
            <w:vAlign w:val="bottom"/>
            <w:shd w:val="clear" w:color="auto" w:fill="CCEEFF"/>
          </w:tcPr>
          <w:p>
            <w:pPr>
              <w:spacing w:after="0"/>
              <w:rPr>
                <w:sz w:val="20"/>
                <w:szCs w:val="20"/>
                <w:color w:val="auto"/>
              </w:rPr>
            </w:pPr>
            <w:r>
              <w:rPr>
                <w:rFonts w:ascii="Arial" w:cs="Arial" w:eastAsia="Arial" w:hAnsi="Arial"/>
                <w:sz w:val="18"/>
                <w:szCs w:val="18"/>
                <w:color w:val="auto"/>
              </w:rPr>
              <w:t>October 1 - October 31</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400</w:t>
            </w:r>
          </w:p>
        </w:tc>
        <w:tc>
          <w:tcPr>
            <w:tcW w:w="62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22.73</w:t>
            </w:r>
          </w:p>
        </w:tc>
        <w:tc>
          <w:tcPr>
            <w:tcW w:w="620" w:type="dxa"/>
            <w:vAlign w:val="bottom"/>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400</w:t>
            </w:r>
          </w:p>
        </w:tc>
        <w:tc>
          <w:tcPr>
            <w:tcW w:w="620" w:type="dxa"/>
            <w:vAlign w:val="bottom"/>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14,462</w:t>
            </w:r>
          </w:p>
        </w:tc>
        <w:tc>
          <w:tcPr>
            <w:tcW w:w="20" w:type="dxa"/>
            <w:vAlign w:val="bottom"/>
          </w:tcPr>
          <w:p>
            <w:pPr>
              <w:spacing w:after="0"/>
              <w:rPr>
                <w:sz w:val="18"/>
                <w:szCs w:val="18"/>
                <w:color w:val="auto"/>
              </w:rPr>
            </w:pPr>
          </w:p>
        </w:tc>
      </w:tr>
      <w:tr>
        <w:trPr>
          <w:trHeight w:val="222"/>
        </w:trPr>
        <w:tc>
          <w:tcPr>
            <w:tcW w:w="5740" w:type="dxa"/>
            <w:vAlign w:val="bottom"/>
          </w:tcPr>
          <w:p>
            <w:pPr>
              <w:spacing w:after="0"/>
              <w:rPr>
                <w:sz w:val="20"/>
                <w:szCs w:val="20"/>
                <w:color w:val="auto"/>
              </w:rPr>
            </w:pPr>
            <w:r>
              <w:rPr>
                <w:rFonts w:ascii="Arial" w:cs="Arial" w:eastAsia="Arial" w:hAnsi="Arial"/>
                <w:sz w:val="18"/>
                <w:szCs w:val="18"/>
                <w:color w:val="auto"/>
              </w:rPr>
              <w:t>Total</w:t>
            </w:r>
          </w:p>
        </w:tc>
        <w:tc>
          <w:tcPr>
            <w:tcW w:w="960" w:type="dxa"/>
            <w:vAlign w:val="bottom"/>
          </w:tcPr>
          <w:p>
            <w:pPr>
              <w:jc w:val="right"/>
              <w:spacing w:after="0"/>
              <w:rPr>
                <w:sz w:val="20"/>
                <w:szCs w:val="20"/>
                <w:color w:val="auto"/>
              </w:rPr>
            </w:pPr>
            <w:r>
              <w:rPr>
                <w:rFonts w:ascii="Arial" w:cs="Arial" w:eastAsia="Arial" w:hAnsi="Arial"/>
                <w:sz w:val="18"/>
                <w:szCs w:val="18"/>
                <w:color w:val="auto"/>
              </w:rPr>
              <w:t>1,673</w:t>
            </w:r>
          </w:p>
        </w:tc>
        <w:tc>
          <w:tcPr>
            <w:tcW w:w="900" w:type="dxa"/>
            <w:vAlign w:val="bottom"/>
            <w:gridSpan w:val="2"/>
          </w:tcPr>
          <w:p>
            <w:pPr>
              <w:jc w:val="right"/>
              <w:ind w:right="112"/>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23.56</w:t>
            </w:r>
          </w:p>
        </w:tc>
        <w:tc>
          <w:tcPr>
            <w:tcW w:w="2200" w:type="dxa"/>
            <w:vAlign w:val="bottom"/>
            <w:gridSpan w:val="3"/>
          </w:tcPr>
          <w:p>
            <w:pPr>
              <w:jc w:val="right"/>
              <w:ind w:right="620"/>
              <w:spacing w:after="0"/>
              <w:rPr>
                <w:sz w:val="20"/>
                <w:szCs w:val="20"/>
                <w:color w:val="auto"/>
              </w:rPr>
            </w:pPr>
            <w:r>
              <w:rPr>
                <w:rFonts w:ascii="Arial" w:cs="Arial" w:eastAsia="Arial" w:hAnsi="Arial"/>
                <w:sz w:val="18"/>
                <w:szCs w:val="18"/>
                <w:color w:val="auto"/>
              </w:rPr>
              <w:t>1,673</w:t>
            </w:r>
          </w:p>
        </w:tc>
        <w:tc>
          <w:tcPr>
            <w:tcW w:w="1040" w:type="dxa"/>
            <w:vAlign w:val="bottom"/>
            <w:gridSpan w:val="2"/>
          </w:tcPr>
          <w:p>
            <w:pPr>
              <w:jc w:val="right"/>
              <w:ind w:right="20"/>
              <w:spacing w:after="0"/>
              <w:rPr>
                <w:sz w:val="20"/>
                <w:szCs w:val="20"/>
                <w:color w:val="auto"/>
              </w:rPr>
            </w:pPr>
            <w:r>
              <w:rPr>
                <w:rFonts w:ascii="Arial" w:cs="Arial" w:eastAsia="Arial" w:hAnsi="Arial"/>
                <w:sz w:val="18"/>
                <w:szCs w:val="18"/>
                <w:color w:val="auto"/>
              </w:rPr>
              <w:t>14,462</w:t>
            </w:r>
          </w:p>
        </w:tc>
      </w:tr>
      <w:tr>
        <w:trPr>
          <w:trHeight w:val="20"/>
        </w:trPr>
        <w:tc>
          <w:tcPr>
            <w:tcW w:w="574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123" w:lineRule="exact"/>
        <w:rPr>
          <w:sz w:val="20"/>
          <w:szCs w:val="20"/>
          <w:color w:val="auto"/>
        </w:rPr>
      </w:pPr>
    </w:p>
    <w:p>
      <w:pPr>
        <w:ind w:left="460" w:hanging="452"/>
        <w:spacing w:after="0"/>
        <w:tabs>
          <w:tab w:leader="none" w:pos="460" w:val="left"/>
        </w:tabs>
        <w:numPr>
          <w:ilvl w:val="0"/>
          <w:numId w:val="29"/>
        </w:numPr>
        <w:rPr>
          <w:rFonts w:ascii="Arial" w:cs="Arial" w:eastAsia="Arial" w:hAnsi="Arial"/>
          <w:sz w:val="22"/>
          <w:szCs w:val="22"/>
          <w:color w:val="auto"/>
          <w:vertAlign w:val="superscript"/>
        </w:rPr>
      </w:pPr>
      <w:r>
        <w:rPr>
          <w:rFonts w:ascii="Arial" w:cs="Arial" w:eastAsia="Arial" w:hAnsi="Arial"/>
          <w:sz w:val="18"/>
          <w:szCs w:val="18"/>
          <w:color w:val="auto"/>
        </w:rPr>
        <w:t>Represents shares purchased in open-market transactions under the stock repurchase plan approved by the Board of Directors.</w:t>
      </w:r>
    </w:p>
    <w:p>
      <w:pPr>
        <w:spacing w:after="0" w:line="7" w:lineRule="exact"/>
        <w:rPr>
          <w:rFonts w:ascii="Arial" w:cs="Arial" w:eastAsia="Arial" w:hAnsi="Arial"/>
          <w:sz w:val="22"/>
          <w:szCs w:val="22"/>
          <w:color w:val="auto"/>
          <w:vertAlign w:val="superscript"/>
        </w:rPr>
      </w:pPr>
    </w:p>
    <w:p>
      <w:pPr>
        <w:ind w:left="460" w:right="80" w:hanging="452"/>
        <w:spacing w:after="0" w:line="221" w:lineRule="auto"/>
        <w:tabs>
          <w:tab w:leader="none" w:pos="460" w:val="left"/>
        </w:tabs>
        <w:numPr>
          <w:ilvl w:val="0"/>
          <w:numId w:val="29"/>
        </w:numPr>
        <w:rPr>
          <w:rFonts w:ascii="Arial" w:cs="Arial" w:eastAsia="Arial" w:hAnsi="Arial"/>
          <w:sz w:val="22"/>
          <w:szCs w:val="22"/>
          <w:color w:val="auto"/>
          <w:vertAlign w:val="superscript"/>
        </w:rPr>
      </w:pPr>
      <w:r>
        <w:rPr>
          <w:rFonts w:ascii="Arial" w:cs="Arial" w:eastAsia="Arial" w:hAnsi="Arial"/>
          <w:sz w:val="18"/>
          <w:szCs w:val="18"/>
          <w:color w:val="auto"/>
        </w:rPr>
        <w:t>These amounts correspond to a plan approved by the Board of Directors in December 2007 that authorized the repurchase of 20.0 million shares. This plan does not have a fixed expiration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-434975</wp:posOffset>
            </wp:positionV>
            <wp:extent cx="728980" cy="88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96" w:lineRule="exact"/>
        <w:rPr>
          <w:sz w:val="20"/>
          <w:szCs w:val="20"/>
          <w:color w:val="auto"/>
        </w:rPr>
      </w:pPr>
    </w:p>
    <w:p>
      <w:pPr>
        <w:ind w:right="220" w:firstLine="456"/>
        <w:spacing w:after="0" w:line="268" w:lineRule="auto"/>
        <w:rPr>
          <w:sz w:val="20"/>
          <w:szCs w:val="20"/>
          <w:color w:val="auto"/>
        </w:rPr>
      </w:pPr>
      <w:r>
        <w:rPr>
          <w:rFonts w:ascii="Arial" w:cs="Arial" w:eastAsia="Arial" w:hAnsi="Arial"/>
          <w:sz w:val="18"/>
          <w:szCs w:val="18"/>
          <w:color w:val="auto"/>
        </w:rPr>
        <w:t>Other than operating leases, we do not engage in off-balance sheet financing arrangements or have any variable-interest entities. As of October 31, 2009, we did not have any off-balance sheet arrangements as defined in Item 303(a)(4)(ii) of SEC Regulation S-K.</w:t>
      </w:r>
    </w:p>
    <w:p>
      <w:pPr>
        <w:spacing w:after="0" w:line="248"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6"/>
          <w:szCs w:val="16"/>
          <w:b w:val="1"/>
          <w:bCs w:val="1"/>
          <w:color w:val="auto"/>
        </w:rPr>
        <w:t>QUANTITATIVE AND QUALITATIVE DISCLOSURES ABOUT MARKET RISK</w:t>
      </w:r>
    </w:p>
    <w:p>
      <w:pPr>
        <w:spacing w:after="0" w:line="96" w:lineRule="exact"/>
        <w:rPr>
          <w:sz w:val="20"/>
          <w:szCs w:val="20"/>
          <w:color w:val="auto"/>
        </w:rPr>
      </w:pPr>
    </w:p>
    <w:p>
      <w:pPr>
        <w:ind w:right="20" w:firstLine="456"/>
        <w:spacing w:after="0" w:line="298" w:lineRule="auto"/>
        <w:rPr>
          <w:sz w:val="20"/>
          <w:szCs w:val="20"/>
          <w:color w:val="auto"/>
        </w:rPr>
      </w:pPr>
      <w:r>
        <w:rPr>
          <w:rFonts w:ascii="Arial" w:cs="Arial" w:eastAsia="Arial" w:hAnsi="Arial"/>
          <w:sz w:val="16"/>
          <w:szCs w:val="16"/>
          <w:color w:val="auto"/>
        </w:rPr>
        <w:t>The recent global financial crisis affecting the banking system and financial markets and other financial institutions have continued to cause a negative effect in the credit markets, a low level of liquidity in many financial markets, and volatility in many financial instrument markets. We believe our customers continue to defer purchases in response to the current economic conditions and uncertainties, which has negatively impacted our business. Global macroeconomic indicators began to show some signs of improvement during the three months ended October 31, 2009, although they are still mixed.</w:t>
      </w:r>
    </w:p>
    <w:p>
      <w:pPr>
        <w:spacing w:after="0" w:line="113" w:lineRule="exact"/>
        <w:rPr>
          <w:sz w:val="20"/>
          <w:szCs w:val="20"/>
          <w:color w:val="auto"/>
        </w:rPr>
      </w:pPr>
    </w:p>
    <w:p>
      <w:pPr>
        <w:jc w:val="both"/>
        <w:ind w:right="100" w:firstLine="456"/>
        <w:spacing w:after="0" w:line="259" w:lineRule="auto"/>
        <w:rPr>
          <w:sz w:val="20"/>
          <w:szCs w:val="20"/>
          <w:color w:val="auto"/>
        </w:rPr>
      </w:pPr>
      <w:r>
        <w:rPr>
          <w:rFonts w:ascii="Arial" w:cs="Arial" w:eastAsia="Arial" w:hAnsi="Arial"/>
          <w:sz w:val="18"/>
          <w:szCs w:val="18"/>
          <w:color w:val="auto"/>
        </w:rPr>
        <w:t>Our cash and cash equivalents are held by diversified financial institutions globally. Our primary commercial banking relationship is with Citibank and its global affiliates (“Citibank”). In addition, Citicorp USA, Inc., an affiliate of Citibank, is the lead lender and agent in the syndicate of our $250.0 million U.S. line of credit.</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420"/>
          </w:cols>
          <w:pgMar w:left="240" w:top="459" w:right="239" w:bottom="1440" w:gutter="0" w:footer="0" w:header="0"/>
        </w:sectPr>
      </w:pPr>
    </w:p>
    <w:bookmarkStart w:id="40" w:name="page41"/>
    <w:bookmarkEnd w:id="4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ind w:right="80" w:firstLine="456"/>
        <w:spacing w:after="0" w:line="254" w:lineRule="auto"/>
        <w:rPr>
          <w:sz w:val="20"/>
          <w:szCs w:val="20"/>
          <w:color w:val="auto"/>
        </w:rPr>
      </w:pPr>
      <w:r>
        <w:rPr>
          <w:rFonts w:ascii="Arial" w:cs="Arial" w:eastAsia="Arial" w:hAnsi="Arial"/>
          <w:sz w:val="18"/>
          <w:szCs w:val="18"/>
          <w:color w:val="auto"/>
        </w:rPr>
        <w:t>We utilize foreign currency option collar and forward contracts to reduce the exchange rate impact on the net revenue and operating expenses of certain anticipated transactions. A sensitivity analysis performed on our hedging portfolio as of October 31, 2009 indicated that a hypothetical 10% appreciation of the U.S. dollar from its value at October 31, 2009 would increase the fair value of our forward exchange and option contracts by $13.4 million. A hypothetical 10% depreciation of the dollar from its value at October 31, 2009 would decrease the fair value of our forward exchange and option contracts by $14.2 million. We do not anticipate any material adverse impact to our consolidated financial position, results of operations or cash flows as a result of these foreign currency forward and option contracts.</w:t>
      </w:r>
    </w:p>
    <w:p>
      <w:pPr>
        <w:spacing w:after="0" w:line="144" w:lineRule="exact"/>
        <w:rPr>
          <w:sz w:val="20"/>
          <w:szCs w:val="20"/>
          <w:color w:val="auto"/>
        </w:rPr>
      </w:pPr>
    </w:p>
    <w:p>
      <w:pPr>
        <w:ind w:right="120" w:firstLine="456"/>
        <w:spacing w:after="0" w:line="254" w:lineRule="auto"/>
        <w:rPr>
          <w:sz w:val="20"/>
          <w:szCs w:val="20"/>
          <w:color w:val="auto"/>
        </w:rPr>
      </w:pPr>
      <w:r>
        <w:rPr>
          <w:rFonts w:ascii="Arial" w:cs="Arial" w:eastAsia="Arial" w:hAnsi="Arial"/>
          <w:sz w:val="18"/>
          <w:szCs w:val="18"/>
          <w:color w:val="auto"/>
        </w:rPr>
        <w:t>Interest rate movements affect both the interest income we earn on our short term investments and, to a lesser extent, the market value of certain longer term securities. At October 31, 2009 we had $874.5 million of cash equivalents and marketable securities. With an average investment balance for the quarter of approximately $742.6 million, if interest rates were to increase (decrease) by 10%, this would result in a $0.2 million increase (decrease) in annual interest income. Further, at October 31, 2009, we had approximately $92.0 million invested in a longer term portfolio which, with 50 and 100 basis point moves, would result in market value changes (gains or losses) of $0.2 million over both six and 12 month periods. We do not use derivative financial instruments in our investment portfolio to manage interest rate risk.</w:t>
      </w:r>
    </w:p>
    <w:p>
      <w:pPr>
        <w:spacing w:after="0" w:line="260"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6"/>
          <w:szCs w:val="16"/>
          <w:b w:val="1"/>
          <w:bCs w:val="1"/>
          <w:color w:val="auto"/>
        </w:rPr>
        <w:t>CONTROLS AND PROCEDURES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Evaluation of Disclosure Controls and Procedures</w:t>
      </w:r>
    </w:p>
    <w:p>
      <w:pPr>
        <w:spacing w:after="0" w:line="96" w:lineRule="exact"/>
        <w:rPr>
          <w:sz w:val="20"/>
          <w:szCs w:val="20"/>
          <w:color w:val="auto"/>
        </w:rPr>
      </w:pPr>
    </w:p>
    <w:p>
      <w:pPr>
        <w:ind w:right="60" w:firstLine="456"/>
        <w:spacing w:after="0" w:line="290" w:lineRule="auto"/>
        <w:rPr>
          <w:sz w:val="20"/>
          <w:szCs w:val="20"/>
          <w:color w:val="auto"/>
        </w:rPr>
      </w:pPr>
      <w:r>
        <w:rPr>
          <w:rFonts w:ascii="Arial" w:cs="Arial" w:eastAsia="Arial" w:hAnsi="Arial"/>
          <w:sz w:val="16"/>
          <w:szCs w:val="16"/>
          <w:color w:val="auto"/>
        </w:rPr>
        <w:t>Our management evaluated, with the participation of our Chief Executive Officer and Chief Financial Officer, the effectiveness of our disclosure controls and procedures as of the end of the period covered by this Quarterly Report on Form 10-Q. Based on this evaluation, our Chief Executive Officer and Chief Financial Officer have concluded that our disclosure controls and procedures are effective at the reasonable assurance level to ensure that information we are required to disclose in reports that we file or submit under the Securities Exchange Act of 1934 (i) is recorded, processed, summarized and reported within the time periods specified in Securities and Exchange Commission rules and forms, and (ii) is accumulated and communicated to Autodesk’s management, including our Chief Executive Officer and Chief Financial Officer, as appropriate to allow timely decisions regarding required disclosure. Our disclosure controls and procedures are designed to provide reasonable assurance that such information is accumulated and communicated to our management.</w:t>
      </w:r>
    </w:p>
    <w:p>
      <w:pPr>
        <w:spacing w:after="0" w:line="118"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Our disclosure controls and procedures include components of our internal control over financial reporting. Our management, including our Chief Executive Officer and Chief Financial Officer, does not expect that our disclosure controls and procedures or our internal control over financial reporting will necessarily prevent all errors and all fraud. A control system, no matter how well conceived and operated, can provide only reasonable, not absolute, assurance that the objectives of the control system are met. Further, the design of a control system must reflect the fact that there are resource constraints, and the benefits of controls must be considered relative to their costs. Because of the inherent limitations in all control systems, no evaluation of controls can provide absolute assurance that all control issues and instances of fraud, if any, within Autodesk have been detected.</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96" w:lineRule="exact"/>
        <w:rPr>
          <w:sz w:val="20"/>
          <w:szCs w:val="20"/>
          <w:color w:val="auto"/>
        </w:rPr>
      </w:pPr>
    </w:p>
    <w:p>
      <w:pPr>
        <w:ind w:right="340" w:firstLine="456"/>
        <w:spacing w:after="0" w:line="259" w:lineRule="auto"/>
        <w:rPr>
          <w:sz w:val="20"/>
          <w:szCs w:val="20"/>
          <w:color w:val="auto"/>
        </w:rPr>
      </w:pPr>
      <w:r>
        <w:rPr>
          <w:rFonts w:ascii="Arial" w:cs="Arial" w:eastAsia="Arial" w:hAnsi="Arial"/>
          <w:sz w:val="18"/>
          <w:szCs w:val="18"/>
          <w:color w:val="auto"/>
        </w:rPr>
        <w:t>There were no changes in our internal controls over financial reporting (as such term is defined in Rules 13a-15(f) and 15d-15(f) under the Securities Exchange Act of 1934, as amended) during the quarter ended October 31, 2009 that have materially affected, or are reasonably likely to materially affect, our internal controls over financial reporting.</w:t>
      </w:r>
    </w:p>
    <w:p>
      <w:pPr>
        <w:spacing w:after="0" w:line="12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400"/>
          </w:cols>
          <w:pgMar w:left="240" w:top="459" w:right="259" w:bottom="1440" w:gutter="0" w:footer="0" w:header="0"/>
        </w:sectPr>
      </w:pPr>
    </w:p>
    <w:bookmarkStart w:id="41" w:name="page42"/>
    <w:bookmarkEnd w:id="4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PART II. OTHER INFORMATION</w:t>
      </w:r>
    </w:p>
    <w:p>
      <w:pPr>
        <w:spacing w:after="0" w:line="212"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6"/>
          <w:szCs w:val="16"/>
          <w:b w:val="1"/>
          <w:bCs w:val="1"/>
          <w:color w:val="auto"/>
        </w:rPr>
        <w:t>LEGAL PROCEEDINGS</w:t>
      </w:r>
    </w:p>
    <w:p>
      <w:pPr>
        <w:spacing w:after="0" w:line="96" w:lineRule="exact"/>
        <w:rPr>
          <w:sz w:val="20"/>
          <w:szCs w:val="20"/>
          <w:color w:val="auto"/>
        </w:rPr>
      </w:pPr>
    </w:p>
    <w:p>
      <w:pPr>
        <w:ind w:right="340" w:firstLine="456"/>
        <w:spacing w:after="0" w:line="268" w:lineRule="auto"/>
        <w:rPr>
          <w:sz w:val="20"/>
          <w:szCs w:val="20"/>
          <w:color w:val="auto"/>
        </w:rPr>
      </w:pPr>
      <w:r>
        <w:rPr>
          <w:rFonts w:ascii="Arial" w:cs="Arial" w:eastAsia="Arial" w:hAnsi="Arial"/>
          <w:sz w:val="18"/>
          <w:szCs w:val="18"/>
          <w:color w:val="auto"/>
        </w:rPr>
        <w:t>Information with respect to this Item may be found in Note 14, “Commitments and Contingencies,” of the Notes to Condensed Consolidated Financial Statements in this Form 10-Q, which information is incorporated into this Item by reference.</w:t>
      </w:r>
    </w:p>
    <w:p>
      <w:pPr>
        <w:spacing w:after="0" w:line="248"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6"/>
          <w:szCs w:val="16"/>
          <w:b w:val="1"/>
          <w:bCs w:val="1"/>
          <w:color w:val="auto"/>
        </w:rPr>
        <w:t>RISK FACTORS</w:t>
      </w:r>
    </w:p>
    <w:p>
      <w:pPr>
        <w:spacing w:after="0" w:line="96" w:lineRule="exact"/>
        <w:rPr>
          <w:sz w:val="20"/>
          <w:szCs w:val="20"/>
          <w:color w:val="auto"/>
        </w:rPr>
      </w:pPr>
    </w:p>
    <w:p>
      <w:pPr>
        <w:ind w:right="160" w:firstLine="456"/>
        <w:spacing w:after="0" w:line="291" w:lineRule="auto"/>
        <w:rPr>
          <w:sz w:val="20"/>
          <w:szCs w:val="20"/>
          <w:color w:val="auto"/>
        </w:rPr>
      </w:pPr>
      <w:r>
        <w:rPr>
          <w:rFonts w:ascii="Arial" w:cs="Arial" w:eastAsia="Arial" w:hAnsi="Arial"/>
          <w:sz w:val="16"/>
          <w:szCs w:val="16"/>
          <w:color w:val="auto"/>
        </w:rPr>
        <w:t>We operate in a rapidly changing environment that involves significant risks, a number of which are beyond our control. In addition to the other information contained in this Form 10-Q, the following discussion highlights some of these risks and the possible impact of these factors on our business, financial condition and future results of operations. If any of the following risks actually occur, our business, financial condition or results of operations may be adversely impacted, causing the trading price of our common stock to decline. In addition, these risks and uncertainties may impact the “forward-looking” statements described elsewhere in this Form 10-Q and in the documents incorporated herein by reference. They could affect our actual results of operations, causing them to differ materially from those expressed in “forward-looking” statements.</w:t>
      </w:r>
    </w:p>
    <w:p>
      <w:pPr>
        <w:spacing w:after="0" w:line="201"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If global economic conditions further deteriorate or do not improve, our financial results may be additionally harmed.</w:t>
      </w:r>
    </w:p>
    <w:p>
      <w:pPr>
        <w:spacing w:after="0" w:line="90" w:lineRule="exact"/>
        <w:rPr>
          <w:sz w:val="20"/>
          <w:szCs w:val="20"/>
          <w:color w:val="auto"/>
        </w:rPr>
      </w:pPr>
    </w:p>
    <w:p>
      <w:pPr>
        <w:ind w:right="60" w:firstLine="456"/>
        <w:spacing w:after="0" w:line="318" w:lineRule="auto"/>
        <w:rPr>
          <w:sz w:val="20"/>
          <w:szCs w:val="20"/>
          <w:color w:val="auto"/>
        </w:rPr>
      </w:pPr>
      <w:r>
        <w:rPr>
          <w:rFonts w:ascii="Arial" w:cs="Arial" w:eastAsia="Arial" w:hAnsi="Arial"/>
          <w:sz w:val="15"/>
          <w:szCs w:val="15"/>
          <w:color w:val="auto"/>
        </w:rPr>
        <w:t>As our business has expanded globally, we have increasingly become subject to the risks arising from adverse changes in domestic and global economic and political conditions. Global economic conditions have deteriorated over the past several quarters and it is not yet clear whether a sustainable recovery is currently taking place. This has led to our customers deferring, reducing or cancelling purchases in response to tighter credit, negative financial news and weaker financial performance of their businesses. Over the past several quarters, many of our customers have reduced their work forces, thereby reducing the number of licenses and the number of maintenance contracts they need to purchase from us. These factors have negatively impacted our business and our financial results.</w:t>
      </w:r>
    </w:p>
    <w:p>
      <w:pPr>
        <w:spacing w:after="0" w:line="100" w:lineRule="exact"/>
        <w:rPr>
          <w:sz w:val="20"/>
          <w:szCs w:val="20"/>
          <w:color w:val="auto"/>
        </w:rPr>
      </w:pPr>
    </w:p>
    <w:p>
      <w:pPr>
        <w:ind w:right="220" w:firstLine="456"/>
        <w:spacing w:after="0" w:line="259" w:lineRule="auto"/>
        <w:rPr>
          <w:sz w:val="20"/>
          <w:szCs w:val="20"/>
          <w:color w:val="auto"/>
        </w:rPr>
      </w:pPr>
      <w:r>
        <w:rPr>
          <w:rFonts w:ascii="Arial" w:cs="Arial" w:eastAsia="Arial" w:hAnsi="Arial"/>
          <w:sz w:val="18"/>
          <w:szCs w:val="18"/>
          <w:color w:val="auto"/>
        </w:rPr>
        <w:t>If global economic conditions further deteriorate, or our customers continue to struggle under these pressures, many of our customers may further delay, reduce or cancel their technology purchases. This could result in further reductions in sales of our products, longer sales cycles, slower adoption of new technologies and increased price competition.</w:t>
      </w:r>
    </w:p>
    <w:p>
      <w:pPr>
        <w:spacing w:after="0" w:line="140" w:lineRule="exact"/>
        <w:rPr>
          <w:sz w:val="20"/>
          <w:szCs w:val="20"/>
          <w:color w:val="auto"/>
        </w:rPr>
      </w:pPr>
    </w:p>
    <w:p>
      <w:pPr>
        <w:jc w:val="both"/>
        <w:ind w:right="220" w:firstLine="456"/>
        <w:spacing w:after="0" w:line="259" w:lineRule="auto"/>
        <w:rPr>
          <w:sz w:val="20"/>
          <w:szCs w:val="20"/>
          <w:color w:val="auto"/>
        </w:rPr>
      </w:pPr>
      <w:r>
        <w:rPr>
          <w:rFonts w:ascii="Arial" w:cs="Arial" w:eastAsia="Arial" w:hAnsi="Arial"/>
          <w:sz w:val="18"/>
          <w:szCs w:val="18"/>
          <w:color w:val="auto"/>
        </w:rPr>
        <w:t>In addition, continued weakness in the end-user market could further negatively affect the cash flow of our distributors and resellers who could, in turn, delay paying their obligations to us. This would in turn increase our credit risk exposure and cause delays in our recognition of revenue on future sales to these customers.</w:t>
      </w:r>
    </w:p>
    <w:p>
      <w:pPr>
        <w:spacing w:after="0" w:line="140" w:lineRule="exact"/>
        <w:rPr>
          <w:sz w:val="20"/>
          <w:szCs w:val="20"/>
          <w:color w:val="auto"/>
        </w:rPr>
      </w:pPr>
    </w:p>
    <w:p>
      <w:pPr>
        <w:ind w:right="400" w:firstLine="456"/>
        <w:spacing w:after="0" w:line="306" w:lineRule="auto"/>
        <w:rPr>
          <w:sz w:val="20"/>
          <w:szCs w:val="20"/>
          <w:color w:val="auto"/>
        </w:rPr>
      </w:pPr>
      <w:r>
        <w:rPr>
          <w:rFonts w:ascii="Arial" w:cs="Arial" w:eastAsia="Arial" w:hAnsi="Arial"/>
          <w:sz w:val="16"/>
          <w:szCs w:val="16"/>
          <w:color w:val="auto"/>
        </w:rPr>
        <w:t>These actions have negatively impacted and may continue to negatively impact our business, financial results and financial condition. In addition, the negative effect these factors have had on our cash flows has caused us to restructure our business and in turn incur restructuring charges as well as take impairment charges on some of our long-term assets, and may cause us to take additional restructuring actions and charges in the future.</w:t>
      </w:r>
    </w:p>
    <w:p>
      <w:pPr>
        <w:spacing w:after="0" w:line="188" w:lineRule="exact"/>
        <w:rPr>
          <w:sz w:val="20"/>
          <w:szCs w:val="20"/>
          <w:color w:val="auto"/>
        </w:rPr>
      </w:pPr>
    </w:p>
    <w:p>
      <w:pPr>
        <w:ind w:left="240" w:right="300"/>
        <w:spacing w:after="0" w:line="268" w:lineRule="auto"/>
        <w:rPr>
          <w:sz w:val="20"/>
          <w:szCs w:val="20"/>
          <w:color w:val="auto"/>
        </w:rPr>
      </w:pPr>
      <w:r>
        <w:rPr>
          <w:rFonts w:ascii="Arial" w:cs="Arial" w:eastAsia="Arial" w:hAnsi="Arial"/>
          <w:sz w:val="18"/>
          <w:szCs w:val="18"/>
          <w:i w:val="1"/>
          <w:iCs w:val="1"/>
          <w:color w:val="auto"/>
        </w:rPr>
        <w:t>A significant portion of our revenue is generated through maintenance revenue; any decrease in maintenance attach or renewal rates, or a decrease in the number of new licenses we sell would negatively impact our future revenue and operating results.</w:t>
      </w:r>
    </w:p>
    <w:p>
      <w:pPr>
        <w:spacing w:after="0" w:line="51"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Our maintenance customers have no obligation to attach maintenance to their initial license or renew their maintenance contract after the expiration of their initial maintenance period, which is typically one year. Our customers’ attach and renewal rates may decline or fluctuate as a result of a number of factors. If our customers do not attach maintenance to their initial license or renew their maintenance contract for our products, then our maintenance revenue will decline, and our business will suffer. In addition, a portion of the growth of our maintenance revenue has typically been associated with growth of the number of licenses that we sell. Any reduction in the number of licenses that we sell, even if our customers’ attach rates do not change, will have a negative impact on our future maintenance revenue. This in turn would impact our business and harm our financial results. We have experienced a reduction in the number of licenses and maintenance contracts sold as a result of increased unemployment. This, in turn, has negatively impacted our business and our financial results.</w:t>
      </w:r>
    </w:p>
    <w:p>
      <w:pPr>
        <w:spacing w:after="0" w:line="118" w:lineRule="exact"/>
        <w:rPr>
          <w:sz w:val="20"/>
          <w:szCs w:val="20"/>
          <w:color w:val="auto"/>
        </w:rPr>
      </w:pPr>
    </w:p>
    <w:p>
      <w:pPr>
        <w:ind w:right="60" w:firstLine="456"/>
        <w:spacing w:after="0" w:line="298" w:lineRule="auto"/>
        <w:rPr>
          <w:sz w:val="20"/>
          <w:szCs w:val="20"/>
          <w:color w:val="auto"/>
        </w:rPr>
      </w:pPr>
      <w:r>
        <w:rPr>
          <w:rFonts w:ascii="Arial" w:cs="Arial" w:eastAsia="Arial" w:hAnsi="Arial"/>
          <w:sz w:val="16"/>
          <w:szCs w:val="16"/>
          <w:color w:val="auto"/>
        </w:rPr>
        <w:t>The growth in billings for maintenance contracts began to slow in the second quarter of fiscal 2009, and maintenance billings declined year over year in both the three and nine months ended October 31, 2009. The change in maintenance billings is an indicator of future maintenance revenue because we recognize the revenue ratably over the life of the maintenance contracts, which is predominantly one year. Consequently, we expect that this decline will continue to have a negative impact on our revenue in future periods as revenue from our maintenance contracts is recognized over time.</w:t>
      </w:r>
    </w:p>
    <w:p>
      <w:pPr>
        <w:spacing w:after="0" w:line="9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380"/>
          </w:cols>
          <w:pgMar w:left="240" w:top="459" w:right="279" w:bottom="1440" w:gutter="0" w:footer="0" w:header="0"/>
        </w:sectPr>
      </w:pPr>
    </w:p>
    <w:bookmarkStart w:id="42" w:name="page43"/>
    <w:bookmarkEnd w:id="4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240"/>
        <w:spacing w:after="0"/>
        <w:rPr>
          <w:sz w:val="20"/>
          <w:szCs w:val="20"/>
          <w:color w:val="auto"/>
        </w:rPr>
      </w:pPr>
      <w:r>
        <w:rPr>
          <w:rFonts w:ascii="Arial" w:cs="Arial" w:eastAsia="Arial" w:hAnsi="Arial"/>
          <w:sz w:val="16"/>
          <w:szCs w:val="16"/>
          <w:i w:val="1"/>
          <w:iCs w:val="1"/>
          <w:color w:val="auto"/>
        </w:rPr>
        <w:t>Our operating results fluctuate within each quarter and from quarter to quarter making our future revenue and operating results difficult to predict.</w:t>
      </w:r>
    </w:p>
    <w:p>
      <w:pPr>
        <w:spacing w:after="0" w:line="113" w:lineRule="exact"/>
        <w:rPr>
          <w:sz w:val="20"/>
          <w:szCs w:val="20"/>
          <w:color w:val="auto"/>
        </w:rPr>
      </w:pPr>
    </w:p>
    <w:p>
      <w:pPr>
        <w:ind w:firstLine="456"/>
        <w:spacing w:after="0" w:line="285" w:lineRule="auto"/>
        <w:rPr>
          <w:sz w:val="20"/>
          <w:szCs w:val="20"/>
          <w:color w:val="auto"/>
        </w:rPr>
      </w:pPr>
      <w:r>
        <w:rPr>
          <w:rFonts w:ascii="Arial" w:cs="Arial" w:eastAsia="Arial" w:hAnsi="Arial"/>
          <w:sz w:val="16"/>
          <w:szCs w:val="16"/>
          <w:color w:val="auto"/>
        </w:rPr>
        <w:t>Our quarterly operating results have fluctuated in the past and may do so in the future. These fluctuations could cause our stock price to change significantly or experience declines. In addition to the other factors described in this Part II, Item 1A, some of the factors that could cause our operating results to fluctuate include general global economic conditions, lower growth or contraction of our upgrade or maintenance programs, failure to expand our AutoCAD and AutoCAD LT products customer base to related 2D vertical industry and 3D model-based design products, the timing of the introduction of new products by us or our competitors, the financial and business condition of our reseller and distribution channels, stock-based compensation expense, higher unemployment, weak or negative growth in the industries we serve including architecture, engineering and construction, manufacturing, geospatial mapping, and digital media and entertainment markets, fluctuations in foreign currency exchange rates, failure to achieve anticipated levels of customer acceptance of key new applications, failure to follow sales policies, restructuring or other charges, the impact of sales in particular geographies, including emerging economies, unexpected costs or other operating expenses, changes in product pricing or product mix, platform changes, timing of product releases and retirements, failure to continue momentum of frequent release cycles or to move a significant number of customers from prior product versions in connection with our programs to retire major products, failure to accurately predict the impact of acquired businesses, failure to successfully or fully integrate acquired businesses and technologies, unexpected outcomes of matters relating to litigation, failure to achieve continued cost reductions and productivity increases, unanticipated changes in tax rates and tax laws, distribution channel management, changes in sales compensation practices, the timing of large sales, failure to effectively implement our copyright legalization programs, especially in developing countries, failure to achieve sufficient sell-through in our channels for new or existing products, renegotiation or termination of royalty or intellectual property arrangements, interruptions or terminations in the business of our consultants or third party developers, failure to grow lifecycle management or collaboration products, and unanticipated impact of accounting rules, regulations or interpretations.</w:t>
      </w:r>
    </w:p>
    <w:p>
      <w:pPr>
        <w:spacing w:after="0" w:line="124" w:lineRule="exact"/>
        <w:rPr>
          <w:sz w:val="20"/>
          <w:szCs w:val="20"/>
          <w:color w:val="auto"/>
        </w:rPr>
      </w:pPr>
    </w:p>
    <w:p>
      <w:pPr>
        <w:ind w:right="240" w:firstLine="456"/>
        <w:spacing w:after="0" w:line="259" w:lineRule="auto"/>
        <w:rPr>
          <w:sz w:val="20"/>
          <w:szCs w:val="20"/>
          <w:color w:val="auto"/>
        </w:rPr>
      </w:pPr>
      <w:r>
        <w:rPr>
          <w:rFonts w:ascii="Arial" w:cs="Arial" w:eastAsia="Arial" w:hAnsi="Arial"/>
          <w:sz w:val="18"/>
          <w:szCs w:val="18"/>
          <w:color w:val="auto"/>
        </w:rPr>
        <w:t>We have also experienced fluctuations in operating results in interim periods in certain geographic regions due to seasonality or regional economic conditions. In particular, our operating results in Europe during our third quarter are usually affected by a slow summer period, and our Asia Pacific operations typically experience seasonal slowing in our third and fourth quarters.</w:t>
      </w:r>
    </w:p>
    <w:p>
      <w:pPr>
        <w:spacing w:after="0" w:line="140" w:lineRule="exact"/>
        <w:rPr>
          <w:sz w:val="20"/>
          <w:szCs w:val="20"/>
          <w:color w:val="auto"/>
        </w:rPr>
      </w:pPr>
    </w:p>
    <w:p>
      <w:pPr>
        <w:ind w:right="40" w:firstLine="456"/>
        <w:spacing w:after="0" w:line="298" w:lineRule="auto"/>
        <w:rPr>
          <w:sz w:val="20"/>
          <w:szCs w:val="20"/>
          <w:color w:val="auto"/>
        </w:rPr>
      </w:pPr>
      <w:r>
        <w:rPr>
          <w:rFonts w:ascii="Arial" w:cs="Arial" w:eastAsia="Arial" w:hAnsi="Arial"/>
          <w:sz w:val="16"/>
          <w:szCs w:val="16"/>
          <w:color w:val="auto"/>
        </w:rPr>
        <w:t>Our operating expenses are based in part on our expectations for future revenue and are relatively fixed in the short term. Accordingly, any revenue shortfall below expectations could have an immediate and significant adverse effect on our profitability. Greater than anticipated expenses or a failure to maintain rigorous cost controls would also negatively affect profitability. Further, gross margins may be adversely affected if our sales of AutoCAD LT, upgrades and Advanced Systems products, which historically have had lower margins, grow at a faster rate than sales of our higher-margin products.</w:t>
      </w:r>
    </w:p>
    <w:p>
      <w:pPr>
        <w:spacing w:after="0" w:line="194"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Net revenue or earnings shortfalls or the volatility of the market generally may cause the market price of our stock to decline.</w:t>
      </w:r>
    </w:p>
    <w:p>
      <w:pPr>
        <w:spacing w:after="0" w:line="90" w:lineRule="exact"/>
        <w:rPr>
          <w:sz w:val="20"/>
          <w:szCs w:val="20"/>
          <w:color w:val="auto"/>
        </w:rPr>
      </w:pPr>
    </w:p>
    <w:p>
      <w:pPr>
        <w:ind w:right="40" w:firstLine="456"/>
        <w:spacing w:after="0" w:line="290" w:lineRule="auto"/>
        <w:rPr>
          <w:sz w:val="20"/>
          <w:szCs w:val="20"/>
          <w:color w:val="auto"/>
        </w:rPr>
      </w:pPr>
      <w:r>
        <w:rPr>
          <w:rFonts w:ascii="Arial" w:cs="Arial" w:eastAsia="Arial" w:hAnsi="Arial"/>
          <w:sz w:val="16"/>
          <w:szCs w:val="16"/>
          <w:color w:val="auto"/>
        </w:rPr>
        <w:t>The market price for our common stock has experienced significant fluctuations and may continue to fluctuate significantly. The market price for our common stock may be affected by a number of factors, including shortfalls in our expected net revenue, earnings or key performance metrics; changes in estimates or recommendations by securities analysts; the announcement of new products or product enhancements by us or our competitors; quarterly variations in our or our competitors’ results of operations; developments in our industry; unusual events such as significant acquisitions, divestitures, regulatory actions and litigation; changes in laws, rules or regulations applicable to our business; and general socio-economic, political or market conditions and other factors, including factors unrelated to our operating performance, like instability affecting the economy or the operating performance of our competitors. For example, current global economic conditions have negatively impacted our financial performance and in turn the market price of our common stock.</w:t>
      </w:r>
    </w:p>
    <w:p>
      <w:pPr>
        <w:spacing w:after="0" w:line="118" w:lineRule="exact"/>
        <w:rPr>
          <w:sz w:val="20"/>
          <w:szCs w:val="20"/>
          <w:color w:val="auto"/>
        </w:rPr>
      </w:pPr>
    </w:p>
    <w:p>
      <w:pPr>
        <w:ind w:right="220" w:firstLine="456"/>
        <w:spacing w:after="0" w:line="259" w:lineRule="auto"/>
        <w:rPr>
          <w:sz w:val="20"/>
          <w:szCs w:val="20"/>
          <w:color w:val="auto"/>
        </w:rPr>
      </w:pPr>
      <w:r>
        <w:rPr>
          <w:rFonts w:ascii="Arial" w:cs="Arial" w:eastAsia="Arial" w:hAnsi="Arial"/>
          <w:sz w:val="18"/>
          <w:szCs w:val="18"/>
          <w:color w:val="auto"/>
        </w:rPr>
        <w:t>Significant changes in the price of our common stock could expose us to additional costly and time-consuming litigation. Historically, after periods of volatility in the market price of a company’s securities, a company becomes more susceptible to securities class action litigation. This type of litigation is often expensive and diverts management’s attention and resources.</w:t>
      </w:r>
    </w:p>
    <w:p>
      <w:pPr>
        <w:spacing w:after="0" w:line="221" w:lineRule="exact"/>
        <w:rPr>
          <w:sz w:val="20"/>
          <w:szCs w:val="20"/>
          <w:color w:val="auto"/>
        </w:rPr>
      </w:pPr>
    </w:p>
    <w:p>
      <w:pPr>
        <w:ind w:left="240" w:right="80"/>
        <w:spacing w:after="0" w:line="332" w:lineRule="auto"/>
        <w:rPr>
          <w:sz w:val="20"/>
          <w:szCs w:val="20"/>
          <w:color w:val="auto"/>
        </w:rPr>
      </w:pPr>
      <w:r>
        <w:rPr>
          <w:rFonts w:ascii="Arial" w:cs="Arial" w:eastAsia="Arial" w:hAnsi="Arial"/>
          <w:sz w:val="16"/>
          <w:szCs w:val="16"/>
          <w:i w:val="1"/>
          <w:iCs w:val="1"/>
          <w:color w:val="auto"/>
        </w:rPr>
        <w:t>The actions that we have taken in response to the global economic slowdown and our related business slowdown have been costly and may not be as effective as anticipated. If global economic conditions worsen or do not improve, additional restructuring actions may be necessary.</w:t>
      </w:r>
    </w:p>
    <w:p>
      <w:pPr>
        <w:spacing w:after="0" w:line="4" w:lineRule="exact"/>
        <w:rPr>
          <w:sz w:val="20"/>
          <w:szCs w:val="20"/>
          <w:color w:val="auto"/>
        </w:rPr>
      </w:pPr>
    </w:p>
    <w:p>
      <w:pPr>
        <w:ind w:firstLine="456"/>
        <w:spacing w:after="0" w:line="254" w:lineRule="auto"/>
        <w:rPr>
          <w:sz w:val="20"/>
          <w:szCs w:val="20"/>
          <w:color w:val="auto"/>
        </w:rPr>
      </w:pPr>
      <w:r>
        <w:rPr>
          <w:rFonts w:ascii="Arial" w:cs="Arial" w:eastAsia="Arial" w:hAnsi="Arial"/>
          <w:sz w:val="18"/>
          <w:szCs w:val="18"/>
          <w:color w:val="auto"/>
        </w:rPr>
        <w:t>We have taken actions to reduce our cost structure to more closely align our costs with our revenue levels. In taking these actions, we are attempting to balance the cost of such initiatives against the longer term benefit of such initiatives and our overall competitive strategy. In taking these actions, we have incurred additional costs in the short term that have had and may continue to have the effect of reducing our operating margins. If we do not achieve the proper balance of these cost reduction initiatives, we may eliminate critical elements of our operations, the loss of which could negatively impact our ability to benefit from an economic recovery. We cannot assure that our cost cutting efforts will achieve appropriate levels of expenses and future economic conditions may require that we take additional actions in the future.</w:t>
      </w:r>
    </w:p>
    <w:p>
      <w:pPr>
        <w:spacing w:after="0" w:line="13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400"/>
          </w:cols>
          <w:pgMar w:left="240" w:top="459" w:right="259" w:bottom="1440" w:gutter="0" w:footer="0" w:header="0"/>
        </w:sectPr>
      </w:pPr>
    </w:p>
    <w:bookmarkStart w:id="43" w:name="page44"/>
    <w:bookmarkEnd w:id="4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ind w:right="20" w:firstLine="456"/>
        <w:spacing w:after="0" w:line="306" w:lineRule="auto"/>
        <w:rPr>
          <w:sz w:val="20"/>
          <w:szCs w:val="20"/>
          <w:color w:val="auto"/>
        </w:rPr>
      </w:pPr>
      <w:r>
        <w:rPr>
          <w:rFonts w:ascii="Arial" w:cs="Arial" w:eastAsia="Arial" w:hAnsi="Arial"/>
          <w:sz w:val="16"/>
          <w:szCs w:val="16"/>
          <w:color w:val="auto"/>
        </w:rPr>
        <w:t>In addition, we have taken and continue to take actions to stimulate demand for our products through a number of programs. Although we are attempting to balance the cost of these programs against the longer term benefits, it is possible that we will make such investments without a corresponding increase in demand for our products. This would further reduce our operating margins and have a negative impact on our financial results.</w:t>
      </w:r>
    </w:p>
    <w:p>
      <w:pPr>
        <w:spacing w:after="0" w:line="188" w:lineRule="exact"/>
        <w:rPr>
          <w:sz w:val="20"/>
          <w:szCs w:val="20"/>
          <w:color w:val="auto"/>
        </w:rPr>
      </w:pPr>
    </w:p>
    <w:p>
      <w:pPr>
        <w:jc w:val="both"/>
        <w:ind w:left="240" w:right="380"/>
        <w:spacing w:after="0" w:line="259" w:lineRule="auto"/>
        <w:rPr>
          <w:sz w:val="20"/>
          <w:szCs w:val="20"/>
          <w:color w:val="auto"/>
        </w:rPr>
      </w:pPr>
      <w:r>
        <w:rPr>
          <w:rFonts w:ascii="Arial" w:cs="Arial" w:eastAsia="Arial" w:hAnsi="Arial"/>
          <w:sz w:val="18"/>
          <w:szCs w:val="18"/>
          <w:i w:val="1"/>
          <w:iCs w:val="1"/>
          <w:color w:val="auto"/>
        </w:rPr>
        <w:t>If we do not maintain our relationships with the members of our distribution channel, or achieve anticipated levels of sell-through, our ability to generate revenue will be adversely affected. If our distribution channel suffers financial losses or becomes financially unstable or insolvent, our ability to generate revenue will be adversely affected.</w:t>
      </w:r>
    </w:p>
    <w:p>
      <w:pPr>
        <w:spacing w:after="0" w:line="59"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We sell our software products both directly to end-users and through a network of distributors and resellers. For the quarter ended October 31, 2009, approximately 85% of our revenue was derived from indirect channel sales through distributors and resellers, and we expect that the majority of our revenue will continue to be derived from indirect channel sales in the future. Our ability to effectively distribute our products depends in part upon the financial and business condition of our distributor and reseller network. Computer software distributors and resellers typically are not highly capitalized, have previously experienced difficulties during times of economic contraction and are experiencing difficulties in the current economic environment. We have processes to ensure that we assess the creditworthiness of distributors and resellers prior to our sales to them. In the past we have taken steps to support them, and may take additional steps in the future, such as extending credit terms and providing temporary discounts, which could harm our operating results. If our distributors and resellers were to become insolvent, their inability to maintain their business and sales would negatively impact our business and revenue.</w:t>
      </w:r>
    </w:p>
    <w:p>
      <w:pPr>
        <w:spacing w:after="0" w:line="118" w:lineRule="exact"/>
        <w:rPr>
          <w:sz w:val="20"/>
          <w:szCs w:val="20"/>
          <w:color w:val="auto"/>
        </w:rPr>
      </w:pPr>
    </w:p>
    <w:p>
      <w:pPr>
        <w:ind w:right="180" w:firstLine="456"/>
        <w:spacing w:after="0" w:line="306" w:lineRule="auto"/>
        <w:rPr>
          <w:sz w:val="20"/>
          <w:szCs w:val="20"/>
          <w:color w:val="auto"/>
        </w:rPr>
      </w:pPr>
      <w:r>
        <w:rPr>
          <w:rFonts w:ascii="Arial" w:cs="Arial" w:eastAsia="Arial" w:hAnsi="Arial"/>
          <w:sz w:val="16"/>
          <w:szCs w:val="16"/>
          <w:color w:val="auto"/>
        </w:rPr>
        <w:t>We rely significantly upon major distributors and resellers in both the U.S. and international regions, including distributors Tech Data Corporation and its global affiliates (“Tech Data”). Tech Data accounted for 14% and 13% of our consolidated net revenue for the three and nine months ended October 31, 2009, respectively, and 14% and 15% of our consolidated net revenue for the three and nine months ended October 31, 2008, respectively.</w:t>
      </w:r>
    </w:p>
    <w:p>
      <w:pPr>
        <w:spacing w:after="0" w:line="107" w:lineRule="exact"/>
        <w:rPr>
          <w:sz w:val="20"/>
          <w:szCs w:val="20"/>
          <w:color w:val="auto"/>
        </w:rPr>
      </w:pPr>
    </w:p>
    <w:p>
      <w:pPr>
        <w:ind w:right="40" w:firstLine="456"/>
        <w:spacing w:after="0" w:line="290" w:lineRule="auto"/>
        <w:rPr>
          <w:sz w:val="20"/>
          <w:szCs w:val="20"/>
          <w:color w:val="auto"/>
        </w:rPr>
      </w:pPr>
      <w:r>
        <w:rPr>
          <w:rFonts w:ascii="Arial" w:cs="Arial" w:eastAsia="Arial" w:hAnsi="Arial"/>
          <w:sz w:val="16"/>
          <w:szCs w:val="16"/>
          <w:color w:val="auto"/>
        </w:rPr>
        <w:t>Over time, we have modified and will continue to modify aspects of our relationship with our distributors and resellers, such as their incentive programs, pricing to them and our distribution model to motivate and reward them for aligning their businesses with our strategy and business objectives. Changes in these relationships and underlying programs could negatively impact their business and harm our business. In addition, the loss of or a significant reduction in business with those distributors or resellers or the failure to achieve anticipated levels of sell-through with any one of our major international distributors or large resellers could harm our business. In particular, if one or more of such distributors or resellers were unable to meet their obligations with respect to accounts payable to us, we could be forced to write off such accounts and may be required to delay the recognition of revenue on future sales to these customers, which could have a material adverse effect on our results of operations in a given period.</w:t>
      </w:r>
    </w:p>
    <w:p>
      <w:pPr>
        <w:spacing w:after="0" w:line="199" w:lineRule="exact"/>
        <w:rPr>
          <w:sz w:val="20"/>
          <w:szCs w:val="20"/>
          <w:color w:val="auto"/>
        </w:rPr>
      </w:pPr>
    </w:p>
    <w:p>
      <w:pPr>
        <w:ind w:left="240" w:right="140"/>
        <w:spacing w:after="0" w:line="268" w:lineRule="auto"/>
        <w:rPr>
          <w:sz w:val="20"/>
          <w:szCs w:val="20"/>
          <w:color w:val="auto"/>
        </w:rPr>
      </w:pPr>
      <w:r>
        <w:rPr>
          <w:rFonts w:ascii="Arial" w:cs="Arial" w:eastAsia="Arial" w:hAnsi="Arial"/>
          <w:sz w:val="18"/>
          <w:szCs w:val="18"/>
          <w:i w:val="1"/>
          <w:iCs w:val="1"/>
          <w:color w:val="auto"/>
        </w:rPr>
        <w:t>The recent global credit and banking crisis that has occurred over the past several quarters has negatively affected and may continue to negatively affect our business, financial conditions and results of operations.</w:t>
      </w:r>
    </w:p>
    <w:p>
      <w:pPr>
        <w:spacing w:after="0" w:line="51" w:lineRule="exact"/>
        <w:rPr>
          <w:sz w:val="20"/>
          <w:szCs w:val="20"/>
          <w:color w:val="auto"/>
        </w:rPr>
      </w:pPr>
    </w:p>
    <w:p>
      <w:pPr>
        <w:ind w:right="220" w:firstLine="456"/>
        <w:spacing w:after="0" w:line="294" w:lineRule="auto"/>
        <w:rPr>
          <w:sz w:val="20"/>
          <w:szCs w:val="20"/>
          <w:color w:val="auto"/>
        </w:rPr>
      </w:pPr>
      <w:r>
        <w:rPr>
          <w:rFonts w:ascii="Arial" w:cs="Arial" w:eastAsia="Arial" w:hAnsi="Arial"/>
          <w:sz w:val="16"/>
          <w:szCs w:val="16"/>
          <w:color w:val="auto"/>
        </w:rPr>
        <w:t>The recent global financial crisis affecting the banking system and financial markets and other financial institutions have resulted in a tightening in the credit markets, a low level of liquidity in many financial markets, and extreme volatility in many financial instrument markets. Our business has been impacted by these events and may be further impacted from this global credit and banking crisis by: the insolvency of key channel partners impairing our distribution channels; counterparty failures negatively impacting our treasury functions, including timely access to our cash reserves; and increased expense or inability to obtain short-term financing if banks providing our line of credit are unable to lend us money when it is needed for our operations.</w:t>
      </w:r>
    </w:p>
    <w:p>
      <w:pPr>
        <w:spacing w:after="0" w:line="197" w:lineRule="exact"/>
        <w:rPr>
          <w:sz w:val="20"/>
          <w:szCs w:val="20"/>
          <w:color w:val="auto"/>
        </w:rPr>
      </w:pPr>
    </w:p>
    <w:p>
      <w:pPr>
        <w:ind w:left="240" w:right="160"/>
        <w:spacing w:after="0" w:line="268" w:lineRule="auto"/>
        <w:rPr>
          <w:sz w:val="20"/>
          <w:szCs w:val="20"/>
          <w:color w:val="auto"/>
        </w:rPr>
      </w:pPr>
      <w:r>
        <w:rPr>
          <w:rFonts w:ascii="Arial" w:cs="Arial" w:eastAsia="Arial" w:hAnsi="Arial"/>
          <w:sz w:val="18"/>
          <w:szCs w:val="18"/>
          <w:i w:val="1"/>
          <w:iCs w:val="1"/>
          <w:color w:val="auto"/>
        </w:rPr>
        <w:t>Because we derive a substantial portion of our net revenue from AutoCAD-based software products, if these products are not successful, our net revenue will be adversely affected.</w:t>
      </w:r>
    </w:p>
    <w:p>
      <w:pPr>
        <w:spacing w:after="0" w:line="51" w:lineRule="exact"/>
        <w:rPr>
          <w:sz w:val="20"/>
          <w:szCs w:val="20"/>
          <w:color w:val="auto"/>
        </w:rPr>
      </w:pPr>
    </w:p>
    <w:p>
      <w:pPr>
        <w:ind w:right="140" w:firstLine="456"/>
        <w:spacing w:after="0" w:line="291" w:lineRule="auto"/>
        <w:rPr>
          <w:sz w:val="20"/>
          <w:szCs w:val="20"/>
          <w:color w:val="auto"/>
        </w:rPr>
      </w:pPr>
      <w:r>
        <w:rPr>
          <w:rFonts w:ascii="Arial" w:cs="Arial" w:eastAsia="Arial" w:hAnsi="Arial"/>
          <w:sz w:val="16"/>
          <w:szCs w:val="16"/>
          <w:color w:val="auto"/>
        </w:rPr>
        <w:t>We derive a substantial portion of our net revenue from sales of licenses of AutoCAD software, including products based on AutoCAD that serve specific vertical markets, upgrades to those products and products that are interoperable with AutoCAD. As such, any factor adversely affecting sales of these products, including the product release cycle, market acceptance, product competition, performance and reliability, reputation, price competition, economic and market conditions and the availability of third-party applications, would likely harm our operating results. For example, during the three and nine months ended October 31, 2009, combined revenue from our AutoCAD and AutoCAD LT products decreased 38% and 41%, respectively, as compared to the same periods of the prior fiscal year, harming our operating results.</w:t>
      </w:r>
    </w:p>
    <w:p>
      <w:pPr>
        <w:spacing w:after="0" w:line="1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420"/>
          </w:cols>
          <w:pgMar w:left="240" w:top="459" w:right="239" w:bottom="1440" w:gutter="0" w:footer="0" w:header="0"/>
        </w:sectPr>
      </w:pPr>
    </w:p>
    <w:bookmarkStart w:id="44" w:name="page45"/>
    <w:bookmarkEnd w:id="4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240" w:right="180"/>
        <w:spacing w:after="0" w:line="259" w:lineRule="auto"/>
        <w:rPr>
          <w:sz w:val="20"/>
          <w:szCs w:val="20"/>
          <w:color w:val="auto"/>
        </w:rPr>
      </w:pPr>
      <w:r>
        <w:rPr>
          <w:rFonts w:ascii="Arial" w:cs="Arial" w:eastAsia="Arial" w:hAnsi="Arial"/>
          <w:sz w:val="18"/>
          <w:szCs w:val="18"/>
          <w:i w:val="1"/>
          <w:iCs w:val="1"/>
          <w:color w:val="auto"/>
        </w:rPr>
        <w:t>From time to time we are subject to litigation and regulatory inquiries, and we may be named in additional litigation or become involved in regulatory inquiries in the future, all of which could result in an unfavorable outcome and have a material adverse effect on our business, financial condition, results of operations, cash flows and the trading price for our securities.</w:t>
      </w:r>
    </w:p>
    <w:p>
      <w:pPr>
        <w:spacing w:after="0" w:line="59" w:lineRule="exact"/>
        <w:rPr>
          <w:sz w:val="20"/>
          <w:szCs w:val="20"/>
          <w:color w:val="auto"/>
        </w:rPr>
      </w:pPr>
    </w:p>
    <w:p>
      <w:pPr>
        <w:ind w:right="20" w:firstLine="456"/>
        <w:spacing w:after="0" w:line="298" w:lineRule="auto"/>
        <w:rPr>
          <w:sz w:val="20"/>
          <w:szCs w:val="20"/>
          <w:color w:val="auto"/>
        </w:rPr>
      </w:pPr>
      <w:r>
        <w:rPr>
          <w:rFonts w:ascii="Arial" w:cs="Arial" w:eastAsia="Arial" w:hAnsi="Arial"/>
          <w:sz w:val="16"/>
          <w:szCs w:val="16"/>
          <w:color w:val="auto"/>
        </w:rPr>
        <w:t>From time to time, we are involved in litigation or regulatory inquiries. The number and significance of these disputes and inquiries have increased as our business has expanded and our company has grown. Any claims or regulatory actions initiated by or against us, whether successful or not, could be time consuming, result in costly litigation, damage awards, injunctive relief, increased costs of business, require us to change our business practices, require significant amounts of management time, result in the diversion of significant operational resources, or otherwise harm our business.</w:t>
      </w:r>
    </w:p>
    <w:p>
      <w:pPr>
        <w:spacing w:after="0" w:line="194" w:lineRule="exact"/>
        <w:rPr>
          <w:sz w:val="20"/>
          <w:szCs w:val="20"/>
          <w:color w:val="auto"/>
        </w:rPr>
      </w:pPr>
    </w:p>
    <w:p>
      <w:pPr>
        <w:ind w:left="240" w:right="100"/>
        <w:spacing w:after="0" w:line="268" w:lineRule="auto"/>
        <w:rPr>
          <w:sz w:val="20"/>
          <w:szCs w:val="20"/>
          <w:color w:val="auto"/>
        </w:rPr>
      </w:pPr>
      <w:r>
        <w:rPr>
          <w:rFonts w:ascii="Arial" w:cs="Arial" w:eastAsia="Arial" w:hAnsi="Arial"/>
          <w:sz w:val="18"/>
          <w:szCs w:val="18"/>
          <w:i w:val="1"/>
          <w:iCs w:val="1"/>
          <w:color w:val="auto"/>
        </w:rPr>
        <w:t>We are dependent on international revenue and operations, exposing us to significant regulatory, global economic, intellectual property, collections, currency exchange rate, taxation and other risks, which could adversely impact our financial results.</w:t>
      </w:r>
    </w:p>
    <w:p>
      <w:pPr>
        <w:spacing w:after="0" w:line="51" w:lineRule="exact"/>
        <w:rPr>
          <w:sz w:val="20"/>
          <w:szCs w:val="20"/>
          <w:color w:val="auto"/>
        </w:rPr>
      </w:pPr>
    </w:p>
    <w:p>
      <w:pPr>
        <w:ind w:right="240" w:firstLine="456"/>
        <w:spacing w:after="0" w:line="294" w:lineRule="auto"/>
        <w:rPr>
          <w:sz w:val="20"/>
          <w:szCs w:val="20"/>
          <w:color w:val="auto"/>
        </w:rPr>
      </w:pPr>
      <w:r>
        <w:rPr>
          <w:rFonts w:ascii="Arial" w:cs="Arial" w:eastAsia="Arial" w:hAnsi="Arial"/>
          <w:sz w:val="16"/>
          <w:szCs w:val="16"/>
          <w:color w:val="auto"/>
        </w:rPr>
        <w:t>We are dependent on our international operations for a significant portion of our revenue. Our international revenue, including that from emerging economies, is subject to general economic and political conditions in foreign markets, including conditions in foreign markets resulting from economic and political conditions in the U.S. These factors have recently adversely impacted and may in the future continue to adversely impact our future international revenue, and consequently our business as a whole. Further, our dependency on international revenue makes us much more exposed to global economic trends, which can negatively impact our financial results, even if our results in the U.S. are strong for a particular period.</w:t>
      </w:r>
    </w:p>
    <w:p>
      <w:pPr>
        <w:spacing w:after="0" w:line="116"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In addition, we anticipate that our international operations will continue to account for a significant portion of our net revenue, and as we expand our international development, sales and marketing expertise, will provide significant support to our overall efforts in countries outside of the U.S. Risks inherent in our international operations include fluctuating currency exchange rates, including risks related to any hedging activities we undertake, unexpected changes in regulatory requirements, practices and tariffs, difficulties in staffing and managing foreign sales and development operations, longer collection cycles for accounts receivable, potential changes in tax laws, tax arrangements with foreign governments and laws regarding the management of data, possible future limitations upon foreign owned businesses, and greater difficulty in protecting intellectual property.</w:t>
      </w:r>
    </w:p>
    <w:p>
      <w:pPr>
        <w:spacing w:after="0" w:line="201"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We are exposed to fluctuations in currency exchange rates that could negatively impact our financial results and cash flows.</w:t>
      </w:r>
    </w:p>
    <w:p>
      <w:pPr>
        <w:spacing w:after="0" w:line="90" w:lineRule="exact"/>
        <w:rPr>
          <w:sz w:val="20"/>
          <w:szCs w:val="20"/>
          <w:color w:val="auto"/>
        </w:rPr>
      </w:pPr>
    </w:p>
    <w:p>
      <w:pPr>
        <w:jc w:val="both"/>
        <w:ind w:firstLine="456"/>
        <w:spacing w:after="0" w:line="306" w:lineRule="auto"/>
        <w:rPr>
          <w:sz w:val="20"/>
          <w:szCs w:val="20"/>
          <w:color w:val="auto"/>
        </w:rPr>
      </w:pPr>
      <w:r>
        <w:rPr>
          <w:rFonts w:ascii="Arial" w:cs="Arial" w:eastAsia="Arial" w:hAnsi="Arial"/>
          <w:sz w:val="16"/>
          <w:szCs w:val="16"/>
          <w:color w:val="auto"/>
        </w:rPr>
        <w:t>Because we conduct a substantial portion of our business outside the U.S. and we make certain business and resource decisions based on assumptions about foreign currency, we face exposure to adverse movements in foreign currency exchange rates. These exposures may change over time as business practices evolve and economic conditions change, and they could have a material adverse impact on our financial results and cash flows.</w:t>
      </w:r>
    </w:p>
    <w:p>
      <w:pPr>
        <w:spacing w:after="0" w:line="107"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We use derivative instruments to manage a portion of our earnings exposure and cash flow exposure to fluctuations in foreign currency exchange rates. As part of our risk management strategy, we use foreign currency forward and option contracts to manage a portion of our exposures of underlying assets, liabilities and other obligations, which exist as part of our ongoing business operations. These foreign currency instruments have maturities that extend for one to 12 months in the future, and provide us with some protection against currency exposures. Our attempts to hedge against these risks may not be successful, resulting in an adverse impact on our financial results.</w:t>
      </w:r>
    </w:p>
    <w:p>
      <w:pPr>
        <w:spacing w:after="0" w:line="143" w:lineRule="exact"/>
        <w:rPr>
          <w:sz w:val="20"/>
          <w:szCs w:val="20"/>
          <w:color w:val="auto"/>
        </w:rPr>
      </w:pPr>
    </w:p>
    <w:p>
      <w:pPr>
        <w:ind w:right="160" w:firstLine="456"/>
        <w:spacing w:after="0" w:line="298" w:lineRule="auto"/>
        <w:rPr>
          <w:sz w:val="20"/>
          <w:szCs w:val="20"/>
          <w:color w:val="auto"/>
        </w:rPr>
      </w:pPr>
      <w:r>
        <w:rPr>
          <w:rFonts w:ascii="Arial" w:cs="Arial" w:eastAsia="Arial" w:hAnsi="Arial"/>
          <w:sz w:val="16"/>
          <w:szCs w:val="16"/>
          <w:color w:val="auto"/>
        </w:rPr>
        <w:t>The fluctuations of currencies in which we conduct business can both increase and decrease our overall revenue and expenses for any given fiscal period. Although we have expanded our foreign currency cash flow hedge program beyond the current quarter to a longer term program in order to reduce foreign currency volatility, we cannot completely mitigate this risk, and in any case, will incur transaction fees in adopting such hedging programs. Such volatility, even when it increases our revenues or decreases our expenses, impacts our ability to accurately predict our future results and earnings.</w:t>
      </w:r>
    </w:p>
    <w:p>
      <w:pPr>
        <w:spacing w:after="0" w:line="194" w:lineRule="exact"/>
        <w:rPr>
          <w:sz w:val="20"/>
          <w:szCs w:val="20"/>
          <w:color w:val="auto"/>
        </w:rPr>
      </w:pPr>
    </w:p>
    <w:p>
      <w:pPr>
        <w:ind w:left="240" w:right="120"/>
        <w:spacing w:after="0" w:line="256" w:lineRule="auto"/>
        <w:rPr>
          <w:sz w:val="20"/>
          <w:szCs w:val="20"/>
          <w:color w:val="auto"/>
        </w:rPr>
      </w:pPr>
      <w:r>
        <w:rPr>
          <w:rFonts w:ascii="Arial" w:cs="Arial" w:eastAsia="Arial" w:hAnsi="Arial"/>
          <w:sz w:val="18"/>
          <w:szCs w:val="18"/>
          <w:i w:val="1"/>
          <w:iCs w:val="1"/>
          <w:color w:val="auto"/>
        </w:rPr>
        <w:t>Our investment portfolio is composed of a variety of investment vehicles in a number of countries that are subject to interest rate trends, market volatility and other economic factors. If general economic conditions further cause interest rates to decline, credit ratings of our investments to deteriorate, or illiquidity in the financial marketplace, we may continue to experience a decline in interest income, an inability to sell our investments, or impairment in the value of our investments.</w:t>
      </w:r>
    </w:p>
    <w:p>
      <w:pPr>
        <w:spacing w:after="0" w:line="62" w:lineRule="exact"/>
        <w:rPr>
          <w:sz w:val="20"/>
          <w:szCs w:val="20"/>
          <w:color w:val="auto"/>
        </w:rPr>
      </w:pPr>
    </w:p>
    <w:p>
      <w:pPr>
        <w:ind w:right="40" w:firstLine="456"/>
        <w:spacing w:after="0" w:line="291" w:lineRule="auto"/>
        <w:rPr>
          <w:sz w:val="20"/>
          <w:szCs w:val="20"/>
          <w:color w:val="auto"/>
        </w:rPr>
      </w:pPr>
      <w:r>
        <w:rPr>
          <w:rFonts w:ascii="Arial" w:cs="Arial" w:eastAsia="Arial" w:hAnsi="Arial"/>
          <w:sz w:val="16"/>
          <w:szCs w:val="16"/>
          <w:color w:val="auto"/>
        </w:rPr>
        <w:t>It is our policy to invest our cash, cash equivalents and marketable securities with and in the custody of financial institutions with high credit ratings and to limit the amounts invested with any one institution, type of security and issuer. However, we are subject to general economic conditions, interest rate trends and volatility in the financial marketplace that can affect the income that we receive from our investments, the net realizable value of our investments (including our cash, cash equivalents and marketable securities) and our ability to sell them. In the U.S., for example, if the Federal Reserve continues to lower interest rates, the yields on our portfolio securities may further decline. Any one of these factors could reduce our interest income, or result in material charges, which in turn could impact our overall net income and earnings per share.</w:t>
      </w:r>
    </w:p>
    <w:p>
      <w:pPr>
        <w:spacing w:after="0" w:line="1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420"/>
          </w:cols>
          <w:pgMar w:left="240" w:top="459" w:right="239" w:bottom="1440" w:gutter="0" w:footer="0" w:header="0"/>
        </w:sectPr>
      </w:pPr>
    </w:p>
    <w:bookmarkStart w:id="45" w:name="page46"/>
    <w:bookmarkEnd w:id="4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ind w:right="220" w:firstLine="456"/>
        <w:spacing w:after="0" w:line="306" w:lineRule="auto"/>
        <w:rPr>
          <w:sz w:val="20"/>
          <w:szCs w:val="20"/>
          <w:color w:val="auto"/>
        </w:rPr>
      </w:pPr>
      <w:r>
        <w:rPr>
          <w:rFonts w:ascii="Arial" w:cs="Arial" w:eastAsia="Arial" w:hAnsi="Arial"/>
          <w:sz w:val="16"/>
          <w:szCs w:val="16"/>
          <w:color w:val="auto"/>
        </w:rPr>
        <w:t>For example, during fiscal year 2009 we recorded several other-than-temporary impairment charges to recognize the estimated loss in these investments. These charges impacted our overall net income and earnings per share. A further description of our capital resources can be found in the Liquidity and Capital Resources section of Item 2, “Management’s Discussion and Analysis of Financial Condition and Results of Operations” above.</w:t>
      </w:r>
    </w:p>
    <w:p>
      <w:pPr>
        <w:spacing w:after="0" w:line="188" w:lineRule="exact"/>
        <w:rPr>
          <w:sz w:val="20"/>
          <w:szCs w:val="20"/>
          <w:color w:val="auto"/>
        </w:rPr>
      </w:pPr>
    </w:p>
    <w:p>
      <w:pPr>
        <w:ind w:left="240" w:right="800"/>
        <w:spacing w:after="0" w:line="332" w:lineRule="auto"/>
        <w:rPr>
          <w:sz w:val="20"/>
          <w:szCs w:val="20"/>
          <w:color w:val="auto"/>
        </w:rPr>
      </w:pPr>
      <w:r>
        <w:rPr>
          <w:rFonts w:ascii="Arial" w:cs="Arial" w:eastAsia="Arial" w:hAnsi="Arial"/>
          <w:sz w:val="16"/>
          <w:szCs w:val="16"/>
          <w:i w:val="1"/>
          <w:iCs w:val="1"/>
          <w:color w:val="auto"/>
        </w:rPr>
        <w:t>Our efforts to develop and introduce new product and service offerings, including new product features, expose us to risks such as limited customer acceptance, costs related to product defects and large expenditures that may not result in additional net revenue.</w:t>
      </w:r>
    </w:p>
    <w:p>
      <w:pPr>
        <w:spacing w:after="0" w:line="4" w:lineRule="exact"/>
        <w:rPr>
          <w:sz w:val="20"/>
          <w:szCs w:val="20"/>
          <w:color w:val="auto"/>
        </w:rPr>
      </w:pPr>
    </w:p>
    <w:p>
      <w:pPr>
        <w:ind w:firstLine="456"/>
        <w:spacing w:after="0" w:line="287" w:lineRule="auto"/>
        <w:rPr>
          <w:sz w:val="20"/>
          <w:szCs w:val="20"/>
          <w:color w:val="auto"/>
        </w:rPr>
      </w:pPr>
      <w:r>
        <w:rPr>
          <w:rFonts w:ascii="Arial" w:cs="Arial" w:eastAsia="Arial" w:hAnsi="Arial"/>
          <w:sz w:val="16"/>
          <w:szCs w:val="16"/>
          <w:color w:val="auto"/>
        </w:rPr>
        <w:t>Rapid technological changes, as well as changes in customer requirements and preferences, characterize the software industry. We are devoting significant resources to the development of technologies, like our vertical design products and our digital prototyping and collaboration products. In addition, we frequently introduce new business models or methods that require a considerable investment of technical and financial resources. We are making such investments through further development and enhancement of our existing products, as well as through acquisitions of new product lines. Such investments may not result in sufficient revenue generation to justify their costs, or competitors may introduce new products and services that achieve acceptance among our current customers, adversely affecting our competitive position. In particular, a critical component of our growth strategy is to have customers of our AutoCAD and AutoCAD LT products expand their portfolios to include our related 2D vertical industry products and our 3D model-based design products such as our Autodesk Inventor products, our Autodesk Revit products, our AutoCAD Civil 3D products and our Autodesk Navisworks products. Should sales of our AutoCAD and AutoCAD LT products decrease without a corresponding increase in 2D vertical and 3D model-based design product revenue or without purchases of customer seats to our 2D vertical products and 3D model-based design products, our results of operations will be adversely affected.</w:t>
      </w:r>
    </w:p>
    <w:p>
      <w:pPr>
        <w:spacing w:after="0" w:line="123" w:lineRule="exact"/>
        <w:rPr>
          <w:sz w:val="20"/>
          <w:szCs w:val="20"/>
          <w:color w:val="auto"/>
        </w:rPr>
      </w:pPr>
    </w:p>
    <w:p>
      <w:pPr>
        <w:jc w:val="both"/>
        <w:ind w:right="80" w:firstLine="456"/>
        <w:spacing w:after="0" w:line="259" w:lineRule="auto"/>
        <w:rPr>
          <w:sz w:val="20"/>
          <w:szCs w:val="20"/>
          <w:color w:val="auto"/>
        </w:rPr>
      </w:pPr>
      <w:r>
        <w:rPr>
          <w:rFonts w:ascii="Arial" w:cs="Arial" w:eastAsia="Arial" w:hAnsi="Arial"/>
          <w:sz w:val="18"/>
          <w:szCs w:val="18"/>
          <w:color w:val="auto"/>
        </w:rPr>
        <w:t>Additionally, the software products we offer are complex, and despite extensive testing and quality control, may contain errors or defects. These defects or errors could result in the need for corrective releases to our software products, damage to our reputation, loss of revenue, an increase in product returns or lack of market acceptance of our products, any of which would likely harm our business.</w:t>
      </w:r>
    </w:p>
    <w:p>
      <w:pPr>
        <w:spacing w:after="0" w:line="221"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Our business could suffer as a result of risks and costs associated with strategic acquisitions and investments.</w:t>
      </w:r>
    </w:p>
    <w:p>
      <w:pPr>
        <w:spacing w:after="0" w:line="90" w:lineRule="exact"/>
        <w:rPr>
          <w:sz w:val="20"/>
          <w:szCs w:val="20"/>
          <w:color w:val="auto"/>
        </w:rPr>
      </w:pPr>
    </w:p>
    <w:p>
      <w:pPr>
        <w:ind w:right="120" w:firstLine="456"/>
        <w:spacing w:after="0" w:line="255" w:lineRule="auto"/>
        <w:rPr>
          <w:sz w:val="20"/>
          <w:szCs w:val="20"/>
          <w:color w:val="auto"/>
        </w:rPr>
      </w:pPr>
      <w:r>
        <w:rPr>
          <w:rFonts w:ascii="Arial" w:cs="Arial" w:eastAsia="Arial" w:hAnsi="Arial"/>
          <w:sz w:val="18"/>
          <w:szCs w:val="18"/>
          <w:color w:val="auto"/>
        </w:rPr>
        <w:t>We regularly acquire or invest in businesses, software products and technologies that are complementary to our business through acquisitions, strategic alliances or equity investments. The risks associated with such acquisitions include, among others, the difficulty of assimilating the products, operations and personnel of the companies, the failure to realize anticipated revenue and cost projections, the requirement to test and assimilate the internal control processes of the acquired business in accordance with the requirements of Section 404 of the Sarbanes-Oxley Act of 2002, and the diversion of management’s time and attention.</w:t>
      </w:r>
    </w:p>
    <w:p>
      <w:pPr>
        <w:spacing w:after="0" w:line="143" w:lineRule="exact"/>
        <w:rPr>
          <w:sz w:val="20"/>
          <w:szCs w:val="20"/>
          <w:color w:val="auto"/>
        </w:rPr>
      </w:pPr>
    </w:p>
    <w:p>
      <w:pPr>
        <w:ind w:right="20" w:firstLine="456"/>
        <w:spacing w:after="0" w:line="288" w:lineRule="auto"/>
        <w:rPr>
          <w:sz w:val="20"/>
          <w:szCs w:val="20"/>
          <w:color w:val="auto"/>
        </w:rPr>
      </w:pPr>
      <w:r>
        <w:rPr>
          <w:rFonts w:ascii="Arial" w:cs="Arial" w:eastAsia="Arial" w:hAnsi="Arial"/>
          <w:sz w:val="16"/>
          <w:szCs w:val="16"/>
          <w:color w:val="auto"/>
        </w:rPr>
        <w:t>In addition, such acquisitions and investments may involve significant transaction or integration-related costs. We may not be successful in overcoming such risks, and such acquisitions and investments may negatively impact our business. In addition, such acquisitions and investments have in the past and may in the future contribute to potential fluctuations in quarterly results of operations. The fluctuations could arise from transaction-related costs and charges associated with eliminating redundant expenses or write-offs of impaired assets recorded in connection with acquisitions and investments. For example, during our first quarter of fiscal 2010, we took an impairment charge of $21.0 million, related to goodwill associated with an acquisition in our M&amp;E segment, in addition to an impairment charge of $128.9 million during our fourth quarter of fiscal 2009 also primarily related to goodwill associated with acquisitions in our M&amp;E segment. We also may need to make further investments to support these acquired companies and may have difficulty identifying and acquiring appropriate resources. These costs or charges could negatively impact results of operations for a given period, cause quarter to quarter variability in our operating results or negatively impact our operating results for several future periods.</w:t>
      </w:r>
    </w:p>
    <w:p>
      <w:pPr>
        <w:spacing w:after="0" w:line="201"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Our business could be adversely affected if we are unable to attract and retain key personnel.</w:t>
      </w:r>
    </w:p>
    <w:p>
      <w:pPr>
        <w:spacing w:after="0" w:line="90" w:lineRule="exact"/>
        <w:rPr>
          <w:sz w:val="20"/>
          <w:szCs w:val="20"/>
          <w:color w:val="auto"/>
        </w:rPr>
      </w:pPr>
    </w:p>
    <w:p>
      <w:pPr>
        <w:ind w:right="40" w:firstLine="456"/>
        <w:spacing w:after="0" w:line="256" w:lineRule="auto"/>
        <w:rPr>
          <w:sz w:val="20"/>
          <w:szCs w:val="20"/>
          <w:color w:val="auto"/>
        </w:rPr>
      </w:pPr>
      <w:r>
        <w:rPr>
          <w:rFonts w:ascii="Arial" w:cs="Arial" w:eastAsia="Arial" w:hAnsi="Arial"/>
          <w:sz w:val="18"/>
          <w:szCs w:val="18"/>
          <w:color w:val="auto"/>
        </w:rPr>
        <w:t>Our success depends largely on our ability to attract and retain highly skilled technical, professional, managerial, sales and marketing personnel. Historically, competition for these key personnel has been intense. The loss of services of any of our key personnel, the inability to retain and attract qualified personnel in the future, or delays in hiring required personnel, particularly engineering and sales personnel, could make it difficult to meet key objectives, such as timely and effective product introductions and financial goals.</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400"/>
          </w:cols>
          <w:pgMar w:left="240" w:top="459" w:right="259" w:bottom="1440" w:gutter="0" w:footer="0" w:header="0"/>
        </w:sectPr>
      </w:pPr>
    </w:p>
    <w:bookmarkStart w:id="46" w:name="page47"/>
    <w:bookmarkEnd w:id="4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Existing and increased competition may reduce our net revenue and profits.</w:t>
      </w:r>
    </w:p>
    <w:p>
      <w:pPr>
        <w:spacing w:after="0" w:line="90"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The software industry has limited barriers to entry, and the availability of desktop computers with continually expanding performance at progressively lower prices contributes to the ease of market entry. The markets in which we compete are characterized by vigorous competition, both by entry of competitors with innovative technologies and by consolidation of companies with complementary products and technologies. In addition, some of our competitors in certain markets have greater financial, technical, sales and marketing and other resources. Furthermore, a reduction in the number and availability of compatible third-party applications may adversely affect the sale of our products. Because of these and other factors, competitive conditions in the industry are likely to intensify in the future. Increased competition could result in continued price reductions, reduced net revenue and profit margins and loss of market share, any of which would likely harm our business.</w:t>
      </w:r>
    </w:p>
    <w:p>
      <w:pPr>
        <w:spacing w:after="0" w:line="118" w:lineRule="exact"/>
        <w:rPr>
          <w:sz w:val="20"/>
          <w:szCs w:val="20"/>
          <w:color w:val="auto"/>
        </w:rPr>
      </w:pPr>
    </w:p>
    <w:p>
      <w:pPr>
        <w:ind w:right="160" w:firstLine="456"/>
        <w:spacing w:after="0" w:line="268" w:lineRule="auto"/>
        <w:rPr>
          <w:sz w:val="20"/>
          <w:szCs w:val="20"/>
          <w:color w:val="auto"/>
        </w:rPr>
      </w:pPr>
      <w:r>
        <w:rPr>
          <w:rFonts w:ascii="Arial" w:cs="Arial" w:eastAsia="Arial" w:hAnsi="Arial"/>
          <w:sz w:val="18"/>
          <w:szCs w:val="18"/>
          <w:color w:val="auto"/>
        </w:rPr>
        <w:t>We believe that our future results depend largely upon our ability to offer products that compete favorably with respect to reliability, performance, ease of use, range of useful features, continuing product enhancements, reputation and price.</w:t>
      </w:r>
    </w:p>
    <w:p>
      <w:pPr>
        <w:spacing w:after="0" w:line="213"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If we are not able to adequately protect our proprietary rights, our business could be harmed.</w:t>
      </w:r>
    </w:p>
    <w:p>
      <w:pPr>
        <w:spacing w:after="0" w:line="90" w:lineRule="exact"/>
        <w:rPr>
          <w:sz w:val="20"/>
          <w:szCs w:val="20"/>
          <w:color w:val="auto"/>
        </w:rPr>
      </w:pPr>
    </w:p>
    <w:p>
      <w:pPr>
        <w:ind w:right="60" w:firstLine="456"/>
        <w:spacing w:after="0" w:line="318" w:lineRule="auto"/>
        <w:rPr>
          <w:sz w:val="20"/>
          <w:szCs w:val="20"/>
          <w:color w:val="auto"/>
        </w:rPr>
      </w:pPr>
      <w:r>
        <w:rPr>
          <w:rFonts w:ascii="Arial" w:cs="Arial" w:eastAsia="Arial" w:hAnsi="Arial"/>
          <w:sz w:val="15"/>
          <w:szCs w:val="15"/>
          <w:color w:val="auto"/>
        </w:rPr>
        <w:t>We rely on a combination of patent, copyright and trademark laws, trade secret protections, confidentiality procedures and contractual provisions to protect our proprietary rights. Despite such efforts to protect our proprietary rights, unauthorized parties from time to time have copied aspects of our software products or have obtained and used information that we regard as proprietary. Policing unauthorized use of our software products is time-consuming and costly. While we have recovered some revenue resulting from the unauthorized use of our software products, we are unable to measure the extent to which piracy of our software products exists and software piracy can be expected to be a persistent problem. Furthermore, our means of protecting our proprietary rights may not be adequate.</w:t>
      </w:r>
    </w:p>
    <w:p>
      <w:pPr>
        <w:spacing w:after="0" w:line="181"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We may face intellectual property infringement claims that could be costly to defend and result in our loss of significant rights.</w:t>
      </w:r>
    </w:p>
    <w:p>
      <w:pPr>
        <w:spacing w:after="0" w:line="90" w:lineRule="exact"/>
        <w:rPr>
          <w:sz w:val="20"/>
          <w:szCs w:val="20"/>
          <w:color w:val="auto"/>
        </w:rPr>
      </w:pPr>
    </w:p>
    <w:p>
      <w:pPr>
        <w:ind w:right="40" w:firstLine="456"/>
        <w:spacing w:after="0" w:line="290" w:lineRule="auto"/>
        <w:rPr>
          <w:sz w:val="20"/>
          <w:szCs w:val="20"/>
          <w:color w:val="auto"/>
        </w:rPr>
      </w:pPr>
      <w:r>
        <w:rPr>
          <w:rFonts w:ascii="Arial" w:cs="Arial" w:eastAsia="Arial" w:hAnsi="Arial"/>
          <w:sz w:val="16"/>
          <w:szCs w:val="16"/>
          <w:color w:val="auto"/>
        </w:rPr>
        <w:t>As more software patents are granted worldwide, as the number of products and competitors in our industry segments grow and as the functionality of products in different industry segments overlap, we expect that software product developers will be increasingly subject to infringement claims. Infringement or misappropriation claims have in the past been, and may in the future be, asserted against us, and any such assertions could harm our business. Additionally, certain patent holders without products have become more aggressive in threatening and pursuing litigation in attempts to obtain fees for licensing the right to use patents. Any such claims or threats, whether with or without merit, have been and could in the future be time-consuming to defend, result in costly litigation and diversion of resources, or could cause product shipment delays or require us to enter into royalty or licensing agreements. In addition, such royalty or license agreements, if required, may not be available on acceptable terms, if at all, which would likely harm our business.</w:t>
      </w:r>
    </w:p>
    <w:p>
      <w:pPr>
        <w:spacing w:after="0" w:line="199" w:lineRule="exact"/>
        <w:rPr>
          <w:sz w:val="20"/>
          <w:szCs w:val="20"/>
          <w:color w:val="auto"/>
        </w:rPr>
      </w:pPr>
    </w:p>
    <w:p>
      <w:pPr>
        <w:ind w:left="240" w:right="260"/>
        <w:spacing w:after="0" w:line="259" w:lineRule="auto"/>
        <w:rPr>
          <w:sz w:val="20"/>
          <w:szCs w:val="20"/>
          <w:color w:val="auto"/>
        </w:rPr>
      </w:pPr>
      <w:r>
        <w:rPr>
          <w:rFonts w:ascii="Arial" w:cs="Arial" w:eastAsia="Arial" w:hAnsi="Arial"/>
          <w:sz w:val="18"/>
          <w:szCs w:val="18"/>
          <w:i w:val="1"/>
          <w:iCs w:val="1"/>
          <w:color w:val="auto"/>
        </w:rPr>
        <w:t>While we believe we currently have adequate internal control over financial reporting, we are required to evaluate our internal control over financial reporting under Section 404 of the Sarbanes-Oxley Act of 2002 and any adverse results from such evaluation could result in a loss of investor confidence in our financial reports and have an adverse effect on our stock price.</w:t>
      </w:r>
    </w:p>
    <w:p>
      <w:pPr>
        <w:spacing w:after="0" w:line="59" w:lineRule="exact"/>
        <w:rPr>
          <w:sz w:val="20"/>
          <w:szCs w:val="20"/>
          <w:color w:val="auto"/>
        </w:rPr>
      </w:pPr>
    </w:p>
    <w:p>
      <w:pPr>
        <w:ind w:right="20" w:firstLine="456"/>
        <w:spacing w:after="0" w:line="256" w:lineRule="auto"/>
        <w:rPr>
          <w:sz w:val="20"/>
          <w:szCs w:val="20"/>
          <w:color w:val="auto"/>
        </w:rPr>
      </w:pPr>
      <w:r>
        <w:rPr>
          <w:rFonts w:ascii="Arial" w:cs="Arial" w:eastAsia="Arial" w:hAnsi="Arial"/>
          <w:sz w:val="18"/>
          <w:szCs w:val="18"/>
          <w:color w:val="auto"/>
        </w:rPr>
        <w:t>Pursuant to Section 404, we are required to furnish a report by our management on our internal control over financial reporting. The report contains, among other matters, an assessment of the effectiveness of our internal control over financial reporting as of the end of our fiscal year, including a statement as to whether or not our internal control over financial reporting is effective. This assessment must include disclosure of any material weaknesses in our internal control over financial reporting identified by management.</w:t>
      </w:r>
    </w:p>
    <w:p>
      <w:pPr>
        <w:spacing w:after="0" w:line="143" w:lineRule="exact"/>
        <w:rPr>
          <w:sz w:val="20"/>
          <w:szCs w:val="20"/>
          <w:color w:val="auto"/>
        </w:rPr>
      </w:pPr>
    </w:p>
    <w:p>
      <w:pPr>
        <w:ind w:right="20" w:firstLine="456"/>
        <w:spacing w:after="0" w:line="290" w:lineRule="auto"/>
        <w:rPr>
          <w:sz w:val="20"/>
          <w:szCs w:val="20"/>
          <w:color w:val="auto"/>
        </w:rPr>
      </w:pPr>
      <w:r>
        <w:rPr>
          <w:rFonts w:ascii="Arial" w:cs="Arial" w:eastAsia="Arial" w:hAnsi="Arial"/>
          <w:sz w:val="16"/>
          <w:szCs w:val="16"/>
          <w:color w:val="auto"/>
        </w:rPr>
        <w:t>While we have determined in our Management Report on Internal Control over Financial Reporting, included in our Annual Report on Form 10-K for the fiscal year ended January 31, 2009, that our internal control over financial reporting was effective as of January 31, 2009, we must continue to monitor and assess our internal control over financial reporting. If our management identifies one or more material weaknesses in our internal control over financial reporting and such weakness remains uncorrected at fiscal year end, we will be unable to assert such internal control is effective at fiscal year end. If we are unable to assert that our internal control over financial reporting is effective at fiscal year-end (or if our independent registered public accounting firm is unable to express an opinion on the effectiveness of our internal controls or concludes that we have a material weakness in our internal controls), we could lose investor confidence in the accuracy and completeness of our financial reports, which would likely have an adverse effect on our business and stock price.</w:t>
      </w:r>
    </w:p>
    <w:p>
      <w:pPr>
        <w:spacing w:after="0" w:line="1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1420"/>
          </w:cols>
          <w:pgMar w:left="240" w:top="459" w:right="239" w:bottom="1440" w:gutter="0" w:footer="0" w:header="0"/>
        </w:sectPr>
      </w:pPr>
    </w:p>
    <w:bookmarkStart w:id="47" w:name="page48"/>
    <w:bookmarkEnd w:id="4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240" w:right="340"/>
        <w:spacing w:after="0" w:line="268" w:lineRule="auto"/>
        <w:rPr>
          <w:sz w:val="20"/>
          <w:szCs w:val="20"/>
          <w:color w:val="auto"/>
        </w:rPr>
      </w:pPr>
      <w:r>
        <w:rPr>
          <w:rFonts w:ascii="Arial" w:cs="Arial" w:eastAsia="Arial" w:hAnsi="Arial"/>
          <w:sz w:val="18"/>
          <w:szCs w:val="18"/>
          <w:i w:val="1"/>
          <w:iCs w:val="1"/>
          <w:color w:val="auto"/>
        </w:rPr>
        <w:t>In preparing our financial statements we make certain assumptions, judgments and estimates about our accruals, which, if not accurate, may significantly impact our financial results.</w:t>
      </w:r>
    </w:p>
    <w:p>
      <w:pPr>
        <w:spacing w:after="0" w:line="51" w:lineRule="exact"/>
        <w:rPr>
          <w:sz w:val="20"/>
          <w:szCs w:val="20"/>
          <w:color w:val="auto"/>
        </w:rPr>
      </w:pPr>
    </w:p>
    <w:p>
      <w:pPr>
        <w:ind w:right="100" w:firstLine="456"/>
        <w:spacing w:after="0" w:line="298" w:lineRule="auto"/>
        <w:rPr>
          <w:sz w:val="20"/>
          <w:szCs w:val="20"/>
          <w:color w:val="auto"/>
        </w:rPr>
      </w:pPr>
      <w:r>
        <w:rPr>
          <w:rFonts w:ascii="Arial" w:cs="Arial" w:eastAsia="Arial" w:hAnsi="Arial"/>
          <w:sz w:val="16"/>
          <w:szCs w:val="16"/>
          <w:color w:val="auto"/>
        </w:rPr>
        <w:t>We make accruals for a number of items, including employee bonuses, partner incentive programs, product returns reserve, tax reserves, sabbatical, sales commissions, allowance for doubtful accounts and asset retirement obligations. These accruals are based on assumptions, judgments and estimates drawn from historical experience and various other factors that we believe are reasonable under the circumstances when made. Actual results could differ materially from our estimated accruals, and such differences could significantly impact our financial results.</w:t>
      </w:r>
    </w:p>
    <w:p>
      <w:pPr>
        <w:spacing w:after="0" w:line="194" w:lineRule="exact"/>
        <w:rPr>
          <w:sz w:val="20"/>
          <w:szCs w:val="20"/>
          <w:color w:val="auto"/>
        </w:rPr>
      </w:pPr>
    </w:p>
    <w:p>
      <w:pPr>
        <w:ind w:left="240" w:right="260"/>
        <w:spacing w:after="0" w:line="268" w:lineRule="auto"/>
        <w:rPr>
          <w:sz w:val="20"/>
          <w:szCs w:val="20"/>
          <w:color w:val="auto"/>
        </w:rPr>
      </w:pPr>
      <w:r>
        <w:rPr>
          <w:rFonts w:ascii="Arial" w:cs="Arial" w:eastAsia="Arial" w:hAnsi="Arial"/>
          <w:sz w:val="18"/>
          <w:szCs w:val="18"/>
          <w:i w:val="1"/>
          <w:iCs w:val="1"/>
          <w:color w:val="auto"/>
        </w:rPr>
        <w:t>We regularly invest resources to update and improve our internal information technology systems. Should our investments not succeed, or if delays or other issues with new or existing internal technology systems disrupt our operations, our business could be harmed.</w:t>
      </w:r>
    </w:p>
    <w:p>
      <w:pPr>
        <w:spacing w:after="0" w:line="51" w:lineRule="exact"/>
        <w:rPr>
          <w:sz w:val="20"/>
          <w:szCs w:val="20"/>
          <w:color w:val="auto"/>
        </w:rPr>
      </w:pPr>
    </w:p>
    <w:p>
      <w:pPr>
        <w:ind w:firstLine="456"/>
        <w:spacing w:after="0" w:line="254" w:lineRule="auto"/>
        <w:rPr>
          <w:sz w:val="20"/>
          <w:szCs w:val="20"/>
          <w:color w:val="auto"/>
        </w:rPr>
      </w:pPr>
      <w:r>
        <w:rPr>
          <w:rFonts w:ascii="Arial" w:cs="Arial" w:eastAsia="Arial" w:hAnsi="Arial"/>
          <w:sz w:val="18"/>
          <w:szCs w:val="18"/>
          <w:color w:val="auto"/>
        </w:rPr>
        <w:t>We rely on our network and data center infrastructure, internal technology systems and our websites for our development, marketing, operational, support, sales, accounting and financial reporting activities. We are continually investing resources to update and improve these systems and environments in order to meet the growing requirements of our business and customers. Such improvements are often complex, costly and time consuming. In addition, such improvements can be challenging to integrate with our existing technology systems, or uncover problems with our existing technology systems. Unsuccessful implementation of hardware or software updates and improvements could result in disruption in our business operations, loss of revenue, errors in our accounting and financial reporting or damage to our reputation.</w:t>
      </w:r>
    </w:p>
    <w:p>
      <w:pPr>
        <w:spacing w:after="0" w:line="225"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Changes in existing financial accounting standards or practices, or taxation rules or practices may adversely affect our results of operations.</w:t>
      </w:r>
    </w:p>
    <w:p>
      <w:pPr>
        <w:spacing w:after="0" w:line="90" w:lineRule="exact"/>
        <w:rPr>
          <w:sz w:val="20"/>
          <w:szCs w:val="20"/>
          <w:color w:val="auto"/>
        </w:rPr>
      </w:pPr>
    </w:p>
    <w:p>
      <w:pPr>
        <w:ind w:right="120" w:firstLine="456"/>
        <w:spacing w:after="0" w:line="289" w:lineRule="auto"/>
        <w:rPr>
          <w:sz w:val="20"/>
          <w:szCs w:val="20"/>
          <w:color w:val="auto"/>
        </w:rPr>
      </w:pPr>
      <w:r>
        <w:rPr>
          <w:rFonts w:ascii="Arial" w:cs="Arial" w:eastAsia="Arial" w:hAnsi="Arial"/>
          <w:sz w:val="16"/>
          <w:szCs w:val="16"/>
          <w:color w:val="auto"/>
        </w:rPr>
        <w:t>Changes in existing accounting or taxation rules or practices, new accounting pronouncements or taxation rules, or varying interpretations of current accounting pronouncements or taxation practice could have a significant adverse effect on our results of operations or the manner in which we conduct our business. Further, such changes could potentially affect our reporting of transactions completed before such changes are effective. For example, during the first quarter of fiscal 2010, the State of California enacted legislation significantly altering California tax law. As a result of the newly enacted legislation, we expect that in fiscal years 2012 and beyond our income subject to tax in California will be less than under prior tax law and accordingly our deferred tax assets are less likely to be realized. During the first quarter of fiscal 2010 we recorded a net discrete tax charge of $20.9 million related to the re-measurement of our California deferred tax assets to account for this change in tax law, as well as an increase in the valuation allowance for our California deferred tax assets that existed as of January 31, 2009.</w:t>
      </w:r>
    </w:p>
    <w:p>
      <w:pPr>
        <w:spacing w:after="0" w:line="118" w:lineRule="exact"/>
        <w:rPr>
          <w:sz w:val="20"/>
          <w:szCs w:val="20"/>
          <w:color w:val="auto"/>
        </w:rPr>
      </w:pPr>
    </w:p>
    <w:p>
      <w:pPr>
        <w:ind w:right="120" w:firstLine="456"/>
        <w:spacing w:after="0" w:line="291" w:lineRule="auto"/>
        <w:rPr>
          <w:sz w:val="20"/>
          <w:szCs w:val="20"/>
          <w:color w:val="auto"/>
        </w:rPr>
      </w:pPr>
      <w:r>
        <w:rPr>
          <w:rFonts w:ascii="Arial" w:cs="Arial" w:eastAsia="Arial" w:hAnsi="Arial"/>
          <w:sz w:val="16"/>
          <w:szCs w:val="16"/>
          <w:color w:val="auto"/>
        </w:rPr>
        <w:t>Furthermore, effective as of February 1, 2009, we adopted the authoritative guidance issued by the Financial Accounting Standards Board on business combinations, which requires acquisition-related costs to be expensed as incurred, restructuring costs generally to be expensed in periods subsequent to the acquisition date, in-process research and development to be capitalized as an intangible asset with an indefinite life, and changes in accounting for deferred tax asset valuation allowances and acquired income tax uncertainties after the measurement period, which will impact income tax expense. The impact that this guidance has on our consolidated financial position, results of operations and cash flows will be dependent on the number and size of business combinations that we consummate subsequent to the adoption of the standard, as well as the valuation and allocation of the net assets acquired.</w:t>
      </w:r>
    </w:p>
    <w:p>
      <w:pPr>
        <w:spacing w:after="0" w:line="201"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Our operating results could be negatively impacted if our tax positions are successfully challenged by tax authorities.</w:t>
      </w:r>
    </w:p>
    <w:p>
      <w:pPr>
        <w:spacing w:after="0" w:line="90" w:lineRule="exact"/>
        <w:rPr>
          <w:sz w:val="20"/>
          <w:szCs w:val="20"/>
          <w:color w:val="auto"/>
        </w:rPr>
      </w:pPr>
    </w:p>
    <w:p>
      <w:pPr>
        <w:ind w:right="60" w:firstLine="456"/>
        <w:spacing w:after="0" w:line="255" w:lineRule="auto"/>
        <w:rPr>
          <w:sz w:val="20"/>
          <w:szCs w:val="20"/>
          <w:color w:val="auto"/>
        </w:rPr>
      </w:pPr>
      <w:r>
        <w:rPr>
          <w:rFonts w:ascii="Arial" w:cs="Arial" w:eastAsia="Arial" w:hAnsi="Arial"/>
          <w:sz w:val="18"/>
          <w:szCs w:val="18"/>
          <w:color w:val="auto"/>
        </w:rPr>
        <w:t>We are a U.S.-based multinational company subject to tax in multiple U.S. and foreign tax jurisdictions. Our effective tax rate is based on our expected geographic mix of earnings, statutory rates, intercompany transfer pricing, and enacted tax rules. Significant judgment is required in determining our effective tax rate and in evaluating our tax positions on a worldwide basis. We believe our tax positions, including intercompany transfer pricing policies, are consistent with the tax laws in the jurisdictions in which we conduct our business. It is possible that these positions may be challenged by jurisdictional tax authorities and may have a significant impact on our effective tax rate.</w:t>
      </w:r>
    </w:p>
    <w:p>
      <w:pPr>
        <w:spacing w:after="0" w:line="1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48</w:t>
      </w:r>
    </w:p>
    <w:p>
      <w:pPr>
        <w:sectPr>
          <w:pgSz w:w="11900" w:h="16838" w:orient="portrait"/>
          <w:cols w:equalWidth="0" w:num="1">
            <w:col w:w="11420"/>
          </w:cols>
          <w:pgMar w:left="240" w:top="459" w:right="239" w:bottom="1440" w:gutter="0" w:footer="0" w:header="0"/>
        </w:sectPr>
      </w:pPr>
    </w:p>
    <w:bookmarkStart w:id="48" w:name="page49"/>
    <w:bookmarkEnd w:id="4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240"/>
        <w:spacing w:after="0"/>
        <w:rPr>
          <w:sz w:val="20"/>
          <w:szCs w:val="20"/>
          <w:color w:val="auto"/>
        </w:rPr>
      </w:pPr>
      <w:r>
        <w:rPr>
          <w:rFonts w:ascii="Arial" w:cs="Arial" w:eastAsia="Arial" w:hAnsi="Arial"/>
          <w:sz w:val="16"/>
          <w:szCs w:val="16"/>
          <w:i w:val="1"/>
          <w:iCs w:val="1"/>
          <w:color w:val="auto"/>
        </w:rPr>
        <w:t>We rely on third party technologies and if we are unable to use or integrate these technologies, our product and service development may be delayed.</w:t>
      </w:r>
    </w:p>
    <w:p>
      <w:pPr>
        <w:spacing w:after="0" w:line="113" w:lineRule="exact"/>
        <w:rPr>
          <w:sz w:val="20"/>
          <w:szCs w:val="20"/>
          <w:color w:val="auto"/>
        </w:rPr>
      </w:pPr>
    </w:p>
    <w:p>
      <w:pPr>
        <w:ind w:right="60" w:firstLine="456"/>
        <w:spacing w:after="0" w:line="255" w:lineRule="auto"/>
        <w:rPr>
          <w:sz w:val="20"/>
          <w:szCs w:val="20"/>
          <w:color w:val="auto"/>
        </w:rPr>
      </w:pPr>
      <w:r>
        <w:rPr>
          <w:rFonts w:ascii="Arial" w:cs="Arial" w:eastAsia="Arial" w:hAnsi="Arial"/>
          <w:sz w:val="18"/>
          <w:szCs w:val="18"/>
          <w:color w:val="auto"/>
        </w:rPr>
        <w:t>We rely on certain software that we license from third parties, including software that is integrated with internally developed software and used in our products to perform key functions. These third-party software licenses may not continue to be available on commercially reasonable terms, and the software may not be appropriately supported, maintained or enhanced by the licensors. The loss of licenses to, or inability to support, maintain and enhance any such software could result in increased costs, or in delays or reductions in product shipments until equivalent software can be developed, identified, licensed and integrated, which would likely harm our business.</w:t>
      </w:r>
    </w:p>
    <w:p>
      <w:pPr>
        <w:spacing w:after="0" w:line="224"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Disruptions with licensing relationships and third party developers could adversely impact our business.</w:t>
      </w:r>
    </w:p>
    <w:p>
      <w:pPr>
        <w:spacing w:after="0" w:line="90" w:lineRule="exact"/>
        <w:rPr>
          <w:sz w:val="20"/>
          <w:szCs w:val="20"/>
          <w:color w:val="auto"/>
        </w:rPr>
      </w:pPr>
    </w:p>
    <w:p>
      <w:pPr>
        <w:jc w:val="both"/>
        <w:ind w:right="120" w:firstLine="456"/>
        <w:spacing w:after="0" w:line="259" w:lineRule="auto"/>
        <w:rPr>
          <w:sz w:val="20"/>
          <w:szCs w:val="20"/>
          <w:color w:val="auto"/>
        </w:rPr>
      </w:pPr>
      <w:r>
        <w:rPr>
          <w:rFonts w:ascii="Arial" w:cs="Arial" w:eastAsia="Arial" w:hAnsi="Arial"/>
          <w:sz w:val="18"/>
          <w:szCs w:val="18"/>
          <w:color w:val="auto"/>
        </w:rPr>
        <w:t>We license certain key technologies from third parties. Licenses may be restricted in the term or the use of such technology in ways that negatively affect our business. Similarly, we may not be able to obtain or renew license agreements for key technology on favorable terms, if at all, and any failure to do so could harm our business.</w:t>
      </w:r>
    </w:p>
    <w:p>
      <w:pPr>
        <w:spacing w:after="0" w:line="140" w:lineRule="exact"/>
        <w:rPr>
          <w:sz w:val="20"/>
          <w:szCs w:val="20"/>
          <w:color w:val="auto"/>
        </w:rPr>
      </w:pPr>
    </w:p>
    <w:p>
      <w:pPr>
        <w:ind w:right="60" w:firstLine="456"/>
        <w:spacing w:after="0" w:line="256" w:lineRule="auto"/>
        <w:rPr>
          <w:sz w:val="20"/>
          <w:szCs w:val="20"/>
          <w:color w:val="auto"/>
        </w:rPr>
      </w:pPr>
      <w:r>
        <w:rPr>
          <w:rFonts w:ascii="Arial" w:cs="Arial" w:eastAsia="Arial" w:hAnsi="Arial"/>
          <w:sz w:val="18"/>
          <w:szCs w:val="18"/>
          <w:color w:val="auto"/>
        </w:rPr>
        <w:t>Our business strategy has historically depended in part on our relationships with third-party developers who provide products that expand the functionality of our design software. Some developers may elect to support other products or may experience disruption in product development and delivery cycles or financial pressure during periods of economic downturn. In particular markets, such disruption has in the past, and would likely in the future, negatively impact these third-party developers and end users, which could harm our business.</w:t>
      </w:r>
    </w:p>
    <w:p>
      <w:pPr>
        <w:spacing w:after="0" w:line="143" w:lineRule="exact"/>
        <w:rPr>
          <w:sz w:val="20"/>
          <w:szCs w:val="20"/>
          <w:color w:val="auto"/>
        </w:rPr>
      </w:pPr>
    </w:p>
    <w:p>
      <w:pPr>
        <w:ind w:right="340" w:firstLine="456"/>
        <w:spacing w:after="0" w:line="306" w:lineRule="auto"/>
        <w:rPr>
          <w:sz w:val="20"/>
          <w:szCs w:val="20"/>
          <w:color w:val="auto"/>
        </w:rPr>
      </w:pPr>
      <w:r>
        <w:rPr>
          <w:rFonts w:ascii="Arial" w:cs="Arial" w:eastAsia="Arial" w:hAnsi="Arial"/>
          <w:sz w:val="16"/>
          <w:szCs w:val="16"/>
          <w:color w:val="auto"/>
        </w:rPr>
        <w:t>Additionally, technology created by outsourced product development, whether outsourced to third parties or developed externally and transferred to us through business or technology acquisitions have certain additional risks. These risks include potential difficulties with effective integration into existing products, adequate transfer of technology know-how and ownership and protection of transferred intellectual property.</w:t>
      </w:r>
    </w:p>
    <w:p>
      <w:pPr>
        <w:spacing w:after="0" w:line="188" w:lineRule="exact"/>
        <w:rPr>
          <w:sz w:val="20"/>
          <w:szCs w:val="20"/>
          <w:color w:val="auto"/>
        </w:rPr>
      </w:pPr>
    </w:p>
    <w:p>
      <w:pPr>
        <w:ind w:left="240" w:right="440"/>
        <w:spacing w:after="0" w:line="268" w:lineRule="auto"/>
        <w:rPr>
          <w:sz w:val="20"/>
          <w:szCs w:val="20"/>
          <w:color w:val="auto"/>
        </w:rPr>
      </w:pPr>
      <w:r>
        <w:rPr>
          <w:rFonts w:ascii="Arial" w:cs="Arial" w:eastAsia="Arial" w:hAnsi="Arial"/>
          <w:sz w:val="18"/>
          <w:szCs w:val="18"/>
          <w:i w:val="1"/>
          <w:iCs w:val="1"/>
          <w:color w:val="auto"/>
        </w:rPr>
        <w:t>As a result of our strategy of partnering with other companies for product development, our product delivery schedules could be adversely affected if we experience difficulties with our product development partners.</w:t>
      </w:r>
    </w:p>
    <w:p>
      <w:pPr>
        <w:spacing w:after="0" w:line="51"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We partner with certain independent firms and contractors to perform some of our product development activities. We believe our partnering strategy allows us to, among other things, achieve efficiencies in developing new products and maintaining and enhancing existing product offerings. Our partnering strategy creates a dependency on such independent developers. Independent developers, including those who currently develop products for us in the U.S. and throughout the world, may not be able or willing to provide development support to us in the future. In addition, use of development resources through consulting relationships, particularly in non-U.S. jurisdictions with developing legal systems, may be adversely impacted by, and expose us to risks relating to, evolving employment, export and intellectual property laws. These risks could, among other things, expose our intellectual property to misappropriation and result in disruptions to product delivery schedules.</w:t>
      </w:r>
    </w:p>
    <w:p>
      <w:pPr>
        <w:spacing w:after="0" w:line="234"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6"/>
          <w:szCs w:val="16"/>
          <w:b w:val="1"/>
          <w:bCs w:val="1"/>
          <w:color w:val="auto"/>
        </w:rPr>
        <w:t>UNREGISTERED SALES OF EQUITY SECURITIES AND USE OF PROCEEDS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There were no sales of unregistered securities during the three months ended October 31, 2009.</w:t>
      </w:r>
    </w:p>
    <w:p>
      <w:pPr>
        <w:spacing w:after="0" w:line="171" w:lineRule="exact"/>
        <w:rPr>
          <w:sz w:val="20"/>
          <w:szCs w:val="20"/>
          <w:color w:val="auto"/>
        </w:rPr>
      </w:pPr>
    </w:p>
    <w:p>
      <w:pPr>
        <w:ind w:right="380" w:firstLine="456"/>
        <w:spacing w:after="0" w:line="268" w:lineRule="auto"/>
        <w:rPr>
          <w:sz w:val="20"/>
          <w:szCs w:val="20"/>
          <w:color w:val="auto"/>
        </w:rPr>
      </w:pPr>
      <w:r>
        <w:rPr>
          <w:rFonts w:ascii="Arial" w:cs="Arial" w:eastAsia="Arial" w:hAnsi="Arial"/>
          <w:sz w:val="18"/>
          <w:szCs w:val="18"/>
          <w:color w:val="auto"/>
        </w:rPr>
        <w:t>The information concerning issuer purchases of equity securities required by this Item is incorporated by reference herein to the section of this Report entitled “Issuer Purchases of Equity Securities” in Part I, Item 2 above.</w:t>
      </w:r>
    </w:p>
    <w:p>
      <w:pPr>
        <w:spacing w:after="0" w:line="248"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6"/>
          <w:szCs w:val="16"/>
          <w:b w:val="1"/>
          <w:bCs w:val="1"/>
          <w:color w:val="auto"/>
        </w:rPr>
        <w:t>DEFAULTS UPON SENIOR SECURITIES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Not applicable.</w:t>
      </w:r>
    </w:p>
    <w:p>
      <w:pPr>
        <w:spacing w:after="0" w:line="287"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6"/>
          <w:szCs w:val="16"/>
          <w:b w:val="1"/>
          <w:bCs w:val="1"/>
          <w:color w:val="auto"/>
        </w:rPr>
        <w:t>SUBMISSION OF MATTERS TO A VOTE OF SECURITY HOLDERS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Not applicable.</w:t>
      </w:r>
    </w:p>
    <w:p>
      <w:pPr>
        <w:spacing w:after="0" w:line="287"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8"/>
          <w:szCs w:val="18"/>
          <w:b w:val="1"/>
          <w:bCs w:val="1"/>
          <w:color w:val="auto"/>
        </w:rPr>
        <w:t>OTHER INFORMATION</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None.</w:t>
      </w:r>
    </w:p>
    <w:p>
      <w:pPr>
        <w:spacing w:after="0" w:line="15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49</w:t>
      </w:r>
    </w:p>
    <w:p>
      <w:pPr>
        <w:sectPr>
          <w:pgSz w:w="11900" w:h="16838" w:orient="portrait"/>
          <w:cols w:equalWidth="0" w:num="1">
            <w:col w:w="11380"/>
          </w:cols>
          <w:pgMar w:left="240" w:top="459" w:right="279" w:bottom="1440" w:gutter="0" w:footer="0" w:header="0"/>
        </w:sectPr>
      </w:pPr>
    </w:p>
    <w:bookmarkStart w:id="49" w:name="page50"/>
    <w:bookmarkEnd w:id="4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8"/>
          <w:szCs w:val="18"/>
          <w:b w:val="1"/>
          <w:bCs w:val="1"/>
          <w:color w:val="auto"/>
        </w:rPr>
        <w:t>EXHIBITS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Exhibits listed below are filed as part of this Form 10-Q.</w:t>
      </w:r>
    </w:p>
    <w:p>
      <w:pPr>
        <w:sectPr>
          <w:pgSz w:w="11900" w:h="16838" w:orient="portrait"/>
          <w:cols w:equalWidth="0" w:num="1">
            <w:col w:w="11320"/>
          </w:cols>
          <w:pgMar w:left="240" w:top="459" w:right="339" w:bottom="1440" w:gutter="0" w:footer="0" w:header="0"/>
        </w:sectPr>
      </w:pPr>
    </w:p>
    <w:p>
      <w:pPr>
        <w:spacing w:after="0" w:line="343" w:lineRule="exact"/>
        <w:rPr>
          <w:sz w:val="20"/>
          <w:szCs w:val="20"/>
          <w:color w:val="auto"/>
        </w:rPr>
      </w:pPr>
    </w:p>
    <w:p>
      <w:pPr>
        <w:spacing w:after="0"/>
        <w:rPr>
          <w:sz w:val="20"/>
          <w:szCs w:val="20"/>
          <w:color w:val="auto"/>
        </w:rPr>
      </w:pPr>
      <w:r>
        <w:rPr>
          <w:rFonts w:ascii="Arial" w:cs="Arial" w:eastAsia="Arial" w:hAnsi="Arial"/>
          <w:sz w:val="16"/>
          <w:szCs w:val="16"/>
          <w:color w:val="auto"/>
        </w:rPr>
        <w:t>Exhibit 10.1*</w:t>
      </w:r>
    </w:p>
    <w:p>
      <w:pPr>
        <w:spacing w:after="0" w:line="20" w:lineRule="exact"/>
        <w:rPr>
          <w:sz w:val="20"/>
          <w:szCs w:val="20"/>
          <w:color w:val="auto"/>
        </w:rPr>
      </w:pPr>
      <w:r>
        <w:rPr>
          <w:sz w:val="20"/>
          <w:szCs w:val="20"/>
          <w:color w:val="auto"/>
        </w:rPr>
        <w:br w:type="column"/>
      </w:r>
    </w:p>
    <w:p>
      <w:pPr>
        <w:spacing w:after="0" w:line="323" w:lineRule="exact"/>
        <w:rPr>
          <w:sz w:val="20"/>
          <w:szCs w:val="20"/>
          <w:color w:val="auto"/>
        </w:rPr>
      </w:pPr>
    </w:p>
    <w:p>
      <w:pPr>
        <w:ind w:right="460"/>
        <w:spacing w:after="0" w:line="268" w:lineRule="auto"/>
        <w:rPr>
          <w:sz w:val="20"/>
          <w:szCs w:val="20"/>
          <w:color w:val="auto"/>
        </w:rPr>
      </w:pPr>
      <w:r>
        <w:rPr>
          <w:rFonts w:ascii="Arial" w:cs="Arial" w:eastAsia="Arial" w:hAnsi="Arial"/>
          <w:sz w:val="18"/>
          <w:szCs w:val="18"/>
          <w:color w:val="auto"/>
        </w:rPr>
        <w:t xml:space="preserve">Registrant’s 2005 Non-Qualified Deferred Compensation Plan, as amended and restated effective as of January 1, 2010 </w:t>
      </w:r>
      <w:r>
        <w:rPr>
          <w:rFonts w:ascii="Arial" w:cs="Arial" w:eastAsia="Arial" w:hAnsi="Arial"/>
          <w:sz w:val="18"/>
          <w:szCs w:val="18"/>
          <w:i w:val="1"/>
          <w:iCs w:val="1"/>
          <w:color w:val="auto"/>
        </w:rPr>
        <w:t>(filed</w:t>
      </w:r>
      <w:r>
        <w:rPr>
          <w:rFonts w:ascii="Arial" w:cs="Arial" w:eastAsia="Arial" w:hAnsi="Arial"/>
          <w:sz w:val="18"/>
          <w:szCs w:val="18"/>
          <w:color w:val="auto"/>
        </w:rPr>
        <w:t xml:space="preserve"> </w:t>
      </w:r>
      <w:r>
        <w:rPr>
          <w:rFonts w:ascii="Arial" w:cs="Arial" w:eastAsia="Arial" w:hAnsi="Arial"/>
          <w:sz w:val="18"/>
          <w:szCs w:val="18"/>
          <w:i w:val="1"/>
          <w:iCs w:val="1"/>
          <w:color w:val="auto"/>
        </w:rPr>
        <w:t>herewith)</w:t>
      </w:r>
    </w:p>
    <w:p>
      <w:pPr>
        <w:spacing w:after="0" w:line="78" w:lineRule="exact"/>
        <w:rPr>
          <w:sz w:val="20"/>
          <w:szCs w:val="20"/>
          <w:color w:val="auto"/>
        </w:rPr>
      </w:pPr>
    </w:p>
    <w:p>
      <w:pPr>
        <w:sectPr>
          <w:pgSz w:w="11900" w:h="16838" w:orient="portrait"/>
          <w:cols w:equalWidth="0" w:num="2">
            <w:col w:w="1360" w:space="720"/>
            <w:col w:w="9240"/>
          </w:cols>
          <w:pgMar w:left="240" w:top="459" w:right="339" w:bottom="1440" w:gutter="0" w:footer="0" w:header="0"/>
          <w:type w:val="continuous"/>
        </w:sectPr>
      </w:pPr>
    </w:p>
    <w:p>
      <w:pPr>
        <w:spacing w:after="0"/>
        <w:rPr>
          <w:sz w:val="20"/>
          <w:szCs w:val="20"/>
          <w:color w:val="auto"/>
        </w:rPr>
      </w:pPr>
      <w:r>
        <w:rPr>
          <w:rFonts w:ascii="Arial" w:cs="Arial" w:eastAsia="Arial" w:hAnsi="Arial"/>
          <w:sz w:val="16"/>
          <w:szCs w:val="16"/>
          <w:color w:val="auto"/>
        </w:rPr>
        <w:t>Exhibit 31.1</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Certification of Chief Executive Officer pursuant to Rule 13a-14(a) of the Securities Exchange Act of 1934</w:t>
      </w:r>
    </w:p>
    <w:p>
      <w:pPr>
        <w:spacing w:after="0" w:line="140" w:lineRule="exact"/>
        <w:rPr>
          <w:sz w:val="20"/>
          <w:szCs w:val="20"/>
          <w:color w:val="auto"/>
        </w:rPr>
      </w:pPr>
    </w:p>
    <w:p>
      <w:pPr>
        <w:sectPr>
          <w:pgSz w:w="11900" w:h="16838" w:orient="portrait"/>
          <w:cols w:equalWidth="0" w:num="2">
            <w:col w:w="1360" w:space="720"/>
            <w:col w:w="9240"/>
          </w:cols>
          <w:pgMar w:left="240" w:top="459" w:right="339" w:bottom="1440" w:gutter="0" w:footer="0" w:header="0"/>
          <w:type w:val="continuous"/>
        </w:sectPr>
      </w:pPr>
    </w:p>
    <w:p>
      <w:pPr>
        <w:spacing w:after="0"/>
        <w:rPr>
          <w:sz w:val="20"/>
          <w:szCs w:val="20"/>
          <w:color w:val="auto"/>
        </w:rPr>
      </w:pPr>
      <w:r>
        <w:rPr>
          <w:rFonts w:ascii="Arial" w:cs="Arial" w:eastAsia="Arial" w:hAnsi="Arial"/>
          <w:sz w:val="16"/>
          <w:szCs w:val="16"/>
          <w:color w:val="auto"/>
        </w:rPr>
        <w:t>Exhibit 31.2</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Certification of Chief Financial Officer pursuant to Rule 13a-14(a) of the Securities Exchange Act of 1934</w:t>
      </w:r>
    </w:p>
    <w:p>
      <w:pPr>
        <w:spacing w:after="0" w:line="140" w:lineRule="exact"/>
        <w:rPr>
          <w:sz w:val="20"/>
          <w:szCs w:val="20"/>
          <w:color w:val="auto"/>
        </w:rPr>
      </w:pPr>
    </w:p>
    <w:p>
      <w:pPr>
        <w:sectPr>
          <w:pgSz w:w="11900" w:h="16838" w:orient="portrait"/>
          <w:cols w:equalWidth="0" w:num="2">
            <w:col w:w="1360" w:space="720"/>
            <w:col w:w="9240"/>
          </w:cols>
          <w:pgMar w:left="240" w:top="459" w:right="339" w:bottom="1440" w:gutter="0" w:footer="0" w:header="0"/>
          <w:type w:val="continuous"/>
        </w:sectPr>
      </w:pPr>
    </w:p>
    <w:p>
      <w:pPr>
        <w:spacing w:after="0"/>
        <w:rPr>
          <w:sz w:val="20"/>
          <w:szCs w:val="20"/>
          <w:color w:val="auto"/>
        </w:rPr>
      </w:pPr>
      <w:r>
        <w:rPr>
          <w:rFonts w:ascii="Arial" w:cs="Arial" w:eastAsia="Arial" w:hAnsi="Arial"/>
          <w:sz w:val="16"/>
          <w:szCs w:val="16"/>
          <w:color w:val="auto"/>
        </w:rPr>
        <w:t>Exhibit 32.1 †</w:t>
      </w:r>
    </w:p>
    <w:p>
      <w:pPr>
        <w:spacing w:after="0" w:line="20" w:lineRule="exact"/>
        <w:rPr>
          <w:sz w:val="20"/>
          <w:szCs w:val="20"/>
          <w:color w:val="auto"/>
        </w:rPr>
      </w:pPr>
      <w:r>
        <w:rPr>
          <w:sz w:val="20"/>
          <w:szCs w:val="20"/>
          <w:color w:val="auto"/>
        </w:rPr>
        <w:br w:type="column"/>
      </w:r>
    </w:p>
    <w:p>
      <w:pPr>
        <w:ind w:right="280"/>
        <w:spacing w:after="0" w:line="268" w:lineRule="auto"/>
        <w:rPr>
          <w:sz w:val="20"/>
          <w:szCs w:val="20"/>
          <w:color w:val="auto"/>
        </w:rPr>
      </w:pPr>
      <w:r>
        <w:rPr>
          <w:rFonts w:ascii="Arial" w:cs="Arial" w:eastAsia="Arial" w:hAnsi="Arial"/>
          <w:sz w:val="18"/>
          <w:szCs w:val="18"/>
          <w:color w:val="auto"/>
        </w:rPr>
        <w:t>Certification of Chief Executive Officer and Chief Financial Officer pursuant to 18 U.S.C. Section 1350, as adopted pursuant to Section 906 of the Sarbanes-Oxley Act of 2002</w:t>
      </w:r>
    </w:p>
    <w:p>
      <w:pPr>
        <w:spacing w:after="0" w:line="78" w:lineRule="exact"/>
        <w:rPr>
          <w:sz w:val="20"/>
          <w:szCs w:val="20"/>
          <w:color w:val="auto"/>
        </w:rPr>
      </w:pPr>
    </w:p>
    <w:p>
      <w:pPr>
        <w:sectPr>
          <w:pgSz w:w="11900" w:h="16838" w:orient="portrait"/>
          <w:cols w:equalWidth="0" w:num="2">
            <w:col w:w="1360" w:space="720"/>
            <w:col w:w="9240"/>
          </w:cols>
          <w:pgMar w:left="240" w:top="459" w:right="339" w:bottom="1440" w:gutter="0" w:footer="0" w:header="0"/>
          <w:type w:val="continuous"/>
        </w:sectPr>
      </w:pPr>
    </w:p>
    <w:p>
      <w:pPr>
        <w:spacing w:after="0"/>
        <w:rPr>
          <w:sz w:val="20"/>
          <w:szCs w:val="20"/>
          <w:color w:val="auto"/>
        </w:rPr>
      </w:pPr>
      <w:r>
        <w:rPr>
          <w:rFonts w:ascii="Arial" w:cs="Arial" w:eastAsia="Arial" w:hAnsi="Arial"/>
          <w:sz w:val="16"/>
          <w:szCs w:val="16"/>
          <w:color w:val="auto"/>
        </w:rPr>
        <w:t>Exhibit 101.INS ††</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XBRL Instance Document</w:t>
      </w:r>
    </w:p>
    <w:p>
      <w:pPr>
        <w:spacing w:after="0" w:line="140" w:lineRule="exact"/>
        <w:rPr>
          <w:sz w:val="20"/>
          <w:szCs w:val="20"/>
          <w:color w:val="auto"/>
        </w:rPr>
      </w:pPr>
    </w:p>
    <w:p>
      <w:pPr>
        <w:sectPr>
          <w:pgSz w:w="11900" w:h="16838" w:orient="portrait"/>
          <w:cols w:equalWidth="0" w:num="2">
            <w:col w:w="1380" w:space="700"/>
            <w:col w:w="9240"/>
          </w:cols>
          <w:pgMar w:left="240" w:top="459" w:right="339" w:bottom="1440" w:gutter="0" w:footer="0" w:header="0"/>
          <w:type w:val="continuous"/>
        </w:sectPr>
      </w:pPr>
    </w:p>
    <w:p>
      <w:pPr>
        <w:spacing w:after="0"/>
        <w:rPr>
          <w:sz w:val="20"/>
          <w:szCs w:val="20"/>
          <w:color w:val="auto"/>
        </w:rPr>
      </w:pPr>
      <w:r>
        <w:rPr>
          <w:rFonts w:ascii="Arial" w:cs="Arial" w:eastAsia="Arial" w:hAnsi="Arial"/>
          <w:sz w:val="16"/>
          <w:szCs w:val="16"/>
          <w:color w:val="auto"/>
        </w:rPr>
        <w:t>Exhibit 101.SCH ††</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XBRL Taxonomy Extension Schema</w:t>
      </w:r>
    </w:p>
    <w:p>
      <w:pPr>
        <w:spacing w:after="0" w:line="140" w:lineRule="exact"/>
        <w:rPr>
          <w:sz w:val="20"/>
          <w:szCs w:val="20"/>
          <w:color w:val="auto"/>
        </w:rPr>
      </w:pPr>
    </w:p>
    <w:p>
      <w:pPr>
        <w:sectPr>
          <w:pgSz w:w="11900" w:h="16838" w:orient="portrait"/>
          <w:cols w:equalWidth="0" w:num="2">
            <w:col w:w="1440" w:space="640"/>
            <w:col w:w="9240"/>
          </w:cols>
          <w:pgMar w:left="240" w:top="459" w:right="339" w:bottom="1440" w:gutter="0" w:footer="0" w:header="0"/>
          <w:type w:val="continuous"/>
        </w:sectPr>
      </w:pPr>
    </w:p>
    <w:p>
      <w:pPr>
        <w:spacing w:after="0"/>
        <w:rPr>
          <w:sz w:val="20"/>
          <w:szCs w:val="20"/>
          <w:color w:val="auto"/>
        </w:rPr>
      </w:pPr>
      <w:r>
        <w:rPr>
          <w:rFonts w:ascii="Arial" w:cs="Arial" w:eastAsia="Arial" w:hAnsi="Arial"/>
          <w:sz w:val="16"/>
          <w:szCs w:val="16"/>
          <w:color w:val="auto"/>
        </w:rPr>
        <w:t>Exhibit 101.CAL ††</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XBRL Taxonomy Extension Calculation Linkbase</w:t>
      </w:r>
    </w:p>
    <w:p>
      <w:pPr>
        <w:spacing w:after="0" w:line="140" w:lineRule="exact"/>
        <w:rPr>
          <w:sz w:val="20"/>
          <w:szCs w:val="20"/>
          <w:color w:val="auto"/>
        </w:rPr>
      </w:pPr>
    </w:p>
    <w:p>
      <w:pPr>
        <w:sectPr>
          <w:pgSz w:w="11900" w:h="16838" w:orient="portrait"/>
          <w:cols w:equalWidth="0" w:num="2">
            <w:col w:w="1440" w:space="640"/>
            <w:col w:w="9240"/>
          </w:cols>
          <w:pgMar w:left="240" w:top="459" w:right="339" w:bottom="1440" w:gutter="0" w:footer="0" w:header="0"/>
          <w:type w:val="continuous"/>
        </w:sectPr>
      </w:pPr>
    </w:p>
    <w:p>
      <w:pPr>
        <w:spacing w:after="0"/>
        <w:rPr>
          <w:sz w:val="20"/>
          <w:szCs w:val="20"/>
          <w:color w:val="auto"/>
        </w:rPr>
      </w:pPr>
      <w:r>
        <w:rPr>
          <w:rFonts w:ascii="Arial" w:cs="Arial" w:eastAsia="Arial" w:hAnsi="Arial"/>
          <w:sz w:val="16"/>
          <w:szCs w:val="16"/>
          <w:color w:val="auto"/>
        </w:rPr>
        <w:t>Exhibit 101.LAB ††</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XBRL Taxonomy Extension Label Linkbase</w:t>
      </w:r>
    </w:p>
    <w:p>
      <w:pPr>
        <w:spacing w:after="0" w:line="140" w:lineRule="exact"/>
        <w:rPr>
          <w:sz w:val="20"/>
          <w:szCs w:val="20"/>
          <w:color w:val="auto"/>
        </w:rPr>
      </w:pPr>
    </w:p>
    <w:p>
      <w:pPr>
        <w:sectPr>
          <w:pgSz w:w="11900" w:h="16838" w:orient="portrait"/>
          <w:cols w:equalWidth="0" w:num="2">
            <w:col w:w="1440" w:space="640"/>
            <w:col w:w="9240"/>
          </w:cols>
          <w:pgMar w:left="240" w:top="459" w:right="339" w:bottom="1440" w:gutter="0" w:footer="0" w:header="0"/>
          <w:type w:val="continuous"/>
        </w:sectPr>
      </w:pPr>
    </w:p>
    <w:p>
      <w:pPr>
        <w:spacing w:after="0"/>
        <w:rPr>
          <w:sz w:val="20"/>
          <w:szCs w:val="20"/>
          <w:color w:val="auto"/>
        </w:rPr>
      </w:pPr>
      <w:r>
        <w:rPr>
          <w:rFonts w:ascii="Arial" w:cs="Arial" w:eastAsia="Arial" w:hAnsi="Arial"/>
          <w:sz w:val="16"/>
          <w:szCs w:val="16"/>
          <w:color w:val="auto"/>
        </w:rPr>
        <w:t>Exhibit 101.PRE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94615</wp:posOffset>
            </wp:positionV>
            <wp:extent cx="728980" cy="88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XBRL Taxonomy Extension Presentation Linkbase</w:t>
      </w:r>
    </w:p>
    <w:p>
      <w:pPr>
        <w:spacing w:after="0" w:line="181" w:lineRule="exact"/>
        <w:rPr>
          <w:sz w:val="20"/>
          <w:szCs w:val="20"/>
          <w:color w:val="auto"/>
        </w:rPr>
      </w:pPr>
    </w:p>
    <w:p>
      <w:pPr>
        <w:sectPr>
          <w:pgSz w:w="11900" w:h="16838" w:orient="portrait"/>
          <w:cols w:equalWidth="0" w:num="2">
            <w:col w:w="1420" w:space="660"/>
            <w:col w:w="9240"/>
          </w:cols>
          <w:pgMar w:left="240" w:top="459" w:right="339" w:bottom="1440" w:gutter="0" w:footer="0" w:header="0"/>
          <w:type w:val="continuous"/>
        </w:sectPr>
      </w:pPr>
    </w:p>
    <w:p>
      <w:pPr>
        <w:ind w:left="460" w:hanging="452"/>
        <w:spacing w:after="0"/>
        <w:tabs>
          <w:tab w:leader="none" w:pos="4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Denotes a management contract or compensatory plan or arrangement.</w:t>
      </w:r>
    </w:p>
    <w:p>
      <w:pPr>
        <w:spacing w:after="0" w:line="15" w:lineRule="exact"/>
        <w:rPr>
          <w:sz w:val="20"/>
          <w:szCs w:val="20"/>
          <w:color w:val="auto"/>
        </w:rPr>
      </w:pPr>
    </w:p>
    <w:p>
      <w:pPr>
        <w:ind w:left="460" w:right="160" w:hanging="452"/>
        <w:spacing w:after="0" w:line="300" w:lineRule="auto"/>
        <w:tabs>
          <w:tab w:leader="none" w:pos="460" w:val="left"/>
        </w:tabs>
        <w:numPr>
          <w:ilvl w:val="0"/>
          <w:numId w:val="31"/>
        </w:numPr>
        <w:rPr>
          <w:rFonts w:ascii="Arial" w:cs="Arial" w:eastAsia="Arial" w:hAnsi="Arial"/>
          <w:sz w:val="15"/>
          <w:szCs w:val="15"/>
          <w:color w:val="auto"/>
        </w:rPr>
      </w:pPr>
      <w:r>
        <w:rPr>
          <w:rFonts w:ascii="Arial" w:cs="Arial" w:eastAsia="Arial" w:hAnsi="Arial"/>
          <w:sz w:val="15"/>
          <w:szCs w:val="15"/>
          <w:color w:val="auto"/>
        </w:rPr>
        <w:t>The certifications attached as Exhibit 32.1 that accompany this Quarterly Report on Form 10-Q, are not deemed filed with the Securities and Exchange Commission and are not to be incorporated by reference into any filing of Autodesk, Inc. under the Securities Act of 1933, as amended, or the Securities</w:t>
      </w:r>
    </w:p>
    <w:p>
      <w:pPr>
        <w:spacing w:after="0" w:line="1" w:lineRule="exact"/>
        <w:rPr>
          <w:sz w:val="20"/>
          <w:szCs w:val="20"/>
          <w:color w:val="auto"/>
        </w:rPr>
      </w:pPr>
    </w:p>
    <w:p>
      <w:pPr>
        <w:ind w:left="460"/>
        <w:spacing w:after="0" w:line="250" w:lineRule="auto"/>
        <w:rPr>
          <w:sz w:val="20"/>
          <w:szCs w:val="20"/>
          <w:color w:val="auto"/>
        </w:rPr>
      </w:pPr>
      <w:r>
        <w:rPr>
          <w:rFonts w:ascii="Arial" w:cs="Arial" w:eastAsia="Arial" w:hAnsi="Arial"/>
          <w:sz w:val="18"/>
          <w:szCs w:val="18"/>
          <w:color w:val="auto"/>
        </w:rPr>
        <w:t>Exchange Act of 1934, as amended, whether made before or after the date of this Form 10-Q, irrespective of any general incorporation language contained in such filing.</w:t>
      </w:r>
    </w:p>
    <w:p>
      <w:pPr>
        <w:spacing w:after="0" w:line="1" w:lineRule="exact"/>
        <w:rPr>
          <w:sz w:val="20"/>
          <w:szCs w:val="20"/>
          <w:color w:val="auto"/>
        </w:rPr>
      </w:pPr>
    </w:p>
    <w:p>
      <w:pPr>
        <w:ind w:left="460" w:hanging="452"/>
        <w:spacing w:after="0"/>
        <w:tabs>
          <w:tab w:leader="none" w:pos="460" w:val="left"/>
        </w:tabs>
        <w:numPr>
          <w:ilvl w:val="0"/>
          <w:numId w:val="32"/>
        </w:numPr>
        <w:rPr>
          <w:rFonts w:ascii="Arial" w:cs="Arial" w:eastAsia="Arial" w:hAnsi="Arial"/>
          <w:sz w:val="16"/>
          <w:szCs w:val="16"/>
          <w:color w:val="auto"/>
        </w:rPr>
      </w:pPr>
      <w:r>
        <w:rPr>
          <w:rFonts w:ascii="Arial" w:cs="Arial" w:eastAsia="Arial" w:hAnsi="Arial"/>
          <w:sz w:val="16"/>
          <w:szCs w:val="16"/>
          <w:color w:val="auto"/>
        </w:rPr>
        <w:t>The financial information contained in these XBRL documents is unaudited and is furnished, not filed with the Securities and Exchange Commission.</w:t>
      </w:r>
    </w:p>
    <w:p>
      <w:pPr>
        <w:spacing w:after="0" w:line="174" w:lineRule="exact"/>
        <w:rPr>
          <w:rFonts w:ascii="Arial" w:cs="Arial" w:eastAsia="Arial" w:hAnsi="Arial"/>
          <w:sz w:val="16"/>
          <w:szCs w:val="16"/>
          <w:color w:val="auto"/>
        </w:rPr>
      </w:pPr>
    </w:p>
    <w:p>
      <w:pPr>
        <w:ind w:left="5620"/>
        <w:spacing w:after="0"/>
        <w:rPr>
          <w:rFonts w:ascii="Arial" w:cs="Arial" w:eastAsia="Arial" w:hAnsi="Arial"/>
          <w:sz w:val="16"/>
          <w:szCs w:val="16"/>
          <w:color w:val="auto"/>
        </w:rPr>
      </w:pPr>
      <w:r>
        <w:rPr>
          <w:rFonts w:ascii="Arial" w:cs="Arial" w:eastAsia="Arial" w:hAnsi="Arial"/>
          <w:sz w:val="18"/>
          <w:szCs w:val="18"/>
          <w:color w:val="auto"/>
        </w:rPr>
        <w:t>50</w:t>
      </w:r>
    </w:p>
    <w:p>
      <w:pPr>
        <w:sectPr>
          <w:pgSz w:w="11900" w:h="16838" w:orient="portrait"/>
          <w:cols w:equalWidth="0" w:num="1">
            <w:col w:w="11320"/>
          </w:cols>
          <w:pgMar w:left="240" w:top="459" w:right="339" w:bottom="1440" w:gutter="0" w:footer="0" w:header="0"/>
          <w:type w:val="continuous"/>
        </w:sectPr>
      </w:pPr>
    </w:p>
    <w:bookmarkStart w:id="50" w:name="page51"/>
    <w:bookmarkEnd w:id="5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SIGNATURES</w:t>
      </w:r>
    </w:p>
    <w:p>
      <w:pPr>
        <w:spacing w:after="0" w:line="177"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color w:val="auto"/>
        </w:rPr>
        <w:t>Dated: December 8, 2009</w:t>
      </w:r>
    </w:p>
    <w:p>
      <w:pPr>
        <w:spacing w:after="0" w:line="212"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AUTODESK, INC.</w:t>
      </w:r>
    </w:p>
    <w:p>
      <w:pPr>
        <w:spacing w:after="0" w:line="1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(Registrant)</w:t>
      </w:r>
    </w:p>
    <w:p>
      <w:pPr>
        <w:spacing w:after="0" w:line="219" w:lineRule="exact"/>
        <w:rPr>
          <w:sz w:val="20"/>
          <w:szCs w:val="20"/>
          <w:color w:val="auto"/>
        </w:rPr>
      </w:pPr>
    </w:p>
    <w:p>
      <w:pPr>
        <w:jc w:val="center"/>
        <w:ind w:left="6860"/>
        <w:spacing w:after="0"/>
        <w:rPr>
          <w:sz w:val="20"/>
          <w:szCs w:val="20"/>
          <w:color w:val="auto"/>
        </w:rPr>
      </w:pPr>
      <w:r>
        <w:rPr>
          <w:rFonts w:ascii="Arial" w:cs="Arial" w:eastAsia="Arial" w:hAnsi="Arial"/>
          <w:sz w:val="18"/>
          <w:szCs w:val="18"/>
          <w:color w:val="auto"/>
        </w:rPr>
        <w:t>/s/ M</w:t>
      </w:r>
      <w:r>
        <w:rPr>
          <w:rFonts w:ascii="Arial" w:cs="Arial" w:eastAsia="Arial" w:hAnsi="Arial"/>
          <w:sz w:val="14"/>
          <w:szCs w:val="14"/>
          <w:color w:val="auto"/>
        </w:rPr>
        <w:t>ARK</w:t>
      </w:r>
      <w:r>
        <w:rPr>
          <w:rFonts w:ascii="Arial" w:cs="Arial" w:eastAsia="Arial" w:hAnsi="Arial"/>
          <w:sz w:val="18"/>
          <w:szCs w:val="18"/>
          <w:color w:val="auto"/>
        </w:rPr>
        <w:t xml:space="preserve"> J. H</w:t>
      </w:r>
      <w:r>
        <w:rPr>
          <w:rFonts w:ascii="Arial" w:cs="Arial" w:eastAsia="Arial" w:hAnsi="Arial"/>
          <w:sz w:val="14"/>
          <w:szCs w:val="14"/>
          <w:color w:val="auto"/>
        </w:rPr>
        <w:t>AWKINS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10795</wp:posOffset>
            </wp:positionV>
            <wp:extent cx="2898775" cy="88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12" w:lineRule="exact"/>
        <w:rPr>
          <w:sz w:val="20"/>
          <w:szCs w:val="20"/>
          <w:color w:val="auto"/>
        </w:rPr>
      </w:pPr>
    </w:p>
    <w:p>
      <w:pPr>
        <w:jc w:val="center"/>
        <w:ind w:left="6860"/>
        <w:spacing w:after="0"/>
        <w:rPr>
          <w:sz w:val="20"/>
          <w:szCs w:val="20"/>
          <w:color w:val="auto"/>
        </w:rPr>
      </w:pPr>
      <w:r>
        <w:rPr>
          <w:rFonts w:ascii="Arial" w:cs="Arial" w:eastAsia="Arial" w:hAnsi="Arial"/>
          <w:sz w:val="14"/>
          <w:szCs w:val="14"/>
          <w:b w:val="1"/>
          <w:bCs w:val="1"/>
          <w:color w:val="auto"/>
        </w:rPr>
        <w:t>Mark J. Hawkins</w:t>
      </w:r>
    </w:p>
    <w:p>
      <w:pPr>
        <w:jc w:val="center"/>
        <w:ind w:left="6860"/>
        <w:spacing w:after="0" w:line="223" w:lineRule="auto"/>
        <w:rPr>
          <w:sz w:val="20"/>
          <w:szCs w:val="20"/>
          <w:color w:val="auto"/>
        </w:rPr>
      </w:pPr>
      <w:r>
        <w:rPr>
          <w:rFonts w:ascii="Arial" w:cs="Arial" w:eastAsia="Arial" w:hAnsi="Arial"/>
          <w:sz w:val="14"/>
          <w:szCs w:val="14"/>
          <w:b w:val="1"/>
          <w:bCs w:val="1"/>
          <w:color w:val="auto"/>
        </w:rPr>
        <w:t>Executive Vice President and Chief Financial Officer</w:t>
      </w:r>
    </w:p>
    <w:p>
      <w:pPr>
        <w:jc w:val="center"/>
        <w:ind w:left="6860"/>
        <w:spacing w:after="0"/>
        <w:rPr>
          <w:sz w:val="20"/>
          <w:szCs w:val="20"/>
          <w:color w:val="auto"/>
        </w:rPr>
      </w:pPr>
      <w:r>
        <w:rPr>
          <w:rFonts w:ascii="Arial" w:cs="Arial" w:eastAsia="Arial" w:hAnsi="Arial"/>
          <w:sz w:val="14"/>
          <w:szCs w:val="14"/>
          <w:b w:val="1"/>
          <w:bCs w:val="1"/>
          <w:color w:val="auto"/>
        </w:rPr>
        <w:t>(Principal Financial Officer and Principal Accounting Officer)</w:t>
      </w:r>
    </w:p>
    <w:p>
      <w:pPr>
        <w:spacing w:after="0" w:line="12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51</w:t>
      </w:r>
    </w:p>
    <w:p>
      <w:pPr>
        <w:sectPr>
          <w:pgSz w:w="11900" w:h="16838" w:orient="portrait"/>
          <w:cols w:equalWidth="0" w:num="1">
            <w:col w:w="11400"/>
          </w:cols>
          <w:pgMar w:left="240" w:top="459" w:right="259" w:bottom="1440" w:gutter="0" w:footer="0" w:header="0"/>
        </w:sectPr>
      </w:pPr>
    </w:p>
    <w:bookmarkStart w:id="51" w:name="page52"/>
    <w:bookmarkEnd w:id="51"/>
    <w:p>
      <w:pPr>
        <w:jc w:val="right"/>
        <w:spacing w:after="0"/>
        <w:rPr>
          <w:sz w:val="20"/>
          <w:szCs w:val="20"/>
          <w:color w:val="auto"/>
        </w:rPr>
      </w:pPr>
      <w:r>
        <w:rPr>
          <w:rFonts w:ascii="Arial" w:cs="Arial" w:eastAsia="Arial" w:hAnsi="Arial"/>
          <w:sz w:val="18"/>
          <w:szCs w:val="18"/>
          <w:b w:val="1"/>
          <w:bCs w:val="1"/>
          <w:color w:val="auto"/>
        </w:rPr>
        <w:t>Exhibit 10.1</w:t>
      </w:r>
    </w:p>
    <w:p>
      <w:pPr>
        <w:spacing w:after="0" w:line="171" w:lineRule="exact"/>
        <w:rPr>
          <w:sz w:val="20"/>
          <w:szCs w:val="20"/>
          <w:color w:val="auto"/>
        </w:rPr>
      </w:pPr>
    </w:p>
    <w:p>
      <w:pPr>
        <w:ind w:left="3800"/>
        <w:spacing w:after="0"/>
        <w:rPr>
          <w:sz w:val="20"/>
          <w:szCs w:val="20"/>
          <w:color w:val="auto"/>
        </w:rPr>
      </w:pPr>
      <w:r>
        <w:rPr>
          <w:rFonts w:ascii="Arial" w:cs="Arial" w:eastAsia="Arial" w:hAnsi="Arial"/>
          <w:sz w:val="18"/>
          <w:szCs w:val="18"/>
          <w:b w:val="1"/>
          <w:bCs w:val="1"/>
          <w:color w:val="auto"/>
        </w:rPr>
        <w:t>AUTODESK, INC.</w:t>
      </w:r>
    </w:p>
    <w:p>
      <w:pPr>
        <w:spacing w:after="0" w:line="171" w:lineRule="exact"/>
        <w:rPr>
          <w:sz w:val="20"/>
          <w:szCs w:val="20"/>
          <w:color w:val="auto"/>
        </w:rPr>
      </w:pPr>
    </w:p>
    <w:p>
      <w:pPr>
        <w:ind w:left="3600"/>
        <w:spacing w:after="0"/>
        <w:rPr>
          <w:sz w:val="20"/>
          <w:szCs w:val="20"/>
          <w:color w:val="auto"/>
        </w:rPr>
      </w:pPr>
      <w:r>
        <w:rPr>
          <w:rFonts w:ascii="Arial" w:cs="Arial" w:eastAsia="Arial" w:hAnsi="Arial"/>
          <w:sz w:val="18"/>
          <w:szCs w:val="18"/>
          <w:b w:val="1"/>
          <w:bCs w:val="1"/>
          <w:color w:val="auto"/>
        </w:rPr>
        <w:t>2005 NON-QUALIFIED</w:t>
      </w:r>
    </w:p>
    <w:p>
      <w:pPr>
        <w:spacing w:after="0" w:line="21" w:lineRule="exact"/>
        <w:rPr>
          <w:sz w:val="20"/>
          <w:szCs w:val="20"/>
          <w:color w:val="auto"/>
        </w:rPr>
      </w:pPr>
    </w:p>
    <w:p>
      <w:pPr>
        <w:ind w:left="3020"/>
        <w:spacing w:after="0"/>
        <w:rPr>
          <w:sz w:val="20"/>
          <w:szCs w:val="20"/>
          <w:color w:val="auto"/>
        </w:rPr>
      </w:pPr>
      <w:r>
        <w:rPr>
          <w:rFonts w:ascii="Arial" w:cs="Arial" w:eastAsia="Arial" w:hAnsi="Arial"/>
          <w:sz w:val="18"/>
          <w:szCs w:val="18"/>
          <w:b w:val="1"/>
          <w:bCs w:val="1"/>
          <w:color w:val="auto"/>
        </w:rPr>
        <w:t>DEFERRED COMPENSATION PLAN</w:t>
      </w:r>
    </w:p>
    <w:p>
      <w:pPr>
        <w:spacing w:after="0" w:line="159" w:lineRule="exact"/>
        <w:rPr>
          <w:sz w:val="20"/>
          <w:szCs w:val="20"/>
          <w:color w:val="auto"/>
        </w:rPr>
      </w:pPr>
    </w:p>
    <w:p>
      <w:pPr>
        <w:ind w:left="3520"/>
        <w:spacing w:after="0"/>
        <w:rPr>
          <w:sz w:val="20"/>
          <w:szCs w:val="20"/>
          <w:color w:val="auto"/>
        </w:rPr>
      </w:pPr>
      <w:r>
        <w:rPr>
          <w:rFonts w:ascii="Arial" w:cs="Arial" w:eastAsia="Arial" w:hAnsi="Arial"/>
          <w:sz w:val="18"/>
          <w:szCs w:val="18"/>
          <w:b w:val="1"/>
          <w:bCs w:val="1"/>
          <w:color w:val="auto"/>
        </w:rPr>
        <w:t>As Amended and Restated</w:t>
      </w:r>
    </w:p>
    <w:p>
      <w:pPr>
        <w:spacing w:after="0" w:line="21" w:lineRule="exact"/>
        <w:rPr>
          <w:sz w:val="20"/>
          <w:szCs w:val="20"/>
          <w:color w:val="auto"/>
        </w:rPr>
      </w:pPr>
    </w:p>
    <w:p>
      <w:pPr>
        <w:ind w:left="3360"/>
        <w:spacing w:after="0"/>
        <w:rPr>
          <w:sz w:val="20"/>
          <w:szCs w:val="20"/>
          <w:color w:val="auto"/>
        </w:rPr>
      </w:pPr>
      <w:r>
        <w:rPr>
          <w:rFonts w:ascii="Arial" w:cs="Arial" w:eastAsia="Arial" w:hAnsi="Arial"/>
          <w:sz w:val="18"/>
          <w:szCs w:val="18"/>
          <w:b w:val="1"/>
          <w:bCs w:val="1"/>
          <w:color w:val="auto"/>
        </w:rPr>
        <w:t>Effective as of January 1, 2008</w:t>
      </w:r>
    </w:p>
    <w:p>
      <w:pPr>
        <w:spacing w:after="0" w:line="159" w:lineRule="exact"/>
        <w:rPr>
          <w:sz w:val="20"/>
          <w:szCs w:val="20"/>
          <w:color w:val="auto"/>
        </w:rPr>
      </w:pPr>
    </w:p>
    <w:p>
      <w:pPr>
        <w:ind w:left="3200"/>
        <w:spacing w:after="0"/>
        <w:rPr>
          <w:sz w:val="20"/>
          <w:szCs w:val="20"/>
          <w:color w:val="auto"/>
        </w:rPr>
      </w:pPr>
      <w:r>
        <w:rPr>
          <w:rFonts w:ascii="Arial" w:cs="Arial" w:eastAsia="Arial" w:hAnsi="Arial"/>
          <w:sz w:val="18"/>
          <w:szCs w:val="18"/>
          <w:b w:val="1"/>
          <w:bCs w:val="1"/>
          <w:color w:val="auto"/>
        </w:rPr>
        <w:t>As Further Amended and Restated</w:t>
      </w:r>
    </w:p>
    <w:p>
      <w:pPr>
        <w:spacing w:after="0" w:line="21" w:lineRule="exact"/>
        <w:rPr>
          <w:sz w:val="20"/>
          <w:szCs w:val="20"/>
          <w:color w:val="auto"/>
        </w:rPr>
      </w:pPr>
    </w:p>
    <w:p>
      <w:pPr>
        <w:ind w:left="3260"/>
        <w:spacing w:after="0"/>
        <w:rPr>
          <w:sz w:val="20"/>
          <w:szCs w:val="20"/>
          <w:color w:val="auto"/>
        </w:rPr>
      </w:pPr>
      <w:r>
        <w:rPr>
          <w:rFonts w:ascii="Arial" w:cs="Arial" w:eastAsia="Arial" w:hAnsi="Arial"/>
          <w:sz w:val="18"/>
          <w:szCs w:val="18"/>
          <w:b w:val="1"/>
          <w:bCs w:val="1"/>
          <w:color w:val="auto"/>
        </w:rPr>
        <w:t>Effective as of December 31, 2008</w:t>
      </w:r>
    </w:p>
    <w:p>
      <w:pPr>
        <w:spacing w:after="0" w:line="159" w:lineRule="exact"/>
        <w:rPr>
          <w:sz w:val="20"/>
          <w:szCs w:val="20"/>
          <w:color w:val="auto"/>
        </w:rPr>
      </w:pPr>
    </w:p>
    <w:p>
      <w:pPr>
        <w:ind w:left="3200"/>
        <w:spacing w:after="0"/>
        <w:rPr>
          <w:sz w:val="20"/>
          <w:szCs w:val="20"/>
          <w:color w:val="auto"/>
        </w:rPr>
      </w:pPr>
      <w:r>
        <w:rPr>
          <w:rFonts w:ascii="Arial" w:cs="Arial" w:eastAsia="Arial" w:hAnsi="Arial"/>
          <w:sz w:val="18"/>
          <w:szCs w:val="18"/>
          <w:b w:val="1"/>
          <w:bCs w:val="1"/>
          <w:color w:val="auto"/>
        </w:rPr>
        <w:t>As Further Amended and Restated</w:t>
      </w:r>
    </w:p>
    <w:p>
      <w:pPr>
        <w:spacing w:after="0" w:line="21" w:lineRule="exact"/>
        <w:rPr>
          <w:sz w:val="20"/>
          <w:szCs w:val="20"/>
          <w:color w:val="auto"/>
        </w:rPr>
      </w:pPr>
    </w:p>
    <w:p>
      <w:pPr>
        <w:ind w:left="3360"/>
        <w:spacing w:after="0"/>
        <w:rPr>
          <w:sz w:val="20"/>
          <w:szCs w:val="20"/>
          <w:color w:val="auto"/>
        </w:rPr>
      </w:pPr>
      <w:r>
        <w:rPr>
          <w:rFonts w:ascii="Arial" w:cs="Arial" w:eastAsia="Arial" w:hAnsi="Arial"/>
          <w:sz w:val="18"/>
          <w:szCs w:val="18"/>
          <w:b w:val="1"/>
          <w:bCs w:val="1"/>
          <w:color w:val="auto"/>
        </w:rPr>
        <w:t>Effective as of January 1, 2010</w:t>
      </w:r>
    </w:p>
    <w:p>
      <w:pPr>
        <w:sectPr>
          <w:pgSz w:w="11900" w:h="16838" w:orient="portrait"/>
          <w:cols w:equalWidth="0" w:num="1">
            <w:col w:w="10220"/>
          </w:cols>
          <w:pgMar w:left="1440" w:top="125" w:right="239" w:bottom="1440" w:gutter="0" w:footer="0" w:header="0"/>
        </w:sectPr>
      </w:pPr>
    </w:p>
    <w:bookmarkStart w:id="52" w:name="page53"/>
    <w:bookmarkEnd w:id="52"/>
    <w:tbl>
      <w:tblPr>
        <w:tblLayout w:type="fixed"/>
        <w:tblInd w:w="0" w:type="dxa"/>
        <w:tblCellMar>
          <w:top w:w="0" w:type="dxa"/>
          <w:left w:w="0" w:type="dxa"/>
          <w:bottom w:w="0" w:type="dxa"/>
          <w:right w:w="0" w:type="dxa"/>
        </w:tblCellMar>
      </w:tblPr>
      <w:tr>
        <w:trPr>
          <w:trHeight w:val="228"/>
        </w:trPr>
        <w:tc>
          <w:tcPr>
            <w:tcW w:w="940" w:type="dxa"/>
            <w:vAlign w:val="bottom"/>
          </w:tcPr>
          <w:p>
            <w:pPr>
              <w:spacing w:after="0"/>
              <w:rPr>
                <w:sz w:val="19"/>
                <w:szCs w:val="19"/>
                <w:color w:val="auto"/>
              </w:rPr>
            </w:pPr>
          </w:p>
        </w:tc>
        <w:tc>
          <w:tcPr>
            <w:tcW w:w="10200" w:type="dxa"/>
            <w:vAlign w:val="bottom"/>
          </w:tcPr>
          <w:p>
            <w:pPr>
              <w:ind w:left="3840"/>
              <w:spacing w:after="0"/>
              <w:rPr>
                <w:sz w:val="20"/>
                <w:szCs w:val="20"/>
                <w:color w:val="auto"/>
              </w:rPr>
            </w:pPr>
            <w:r>
              <w:rPr>
                <w:rFonts w:ascii="Arial" w:cs="Arial" w:eastAsia="Arial" w:hAnsi="Arial"/>
                <w:sz w:val="18"/>
                <w:szCs w:val="18"/>
                <w:b w:val="1"/>
                <w:bCs w:val="1"/>
                <w:color w:val="auto"/>
              </w:rPr>
              <w:t>TABLE OF CONTENTS</w:t>
            </w: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53"/>
        </w:trPr>
        <w:tc>
          <w:tcPr>
            <w:tcW w:w="1114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ARTICLE I TITLE AND DEFINITIONS</w:t>
            </w:r>
          </w:p>
        </w:tc>
        <w:tc>
          <w:tcPr>
            <w:tcW w:w="300" w:type="dxa"/>
            <w:vAlign w:val="bottom"/>
            <w:gridSpan w:val="2"/>
          </w:tcPr>
          <w:p>
            <w:pPr>
              <w:jc w:val="right"/>
              <w:ind w:right="20"/>
              <w:spacing w:after="0"/>
              <w:rPr>
                <w:sz w:val="20"/>
                <w:szCs w:val="20"/>
                <w:color w:val="auto"/>
              </w:rPr>
            </w:pPr>
            <w:r>
              <w:rPr>
                <w:rFonts w:ascii="Arial" w:cs="Arial" w:eastAsia="Arial" w:hAnsi="Arial"/>
                <w:sz w:val="14"/>
                <w:szCs w:val="14"/>
                <w:b w:val="1"/>
                <w:bCs w:val="1"/>
                <w:color w:val="auto"/>
                <w:w w:val="77"/>
              </w:rPr>
              <w:t>Page</w:t>
            </w:r>
          </w:p>
        </w:tc>
        <w:tc>
          <w:tcPr>
            <w:tcW w:w="0" w:type="dxa"/>
            <w:vAlign w:val="bottom"/>
          </w:tcPr>
          <w:p>
            <w:pPr>
              <w:spacing w:after="0"/>
              <w:rPr>
                <w:sz w:val="1"/>
                <w:szCs w:val="1"/>
                <w:color w:val="auto"/>
              </w:rPr>
            </w:pPr>
          </w:p>
        </w:tc>
      </w:tr>
      <w:tr>
        <w:trPr>
          <w:trHeight w:val="216"/>
        </w:trPr>
        <w:tc>
          <w:tcPr>
            <w:tcW w:w="11140" w:type="dxa"/>
            <w:vAlign w:val="bottom"/>
            <w:gridSpan w:val="2"/>
            <w:vMerge w:val="continue"/>
          </w:tcPr>
          <w:p>
            <w:pPr>
              <w:spacing w:after="0"/>
              <w:rPr>
                <w:sz w:val="18"/>
                <w:szCs w:val="18"/>
                <w:color w:val="auto"/>
              </w:rPr>
            </w:pPr>
          </w:p>
        </w:tc>
        <w:tc>
          <w:tcPr>
            <w:tcW w:w="2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03"/>
        </w:trPr>
        <w:tc>
          <w:tcPr>
            <w:tcW w:w="940" w:type="dxa"/>
            <w:vAlign w:val="bottom"/>
          </w:tcPr>
          <w:p>
            <w:pPr>
              <w:jc w:val="right"/>
              <w:ind w:right="192"/>
              <w:spacing w:after="0"/>
              <w:rPr>
                <w:sz w:val="20"/>
                <w:szCs w:val="20"/>
                <w:color w:val="auto"/>
              </w:rPr>
            </w:pPr>
            <w:r>
              <w:rPr>
                <w:rFonts w:ascii="Arial" w:cs="Arial" w:eastAsia="Arial" w:hAnsi="Arial"/>
                <w:sz w:val="18"/>
                <w:szCs w:val="18"/>
                <w:b w:val="1"/>
                <w:bCs w:val="1"/>
                <w:color w:val="auto"/>
              </w:rPr>
              <w:t>1.1</w:t>
            </w:r>
          </w:p>
        </w:tc>
        <w:tc>
          <w:tcPr>
            <w:tcW w:w="10200" w:type="dxa"/>
            <w:vAlign w:val="bottom"/>
          </w:tcPr>
          <w:p>
            <w:pPr>
              <w:ind w:left="280"/>
              <w:spacing w:after="0"/>
              <w:rPr>
                <w:sz w:val="20"/>
                <w:szCs w:val="20"/>
                <w:color w:val="auto"/>
              </w:rPr>
            </w:pPr>
            <w:r>
              <w:rPr>
                <w:rFonts w:ascii="Arial" w:cs="Arial" w:eastAsia="Arial" w:hAnsi="Arial"/>
                <w:sz w:val="18"/>
                <w:szCs w:val="18"/>
                <w:color w:val="auto"/>
              </w:rPr>
              <w:t>Title</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28"/>
        </w:trPr>
        <w:tc>
          <w:tcPr>
            <w:tcW w:w="940" w:type="dxa"/>
            <w:vAlign w:val="bottom"/>
          </w:tcPr>
          <w:p>
            <w:pPr>
              <w:jc w:val="right"/>
              <w:ind w:right="192"/>
              <w:spacing w:after="0"/>
              <w:rPr>
                <w:sz w:val="20"/>
                <w:szCs w:val="20"/>
                <w:color w:val="auto"/>
              </w:rPr>
            </w:pPr>
            <w:r>
              <w:rPr>
                <w:rFonts w:ascii="Arial" w:cs="Arial" w:eastAsia="Arial" w:hAnsi="Arial"/>
                <w:sz w:val="18"/>
                <w:szCs w:val="18"/>
                <w:b w:val="1"/>
                <w:bCs w:val="1"/>
                <w:color w:val="auto"/>
              </w:rPr>
              <w:t>1.2</w:t>
            </w:r>
          </w:p>
        </w:tc>
        <w:tc>
          <w:tcPr>
            <w:tcW w:w="10200" w:type="dxa"/>
            <w:vAlign w:val="bottom"/>
          </w:tcPr>
          <w:p>
            <w:pPr>
              <w:ind w:left="280"/>
              <w:spacing w:after="0"/>
              <w:rPr>
                <w:sz w:val="20"/>
                <w:szCs w:val="20"/>
                <w:color w:val="auto"/>
              </w:rPr>
            </w:pPr>
            <w:r>
              <w:rPr>
                <w:rFonts w:ascii="Arial" w:cs="Arial" w:eastAsia="Arial" w:hAnsi="Arial"/>
                <w:sz w:val="18"/>
                <w:szCs w:val="18"/>
                <w:color w:val="auto"/>
              </w:rPr>
              <w:t>Definitions</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324"/>
        </w:trPr>
        <w:tc>
          <w:tcPr>
            <w:tcW w:w="11140" w:type="dxa"/>
            <w:vAlign w:val="bottom"/>
            <w:gridSpan w:val="2"/>
          </w:tcPr>
          <w:p>
            <w:pPr>
              <w:spacing w:after="0"/>
              <w:rPr>
                <w:sz w:val="20"/>
                <w:szCs w:val="20"/>
                <w:color w:val="auto"/>
              </w:rPr>
            </w:pPr>
            <w:r>
              <w:rPr>
                <w:rFonts w:ascii="Arial" w:cs="Arial" w:eastAsia="Arial" w:hAnsi="Arial"/>
                <w:sz w:val="18"/>
                <w:szCs w:val="18"/>
                <w:b w:val="1"/>
                <w:bCs w:val="1"/>
                <w:color w:val="auto"/>
              </w:rPr>
              <w:t>ARTICLE II PARTICIPATION</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312"/>
        </w:trPr>
        <w:tc>
          <w:tcPr>
            <w:tcW w:w="940" w:type="dxa"/>
            <w:vAlign w:val="bottom"/>
          </w:tcPr>
          <w:p>
            <w:pPr>
              <w:jc w:val="right"/>
              <w:ind w:right="192"/>
              <w:spacing w:after="0"/>
              <w:rPr>
                <w:sz w:val="20"/>
                <w:szCs w:val="20"/>
                <w:color w:val="auto"/>
              </w:rPr>
            </w:pPr>
            <w:r>
              <w:rPr>
                <w:rFonts w:ascii="Arial" w:cs="Arial" w:eastAsia="Arial" w:hAnsi="Arial"/>
                <w:sz w:val="18"/>
                <w:szCs w:val="18"/>
                <w:b w:val="1"/>
                <w:bCs w:val="1"/>
                <w:color w:val="auto"/>
              </w:rPr>
              <w:t>2.1</w:t>
            </w:r>
          </w:p>
        </w:tc>
        <w:tc>
          <w:tcPr>
            <w:tcW w:w="10200" w:type="dxa"/>
            <w:vAlign w:val="bottom"/>
          </w:tcPr>
          <w:p>
            <w:pPr>
              <w:ind w:left="280"/>
              <w:spacing w:after="0"/>
              <w:rPr>
                <w:sz w:val="20"/>
                <w:szCs w:val="20"/>
                <w:color w:val="auto"/>
              </w:rPr>
            </w:pPr>
            <w:r>
              <w:rPr>
                <w:rFonts w:ascii="Arial" w:cs="Arial" w:eastAsia="Arial" w:hAnsi="Arial"/>
                <w:sz w:val="18"/>
                <w:szCs w:val="18"/>
                <w:color w:val="auto"/>
              </w:rPr>
              <w:t>Eligibility</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16"/>
        </w:trPr>
        <w:tc>
          <w:tcPr>
            <w:tcW w:w="940" w:type="dxa"/>
            <w:vAlign w:val="bottom"/>
          </w:tcPr>
          <w:p>
            <w:pPr>
              <w:jc w:val="right"/>
              <w:ind w:right="192"/>
              <w:spacing w:after="0"/>
              <w:rPr>
                <w:sz w:val="20"/>
                <w:szCs w:val="20"/>
                <w:color w:val="auto"/>
              </w:rPr>
            </w:pPr>
            <w:r>
              <w:rPr>
                <w:rFonts w:ascii="Arial" w:cs="Arial" w:eastAsia="Arial" w:hAnsi="Arial"/>
                <w:sz w:val="18"/>
                <w:szCs w:val="18"/>
                <w:b w:val="1"/>
                <w:bCs w:val="1"/>
                <w:color w:val="auto"/>
              </w:rPr>
              <w:t>2.2</w:t>
            </w:r>
          </w:p>
        </w:tc>
        <w:tc>
          <w:tcPr>
            <w:tcW w:w="10200" w:type="dxa"/>
            <w:vAlign w:val="bottom"/>
          </w:tcPr>
          <w:p>
            <w:pPr>
              <w:ind w:left="280"/>
              <w:spacing w:after="0"/>
              <w:rPr>
                <w:sz w:val="20"/>
                <w:szCs w:val="20"/>
                <w:color w:val="auto"/>
              </w:rPr>
            </w:pPr>
            <w:r>
              <w:rPr>
                <w:rFonts w:ascii="Arial" w:cs="Arial" w:eastAsia="Arial" w:hAnsi="Arial"/>
                <w:sz w:val="18"/>
                <w:szCs w:val="18"/>
                <w:color w:val="auto"/>
              </w:rPr>
              <w:t>Change of Employment Category</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28"/>
        </w:trPr>
        <w:tc>
          <w:tcPr>
            <w:tcW w:w="940" w:type="dxa"/>
            <w:vAlign w:val="bottom"/>
          </w:tcPr>
          <w:p>
            <w:pPr>
              <w:jc w:val="right"/>
              <w:ind w:right="192"/>
              <w:spacing w:after="0"/>
              <w:rPr>
                <w:sz w:val="20"/>
                <w:szCs w:val="20"/>
                <w:color w:val="auto"/>
              </w:rPr>
            </w:pPr>
            <w:r>
              <w:rPr>
                <w:rFonts w:ascii="Arial" w:cs="Arial" w:eastAsia="Arial" w:hAnsi="Arial"/>
                <w:sz w:val="18"/>
                <w:szCs w:val="18"/>
                <w:b w:val="1"/>
                <w:bCs w:val="1"/>
                <w:color w:val="auto"/>
              </w:rPr>
              <w:t>2.3</w:t>
            </w:r>
          </w:p>
        </w:tc>
        <w:tc>
          <w:tcPr>
            <w:tcW w:w="10200" w:type="dxa"/>
            <w:vAlign w:val="bottom"/>
          </w:tcPr>
          <w:p>
            <w:pPr>
              <w:ind w:left="280"/>
              <w:spacing w:after="0"/>
              <w:rPr>
                <w:sz w:val="20"/>
                <w:szCs w:val="20"/>
                <w:color w:val="auto"/>
              </w:rPr>
            </w:pPr>
            <w:r>
              <w:rPr>
                <w:rFonts w:ascii="Arial" w:cs="Arial" w:eastAsia="Arial" w:hAnsi="Arial"/>
                <w:sz w:val="18"/>
                <w:szCs w:val="18"/>
                <w:color w:val="auto"/>
              </w:rPr>
              <w:t>Participation</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324"/>
        </w:trPr>
        <w:tc>
          <w:tcPr>
            <w:tcW w:w="11140" w:type="dxa"/>
            <w:vAlign w:val="bottom"/>
            <w:gridSpan w:val="2"/>
          </w:tcPr>
          <w:p>
            <w:pPr>
              <w:spacing w:after="0"/>
              <w:rPr>
                <w:sz w:val="20"/>
                <w:szCs w:val="20"/>
                <w:color w:val="auto"/>
              </w:rPr>
            </w:pPr>
            <w:r>
              <w:rPr>
                <w:rFonts w:ascii="Arial" w:cs="Arial" w:eastAsia="Arial" w:hAnsi="Arial"/>
                <w:sz w:val="18"/>
                <w:szCs w:val="18"/>
                <w:b w:val="1"/>
                <w:bCs w:val="1"/>
                <w:color w:val="auto"/>
              </w:rPr>
              <w:t>ARTICLE III DEFERRAL ELECTIONS</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312"/>
        </w:trPr>
        <w:tc>
          <w:tcPr>
            <w:tcW w:w="940" w:type="dxa"/>
            <w:vAlign w:val="bottom"/>
          </w:tcPr>
          <w:p>
            <w:pPr>
              <w:jc w:val="right"/>
              <w:ind w:right="192"/>
              <w:spacing w:after="0"/>
              <w:rPr>
                <w:sz w:val="20"/>
                <w:szCs w:val="20"/>
                <w:color w:val="auto"/>
              </w:rPr>
            </w:pPr>
            <w:r>
              <w:rPr>
                <w:rFonts w:ascii="Arial" w:cs="Arial" w:eastAsia="Arial" w:hAnsi="Arial"/>
                <w:sz w:val="18"/>
                <w:szCs w:val="18"/>
                <w:b w:val="1"/>
                <w:bCs w:val="1"/>
                <w:color w:val="auto"/>
              </w:rPr>
              <w:t>3.1</w:t>
            </w:r>
          </w:p>
        </w:tc>
        <w:tc>
          <w:tcPr>
            <w:tcW w:w="10200" w:type="dxa"/>
            <w:vAlign w:val="bottom"/>
          </w:tcPr>
          <w:p>
            <w:pPr>
              <w:ind w:left="280"/>
              <w:spacing w:after="0"/>
              <w:rPr>
                <w:sz w:val="20"/>
                <w:szCs w:val="20"/>
                <w:color w:val="auto"/>
              </w:rPr>
            </w:pPr>
            <w:r>
              <w:rPr>
                <w:rFonts w:ascii="Arial" w:cs="Arial" w:eastAsia="Arial" w:hAnsi="Arial"/>
                <w:sz w:val="18"/>
                <w:szCs w:val="18"/>
                <w:color w:val="auto"/>
              </w:rPr>
              <w:t>Elections to Defer Compensation</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16"/>
        </w:trPr>
        <w:tc>
          <w:tcPr>
            <w:tcW w:w="940" w:type="dxa"/>
            <w:vAlign w:val="bottom"/>
          </w:tcPr>
          <w:p>
            <w:pPr>
              <w:jc w:val="right"/>
              <w:ind w:right="192"/>
              <w:spacing w:after="0"/>
              <w:rPr>
                <w:sz w:val="20"/>
                <w:szCs w:val="20"/>
                <w:color w:val="auto"/>
              </w:rPr>
            </w:pPr>
            <w:r>
              <w:rPr>
                <w:rFonts w:ascii="Arial" w:cs="Arial" w:eastAsia="Arial" w:hAnsi="Arial"/>
                <w:sz w:val="18"/>
                <w:szCs w:val="18"/>
                <w:b w:val="1"/>
                <w:bCs w:val="1"/>
                <w:color w:val="auto"/>
              </w:rPr>
              <w:t>3.2</w:t>
            </w:r>
          </w:p>
        </w:tc>
        <w:tc>
          <w:tcPr>
            <w:tcW w:w="10200" w:type="dxa"/>
            <w:vAlign w:val="bottom"/>
          </w:tcPr>
          <w:p>
            <w:pPr>
              <w:ind w:left="280"/>
              <w:spacing w:after="0"/>
              <w:rPr>
                <w:sz w:val="20"/>
                <w:szCs w:val="20"/>
                <w:color w:val="auto"/>
              </w:rPr>
            </w:pPr>
            <w:r>
              <w:rPr>
                <w:rFonts w:ascii="Arial" w:cs="Arial" w:eastAsia="Arial" w:hAnsi="Arial"/>
                <w:sz w:val="18"/>
                <w:szCs w:val="18"/>
                <w:color w:val="auto"/>
              </w:rPr>
              <w:t>Discretionary Contributions by the Company</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28"/>
        </w:trPr>
        <w:tc>
          <w:tcPr>
            <w:tcW w:w="940" w:type="dxa"/>
            <w:vAlign w:val="bottom"/>
          </w:tcPr>
          <w:p>
            <w:pPr>
              <w:jc w:val="right"/>
              <w:ind w:right="192"/>
              <w:spacing w:after="0"/>
              <w:rPr>
                <w:sz w:val="20"/>
                <w:szCs w:val="20"/>
                <w:color w:val="auto"/>
              </w:rPr>
            </w:pPr>
            <w:r>
              <w:rPr>
                <w:rFonts w:ascii="Arial" w:cs="Arial" w:eastAsia="Arial" w:hAnsi="Arial"/>
                <w:sz w:val="18"/>
                <w:szCs w:val="18"/>
                <w:b w:val="1"/>
                <w:bCs w:val="1"/>
                <w:color w:val="auto"/>
              </w:rPr>
              <w:t>3.3</w:t>
            </w:r>
          </w:p>
        </w:tc>
        <w:tc>
          <w:tcPr>
            <w:tcW w:w="10200" w:type="dxa"/>
            <w:vAlign w:val="bottom"/>
          </w:tcPr>
          <w:p>
            <w:pPr>
              <w:ind w:left="280"/>
              <w:spacing w:after="0"/>
              <w:rPr>
                <w:sz w:val="20"/>
                <w:szCs w:val="20"/>
                <w:color w:val="auto"/>
              </w:rPr>
            </w:pPr>
            <w:r>
              <w:rPr>
                <w:rFonts w:ascii="Arial" w:cs="Arial" w:eastAsia="Arial" w:hAnsi="Arial"/>
                <w:sz w:val="18"/>
                <w:szCs w:val="18"/>
                <w:color w:val="auto"/>
              </w:rPr>
              <w:t>Investment Elections</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324"/>
        </w:trPr>
        <w:tc>
          <w:tcPr>
            <w:tcW w:w="11140" w:type="dxa"/>
            <w:vAlign w:val="bottom"/>
            <w:gridSpan w:val="2"/>
          </w:tcPr>
          <w:p>
            <w:pPr>
              <w:spacing w:after="0"/>
              <w:rPr>
                <w:sz w:val="20"/>
                <w:szCs w:val="20"/>
                <w:color w:val="auto"/>
              </w:rPr>
            </w:pPr>
            <w:r>
              <w:rPr>
                <w:rFonts w:ascii="Arial" w:cs="Arial" w:eastAsia="Arial" w:hAnsi="Arial"/>
                <w:sz w:val="18"/>
                <w:szCs w:val="18"/>
                <w:b w:val="1"/>
                <w:bCs w:val="1"/>
                <w:color w:val="auto"/>
              </w:rPr>
              <w:t>ARTICLE IV ACCOUNTS</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324"/>
        </w:trPr>
        <w:tc>
          <w:tcPr>
            <w:tcW w:w="940" w:type="dxa"/>
            <w:vAlign w:val="bottom"/>
          </w:tcPr>
          <w:p>
            <w:pPr>
              <w:jc w:val="right"/>
              <w:ind w:right="192"/>
              <w:spacing w:after="0"/>
              <w:rPr>
                <w:sz w:val="20"/>
                <w:szCs w:val="20"/>
                <w:color w:val="auto"/>
              </w:rPr>
            </w:pPr>
            <w:r>
              <w:rPr>
                <w:rFonts w:ascii="Arial" w:cs="Arial" w:eastAsia="Arial" w:hAnsi="Arial"/>
                <w:sz w:val="18"/>
                <w:szCs w:val="18"/>
                <w:b w:val="1"/>
                <w:bCs w:val="1"/>
                <w:color w:val="auto"/>
              </w:rPr>
              <w:t>4.1</w:t>
            </w:r>
          </w:p>
        </w:tc>
        <w:tc>
          <w:tcPr>
            <w:tcW w:w="10200" w:type="dxa"/>
            <w:vAlign w:val="bottom"/>
          </w:tcPr>
          <w:p>
            <w:pPr>
              <w:ind w:left="280"/>
              <w:spacing w:after="0"/>
              <w:rPr>
                <w:sz w:val="20"/>
                <w:szCs w:val="20"/>
                <w:color w:val="auto"/>
              </w:rPr>
            </w:pPr>
            <w:r>
              <w:rPr>
                <w:rFonts w:ascii="Arial" w:cs="Arial" w:eastAsia="Arial" w:hAnsi="Arial"/>
                <w:sz w:val="18"/>
                <w:szCs w:val="18"/>
                <w:color w:val="auto"/>
              </w:rPr>
              <w:t>Participant Accounts</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324"/>
        </w:trPr>
        <w:tc>
          <w:tcPr>
            <w:tcW w:w="11140" w:type="dxa"/>
            <w:vAlign w:val="bottom"/>
            <w:gridSpan w:val="2"/>
          </w:tcPr>
          <w:p>
            <w:pPr>
              <w:spacing w:after="0"/>
              <w:rPr>
                <w:sz w:val="20"/>
                <w:szCs w:val="20"/>
                <w:color w:val="auto"/>
              </w:rPr>
            </w:pPr>
            <w:r>
              <w:rPr>
                <w:rFonts w:ascii="Arial" w:cs="Arial" w:eastAsia="Arial" w:hAnsi="Arial"/>
                <w:sz w:val="18"/>
                <w:szCs w:val="18"/>
                <w:b w:val="1"/>
                <w:bCs w:val="1"/>
                <w:color w:val="auto"/>
              </w:rPr>
              <w:t>ARTICLE V VESTING</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324"/>
        </w:trPr>
        <w:tc>
          <w:tcPr>
            <w:tcW w:w="11140" w:type="dxa"/>
            <w:vAlign w:val="bottom"/>
            <w:gridSpan w:val="2"/>
          </w:tcPr>
          <w:p>
            <w:pPr>
              <w:spacing w:after="0"/>
              <w:rPr>
                <w:sz w:val="20"/>
                <w:szCs w:val="20"/>
                <w:color w:val="auto"/>
              </w:rPr>
            </w:pPr>
            <w:r>
              <w:rPr>
                <w:rFonts w:ascii="Arial" w:cs="Arial" w:eastAsia="Arial" w:hAnsi="Arial"/>
                <w:sz w:val="18"/>
                <w:szCs w:val="18"/>
                <w:b w:val="1"/>
                <w:bCs w:val="1"/>
                <w:color w:val="auto"/>
              </w:rPr>
              <w:t>ARTICLE VI GENERAL DUTIES</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312"/>
        </w:trPr>
        <w:tc>
          <w:tcPr>
            <w:tcW w:w="940" w:type="dxa"/>
            <w:vAlign w:val="bottom"/>
          </w:tcPr>
          <w:p>
            <w:pPr>
              <w:jc w:val="right"/>
              <w:ind w:right="192"/>
              <w:spacing w:after="0"/>
              <w:rPr>
                <w:sz w:val="20"/>
                <w:szCs w:val="20"/>
                <w:color w:val="auto"/>
              </w:rPr>
            </w:pPr>
            <w:r>
              <w:rPr>
                <w:rFonts w:ascii="Arial" w:cs="Arial" w:eastAsia="Arial" w:hAnsi="Arial"/>
                <w:sz w:val="18"/>
                <w:szCs w:val="18"/>
                <w:b w:val="1"/>
                <w:bCs w:val="1"/>
                <w:color w:val="auto"/>
              </w:rPr>
              <w:t>6.1</w:t>
            </w:r>
          </w:p>
        </w:tc>
        <w:tc>
          <w:tcPr>
            <w:tcW w:w="10200" w:type="dxa"/>
            <w:vAlign w:val="bottom"/>
          </w:tcPr>
          <w:p>
            <w:pPr>
              <w:ind w:left="280"/>
              <w:spacing w:after="0"/>
              <w:rPr>
                <w:sz w:val="20"/>
                <w:szCs w:val="20"/>
                <w:color w:val="auto"/>
              </w:rPr>
            </w:pPr>
            <w:r>
              <w:rPr>
                <w:rFonts w:ascii="Arial" w:cs="Arial" w:eastAsia="Arial" w:hAnsi="Arial"/>
                <w:sz w:val="18"/>
                <w:szCs w:val="18"/>
                <w:color w:val="auto"/>
              </w:rPr>
              <w:t>Trustee Duties</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16"/>
        </w:trPr>
        <w:tc>
          <w:tcPr>
            <w:tcW w:w="940" w:type="dxa"/>
            <w:vAlign w:val="bottom"/>
          </w:tcPr>
          <w:p>
            <w:pPr>
              <w:jc w:val="right"/>
              <w:ind w:right="192"/>
              <w:spacing w:after="0"/>
              <w:rPr>
                <w:sz w:val="20"/>
                <w:szCs w:val="20"/>
                <w:color w:val="auto"/>
              </w:rPr>
            </w:pPr>
            <w:r>
              <w:rPr>
                <w:rFonts w:ascii="Arial" w:cs="Arial" w:eastAsia="Arial" w:hAnsi="Arial"/>
                <w:sz w:val="18"/>
                <w:szCs w:val="18"/>
                <w:b w:val="1"/>
                <w:bCs w:val="1"/>
                <w:color w:val="auto"/>
              </w:rPr>
              <w:t>6.2</w:t>
            </w:r>
          </w:p>
        </w:tc>
        <w:tc>
          <w:tcPr>
            <w:tcW w:w="10200" w:type="dxa"/>
            <w:vAlign w:val="bottom"/>
          </w:tcPr>
          <w:p>
            <w:pPr>
              <w:ind w:left="280"/>
              <w:spacing w:after="0"/>
              <w:rPr>
                <w:sz w:val="20"/>
                <w:szCs w:val="20"/>
                <w:color w:val="auto"/>
              </w:rPr>
            </w:pPr>
            <w:r>
              <w:rPr>
                <w:rFonts w:ascii="Arial" w:cs="Arial" w:eastAsia="Arial" w:hAnsi="Arial"/>
                <w:sz w:val="18"/>
                <w:szCs w:val="18"/>
                <w:color w:val="auto"/>
              </w:rPr>
              <w:t>Discretionary Contributions</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28"/>
        </w:trPr>
        <w:tc>
          <w:tcPr>
            <w:tcW w:w="940" w:type="dxa"/>
            <w:vAlign w:val="bottom"/>
          </w:tcPr>
          <w:p>
            <w:pPr>
              <w:jc w:val="right"/>
              <w:ind w:right="192"/>
              <w:spacing w:after="0"/>
              <w:rPr>
                <w:sz w:val="20"/>
                <w:szCs w:val="20"/>
                <w:color w:val="auto"/>
              </w:rPr>
            </w:pPr>
            <w:r>
              <w:rPr>
                <w:rFonts w:ascii="Arial" w:cs="Arial" w:eastAsia="Arial" w:hAnsi="Arial"/>
                <w:sz w:val="18"/>
                <w:szCs w:val="18"/>
                <w:b w:val="1"/>
                <w:bCs w:val="1"/>
                <w:color w:val="auto"/>
              </w:rPr>
              <w:t>6.3</w:t>
            </w:r>
          </w:p>
        </w:tc>
        <w:tc>
          <w:tcPr>
            <w:tcW w:w="10200" w:type="dxa"/>
            <w:vAlign w:val="bottom"/>
          </w:tcPr>
          <w:p>
            <w:pPr>
              <w:ind w:left="280"/>
              <w:spacing w:after="0"/>
              <w:rPr>
                <w:sz w:val="20"/>
                <w:szCs w:val="20"/>
                <w:color w:val="auto"/>
              </w:rPr>
            </w:pPr>
            <w:r>
              <w:rPr>
                <w:rFonts w:ascii="Arial" w:cs="Arial" w:eastAsia="Arial" w:hAnsi="Arial"/>
                <w:sz w:val="18"/>
                <w:szCs w:val="18"/>
                <w:color w:val="auto"/>
              </w:rPr>
              <w:t>Department of Labor Determination</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324"/>
        </w:trPr>
        <w:tc>
          <w:tcPr>
            <w:tcW w:w="11140" w:type="dxa"/>
            <w:vAlign w:val="bottom"/>
            <w:gridSpan w:val="2"/>
          </w:tcPr>
          <w:p>
            <w:pPr>
              <w:spacing w:after="0"/>
              <w:rPr>
                <w:sz w:val="20"/>
                <w:szCs w:val="20"/>
                <w:color w:val="auto"/>
              </w:rPr>
            </w:pPr>
            <w:r>
              <w:rPr>
                <w:rFonts w:ascii="Arial" w:cs="Arial" w:eastAsia="Arial" w:hAnsi="Arial"/>
                <w:sz w:val="18"/>
                <w:szCs w:val="18"/>
                <w:b w:val="1"/>
                <w:bCs w:val="1"/>
                <w:color w:val="auto"/>
              </w:rPr>
              <w:t>ARTICLE VII DISTRIBUTIONS AND WITHDRAWALS</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312"/>
        </w:trPr>
        <w:tc>
          <w:tcPr>
            <w:tcW w:w="940" w:type="dxa"/>
            <w:vAlign w:val="bottom"/>
          </w:tcPr>
          <w:p>
            <w:pPr>
              <w:jc w:val="right"/>
              <w:ind w:right="192"/>
              <w:spacing w:after="0"/>
              <w:rPr>
                <w:sz w:val="20"/>
                <w:szCs w:val="20"/>
                <w:color w:val="auto"/>
              </w:rPr>
            </w:pPr>
            <w:r>
              <w:rPr>
                <w:rFonts w:ascii="Arial" w:cs="Arial" w:eastAsia="Arial" w:hAnsi="Arial"/>
                <w:sz w:val="18"/>
                <w:szCs w:val="18"/>
                <w:b w:val="1"/>
                <w:bCs w:val="1"/>
                <w:color w:val="auto"/>
              </w:rPr>
              <w:t>7.1</w:t>
            </w:r>
          </w:p>
        </w:tc>
        <w:tc>
          <w:tcPr>
            <w:tcW w:w="10200" w:type="dxa"/>
            <w:vAlign w:val="bottom"/>
          </w:tcPr>
          <w:p>
            <w:pPr>
              <w:ind w:left="280"/>
              <w:spacing w:after="0"/>
              <w:rPr>
                <w:sz w:val="20"/>
                <w:szCs w:val="20"/>
                <w:color w:val="auto"/>
              </w:rPr>
            </w:pPr>
            <w:r>
              <w:rPr>
                <w:rFonts w:ascii="Arial" w:cs="Arial" w:eastAsia="Arial" w:hAnsi="Arial"/>
                <w:sz w:val="18"/>
                <w:szCs w:val="18"/>
                <w:color w:val="auto"/>
              </w:rPr>
              <w:t>Distributions.</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16"/>
        </w:trPr>
        <w:tc>
          <w:tcPr>
            <w:tcW w:w="940" w:type="dxa"/>
            <w:vAlign w:val="bottom"/>
          </w:tcPr>
          <w:p>
            <w:pPr>
              <w:jc w:val="right"/>
              <w:ind w:right="192"/>
              <w:spacing w:after="0"/>
              <w:rPr>
                <w:sz w:val="20"/>
                <w:szCs w:val="20"/>
                <w:color w:val="auto"/>
              </w:rPr>
            </w:pPr>
            <w:r>
              <w:rPr>
                <w:rFonts w:ascii="Arial" w:cs="Arial" w:eastAsia="Arial" w:hAnsi="Arial"/>
                <w:sz w:val="18"/>
                <w:szCs w:val="18"/>
                <w:b w:val="1"/>
                <w:bCs w:val="1"/>
                <w:color w:val="auto"/>
              </w:rPr>
              <w:t>7.2</w:t>
            </w:r>
          </w:p>
        </w:tc>
        <w:tc>
          <w:tcPr>
            <w:tcW w:w="10200" w:type="dxa"/>
            <w:vAlign w:val="bottom"/>
          </w:tcPr>
          <w:p>
            <w:pPr>
              <w:ind w:left="280"/>
              <w:spacing w:after="0"/>
              <w:rPr>
                <w:sz w:val="20"/>
                <w:szCs w:val="20"/>
                <w:color w:val="auto"/>
              </w:rPr>
            </w:pPr>
            <w:r>
              <w:rPr>
                <w:rFonts w:ascii="Arial" w:cs="Arial" w:eastAsia="Arial" w:hAnsi="Arial"/>
                <w:sz w:val="18"/>
                <w:szCs w:val="18"/>
                <w:color w:val="auto"/>
              </w:rPr>
              <w:t>Unforeseeable Emergency Withdrawal</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28"/>
        </w:trPr>
        <w:tc>
          <w:tcPr>
            <w:tcW w:w="940" w:type="dxa"/>
            <w:vAlign w:val="bottom"/>
          </w:tcPr>
          <w:p>
            <w:pPr>
              <w:jc w:val="right"/>
              <w:ind w:right="192"/>
              <w:spacing w:after="0"/>
              <w:rPr>
                <w:sz w:val="20"/>
                <w:szCs w:val="20"/>
                <w:color w:val="auto"/>
              </w:rPr>
            </w:pPr>
            <w:r>
              <w:rPr>
                <w:rFonts w:ascii="Arial" w:cs="Arial" w:eastAsia="Arial" w:hAnsi="Arial"/>
                <w:sz w:val="18"/>
                <w:szCs w:val="18"/>
                <w:b w:val="1"/>
                <w:bCs w:val="1"/>
                <w:color w:val="auto"/>
              </w:rPr>
              <w:t>7.3</w:t>
            </w:r>
          </w:p>
        </w:tc>
        <w:tc>
          <w:tcPr>
            <w:tcW w:w="10200" w:type="dxa"/>
            <w:vAlign w:val="bottom"/>
          </w:tcPr>
          <w:p>
            <w:pPr>
              <w:ind w:left="280"/>
              <w:spacing w:after="0"/>
              <w:rPr>
                <w:sz w:val="20"/>
                <w:szCs w:val="20"/>
                <w:color w:val="auto"/>
              </w:rPr>
            </w:pPr>
            <w:r>
              <w:rPr>
                <w:rFonts w:ascii="Arial" w:cs="Arial" w:eastAsia="Arial" w:hAnsi="Arial"/>
                <w:sz w:val="18"/>
                <w:szCs w:val="18"/>
                <w:color w:val="auto"/>
              </w:rPr>
              <w:t>Inability To Locate Participant</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324"/>
        </w:trPr>
        <w:tc>
          <w:tcPr>
            <w:tcW w:w="11140" w:type="dxa"/>
            <w:vAlign w:val="bottom"/>
            <w:gridSpan w:val="2"/>
          </w:tcPr>
          <w:p>
            <w:pPr>
              <w:spacing w:after="0"/>
              <w:rPr>
                <w:sz w:val="20"/>
                <w:szCs w:val="20"/>
                <w:color w:val="auto"/>
              </w:rPr>
            </w:pPr>
            <w:r>
              <w:rPr>
                <w:rFonts w:ascii="Arial" w:cs="Arial" w:eastAsia="Arial" w:hAnsi="Arial"/>
                <w:sz w:val="18"/>
                <w:szCs w:val="18"/>
                <w:b w:val="1"/>
                <w:bCs w:val="1"/>
                <w:color w:val="auto"/>
              </w:rPr>
              <w:t>ARTICLE VIII ADMINISTRATION</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312"/>
        </w:trPr>
        <w:tc>
          <w:tcPr>
            <w:tcW w:w="940" w:type="dxa"/>
            <w:vAlign w:val="bottom"/>
          </w:tcPr>
          <w:p>
            <w:pPr>
              <w:jc w:val="right"/>
              <w:ind w:right="192"/>
              <w:spacing w:after="0"/>
              <w:rPr>
                <w:sz w:val="20"/>
                <w:szCs w:val="20"/>
                <w:color w:val="auto"/>
              </w:rPr>
            </w:pPr>
            <w:r>
              <w:rPr>
                <w:rFonts w:ascii="Arial" w:cs="Arial" w:eastAsia="Arial" w:hAnsi="Arial"/>
                <w:sz w:val="18"/>
                <w:szCs w:val="18"/>
                <w:b w:val="1"/>
                <w:bCs w:val="1"/>
                <w:color w:val="auto"/>
              </w:rPr>
              <w:t>8.1</w:t>
            </w:r>
          </w:p>
        </w:tc>
        <w:tc>
          <w:tcPr>
            <w:tcW w:w="10200" w:type="dxa"/>
            <w:vAlign w:val="bottom"/>
          </w:tcPr>
          <w:p>
            <w:pPr>
              <w:ind w:left="280"/>
              <w:spacing w:after="0"/>
              <w:rPr>
                <w:sz w:val="20"/>
                <w:szCs w:val="20"/>
                <w:color w:val="auto"/>
              </w:rPr>
            </w:pPr>
            <w:r>
              <w:rPr>
                <w:rFonts w:ascii="Arial" w:cs="Arial" w:eastAsia="Arial" w:hAnsi="Arial"/>
                <w:sz w:val="18"/>
                <w:szCs w:val="18"/>
                <w:color w:val="auto"/>
              </w:rPr>
              <w:t>Committee</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16"/>
        </w:trPr>
        <w:tc>
          <w:tcPr>
            <w:tcW w:w="940" w:type="dxa"/>
            <w:vAlign w:val="bottom"/>
          </w:tcPr>
          <w:p>
            <w:pPr>
              <w:jc w:val="right"/>
              <w:ind w:right="192"/>
              <w:spacing w:after="0"/>
              <w:rPr>
                <w:sz w:val="20"/>
                <w:szCs w:val="20"/>
                <w:color w:val="auto"/>
              </w:rPr>
            </w:pPr>
            <w:r>
              <w:rPr>
                <w:rFonts w:ascii="Arial" w:cs="Arial" w:eastAsia="Arial" w:hAnsi="Arial"/>
                <w:sz w:val="18"/>
                <w:szCs w:val="18"/>
                <w:b w:val="1"/>
                <w:bCs w:val="1"/>
                <w:color w:val="auto"/>
              </w:rPr>
              <w:t>8.2</w:t>
            </w:r>
          </w:p>
        </w:tc>
        <w:tc>
          <w:tcPr>
            <w:tcW w:w="10200" w:type="dxa"/>
            <w:vAlign w:val="bottom"/>
          </w:tcPr>
          <w:p>
            <w:pPr>
              <w:ind w:left="280"/>
              <w:spacing w:after="0"/>
              <w:rPr>
                <w:sz w:val="20"/>
                <w:szCs w:val="20"/>
                <w:color w:val="auto"/>
              </w:rPr>
            </w:pPr>
            <w:r>
              <w:rPr>
                <w:rFonts w:ascii="Arial" w:cs="Arial" w:eastAsia="Arial" w:hAnsi="Arial"/>
                <w:sz w:val="18"/>
                <w:szCs w:val="18"/>
                <w:color w:val="auto"/>
              </w:rPr>
              <w:t>Committee Action</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16"/>
        </w:trPr>
        <w:tc>
          <w:tcPr>
            <w:tcW w:w="940" w:type="dxa"/>
            <w:vAlign w:val="bottom"/>
          </w:tcPr>
          <w:p>
            <w:pPr>
              <w:jc w:val="right"/>
              <w:ind w:right="192"/>
              <w:spacing w:after="0"/>
              <w:rPr>
                <w:sz w:val="20"/>
                <w:szCs w:val="20"/>
                <w:color w:val="auto"/>
              </w:rPr>
            </w:pPr>
            <w:r>
              <w:rPr>
                <w:rFonts w:ascii="Arial" w:cs="Arial" w:eastAsia="Arial" w:hAnsi="Arial"/>
                <w:sz w:val="18"/>
                <w:szCs w:val="18"/>
                <w:b w:val="1"/>
                <w:bCs w:val="1"/>
                <w:color w:val="auto"/>
              </w:rPr>
              <w:t>8.3</w:t>
            </w:r>
          </w:p>
        </w:tc>
        <w:tc>
          <w:tcPr>
            <w:tcW w:w="10200" w:type="dxa"/>
            <w:vAlign w:val="bottom"/>
          </w:tcPr>
          <w:p>
            <w:pPr>
              <w:ind w:left="280"/>
              <w:spacing w:after="0"/>
              <w:rPr>
                <w:sz w:val="20"/>
                <w:szCs w:val="20"/>
                <w:color w:val="auto"/>
              </w:rPr>
            </w:pPr>
            <w:r>
              <w:rPr>
                <w:rFonts w:ascii="Arial" w:cs="Arial" w:eastAsia="Arial" w:hAnsi="Arial"/>
                <w:sz w:val="18"/>
                <w:szCs w:val="18"/>
                <w:color w:val="auto"/>
              </w:rPr>
              <w:t>Powers and Duties of the Committee</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16"/>
        </w:trPr>
        <w:tc>
          <w:tcPr>
            <w:tcW w:w="940" w:type="dxa"/>
            <w:vAlign w:val="bottom"/>
          </w:tcPr>
          <w:p>
            <w:pPr>
              <w:jc w:val="right"/>
              <w:ind w:right="192"/>
              <w:spacing w:after="0"/>
              <w:rPr>
                <w:sz w:val="20"/>
                <w:szCs w:val="20"/>
                <w:color w:val="auto"/>
              </w:rPr>
            </w:pPr>
            <w:r>
              <w:rPr>
                <w:rFonts w:ascii="Arial" w:cs="Arial" w:eastAsia="Arial" w:hAnsi="Arial"/>
                <w:sz w:val="18"/>
                <w:szCs w:val="18"/>
                <w:b w:val="1"/>
                <w:bCs w:val="1"/>
                <w:color w:val="auto"/>
              </w:rPr>
              <w:t>8.4</w:t>
            </w:r>
          </w:p>
        </w:tc>
        <w:tc>
          <w:tcPr>
            <w:tcW w:w="10200" w:type="dxa"/>
            <w:vAlign w:val="bottom"/>
          </w:tcPr>
          <w:p>
            <w:pPr>
              <w:ind w:left="280"/>
              <w:spacing w:after="0"/>
              <w:rPr>
                <w:sz w:val="20"/>
                <w:szCs w:val="20"/>
                <w:color w:val="auto"/>
              </w:rPr>
            </w:pPr>
            <w:r>
              <w:rPr>
                <w:rFonts w:ascii="Arial" w:cs="Arial" w:eastAsia="Arial" w:hAnsi="Arial"/>
                <w:sz w:val="18"/>
                <w:szCs w:val="18"/>
                <w:color w:val="auto"/>
              </w:rPr>
              <w:t>Construction and Interpretation</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16"/>
        </w:trPr>
        <w:tc>
          <w:tcPr>
            <w:tcW w:w="940" w:type="dxa"/>
            <w:vAlign w:val="bottom"/>
          </w:tcPr>
          <w:p>
            <w:pPr>
              <w:jc w:val="right"/>
              <w:ind w:right="192"/>
              <w:spacing w:after="0"/>
              <w:rPr>
                <w:sz w:val="20"/>
                <w:szCs w:val="20"/>
                <w:color w:val="auto"/>
              </w:rPr>
            </w:pPr>
            <w:r>
              <w:rPr>
                <w:rFonts w:ascii="Arial" w:cs="Arial" w:eastAsia="Arial" w:hAnsi="Arial"/>
                <w:sz w:val="18"/>
                <w:szCs w:val="18"/>
                <w:b w:val="1"/>
                <w:bCs w:val="1"/>
                <w:color w:val="auto"/>
              </w:rPr>
              <w:t>8.5</w:t>
            </w:r>
          </w:p>
        </w:tc>
        <w:tc>
          <w:tcPr>
            <w:tcW w:w="10200" w:type="dxa"/>
            <w:vAlign w:val="bottom"/>
          </w:tcPr>
          <w:p>
            <w:pPr>
              <w:ind w:left="280"/>
              <w:spacing w:after="0"/>
              <w:rPr>
                <w:sz w:val="20"/>
                <w:szCs w:val="20"/>
                <w:color w:val="auto"/>
              </w:rPr>
            </w:pPr>
            <w:r>
              <w:rPr>
                <w:rFonts w:ascii="Arial" w:cs="Arial" w:eastAsia="Arial" w:hAnsi="Arial"/>
                <w:sz w:val="18"/>
                <w:szCs w:val="18"/>
                <w:color w:val="auto"/>
              </w:rPr>
              <w:t>Information</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16"/>
        </w:trPr>
        <w:tc>
          <w:tcPr>
            <w:tcW w:w="940" w:type="dxa"/>
            <w:vAlign w:val="bottom"/>
          </w:tcPr>
          <w:p>
            <w:pPr>
              <w:jc w:val="right"/>
              <w:ind w:right="192"/>
              <w:spacing w:after="0"/>
              <w:rPr>
                <w:sz w:val="20"/>
                <w:szCs w:val="20"/>
                <w:color w:val="auto"/>
              </w:rPr>
            </w:pPr>
            <w:r>
              <w:rPr>
                <w:rFonts w:ascii="Arial" w:cs="Arial" w:eastAsia="Arial" w:hAnsi="Arial"/>
                <w:sz w:val="18"/>
                <w:szCs w:val="18"/>
                <w:b w:val="1"/>
                <w:bCs w:val="1"/>
                <w:color w:val="auto"/>
              </w:rPr>
              <w:t>8.6</w:t>
            </w:r>
          </w:p>
        </w:tc>
        <w:tc>
          <w:tcPr>
            <w:tcW w:w="10200" w:type="dxa"/>
            <w:vAlign w:val="bottom"/>
          </w:tcPr>
          <w:p>
            <w:pPr>
              <w:ind w:left="280"/>
              <w:spacing w:after="0"/>
              <w:rPr>
                <w:sz w:val="20"/>
                <w:szCs w:val="20"/>
                <w:color w:val="auto"/>
              </w:rPr>
            </w:pPr>
            <w:r>
              <w:rPr>
                <w:rFonts w:ascii="Arial" w:cs="Arial" w:eastAsia="Arial" w:hAnsi="Arial"/>
                <w:sz w:val="18"/>
                <w:szCs w:val="18"/>
                <w:color w:val="auto"/>
              </w:rPr>
              <w:t>Compensation, Expenses and Indemnity</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28"/>
        </w:trPr>
        <w:tc>
          <w:tcPr>
            <w:tcW w:w="940" w:type="dxa"/>
            <w:vAlign w:val="bottom"/>
          </w:tcPr>
          <w:p>
            <w:pPr>
              <w:jc w:val="right"/>
              <w:ind w:right="192"/>
              <w:spacing w:after="0"/>
              <w:rPr>
                <w:sz w:val="20"/>
                <w:szCs w:val="20"/>
                <w:color w:val="auto"/>
              </w:rPr>
            </w:pPr>
            <w:r>
              <w:rPr>
                <w:rFonts w:ascii="Arial" w:cs="Arial" w:eastAsia="Arial" w:hAnsi="Arial"/>
                <w:sz w:val="18"/>
                <w:szCs w:val="18"/>
                <w:b w:val="1"/>
                <w:bCs w:val="1"/>
                <w:color w:val="auto"/>
              </w:rPr>
              <w:t>8.7</w:t>
            </w:r>
          </w:p>
        </w:tc>
        <w:tc>
          <w:tcPr>
            <w:tcW w:w="10200" w:type="dxa"/>
            <w:vAlign w:val="bottom"/>
          </w:tcPr>
          <w:p>
            <w:pPr>
              <w:ind w:left="280"/>
              <w:spacing w:after="0"/>
              <w:rPr>
                <w:sz w:val="20"/>
                <w:szCs w:val="20"/>
                <w:color w:val="auto"/>
              </w:rPr>
            </w:pPr>
            <w:r>
              <w:rPr>
                <w:rFonts w:ascii="Arial" w:cs="Arial" w:eastAsia="Arial" w:hAnsi="Arial"/>
                <w:sz w:val="18"/>
                <w:szCs w:val="18"/>
                <w:color w:val="auto"/>
              </w:rPr>
              <w:t>Quarterly Statements</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324"/>
        </w:trPr>
        <w:tc>
          <w:tcPr>
            <w:tcW w:w="11140" w:type="dxa"/>
            <w:vAlign w:val="bottom"/>
            <w:gridSpan w:val="2"/>
          </w:tcPr>
          <w:p>
            <w:pPr>
              <w:spacing w:after="0"/>
              <w:rPr>
                <w:sz w:val="20"/>
                <w:szCs w:val="20"/>
                <w:color w:val="auto"/>
              </w:rPr>
            </w:pPr>
            <w:r>
              <w:rPr>
                <w:rFonts w:ascii="Arial" w:cs="Arial" w:eastAsia="Arial" w:hAnsi="Arial"/>
                <w:sz w:val="18"/>
                <w:szCs w:val="18"/>
                <w:b w:val="1"/>
                <w:bCs w:val="1"/>
                <w:color w:val="auto"/>
              </w:rPr>
              <w:t>ARTICLE IX MISCELLANEOUS</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312"/>
        </w:trPr>
        <w:tc>
          <w:tcPr>
            <w:tcW w:w="940" w:type="dxa"/>
            <w:vAlign w:val="bottom"/>
          </w:tcPr>
          <w:p>
            <w:pPr>
              <w:jc w:val="right"/>
              <w:ind w:right="192"/>
              <w:spacing w:after="0"/>
              <w:rPr>
                <w:sz w:val="20"/>
                <w:szCs w:val="20"/>
                <w:color w:val="auto"/>
              </w:rPr>
            </w:pPr>
            <w:r>
              <w:rPr>
                <w:rFonts w:ascii="Arial" w:cs="Arial" w:eastAsia="Arial" w:hAnsi="Arial"/>
                <w:sz w:val="18"/>
                <w:szCs w:val="18"/>
                <w:b w:val="1"/>
                <w:bCs w:val="1"/>
                <w:color w:val="auto"/>
              </w:rPr>
              <w:t>9.1</w:t>
            </w:r>
          </w:p>
        </w:tc>
        <w:tc>
          <w:tcPr>
            <w:tcW w:w="10200" w:type="dxa"/>
            <w:vAlign w:val="bottom"/>
          </w:tcPr>
          <w:p>
            <w:pPr>
              <w:ind w:left="280"/>
              <w:spacing w:after="0"/>
              <w:rPr>
                <w:sz w:val="20"/>
                <w:szCs w:val="20"/>
                <w:color w:val="auto"/>
              </w:rPr>
            </w:pPr>
            <w:r>
              <w:rPr>
                <w:rFonts w:ascii="Arial" w:cs="Arial" w:eastAsia="Arial" w:hAnsi="Arial"/>
                <w:sz w:val="18"/>
                <w:szCs w:val="18"/>
                <w:color w:val="auto"/>
              </w:rPr>
              <w:t>Unsecured General Creditor</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16"/>
        </w:trPr>
        <w:tc>
          <w:tcPr>
            <w:tcW w:w="940" w:type="dxa"/>
            <w:vAlign w:val="bottom"/>
          </w:tcPr>
          <w:p>
            <w:pPr>
              <w:jc w:val="right"/>
              <w:ind w:right="192"/>
              <w:spacing w:after="0"/>
              <w:rPr>
                <w:sz w:val="20"/>
                <w:szCs w:val="20"/>
                <w:color w:val="auto"/>
              </w:rPr>
            </w:pPr>
            <w:r>
              <w:rPr>
                <w:rFonts w:ascii="Arial" w:cs="Arial" w:eastAsia="Arial" w:hAnsi="Arial"/>
                <w:sz w:val="18"/>
                <w:szCs w:val="18"/>
                <w:b w:val="1"/>
                <w:bCs w:val="1"/>
                <w:color w:val="auto"/>
              </w:rPr>
              <w:t>9.2</w:t>
            </w:r>
          </w:p>
        </w:tc>
        <w:tc>
          <w:tcPr>
            <w:tcW w:w="10200" w:type="dxa"/>
            <w:vAlign w:val="bottom"/>
          </w:tcPr>
          <w:p>
            <w:pPr>
              <w:ind w:left="280"/>
              <w:spacing w:after="0"/>
              <w:rPr>
                <w:sz w:val="20"/>
                <w:szCs w:val="20"/>
                <w:color w:val="auto"/>
              </w:rPr>
            </w:pPr>
            <w:r>
              <w:rPr>
                <w:rFonts w:ascii="Arial" w:cs="Arial" w:eastAsia="Arial" w:hAnsi="Arial"/>
                <w:sz w:val="18"/>
                <w:szCs w:val="18"/>
                <w:color w:val="auto"/>
              </w:rPr>
              <w:t>Restriction Against Assignment</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16"/>
        </w:trPr>
        <w:tc>
          <w:tcPr>
            <w:tcW w:w="940" w:type="dxa"/>
            <w:vAlign w:val="bottom"/>
          </w:tcPr>
          <w:p>
            <w:pPr>
              <w:jc w:val="right"/>
              <w:ind w:right="192"/>
              <w:spacing w:after="0"/>
              <w:rPr>
                <w:sz w:val="20"/>
                <w:szCs w:val="20"/>
                <w:color w:val="auto"/>
              </w:rPr>
            </w:pPr>
            <w:r>
              <w:rPr>
                <w:rFonts w:ascii="Arial" w:cs="Arial" w:eastAsia="Arial" w:hAnsi="Arial"/>
                <w:sz w:val="18"/>
                <w:szCs w:val="18"/>
                <w:b w:val="1"/>
                <w:bCs w:val="1"/>
                <w:color w:val="auto"/>
              </w:rPr>
              <w:t>9.3</w:t>
            </w:r>
          </w:p>
        </w:tc>
        <w:tc>
          <w:tcPr>
            <w:tcW w:w="10200" w:type="dxa"/>
            <w:vAlign w:val="bottom"/>
          </w:tcPr>
          <w:p>
            <w:pPr>
              <w:ind w:left="280"/>
              <w:spacing w:after="0"/>
              <w:rPr>
                <w:sz w:val="20"/>
                <w:szCs w:val="20"/>
                <w:color w:val="auto"/>
              </w:rPr>
            </w:pPr>
            <w:r>
              <w:rPr>
                <w:rFonts w:ascii="Arial" w:cs="Arial" w:eastAsia="Arial" w:hAnsi="Arial"/>
                <w:sz w:val="18"/>
                <w:szCs w:val="18"/>
                <w:color w:val="auto"/>
              </w:rPr>
              <w:t>Withholding</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28"/>
        </w:trPr>
        <w:tc>
          <w:tcPr>
            <w:tcW w:w="940" w:type="dxa"/>
            <w:vAlign w:val="bottom"/>
          </w:tcPr>
          <w:p>
            <w:pPr>
              <w:jc w:val="right"/>
              <w:ind w:right="192"/>
              <w:spacing w:after="0"/>
              <w:rPr>
                <w:sz w:val="20"/>
                <w:szCs w:val="20"/>
                <w:color w:val="auto"/>
              </w:rPr>
            </w:pPr>
            <w:r>
              <w:rPr>
                <w:rFonts w:ascii="Arial" w:cs="Arial" w:eastAsia="Arial" w:hAnsi="Arial"/>
                <w:sz w:val="18"/>
                <w:szCs w:val="18"/>
                <w:b w:val="1"/>
                <w:bCs w:val="1"/>
                <w:color w:val="auto"/>
              </w:rPr>
              <w:t>9.4</w:t>
            </w:r>
          </w:p>
        </w:tc>
        <w:tc>
          <w:tcPr>
            <w:tcW w:w="10200" w:type="dxa"/>
            <w:vAlign w:val="bottom"/>
          </w:tcPr>
          <w:p>
            <w:pPr>
              <w:ind w:left="280"/>
              <w:spacing w:after="0"/>
              <w:rPr>
                <w:sz w:val="20"/>
                <w:szCs w:val="20"/>
                <w:color w:val="auto"/>
              </w:rPr>
            </w:pPr>
            <w:r>
              <w:rPr>
                <w:rFonts w:ascii="Arial" w:cs="Arial" w:eastAsia="Arial" w:hAnsi="Arial"/>
                <w:sz w:val="18"/>
                <w:szCs w:val="18"/>
                <w:color w:val="auto"/>
              </w:rPr>
              <w:t>Amendment, Modification, Suspension or Termination</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bl>
    <w:p>
      <w:pPr>
        <w:spacing w:after="0" w:line="142"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p>
      <w:pPr>
        <w:jc w:val="center"/>
        <w:spacing w:after="0"/>
        <w:rPr>
          <w:sz w:val="20"/>
          <w:szCs w:val="20"/>
          <w:color w:val="auto"/>
        </w:rPr>
      </w:pPr>
      <w:r>
        <w:rPr>
          <w:rFonts w:ascii="Arial" w:cs="Arial" w:eastAsia="Arial" w:hAnsi="Arial"/>
          <w:sz w:val="18"/>
          <w:szCs w:val="18"/>
          <w:color w:val="auto"/>
        </w:rPr>
        <w:t>ii</w:t>
      </w:r>
    </w:p>
    <w:p>
      <w:pPr>
        <w:sectPr>
          <w:pgSz w:w="11900" w:h="16838" w:orient="portrait"/>
          <w:cols w:equalWidth="0" w:num="1">
            <w:col w:w="11420"/>
          </w:cols>
          <w:pgMar w:left="240" w:top="274" w:right="239" w:bottom="1440" w:gutter="0" w:footer="0" w:header="0"/>
        </w:sectPr>
      </w:pPr>
    </w:p>
    <w:bookmarkStart w:id="53" w:name="page54"/>
    <w:bookmarkEnd w:id="53"/>
    <w:tbl>
      <w:tblPr>
        <w:tblLayout w:type="fixed"/>
        <w:tblInd w:w="0" w:type="dxa"/>
        <w:tblCellMar>
          <w:top w:w="0" w:type="dxa"/>
          <w:left w:w="0" w:type="dxa"/>
          <w:bottom w:w="0" w:type="dxa"/>
          <w:right w:w="0" w:type="dxa"/>
        </w:tblCellMar>
      </w:tblPr>
      <w:tr>
        <w:trPr>
          <w:trHeight w:val="216"/>
        </w:trPr>
        <w:tc>
          <w:tcPr>
            <w:tcW w:w="440" w:type="dxa"/>
            <w:vAlign w:val="bottom"/>
          </w:tcPr>
          <w:p>
            <w:pPr>
              <w:jc w:val="right"/>
              <w:ind w:right="132"/>
              <w:spacing w:after="0"/>
              <w:rPr>
                <w:sz w:val="20"/>
                <w:szCs w:val="20"/>
                <w:color w:val="auto"/>
              </w:rPr>
            </w:pPr>
            <w:r>
              <w:rPr>
                <w:rFonts w:ascii="Arial" w:cs="Arial" w:eastAsia="Arial" w:hAnsi="Arial"/>
                <w:sz w:val="18"/>
                <w:szCs w:val="18"/>
                <w:b w:val="1"/>
                <w:bCs w:val="1"/>
                <w:color w:val="auto"/>
                <w:w w:val="79"/>
              </w:rPr>
              <w:t>9.5</w:t>
            </w:r>
          </w:p>
        </w:tc>
        <w:tc>
          <w:tcPr>
            <w:tcW w:w="7020" w:type="dxa"/>
            <w:vAlign w:val="bottom"/>
          </w:tcPr>
          <w:p>
            <w:pPr>
              <w:ind w:left="200"/>
              <w:spacing w:after="0"/>
              <w:rPr>
                <w:sz w:val="20"/>
                <w:szCs w:val="20"/>
                <w:color w:val="auto"/>
              </w:rPr>
            </w:pPr>
            <w:r>
              <w:rPr>
                <w:rFonts w:ascii="Arial" w:cs="Arial" w:eastAsia="Arial" w:hAnsi="Arial"/>
                <w:sz w:val="18"/>
                <w:szCs w:val="18"/>
                <w:color w:val="auto"/>
              </w:rPr>
              <w:t>Governing Law</w:t>
            </w:r>
          </w:p>
        </w:tc>
        <w:tc>
          <w:tcPr>
            <w:tcW w:w="3520" w:type="dxa"/>
            <w:vAlign w:val="bottom"/>
          </w:tcPr>
          <w:p>
            <w:pPr>
              <w:jc w:val="right"/>
              <w:spacing w:after="0"/>
              <w:rPr>
                <w:sz w:val="20"/>
                <w:szCs w:val="20"/>
                <w:color w:val="auto"/>
              </w:rPr>
            </w:pPr>
            <w:r>
              <w:rPr>
                <w:rFonts w:ascii="Arial" w:cs="Arial" w:eastAsia="Arial" w:hAnsi="Arial"/>
                <w:sz w:val="18"/>
                <w:szCs w:val="18"/>
                <w:color w:val="auto"/>
              </w:rPr>
              <w:t>17</w:t>
            </w:r>
          </w:p>
        </w:tc>
      </w:tr>
      <w:tr>
        <w:trPr>
          <w:trHeight w:val="216"/>
        </w:trPr>
        <w:tc>
          <w:tcPr>
            <w:tcW w:w="440" w:type="dxa"/>
            <w:vAlign w:val="bottom"/>
          </w:tcPr>
          <w:p>
            <w:pPr>
              <w:jc w:val="right"/>
              <w:ind w:right="132"/>
              <w:spacing w:after="0"/>
              <w:rPr>
                <w:sz w:val="20"/>
                <w:szCs w:val="20"/>
                <w:color w:val="auto"/>
              </w:rPr>
            </w:pPr>
            <w:r>
              <w:rPr>
                <w:rFonts w:ascii="Arial" w:cs="Arial" w:eastAsia="Arial" w:hAnsi="Arial"/>
                <w:sz w:val="18"/>
                <w:szCs w:val="18"/>
                <w:b w:val="1"/>
                <w:bCs w:val="1"/>
                <w:color w:val="auto"/>
                <w:w w:val="79"/>
              </w:rPr>
              <w:t>9.6</w:t>
            </w:r>
          </w:p>
        </w:tc>
        <w:tc>
          <w:tcPr>
            <w:tcW w:w="7020" w:type="dxa"/>
            <w:vAlign w:val="bottom"/>
          </w:tcPr>
          <w:p>
            <w:pPr>
              <w:ind w:left="200"/>
              <w:spacing w:after="0"/>
              <w:rPr>
                <w:sz w:val="20"/>
                <w:szCs w:val="20"/>
                <w:color w:val="auto"/>
              </w:rPr>
            </w:pPr>
            <w:r>
              <w:rPr>
                <w:rFonts w:ascii="Arial" w:cs="Arial" w:eastAsia="Arial" w:hAnsi="Arial"/>
                <w:sz w:val="18"/>
                <w:szCs w:val="18"/>
                <w:color w:val="auto"/>
              </w:rPr>
              <w:t>Receipt or Release</w:t>
            </w:r>
          </w:p>
        </w:tc>
        <w:tc>
          <w:tcPr>
            <w:tcW w:w="3520" w:type="dxa"/>
            <w:vAlign w:val="bottom"/>
          </w:tcPr>
          <w:p>
            <w:pPr>
              <w:jc w:val="right"/>
              <w:spacing w:after="0"/>
              <w:rPr>
                <w:sz w:val="20"/>
                <w:szCs w:val="20"/>
                <w:color w:val="auto"/>
              </w:rPr>
            </w:pPr>
            <w:r>
              <w:rPr>
                <w:rFonts w:ascii="Arial" w:cs="Arial" w:eastAsia="Arial" w:hAnsi="Arial"/>
                <w:sz w:val="18"/>
                <w:szCs w:val="18"/>
                <w:color w:val="auto"/>
              </w:rPr>
              <w:t>17</w:t>
            </w:r>
          </w:p>
        </w:tc>
      </w:tr>
      <w:tr>
        <w:trPr>
          <w:trHeight w:val="216"/>
        </w:trPr>
        <w:tc>
          <w:tcPr>
            <w:tcW w:w="440" w:type="dxa"/>
            <w:vAlign w:val="bottom"/>
          </w:tcPr>
          <w:p>
            <w:pPr>
              <w:jc w:val="right"/>
              <w:ind w:right="132"/>
              <w:spacing w:after="0"/>
              <w:rPr>
                <w:sz w:val="20"/>
                <w:szCs w:val="20"/>
                <w:color w:val="auto"/>
              </w:rPr>
            </w:pPr>
            <w:r>
              <w:rPr>
                <w:rFonts w:ascii="Arial" w:cs="Arial" w:eastAsia="Arial" w:hAnsi="Arial"/>
                <w:sz w:val="18"/>
                <w:szCs w:val="18"/>
                <w:b w:val="1"/>
                <w:bCs w:val="1"/>
                <w:color w:val="auto"/>
                <w:w w:val="79"/>
              </w:rPr>
              <w:t>9.7</w:t>
            </w:r>
          </w:p>
        </w:tc>
        <w:tc>
          <w:tcPr>
            <w:tcW w:w="7020" w:type="dxa"/>
            <w:vAlign w:val="bottom"/>
          </w:tcPr>
          <w:p>
            <w:pPr>
              <w:ind w:left="200"/>
              <w:spacing w:after="0"/>
              <w:rPr>
                <w:sz w:val="20"/>
                <w:szCs w:val="20"/>
                <w:color w:val="auto"/>
              </w:rPr>
            </w:pPr>
            <w:r>
              <w:rPr>
                <w:rFonts w:ascii="Arial" w:cs="Arial" w:eastAsia="Arial" w:hAnsi="Arial"/>
                <w:sz w:val="18"/>
                <w:szCs w:val="18"/>
                <w:color w:val="auto"/>
              </w:rPr>
              <w:t>Payments on Behalf of Persons Under Incapacity</w:t>
            </w:r>
          </w:p>
        </w:tc>
        <w:tc>
          <w:tcPr>
            <w:tcW w:w="3520" w:type="dxa"/>
            <w:vAlign w:val="bottom"/>
          </w:tcPr>
          <w:p>
            <w:pPr>
              <w:jc w:val="right"/>
              <w:spacing w:after="0"/>
              <w:rPr>
                <w:sz w:val="20"/>
                <w:szCs w:val="20"/>
                <w:color w:val="auto"/>
              </w:rPr>
            </w:pPr>
            <w:r>
              <w:rPr>
                <w:rFonts w:ascii="Arial" w:cs="Arial" w:eastAsia="Arial" w:hAnsi="Arial"/>
                <w:sz w:val="18"/>
                <w:szCs w:val="18"/>
                <w:color w:val="auto"/>
              </w:rPr>
              <w:t>17</w:t>
            </w:r>
          </w:p>
        </w:tc>
      </w:tr>
      <w:tr>
        <w:trPr>
          <w:trHeight w:val="216"/>
        </w:trPr>
        <w:tc>
          <w:tcPr>
            <w:tcW w:w="440" w:type="dxa"/>
            <w:vAlign w:val="bottom"/>
          </w:tcPr>
          <w:p>
            <w:pPr>
              <w:jc w:val="right"/>
              <w:ind w:right="132"/>
              <w:spacing w:after="0"/>
              <w:rPr>
                <w:sz w:val="20"/>
                <w:szCs w:val="20"/>
                <w:color w:val="auto"/>
              </w:rPr>
            </w:pPr>
            <w:r>
              <w:rPr>
                <w:rFonts w:ascii="Arial" w:cs="Arial" w:eastAsia="Arial" w:hAnsi="Arial"/>
                <w:sz w:val="18"/>
                <w:szCs w:val="18"/>
                <w:b w:val="1"/>
                <w:bCs w:val="1"/>
                <w:color w:val="auto"/>
                <w:w w:val="79"/>
              </w:rPr>
              <w:t>9.8</w:t>
            </w:r>
          </w:p>
        </w:tc>
        <w:tc>
          <w:tcPr>
            <w:tcW w:w="7020" w:type="dxa"/>
            <w:vAlign w:val="bottom"/>
          </w:tcPr>
          <w:p>
            <w:pPr>
              <w:ind w:left="200"/>
              <w:spacing w:after="0"/>
              <w:rPr>
                <w:sz w:val="20"/>
                <w:szCs w:val="20"/>
                <w:color w:val="auto"/>
              </w:rPr>
            </w:pPr>
            <w:r>
              <w:rPr>
                <w:rFonts w:ascii="Arial" w:cs="Arial" w:eastAsia="Arial" w:hAnsi="Arial"/>
                <w:sz w:val="18"/>
                <w:szCs w:val="18"/>
                <w:color w:val="auto"/>
              </w:rPr>
              <w:t>No Employment Rights; No Undertakings</w:t>
            </w:r>
          </w:p>
        </w:tc>
        <w:tc>
          <w:tcPr>
            <w:tcW w:w="3520" w:type="dxa"/>
            <w:vAlign w:val="bottom"/>
          </w:tcPr>
          <w:p>
            <w:pPr>
              <w:jc w:val="right"/>
              <w:spacing w:after="0"/>
              <w:rPr>
                <w:sz w:val="20"/>
                <w:szCs w:val="20"/>
                <w:color w:val="auto"/>
              </w:rPr>
            </w:pPr>
            <w:r>
              <w:rPr>
                <w:rFonts w:ascii="Arial" w:cs="Arial" w:eastAsia="Arial" w:hAnsi="Arial"/>
                <w:sz w:val="18"/>
                <w:szCs w:val="18"/>
                <w:color w:val="auto"/>
              </w:rPr>
              <w:t>17</w:t>
            </w:r>
          </w:p>
        </w:tc>
      </w:tr>
      <w:tr>
        <w:trPr>
          <w:trHeight w:val="228"/>
        </w:trPr>
        <w:tc>
          <w:tcPr>
            <w:tcW w:w="440" w:type="dxa"/>
            <w:vAlign w:val="bottom"/>
          </w:tcPr>
          <w:p>
            <w:pPr>
              <w:jc w:val="right"/>
              <w:ind w:right="132"/>
              <w:spacing w:after="0"/>
              <w:rPr>
                <w:sz w:val="20"/>
                <w:szCs w:val="20"/>
                <w:color w:val="auto"/>
              </w:rPr>
            </w:pPr>
            <w:r>
              <w:rPr>
                <w:rFonts w:ascii="Arial" w:cs="Arial" w:eastAsia="Arial" w:hAnsi="Arial"/>
                <w:sz w:val="18"/>
                <w:szCs w:val="18"/>
                <w:b w:val="1"/>
                <w:bCs w:val="1"/>
                <w:color w:val="auto"/>
                <w:w w:val="79"/>
              </w:rPr>
              <w:t>9.9</w:t>
            </w:r>
          </w:p>
        </w:tc>
        <w:tc>
          <w:tcPr>
            <w:tcW w:w="7020" w:type="dxa"/>
            <w:vAlign w:val="bottom"/>
          </w:tcPr>
          <w:p>
            <w:pPr>
              <w:ind w:left="200"/>
              <w:spacing w:after="0"/>
              <w:rPr>
                <w:sz w:val="20"/>
                <w:szCs w:val="20"/>
                <w:color w:val="auto"/>
              </w:rPr>
            </w:pPr>
            <w:r>
              <w:rPr>
                <w:rFonts w:ascii="Arial" w:cs="Arial" w:eastAsia="Arial" w:hAnsi="Arial"/>
                <w:sz w:val="18"/>
                <w:szCs w:val="18"/>
                <w:color w:val="auto"/>
              </w:rPr>
              <w:t>Headings, etc. Not Part of Agreement</w:t>
            </w:r>
          </w:p>
        </w:tc>
        <w:tc>
          <w:tcPr>
            <w:tcW w:w="3520" w:type="dxa"/>
            <w:vAlign w:val="bottom"/>
          </w:tcPr>
          <w:p>
            <w:pPr>
              <w:jc w:val="right"/>
              <w:spacing w:after="0"/>
              <w:rPr>
                <w:sz w:val="20"/>
                <w:szCs w:val="20"/>
                <w:color w:val="auto"/>
              </w:rPr>
            </w:pPr>
            <w:r>
              <w:rPr>
                <w:rFonts w:ascii="Arial" w:cs="Arial" w:eastAsia="Arial" w:hAnsi="Arial"/>
                <w:sz w:val="18"/>
                <w:szCs w:val="18"/>
                <w:color w:val="auto"/>
              </w:rPr>
              <w:t>17</w:t>
            </w:r>
          </w:p>
        </w:tc>
      </w:tr>
    </w:tbl>
    <w:p>
      <w:pPr>
        <w:spacing w:after="0" w:line="142"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p>
    <w:p>
      <w:pPr>
        <w:jc w:val="center"/>
        <w:ind w:right="440"/>
        <w:spacing w:after="0"/>
        <w:rPr>
          <w:sz w:val="20"/>
          <w:szCs w:val="20"/>
          <w:color w:val="auto"/>
        </w:rPr>
      </w:pPr>
      <w:r>
        <w:rPr>
          <w:rFonts w:ascii="Arial" w:cs="Arial" w:eastAsia="Arial" w:hAnsi="Arial"/>
          <w:sz w:val="18"/>
          <w:szCs w:val="18"/>
          <w:color w:val="auto"/>
        </w:rPr>
        <w:t>iii</w:t>
      </w:r>
    </w:p>
    <w:p>
      <w:pPr>
        <w:sectPr>
          <w:pgSz w:w="11900" w:h="16838" w:orient="portrait"/>
          <w:cols w:equalWidth="0" w:num="1">
            <w:col w:w="10980"/>
          </w:cols>
          <w:pgMar w:left="680" w:top="274" w:right="239" w:bottom="1440" w:gutter="0" w:footer="0" w:header="0"/>
        </w:sectPr>
      </w:pPr>
    </w:p>
    <w:bookmarkStart w:id="54" w:name="page55"/>
    <w:bookmarkEnd w:id="54"/>
    <w:p>
      <w:pPr>
        <w:jc w:val="center"/>
        <w:ind w:right="-3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AUTODESK, INC. 2005 NON-QUALIFIED DEFERRED COMPENSATION PLAN</w:t>
      </w:r>
    </w:p>
    <w:p>
      <w:pPr>
        <w:spacing w:after="0" w:line="171" w:lineRule="exact"/>
        <w:rPr>
          <w:sz w:val="20"/>
          <w:szCs w:val="20"/>
          <w:color w:val="auto"/>
        </w:rPr>
      </w:pPr>
    </w:p>
    <w:p>
      <w:pPr>
        <w:ind w:right="120" w:firstLine="456"/>
        <w:spacing w:after="0" w:line="301" w:lineRule="auto"/>
        <w:rPr>
          <w:sz w:val="20"/>
          <w:szCs w:val="20"/>
          <w:color w:val="auto"/>
        </w:rPr>
      </w:pPr>
      <w:r>
        <w:rPr>
          <w:rFonts w:ascii="Arial" w:cs="Arial" w:eastAsia="Arial" w:hAnsi="Arial"/>
          <w:sz w:val="16"/>
          <w:szCs w:val="16"/>
          <w:color w:val="auto"/>
        </w:rPr>
        <w:t>Autodesk, Inc. (the “</w:t>
      </w:r>
      <w:r>
        <w:rPr>
          <w:rFonts w:ascii="Arial" w:cs="Arial" w:eastAsia="Arial" w:hAnsi="Arial"/>
          <w:sz w:val="16"/>
          <w:szCs w:val="16"/>
          <w:b w:val="1"/>
          <w:bCs w:val="1"/>
          <w:color w:val="auto"/>
        </w:rPr>
        <w:t>Company</w:t>
      </w:r>
      <w:r>
        <w:rPr>
          <w:rFonts w:ascii="Arial" w:cs="Arial" w:eastAsia="Arial" w:hAnsi="Arial"/>
          <w:sz w:val="16"/>
          <w:szCs w:val="16"/>
          <w:color w:val="auto"/>
        </w:rPr>
        <w:t>,” as further defined in Section 1.2(h)) maintains the Autodesk, Inc. 2005 Non-Qualified Deferred Compensation Plan (the “</w:t>
      </w:r>
      <w:r>
        <w:rPr>
          <w:rFonts w:ascii="Arial" w:cs="Arial" w:eastAsia="Arial" w:hAnsi="Arial"/>
          <w:sz w:val="16"/>
          <w:szCs w:val="16"/>
          <w:b w:val="1"/>
          <w:bCs w:val="1"/>
          <w:color w:val="auto"/>
        </w:rPr>
        <w:t>Plan</w:t>
      </w:r>
      <w:r>
        <w:rPr>
          <w:rFonts w:ascii="Arial" w:cs="Arial" w:eastAsia="Arial" w:hAnsi="Arial"/>
          <w:sz w:val="16"/>
          <w:szCs w:val="16"/>
          <w:color w:val="auto"/>
        </w:rPr>
        <w:t>”), as amended and restated effective January 1, 2008, and as further amended and restated effective December 31, 2008, consisting of the following provisions, for the exclusive benefit of the participants and their beneficiaries. The Plan is effective with respect to amounts subject to deferral elections made in 2004 and thereafter which would otherwise have been payable on or after January 1, 2005 (the “</w:t>
      </w:r>
      <w:r>
        <w:rPr>
          <w:rFonts w:ascii="Arial" w:cs="Arial" w:eastAsia="Arial" w:hAnsi="Arial"/>
          <w:sz w:val="16"/>
          <w:szCs w:val="16"/>
          <w:b w:val="1"/>
          <w:bCs w:val="1"/>
          <w:color w:val="auto"/>
        </w:rPr>
        <w:t>Effective Date</w:t>
      </w:r>
      <w:r>
        <w:rPr>
          <w:rFonts w:ascii="Arial" w:cs="Arial" w:eastAsia="Arial" w:hAnsi="Arial"/>
          <w:sz w:val="16"/>
          <w:szCs w:val="16"/>
          <w:color w:val="auto"/>
        </w:rPr>
        <w:t>”).</w:t>
      </w:r>
    </w:p>
    <w:p>
      <w:pPr>
        <w:spacing w:after="0" w:line="26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RECITALS</w:t>
      </w:r>
    </w:p>
    <w:p>
      <w:pPr>
        <w:spacing w:after="0" w:line="177" w:lineRule="exact"/>
        <w:rPr>
          <w:sz w:val="20"/>
          <w:szCs w:val="20"/>
          <w:color w:val="auto"/>
        </w:rPr>
      </w:pPr>
    </w:p>
    <w:p>
      <w:pPr>
        <w:ind w:firstLine="464"/>
        <w:spacing w:after="0" w:line="268" w:lineRule="auto"/>
        <w:tabs>
          <w:tab w:leader="none" w:pos="632"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Company wishes to maintain this supplemental retirement plan for the benefit of a select group of management or highly compensated employees of the Company.</w:t>
      </w:r>
    </w:p>
    <w:p>
      <w:pPr>
        <w:spacing w:after="0" w:line="131" w:lineRule="exact"/>
        <w:rPr>
          <w:rFonts w:ascii="Arial" w:cs="Arial" w:eastAsia="Arial" w:hAnsi="Arial"/>
          <w:sz w:val="18"/>
          <w:szCs w:val="18"/>
          <w:color w:val="auto"/>
        </w:rPr>
      </w:pPr>
    </w:p>
    <w:p>
      <w:pPr>
        <w:ind w:right="980" w:firstLine="464"/>
        <w:spacing w:after="0" w:line="268" w:lineRule="auto"/>
        <w:tabs>
          <w:tab w:leader="none" w:pos="632"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Company wishes to provide that the supplemental retirement plan shall be designated the Autodesk, Inc. 2005 Non-Qualified Deferred Compensation Plan.</w:t>
      </w:r>
    </w:p>
    <w:p>
      <w:pPr>
        <w:spacing w:after="0" w:line="131" w:lineRule="exact"/>
        <w:rPr>
          <w:rFonts w:ascii="Arial" w:cs="Arial" w:eastAsia="Arial" w:hAnsi="Arial"/>
          <w:sz w:val="18"/>
          <w:szCs w:val="18"/>
          <w:color w:val="auto"/>
        </w:rPr>
      </w:pPr>
    </w:p>
    <w:p>
      <w:pPr>
        <w:ind w:left="640" w:hanging="176"/>
        <w:spacing w:after="0"/>
        <w:tabs>
          <w:tab w:leader="none" w:pos="64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Company wishes to provide under the Plan for the payment of accrued vested benefits to Plan participants and their beneficiaries.</w:t>
      </w:r>
    </w:p>
    <w:p>
      <w:pPr>
        <w:spacing w:after="0" w:line="171" w:lineRule="exact"/>
        <w:rPr>
          <w:rFonts w:ascii="Arial" w:cs="Arial" w:eastAsia="Arial" w:hAnsi="Arial"/>
          <w:sz w:val="18"/>
          <w:szCs w:val="18"/>
          <w:color w:val="auto"/>
        </w:rPr>
      </w:pPr>
    </w:p>
    <w:p>
      <w:pPr>
        <w:ind w:left="640" w:hanging="176"/>
        <w:spacing w:after="0"/>
        <w:tabs>
          <w:tab w:leader="none" w:pos="640" w:val="left"/>
        </w:tabs>
        <w:numPr>
          <w:ilvl w:val="0"/>
          <w:numId w:val="33"/>
        </w:numPr>
        <w:rPr>
          <w:rFonts w:ascii="Arial" w:cs="Arial" w:eastAsia="Arial" w:hAnsi="Arial"/>
          <w:sz w:val="16"/>
          <w:szCs w:val="16"/>
          <w:color w:val="auto"/>
        </w:rPr>
      </w:pPr>
      <w:r>
        <w:rPr>
          <w:rFonts w:ascii="Arial" w:cs="Arial" w:eastAsia="Arial" w:hAnsi="Arial"/>
          <w:sz w:val="16"/>
          <w:szCs w:val="16"/>
          <w:color w:val="auto"/>
        </w:rPr>
        <w:t>Under the Plan, the Company is obligated to pay vested accrued benefits to the Plan participants and their beneficiaries from the Company’s general</w:t>
      </w:r>
    </w:p>
    <w:p>
      <w:pPr>
        <w:spacing w:after="0" w:line="38"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assets.</w:t>
      </w:r>
    </w:p>
    <w:p>
      <w:pPr>
        <w:spacing w:after="0" w:line="158" w:lineRule="exact"/>
        <w:rPr>
          <w:rFonts w:ascii="Arial" w:cs="Arial" w:eastAsia="Arial" w:hAnsi="Arial"/>
          <w:sz w:val="16"/>
          <w:szCs w:val="16"/>
          <w:color w:val="auto"/>
        </w:rPr>
      </w:pPr>
    </w:p>
    <w:p>
      <w:pPr>
        <w:ind w:right="20" w:firstLine="464"/>
        <w:spacing w:after="0" w:line="275" w:lineRule="auto"/>
        <w:tabs>
          <w:tab w:leader="none" w:pos="632"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Company has entered into an agreement (the “</w:t>
      </w:r>
      <w:r>
        <w:rPr>
          <w:rFonts w:ascii="Arial" w:cs="Arial" w:eastAsia="Arial" w:hAnsi="Arial"/>
          <w:sz w:val="18"/>
          <w:szCs w:val="18"/>
          <w:b w:val="1"/>
          <w:bCs w:val="1"/>
          <w:color w:val="auto"/>
        </w:rPr>
        <w:t>Trust Agreement</w:t>
      </w:r>
      <w:r>
        <w:rPr>
          <w:rFonts w:ascii="Arial" w:cs="Arial" w:eastAsia="Arial" w:hAnsi="Arial"/>
          <w:sz w:val="18"/>
          <w:szCs w:val="18"/>
          <w:color w:val="auto"/>
        </w:rPr>
        <w:t>”) with Vanguard Fiduciary Trust Company dated November 29, 2002, as amended, appointing a trustee (the “</w:t>
      </w:r>
      <w:r>
        <w:rPr>
          <w:rFonts w:ascii="Arial" w:cs="Arial" w:eastAsia="Arial" w:hAnsi="Arial"/>
          <w:sz w:val="18"/>
          <w:szCs w:val="18"/>
          <w:b w:val="1"/>
          <w:bCs w:val="1"/>
          <w:color w:val="auto"/>
        </w:rPr>
        <w:t>Trustee</w:t>
      </w:r>
      <w:r>
        <w:rPr>
          <w:rFonts w:ascii="Arial" w:cs="Arial" w:eastAsia="Arial" w:hAnsi="Arial"/>
          <w:sz w:val="18"/>
          <w:szCs w:val="18"/>
          <w:color w:val="auto"/>
        </w:rPr>
        <w:t>”) under an irrevocable trust (the “</w:t>
      </w:r>
      <w:r>
        <w:rPr>
          <w:rFonts w:ascii="Arial" w:cs="Arial" w:eastAsia="Arial" w:hAnsi="Arial"/>
          <w:sz w:val="18"/>
          <w:szCs w:val="18"/>
          <w:b w:val="1"/>
          <w:bCs w:val="1"/>
          <w:color w:val="auto"/>
        </w:rPr>
        <w:t>Trust</w:t>
      </w:r>
      <w:r>
        <w:rPr>
          <w:rFonts w:ascii="Arial" w:cs="Arial" w:eastAsia="Arial" w:hAnsi="Arial"/>
          <w:sz w:val="18"/>
          <w:szCs w:val="18"/>
          <w:color w:val="auto"/>
        </w:rPr>
        <w:t>”) to be used in connection with the Plan.</w:t>
      </w:r>
    </w:p>
    <w:p>
      <w:pPr>
        <w:spacing w:after="0" w:line="125" w:lineRule="exact"/>
        <w:rPr>
          <w:rFonts w:ascii="Arial" w:cs="Arial" w:eastAsia="Arial" w:hAnsi="Arial"/>
          <w:sz w:val="18"/>
          <w:szCs w:val="18"/>
          <w:color w:val="auto"/>
        </w:rPr>
      </w:pPr>
    </w:p>
    <w:p>
      <w:pPr>
        <w:ind w:right="160" w:firstLine="464"/>
        <w:spacing w:after="0" w:line="268" w:lineRule="auto"/>
        <w:tabs>
          <w:tab w:leader="none" w:pos="632"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Company intends to make contributions to the Trust so that such contributions will be held by the Trustee and invested, reinvested and distributed, all in accordance with the provisions of the Plan and the Trust Agreement.</w:t>
      </w:r>
    </w:p>
    <w:p>
      <w:pPr>
        <w:spacing w:after="0" w:line="131" w:lineRule="exact"/>
        <w:rPr>
          <w:rFonts w:ascii="Arial" w:cs="Arial" w:eastAsia="Arial" w:hAnsi="Arial"/>
          <w:sz w:val="18"/>
          <w:szCs w:val="18"/>
          <w:color w:val="auto"/>
        </w:rPr>
      </w:pPr>
    </w:p>
    <w:p>
      <w:pPr>
        <w:jc w:val="both"/>
        <w:ind w:right="40" w:firstLine="464"/>
        <w:spacing w:after="0" w:line="259" w:lineRule="auto"/>
        <w:tabs>
          <w:tab w:leader="none" w:pos="632"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Company intends that amounts contributed to the Trust and the income thereon shall be used by the Trustee to satisfy the liabilities of the Company under the Plan with respect to each Plan participant for whom an Account has been established and such utilization shall be in accordance with the procedures set forth herein.</w:t>
      </w:r>
    </w:p>
    <w:p>
      <w:pPr>
        <w:spacing w:after="0" w:line="140" w:lineRule="exact"/>
        <w:rPr>
          <w:rFonts w:ascii="Arial" w:cs="Arial" w:eastAsia="Arial" w:hAnsi="Arial"/>
          <w:sz w:val="18"/>
          <w:szCs w:val="18"/>
          <w:color w:val="auto"/>
        </w:rPr>
      </w:pPr>
    </w:p>
    <w:p>
      <w:pPr>
        <w:ind w:right="400" w:firstLine="464"/>
        <w:spacing w:after="0" w:line="268" w:lineRule="auto"/>
        <w:tabs>
          <w:tab w:leader="none" w:pos="632"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Company intends that the Trust be a “grantor trust” with the principal and income of the Trust treated as assets and income of the Company for Federal and state income tax purposes.</w:t>
      </w:r>
    </w:p>
    <w:p>
      <w:pPr>
        <w:spacing w:after="0" w:line="131" w:lineRule="exact"/>
        <w:rPr>
          <w:rFonts w:ascii="Arial" w:cs="Arial" w:eastAsia="Arial" w:hAnsi="Arial"/>
          <w:sz w:val="18"/>
          <w:szCs w:val="18"/>
          <w:color w:val="auto"/>
        </w:rPr>
      </w:pPr>
    </w:p>
    <w:p>
      <w:pPr>
        <w:ind w:right="280" w:firstLine="464"/>
        <w:spacing w:after="0" w:line="268" w:lineRule="auto"/>
        <w:tabs>
          <w:tab w:leader="none" w:pos="632"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Company intends that the assets of the Trust shall at all times be subject to the claims of the general creditors of the Company, as provided in the Trust Agreement.</w:t>
      </w:r>
    </w:p>
    <w:p>
      <w:pPr>
        <w:spacing w:after="0" w:line="131" w:lineRule="exact"/>
        <w:rPr>
          <w:rFonts w:ascii="Arial" w:cs="Arial" w:eastAsia="Arial" w:hAnsi="Arial"/>
          <w:sz w:val="18"/>
          <w:szCs w:val="18"/>
          <w:color w:val="auto"/>
        </w:rPr>
      </w:pPr>
    </w:p>
    <w:p>
      <w:pPr>
        <w:ind w:right="40" w:firstLine="464"/>
        <w:spacing w:after="0" w:line="259" w:lineRule="auto"/>
        <w:tabs>
          <w:tab w:leader="none" w:pos="72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Company intends that the existence of the Trust shall not alter the characterization of the Plan as “unfunded” for purposes of the Employee Retirement Income Security Act of 1974, as amended (“</w:t>
      </w:r>
      <w:r>
        <w:rPr>
          <w:rFonts w:ascii="Arial" w:cs="Arial" w:eastAsia="Arial" w:hAnsi="Arial"/>
          <w:sz w:val="18"/>
          <w:szCs w:val="18"/>
          <w:b w:val="1"/>
          <w:bCs w:val="1"/>
          <w:color w:val="auto"/>
        </w:rPr>
        <w:t>ERISA</w:t>
      </w:r>
      <w:r>
        <w:rPr>
          <w:rFonts w:ascii="Arial" w:cs="Arial" w:eastAsia="Arial" w:hAnsi="Arial"/>
          <w:sz w:val="18"/>
          <w:szCs w:val="18"/>
          <w:color w:val="auto"/>
        </w:rPr>
        <w:t>”), and shall not be construed to provide income to Plan participants under the Plan prior to actual payment of the vested accrued benefits thereunder.</w:t>
      </w:r>
    </w:p>
    <w:p>
      <w:pPr>
        <w:spacing w:after="0" w:line="12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00"/>
          </w:cols>
          <w:pgMar w:left="240" w:top="274" w:right="259" w:bottom="1440" w:gutter="0" w:footer="0" w:header="0"/>
        </w:sectPr>
      </w:pPr>
    </w:p>
    <w:bookmarkStart w:id="55" w:name="page56"/>
    <w:bookmarkEnd w:id="55"/>
    <w:p>
      <w:pPr>
        <w:ind w:left="46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NOW THEREFORE</w:t>
      </w:r>
      <w:r>
        <w:rPr>
          <w:rFonts w:ascii="Arial" w:cs="Arial" w:eastAsia="Arial" w:hAnsi="Arial"/>
          <w:sz w:val="18"/>
          <w:szCs w:val="18"/>
          <w:color w:val="auto"/>
        </w:rPr>
        <w:t>, the Company hereby adopts the Plan as follows:</w:t>
      </w:r>
    </w:p>
    <w:p>
      <w:pPr>
        <w:spacing w:after="0" w:line="333" w:lineRule="exact"/>
        <w:rPr>
          <w:sz w:val="20"/>
          <w:szCs w:val="20"/>
          <w:color w:val="auto"/>
        </w:rPr>
      </w:pPr>
    </w:p>
    <w:p>
      <w:pPr>
        <w:ind w:left="5260"/>
        <w:spacing w:after="0"/>
        <w:rPr>
          <w:sz w:val="20"/>
          <w:szCs w:val="20"/>
          <w:color w:val="auto"/>
        </w:rPr>
      </w:pPr>
      <w:r>
        <w:rPr>
          <w:rFonts w:ascii="Arial" w:cs="Arial" w:eastAsia="Arial" w:hAnsi="Arial"/>
          <w:sz w:val="18"/>
          <w:szCs w:val="18"/>
          <w:b w:val="1"/>
          <w:bCs w:val="1"/>
          <w:color w:val="auto"/>
        </w:rPr>
        <w:t>ARTICLE I</w:t>
      </w:r>
    </w:p>
    <w:p>
      <w:pPr>
        <w:spacing w:after="0" w:line="171" w:lineRule="exact"/>
        <w:rPr>
          <w:sz w:val="20"/>
          <w:szCs w:val="20"/>
          <w:color w:val="auto"/>
        </w:rPr>
      </w:pPr>
    </w:p>
    <w:p>
      <w:pPr>
        <w:ind w:left="4640"/>
        <w:spacing w:after="0"/>
        <w:rPr>
          <w:sz w:val="20"/>
          <w:szCs w:val="20"/>
          <w:color w:val="auto"/>
        </w:rPr>
      </w:pPr>
      <w:r>
        <w:rPr>
          <w:rFonts w:ascii="Arial" w:cs="Arial" w:eastAsia="Arial" w:hAnsi="Arial"/>
          <w:sz w:val="18"/>
          <w:szCs w:val="18"/>
          <w:b w:val="1"/>
          <w:bCs w:val="1"/>
          <w:color w:val="auto"/>
        </w:rPr>
        <w:t>TITLE AND DEFINITIONS</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 xml:space="preserve">1.1 </w:t>
      </w:r>
      <w:r>
        <w:rPr>
          <w:rFonts w:ascii="Arial" w:cs="Arial" w:eastAsia="Arial" w:hAnsi="Arial"/>
          <w:sz w:val="18"/>
          <w:szCs w:val="18"/>
          <w:u w:val="single" w:color="auto"/>
          <w:color w:val="auto"/>
        </w:rPr>
        <w:t>Title</w:t>
      </w:r>
      <w:r>
        <w:rPr>
          <w:rFonts w:ascii="Arial" w:cs="Arial" w:eastAsia="Arial" w:hAnsi="Arial"/>
          <w:sz w:val="18"/>
          <w:szCs w:val="18"/>
          <w:color w:val="auto"/>
        </w:rPr>
        <w:t>. This Plan shall be known as the Autodesk, Inc. 2005 Non-Qualified Deferred Compensation Plan.</w:t>
      </w:r>
    </w:p>
    <w:p>
      <w:pPr>
        <w:spacing w:after="0" w:line="171" w:lineRule="exact"/>
        <w:rPr>
          <w:sz w:val="20"/>
          <w:szCs w:val="20"/>
          <w:color w:val="auto"/>
        </w:rPr>
      </w:pPr>
    </w:p>
    <w:p>
      <w:pPr>
        <w:ind w:right="300" w:firstLine="456"/>
        <w:spacing w:after="0" w:line="275" w:lineRule="auto"/>
        <w:rPr>
          <w:sz w:val="20"/>
          <w:szCs w:val="20"/>
          <w:color w:val="auto"/>
        </w:rPr>
      </w:pPr>
      <w:r>
        <w:rPr>
          <w:rFonts w:ascii="Arial" w:cs="Arial" w:eastAsia="Arial" w:hAnsi="Arial"/>
          <w:sz w:val="18"/>
          <w:szCs w:val="18"/>
          <w:b w:val="1"/>
          <w:bCs w:val="1"/>
          <w:color w:val="auto"/>
        </w:rPr>
        <w:t xml:space="preserve">1.2 </w:t>
      </w:r>
      <w:r>
        <w:rPr>
          <w:rFonts w:ascii="Arial" w:cs="Arial" w:eastAsia="Arial" w:hAnsi="Arial"/>
          <w:sz w:val="18"/>
          <w:szCs w:val="18"/>
          <w:u w:val="single" w:color="auto"/>
          <w:color w:val="auto"/>
        </w:rPr>
        <w:t>Definitions</w:t>
      </w:r>
      <w:r>
        <w:rPr>
          <w:rFonts w:ascii="Arial" w:cs="Arial" w:eastAsia="Arial" w:hAnsi="Arial"/>
          <w:sz w:val="18"/>
          <w:szCs w:val="18"/>
          <w:color w:val="auto"/>
        </w:rPr>
        <w:t>. Whenever the following words and phrases are used in this Plan, with the first letter capitalized, they shall have the meanings specified</w:t>
      </w:r>
      <w:r>
        <w:rPr>
          <w:rFonts w:ascii="Arial" w:cs="Arial" w:eastAsia="Arial" w:hAnsi="Arial"/>
          <w:sz w:val="18"/>
          <w:szCs w:val="18"/>
          <w:b w:val="1"/>
          <w:bCs w:val="1"/>
          <w:color w:val="auto"/>
        </w:rPr>
        <w:t xml:space="preserve"> </w:t>
      </w:r>
      <w:r>
        <w:rPr>
          <w:rFonts w:ascii="Arial" w:cs="Arial" w:eastAsia="Arial" w:hAnsi="Arial"/>
          <w:sz w:val="18"/>
          <w:szCs w:val="18"/>
          <w:color w:val="auto"/>
        </w:rPr>
        <w:t>below:</w:t>
      </w:r>
    </w:p>
    <w:p>
      <w:pPr>
        <w:spacing w:after="0" w:line="120" w:lineRule="exact"/>
        <w:rPr>
          <w:sz w:val="20"/>
          <w:szCs w:val="20"/>
          <w:color w:val="auto"/>
        </w:rPr>
      </w:pPr>
    </w:p>
    <w:p>
      <w:pPr>
        <w:ind w:firstLine="921"/>
        <w:spacing w:after="0" w:line="262" w:lineRule="auto"/>
        <w:tabs>
          <w:tab w:leader="none" w:pos="1152" w:val="left"/>
        </w:tabs>
        <w:numPr>
          <w:ilvl w:val="0"/>
          <w:numId w:val="34"/>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Account</w:t>
      </w:r>
      <w:r>
        <w:rPr>
          <w:rFonts w:ascii="Arial" w:cs="Arial" w:eastAsia="Arial" w:hAnsi="Arial"/>
          <w:sz w:val="18"/>
          <w:szCs w:val="18"/>
          <w:color w:val="auto"/>
        </w:rPr>
        <w:t>” means, for each Participant, the bookkeeping account maintained by the Committee that is credited with amounts equal to (1) the Participant’s Compensation Deferrals, (2) Discretionary Contributions, if any, made to the Plan for the Participant’s benefit, and (3) adjustments to reflect Income, and reduced by distributions or withdrawals, if any, made by the Participant.</w:t>
      </w:r>
    </w:p>
    <w:p>
      <w:pPr>
        <w:spacing w:after="0" w:line="132" w:lineRule="exact"/>
        <w:rPr>
          <w:rFonts w:ascii="Arial" w:cs="Arial" w:eastAsia="Arial" w:hAnsi="Arial"/>
          <w:sz w:val="18"/>
          <w:szCs w:val="18"/>
          <w:color w:val="auto"/>
        </w:rPr>
      </w:pPr>
    </w:p>
    <w:p>
      <w:pPr>
        <w:ind w:right="20" w:firstLine="921"/>
        <w:spacing w:after="0" w:line="262" w:lineRule="auto"/>
        <w:tabs>
          <w:tab w:leader="none" w:pos="1162" w:val="left"/>
        </w:tabs>
        <w:numPr>
          <w:ilvl w:val="0"/>
          <w:numId w:val="34"/>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Annual Enrollment Period</w:t>
      </w:r>
      <w:r>
        <w:rPr>
          <w:rFonts w:ascii="Arial" w:cs="Arial" w:eastAsia="Arial" w:hAnsi="Arial"/>
          <w:sz w:val="18"/>
          <w:szCs w:val="18"/>
          <w:color w:val="auto"/>
        </w:rPr>
        <w:t>” means the period approximately one month prior to the beginning of each Plan Year, in which Eligible Employees are able to enroll in the Plan for the upcoming Plan Year by submitting an Enrollment Form. The actual Annual Enrollment Period for each Plan Year shall be determined by the Committee in accordance with applicable law and rules promulgated under the Code.</w:t>
      </w:r>
    </w:p>
    <w:p>
      <w:pPr>
        <w:spacing w:after="0" w:line="132" w:lineRule="exact"/>
        <w:rPr>
          <w:rFonts w:ascii="Arial" w:cs="Arial" w:eastAsia="Arial" w:hAnsi="Arial"/>
          <w:sz w:val="18"/>
          <w:szCs w:val="18"/>
          <w:color w:val="auto"/>
        </w:rPr>
      </w:pPr>
    </w:p>
    <w:p>
      <w:pPr>
        <w:ind w:right="100" w:firstLine="921"/>
        <w:spacing w:after="0" w:line="301" w:lineRule="auto"/>
        <w:tabs>
          <w:tab w:leader="none" w:pos="1152" w:val="left"/>
        </w:tabs>
        <w:numPr>
          <w:ilvl w:val="0"/>
          <w:numId w:val="34"/>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b w:val="1"/>
          <w:bCs w:val="1"/>
          <w:color w:val="auto"/>
        </w:rPr>
        <w:t>Beneficiary</w:t>
      </w:r>
      <w:r>
        <w:rPr>
          <w:rFonts w:ascii="Arial" w:cs="Arial" w:eastAsia="Arial" w:hAnsi="Arial"/>
          <w:sz w:val="16"/>
          <w:szCs w:val="16"/>
          <w:color w:val="auto"/>
        </w:rPr>
        <w:t>” or “</w:t>
      </w:r>
      <w:r>
        <w:rPr>
          <w:rFonts w:ascii="Arial" w:cs="Arial" w:eastAsia="Arial" w:hAnsi="Arial"/>
          <w:sz w:val="16"/>
          <w:szCs w:val="16"/>
          <w:b w:val="1"/>
          <w:bCs w:val="1"/>
          <w:color w:val="auto"/>
        </w:rPr>
        <w:t>Beneficiaries</w:t>
      </w:r>
      <w:r>
        <w:rPr>
          <w:rFonts w:ascii="Arial" w:cs="Arial" w:eastAsia="Arial" w:hAnsi="Arial"/>
          <w:sz w:val="16"/>
          <w:szCs w:val="16"/>
          <w:color w:val="auto"/>
        </w:rPr>
        <w:t>” means the beneficiary last designated in writing by a Participant in accordance with procedures established by the Committee from time to time to receive the benefits specified hereunder in the event of the Participant’s death. No Beneficiary designation shall become effective until it is filed with the Committee. In the event that a proper Beneficiary designation is not on file with the Committee or is otherwise not legally effective, the Beneficiary shall be the Participant’s surviving spouse, if any, or if there is no surviving spouse, the Participant’s estate.</w:t>
      </w:r>
    </w:p>
    <w:p>
      <w:pPr>
        <w:spacing w:after="0" w:line="103" w:lineRule="exact"/>
        <w:rPr>
          <w:rFonts w:ascii="Arial" w:cs="Arial" w:eastAsia="Arial" w:hAnsi="Arial"/>
          <w:sz w:val="16"/>
          <w:szCs w:val="16"/>
          <w:color w:val="auto"/>
        </w:rPr>
      </w:pPr>
    </w:p>
    <w:p>
      <w:pPr>
        <w:ind w:left="1160" w:hanging="239"/>
        <w:spacing w:after="0"/>
        <w:tabs>
          <w:tab w:leader="none" w:pos="11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Board of Directors</w:t>
      </w:r>
      <w:r>
        <w:rPr>
          <w:rFonts w:ascii="Arial" w:cs="Arial" w:eastAsia="Arial" w:hAnsi="Arial"/>
          <w:sz w:val="18"/>
          <w:szCs w:val="18"/>
          <w:color w:val="auto"/>
        </w:rPr>
        <w:t>” or “</w:t>
      </w:r>
      <w:r>
        <w:rPr>
          <w:rFonts w:ascii="Arial" w:cs="Arial" w:eastAsia="Arial" w:hAnsi="Arial"/>
          <w:sz w:val="18"/>
          <w:szCs w:val="18"/>
          <w:b w:val="1"/>
          <w:bCs w:val="1"/>
          <w:color w:val="auto"/>
        </w:rPr>
        <w:t>Board</w:t>
      </w:r>
      <w:r>
        <w:rPr>
          <w:rFonts w:ascii="Arial" w:cs="Arial" w:eastAsia="Arial" w:hAnsi="Arial"/>
          <w:sz w:val="18"/>
          <w:szCs w:val="18"/>
          <w:color w:val="auto"/>
        </w:rPr>
        <w:t>” means the Board of Directors of the Company.</w:t>
      </w:r>
    </w:p>
    <w:p>
      <w:pPr>
        <w:spacing w:after="0" w:line="171" w:lineRule="exact"/>
        <w:rPr>
          <w:rFonts w:ascii="Arial" w:cs="Arial" w:eastAsia="Arial" w:hAnsi="Arial"/>
          <w:sz w:val="18"/>
          <w:szCs w:val="18"/>
          <w:color w:val="auto"/>
        </w:rPr>
      </w:pPr>
    </w:p>
    <w:p>
      <w:pPr>
        <w:ind w:right="140" w:firstLine="921"/>
        <w:spacing w:after="0" w:line="339" w:lineRule="auto"/>
        <w:tabs>
          <w:tab w:leader="none" w:pos="1152" w:val="left"/>
        </w:tabs>
        <w:numPr>
          <w:ilvl w:val="0"/>
          <w:numId w:val="34"/>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b w:val="1"/>
          <w:bCs w:val="1"/>
          <w:color w:val="auto"/>
        </w:rPr>
        <w:t>Change Form</w:t>
      </w:r>
      <w:r>
        <w:rPr>
          <w:rFonts w:ascii="Arial" w:cs="Arial" w:eastAsia="Arial" w:hAnsi="Arial"/>
          <w:sz w:val="16"/>
          <w:szCs w:val="16"/>
          <w:color w:val="auto"/>
        </w:rPr>
        <w:t>” means such hard copy and/or electronic form as may be provided by the Committee to permit an Eligible Employee to change certain Distribution Elections in accordance with Section 7.1(c), herein, applicable law and rules promulgated under the Code.</w:t>
      </w:r>
    </w:p>
    <w:p>
      <w:pPr>
        <w:spacing w:after="0" w:line="6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00"/>
          </w:cols>
          <w:pgMar w:left="240" w:top="274" w:right="259" w:bottom="1440" w:gutter="0" w:footer="0" w:header="0"/>
        </w:sectPr>
      </w:pPr>
    </w:p>
    <w:bookmarkStart w:id="56" w:name="page57"/>
    <w:bookmarkEnd w:id="56"/>
    <w:p>
      <w:pPr>
        <w:ind w:right="260" w:firstLine="921"/>
        <w:spacing w:after="0" w:line="275" w:lineRule="auto"/>
        <w:tabs>
          <w:tab w:leader="none" w:pos="1132" w:val="left"/>
        </w:tabs>
        <w:numPr>
          <w:ilvl w:val="0"/>
          <w:numId w:val="35"/>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t>
      </w:r>
      <w:r>
        <w:rPr>
          <w:rFonts w:ascii="Arial" w:cs="Arial" w:eastAsia="Arial" w:hAnsi="Arial"/>
          <w:sz w:val="18"/>
          <w:szCs w:val="18"/>
          <w:b w:val="1"/>
          <w:bCs w:val="1"/>
          <w:color w:val="auto"/>
        </w:rPr>
        <w:t>Code</w:t>
      </w:r>
      <w:r>
        <w:rPr>
          <w:rFonts w:ascii="Arial" w:cs="Arial" w:eastAsia="Arial" w:hAnsi="Arial"/>
          <w:sz w:val="18"/>
          <w:szCs w:val="18"/>
          <w:color w:val="auto"/>
        </w:rPr>
        <w:t>” means the Internal Revenue Code of 1986, as amended. Reference to a section of the Code includes such section and any comparable section or sections of any future legislation that amends, supplements or supersedes such section.</w:t>
      </w:r>
    </w:p>
    <w:p>
      <w:pPr>
        <w:spacing w:after="0" w:line="119" w:lineRule="exact"/>
        <w:rPr>
          <w:rFonts w:ascii="Arial" w:cs="Arial" w:eastAsia="Arial" w:hAnsi="Arial"/>
          <w:sz w:val="18"/>
          <w:szCs w:val="18"/>
          <w:color w:val="auto"/>
        </w:rPr>
      </w:pPr>
    </w:p>
    <w:p>
      <w:pPr>
        <w:ind w:left="1160" w:hanging="239"/>
        <w:spacing w:after="0"/>
        <w:tabs>
          <w:tab w:leader="none" w:pos="11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Committee</w:t>
      </w:r>
      <w:r>
        <w:rPr>
          <w:rFonts w:ascii="Arial" w:cs="Arial" w:eastAsia="Arial" w:hAnsi="Arial"/>
          <w:sz w:val="18"/>
          <w:szCs w:val="18"/>
          <w:color w:val="auto"/>
        </w:rPr>
        <w:t>” shall mean those individuals selected by the Board to administer the Plan as defined in Section 8.1.</w:t>
      </w:r>
    </w:p>
    <w:p>
      <w:pPr>
        <w:spacing w:after="0" w:line="171" w:lineRule="exact"/>
        <w:rPr>
          <w:rFonts w:ascii="Arial" w:cs="Arial" w:eastAsia="Arial" w:hAnsi="Arial"/>
          <w:sz w:val="18"/>
          <w:szCs w:val="18"/>
          <w:color w:val="auto"/>
        </w:rPr>
      </w:pPr>
    </w:p>
    <w:p>
      <w:pPr>
        <w:ind w:right="40" w:firstLine="921"/>
        <w:spacing w:after="0" w:line="262" w:lineRule="auto"/>
        <w:tabs>
          <w:tab w:leader="none" w:pos="1162" w:val="left"/>
        </w:tabs>
        <w:numPr>
          <w:ilvl w:val="0"/>
          <w:numId w:val="35"/>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Company</w:t>
      </w:r>
      <w:r>
        <w:rPr>
          <w:rFonts w:ascii="Arial" w:cs="Arial" w:eastAsia="Arial" w:hAnsi="Arial"/>
          <w:sz w:val="18"/>
          <w:szCs w:val="18"/>
          <w:color w:val="auto"/>
        </w:rPr>
        <w:t>” means Autodesk, Inc., any successor corporation by merger, consolidation or otherwise, any entity that is directly or indirectly controlled by the Company, any entity in which the Company has a significant equity or investment interest, or any subsidiary of the Company, as determined by the Committee.</w:t>
      </w:r>
    </w:p>
    <w:p>
      <w:pPr>
        <w:spacing w:after="0" w:line="132" w:lineRule="exact"/>
        <w:rPr>
          <w:rFonts w:ascii="Arial" w:cs="Arial" w:eastAsia="Arial" w:hAnsi="Arial"/>
          <w:sz w:val="18"/>
          <w:szCs w:val="18"/>
          <w:color w:val="auto"/>
        </w:rPr>
      </w:pPr>
    </w:p>
    <w:p>
      <w:pPr>
        <w:ind w:right="220" w:firstLine="921"/>
        <w:spacing w:after="0" w:line="291" w:lineRule="auto"/>
        <w:tabs>
          <w:tab w:leader="none" w:pos="1123" w:val="left"/>
        </w:tabs>
        <w:numPr>
          <w:ilvl w:val="0"/>
          <w:numId w:val="35"/>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b w:val="1"/>
          <w:bCs w:val="1"/>
          <w:color w:val="auto"/>
        </w:rPr>
        <w:t>Compensation</w:t>
      </w:r>
      <w:r>
        <w:rPr>
          <w:rFonts w:ascii="Arial" w:cs="Arial" w:eastAsia="Arial" w:hAnsi="Arial"/>
          <w:sz w:val="16"/>
          <w:szCs w:val="16"/>
          <w:color w:val="auto"/>
        </w:rPr>
        <w:t>” means the Salary and Bonus earned by the Participant for services rendered to the Company. “</w:t>
      </w:r>
      <w:r>
        <w:rPr>
          <w:rFonts w:ascii="Arial" w:cs="Arial" w:eastAsia="Arial" w:hAnsi="Arial"/>
          <w:sz w:val="16"/>
          <w:szCs w:val="16"/>
          <w:b w:val="1"/>
          <w:bCs w:val="1"/>
          <w:color w:val="auto"/>
        </w:rPr>
        <w:t>Salary</w:t>
      </w:r>
      <w:r>
        <w:rPr>
          <w:rFonts w:ascii="Arial" w:cs="Arial" w:eastAsia="Arial" w:hAnsi="Arial"/>
          <w:sz w:val="16"/>
          <w:szCs w:val="16"/>
          <w:color w:val="auto"/>
        </w:rPr>
        <w:t>” means the Eligible Employee’s base salary for the Plan Year, and excludes amounts designated by the Company as “hypo tax” or similar tax equalization payments as well as any other form of compensation such as restricted stock, proceeds from stock options, stock appreciation rights or a stock purchase plan, severance payments, commission payments, moving expenses, car or other special allowance, or any other amounts included in an Eligible Employee’s taxable income that is not compensation for services. “</w:t>
      </w:r>
      <w:r>
        <w:rPr>
          <w:rFonts w:ascii="Arial" w:cs="Arial" w:eastAsia="Arial" w:hAnsi="Arial"/>
          <w:sz w:val="16"/>
          <w:szCs w:val="16"/>
          <w:b w:val="1"/>
          <w:bCs w:val="1"/>
          <w:color w:val="auto"/>
        </w:rPr>
        <w:t>Bonus</w:t>
      </w:r>
      <w:r>
        <w:rPr>
          <w:rFonts w:ascii="Arial" w:cs="Arial" w:eastAsia="Arial" w:hAnsi="Arial"/>
          <w:sz w:val="16"/>
          <w:szCs w:val="16"/>
          <w:color w:val="auto"/>
        </w:rPr>
        <w:t>” means any cash-based incentive compensation earned by an Eligible Employee in addition to Salary during the Plan Year under the Company’s Annual Incentive Plan and/or Executive Incentive Plan (or successor plans to such plans), notwithstanding any deferral elections made under the Company’s Equity Incentive Deferral Plan.</w:t>
      </w:r>
    </w:p>
    <w:p>
      <w:pPr>
        <w:spacing w:after="0" w:line="113" w:lineRule="exact"/>
        <w:rPr>
          <w:rFonts w:ascii="Arial" w:cs="Arial" w:eastAsia="Arial" w:hAnsi="Arial"/>
          <w:sz w:val="16"/>
          <w:szCs w:val="16"/>
          <w:color w:val="auto"/>
        </w:rPr>
      </w:pPr>
    </w:p>
    <w:p>
      <w:pPr>
        <w:ind w:left="1140" w:hanging="219"/>
        <w:spacing w:after="0"/>
        <w:tabs>
          <w:tab w:leader="none" w:pos="1140" w:val="left"/>
        </w:tabs>
        <w:numPr>
          <w:ilvl w:val="0"/>
          <w:numId w:val="35"/>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Compensation Deferrals</w:t>
      </w:r>
      <w:r>
        <w:rPr>
          <w:rFonts w:ascii="Arial" w:cs="Arial" w:eastAsia="Arial" w:hAnsi="Arial"/>
          <w:sz w:val="18"/>
          <w:szCs w:val="18"/>
          <w:color w:val="auto"/>
        </w:rPr>
        <w:t>” means the amount of Compensation deferred under the Plan pursuant to Section 3.1.</w:t>
      </w:r>
    </w:p>
    <w:p>
      <w:pPr>
        <w:spacing w:after="0" w:line="171" w:lineRule="exact"/>
        <w:rPr>
          <w:rFonts w:ascii="Arial" w:cs="Arial" w:eastAsia="Arial" w:hAnsi="Arial"/>
          <w:sz w:val="18"/>
          <w:szCs w:val="18"/>
          <w:color w:val="auto"/>
        </w:rPr>
      </w:pPr>
    </w:p>
    <w:p>
      <w:pPr>
        <w:ind w:right="40" w:firstLine="921"/>
        <w:spacing w:after="0" w:line="275" w:lineRule="auto"/>
        <w:tabs>
          <w:tab w:leader="none" w:pos="1162" w:val="left"/>
        </w:tabs>
        <w:numPr>
          <w:ilvl w:val="0"/>
          <w:numId w:val="35"/>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Deferral Election</w:t>
      </w:r>
      <w:r>
        <w:rPr>
          <w:rFonts w:ascii="Arial" w:cs="Arial" w:eastAsia="Arial" w:hAnsi="Arial"/>
          <w:sz w:val="18"/>
          <w:szCs w:val="18"/>
          <w:color w:val="auto"/>
        </w:rPr>
        <w:t>” shall mean a Participant’s Compensation Deferrals specified on the Enrollment Form provided by the Committee during an Enrollment Period for a given Plan Year as set forth in Section 3.1.</w:t>
      </w:r>
    </w:p>
    <w:p>
      <w:pPr>
        <w:spacing w:after="0" w:line="119" w:lineRule="exact"/>
        <w:rPr>
          <w:rFonts w:ascii="Arial" w:cs="Arial" w:eastAsia="Arial" w:hAnsi="Arial"/>
          <w:sz w:val="18"/>
          <w:szCs w:val="18"/>
          <w:color w:val="auto"/>
        </w:rPr>
      </w:pPr>
    </w:p>
    <w:p>
      <w:pPr>
        <w:ind w:right="420" w:firstLine="921"/>
        <w:spacing w:after="0" w:line="258" w:lineRule="auto"/>
        <w:tabs>
          <w:tab w:leader="none" w:pos="1123" w:val="left"/>
        </w:tabs>
        <w:numPr>
          <w:ilvl w:val="0"/>
          <w:numId w:val="35"/>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Disability</w:t>
      </w:r>
      <w:r>
        <w:rPr>
          <w:rFonts w:ascii="Arial" w:cs="Arial" w:eastAsia="Arial" w:hAnsi="Arial"/>
          <w:sz w:val="18"/>
          <w:szCs w:val="18"/>
          <w:color w:val="auto"/>
        </w:rPr>
        <w:t>” means the occurrence of the following event: A Participant has, by reason of any medically determinable physical or mental impairment which can be expected to result in death or can be expected to last for a continuous period of not less than twelve (12) months, received income replacement benefits of not less than 3 months under the Company’s long-term disability plan. This definition shall be interpreted consistent with Code Section 409A (a)(2)(C).</w:t>
      </w:r>
    </w:p>
    <w:p>
      <w:pPr>
        <w:spacing w:after="0" w:line="136" w:lineRule="exact"/>
        <w:rPr>
          <w:rFonts w:ascii="Arial" w:cs="Arial" w:eastAsia="Arial" w:hAnsi="Arial"/>
          <w:sz w:val="18"/>
          <w:szCs w:val="18"/>
          <w:color w:val="auto"/>
        </w:rPr>
      </w:pPr>
    </w:p>
    <w:p>
      <w:pPr>
        <w:ind w:left="1220" w:hanging="299"/>
        <w:spacing w:after="0"/>
        <w:tabs>
          <w:tab w:leader="none" w:pos="1220" w:val="left"/>
        </w:tabs>
        <w:numPr>
          <w:ilvl w:val="0"/>
          <w:numId w:val="35"/>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b w:val="1"/>
          <w:bCs w:val="1"/>
          <w:color w:val="auto"/>
        </w:rPr>
        <w:t>Discretionary Contributions</w:t>
      </w:r>
      <w:r>
        <w:rPr>
          <w:rFonts w:ascii="Arial" w:cs="Arial" w:eastAsia="Arial" w:hAnsi="Arial"/>
          <w:sz w:val="16"/>
          <w:szCs w:val="16"/>
          <w:color w:val="auto"/>
        </w:rPr>
        <w:t>” are contributions made to an Account or specific Plan Year Account(s) by the Company, if any, as defined in</w:t>
      </w:r>
    </w:p>
    <w:p>
      <w:pPr>
        <w:spacing w:after="0" w:line="44"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Section 3.2.</w:t>
      </w:r>
    </w:p>
    <w:p>
      <w:pPr>
        <w:spacing w:after="0" w:line="158" w:lineRule="exact"/>
        <w:rPr>
          <w:rFonts w:ascii="Arial" w:cs="Arial" w:eastAsia="Arial" w:hAnsi="Arial"/>
          <w:sz w:val="16"/>
          <w:szCs w:val="16"/>
          <w:color w:val="auto"/>
        </w:rPr>
      </w:pPr>
    </w:p>
    <w:p>
      <w:pPr>
        <w:ind w:firstLine="921"/>
        <w:spacing w:after="0" w:line="275" w:lineRule="auto"/>
        <w:tabs>
          <w:tab w:leader="none" w:pos="1162" w:val="left"/>
        </w:tabs>
        <w:numPr>
          <w:ilvl w:val="0"/>
          <w:numId w:val="35"/>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Distributable Amount</w:t>
      </w:r>
      <w:r>
        <w:rPr>
          <w:rFonts w:ascii="Arial" w:cs="Arial" w:eastAsia="Arial" w:hAnsi="Arial"/>
          <w:sz w:val="18"/>
          <w:szCs w:val="18"/>
          <w:color w:val="auto"/>
        </w:rPr>
        <w:t>” means the entire amount credited to a Participant’s Account or Plan Year Account. Such amount shall be valued on the date the distribution is made to the Participant under Article VII.</w:t>
      </w:r>
    </w:p>
    <w:p>
      <w:pPr>
        <w:spacing w:after="0" w:line="119" w:lineRule="exact"/>
        <w:rPr>
          <w:rFonts w:ascii="Arial" w:cs="Arial" w:eastAsia="Arial" w:hAnsi="Arial"/>
          <w:sz w:val="18"/>
          <w:szCs w:val="18"/>
          <w:color w:val="auto"/>
        </w:rPr>
      </w:pPr>
    </w:p>
    <w:p>
      <w:pPr>
        <w:ind w:right="140" w:firstLine="921"/>
        <w:spacing w:after="0" w:line="339" w:lineRule="auto"/>
        <w:tabs>
          <w:tab w:leader="none" w:pos="1162" w:val="left"/>
        </w:tabs>
        <w:numPr>
          <w:ilvl w:val="0"/>
          <w:numId w:val="35"/>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b w:val="1"/>
          <w:bCs w:val="1"/>
          <w:color w:val="auto"/>
        </w:rPr>
        <w:t>Distribution Election</w:t>
      </w:r>
      <w:r>
        <w:rPr>
          <w:rFonts w:ascii="Arial" w:cs="Arial" w:eastAsia="Arial" w:hAnsi="Arial"/>
          <w:sz w:val="16"/>
          <w:szCs w:val="16"/>
          <w:color w:val="auto"/>
        </w:rPr>
        <w:t>” shall mean a Participant’s selected Distribution Event</w:t>
      </w:r>
      <w:r>
        <w:rPr>
          <w:rFonts w:ascii="Arial" w:cs="Arial" w:eastAsia="Arial" w:hAnsi="Arial"/>
          <w:sz w:val="16"/>
          <w:szCs w:val="16"/>
          <w:b w:val="1"/>
          <w:bCs w:val="1"/>
          <w:color w:val="auto"/>
        </w:rPr>
        <w:t>(s)</w:t>
      </w:r>
      <w:r>
        <w:rPr>
          <w:rFonts w:ascii="Arial" w:cs="Arial" w:eastAsia="Arial" w:hAnsi="Arial"/>
          <w:sz w:val="16"/>
          <w:szCs w:val="16"/>
          <w:color w:val="auto"/>
        </w:rPr>
        <w:t xml:space="preserve"> and form of distribution of his or her Account or one or more Plan Year Account(s) as specified on his or her Enrollment Form or Change Form in accordance with the provisions of Article 7.</w:t>
      </w:r>
    </w:p>
    <w:p>
      <w:pPr>
        <w:spacing w:after="0" w:line="67"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360"/>
          </w:cols>
          <w:pgMar w:left="240" w:top="274" w:right="299" w:bottom="1440" w:gutter="0" w:footer="0" w:header="0"/>
        </w:sectPr>
      </w:pPr>
    </w:p>
    <w:bookmarkStart w:id="57" w:name="page58"/>
    <w:bookmarkEnd w:id="57"/>
    <w:p>
      <w:pPr>
        <w:ind w:right="160" w:firstLine="921"/>
        <w:spacing w:after="0" w:line="275" w:lineRule="auto"/>
        <w:tabs>
          <w:tab w:leader="none" w:pos="1162" w:val="left"/>
        </w:tabs>
        <w:numPr>
          <w:ilvl w:val="0"/>
          <w:numId w:val="36"/>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w:t>
      </w:r>
      <w:r>
        <w:rPr>
          <w:rFonts w:ascii="Arial" w:cs="Arial" w:eastAsia="Arial" w:hAnsi="Arial"/>
          <w:sz w:val="18"/>
          <w:szCs w:val="18"/>
          <w:b w:val="1"/>
          <w:bCs w:val="1"/>
          <w:color w:val="auto"/>
        </w:rPr>
        <w:t>Distribution Event</w:t>
      </w:r>
      <w:r>
        <w:rPr>
          <w:rFonts w:ascii="Arial" w:cs="Arial" w:eastAsia="Arial" w:hAnsi="Arial"/>
          <w:sz w:val="18"/>
          <w:szCs w:val="18"/>
          <w:color w:val="auto"/>
        </w:rPr>
        <w:t>” means, with respect to each Participant, the applicable date or event specified by the Participant on his or her Enrollment Form pursuant to Section 7.1 (a</w:t>
      </w:r>
      <w:r>
        <w:rPr>
          <w:rFonts w:ascii="Arial" w:cs="Arial" w:eastAsia="Arial" w:hAnsi="Arial"/>
          <w:sz w:val="18"/>
          <w:szCs w:val="18"/>
          <w:b w:val="1"/>
          <w:bCs w:val="1"/>
          <w:color w:val="auto"/>
        </w:rPr>
        <w:t>)</w:t>
      </w:r>
      <w:r>
        <w:rPr>
          <w:rFonts w:ascii="Arial" w:cs="Arial" w:eastAsia="Arial" w:hAnsi="Arial"/>
          <w:sz w:val="18"/>
          <w:szCs w:val="18"/>
          <w:color w:val="auto"/>
        </w:rPr>
        <w:t>, or the death or Disability of the Participant</w:t>
      </w:r>
      <w:r>
        <w:rPr>
          <w:rFonts w:ascii="Arial" w:cs="Arial" w:eastAsia="Arial" w:hAnsi="Arial"/>
          <w:sz w:val="18"/>
          <w:szCs w:val="18"/>
          <w:b w:val="1"/>
          <w:bCs w:val="1"/>
          <w:color w:val="auto"/>
        </w:rPr>
        <w:t>.</w:t>
      </w:r>
    </w:p>
    <w:p>
      <w:pPr>
        <w:spacing w:after="0" w:line="119" w:lineRule="exact"/>
        <w:rPr>
          <w:rFonts w:ascii="Arial" w:cs="Arial" w:eastAsia="Arial" w:hAnsi="Arial"/>
          <w:sz w:val="18"/>
          <w:szCs w:val="18"/>
          <w:color w:val="auto"/>
        </w:rPr>
      </w:pPr>
    </w:p>
    <w:p>
      <w:pPr>
        <w:ind w:right="180" w:firstLine="921"/>
        <w:spacing w:after="0" w:line="378" w:lineRule="auto"/>
        <w:tabs>
          <w:tab w:leader="none" w:pos="1162" w:val="left"/>
        </w:tabs>
        <w:numPr>
          <w:ilvl w:val="0"/>
          <w:numId w:val="36"/>
        </w:numPr>
        <w:rPr>
          <w:rFonts w:ascii="Arial" w:cs="Arial" w:eastAsia="Arial" w:hAnsi="Arial"/>
          <w:sz w:val="15"/>
          <w:szCs w:val="15"/>
          <w:color w:val="auto"/>
        </w:rPr>
      </w:pPr>
      <w:r>
        <w:rPr>
          <w:rFonts w:ascii="Arial" w:cs="Arial" w:eastAsia="Arial" w:hAnsi="Arial"/>
          <w:sz w:val="15"/>
          <w:szCs w:val="15"/>
          <w:color w:val="auto"/>
        </w:rPr>
        <w:t>“</w:t>
      </w:r>
      <w:r>
        <w:rPr>
          <w:rFonts w:ascii="Arial" w:cs="Arial" w:eastAsia="Arial" w:hAnsi="Arial"/>
          <w:sz w:val="15"/>
          <w:szCs w:val="15"/>
          <w:b w:val="1"/>
          <w:bCs w:val="1"/>
          <w:color w:val="auto"/>
        </w:rPr>
        <w:t>Eligible Employee</w:t>
      </w:r>
      <w:r>
        <w:rPr>
          <w:rFonts w:ascii="Arial" w:cs="Arial" w:eastAsia="Arial" w:hAnsi="Arial"/>
          <w:sz w:val="15"/>
          <w:szCs w:val="15"/>
          <w:color w:val="auto"/>
        </w:rPr>
        <w:t>” means an Employee who is designated by the Board of Directors as an eligible employee, taking into consideration applicable regulations, rulings or other pronouncements by the Internal Revenue Service and Department of Labor regarding “highly compensated employees.”</w:t>
      </w:r>
    </w:p>
    <w:p>
      <w:pPr>
        <w:spacing w:after="0" w:line="50" w:lineRule="exact"/>
        <w:rPr>
          <w:rFonts w:ascii="Arial" w:cs="Arial" w:eastAsia="Arial" w:hAnsi="Arial"/>
          <w:sz w:val="15"/>
          <w:szCs w:val="15"/>
          <w:color w:val="auto"/>
        </w:rPr>
      </w:pPr>
    </w:p>
    <w:p>
      <w:pPr>
        <w:ind w:firstLine="921"/>
        <w:spacing w:after="0" w:line="275" w:lineRule="auto"/>
        <w:tabs>
          <w:tab w:leader="none" w:pos="1132" w:val="left"/>
        </w:tabs>
        <w:numPr>
          <w:ilvl w:val="0"/>
          <w:numId w:val="36"/>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Employee</w:t>
      </w:r>
      <w:r>
        <w:rPr>
          <w:rFonts w:ascii="Arial" w:cs="Arial" w:eastAsia="Arial" w:hAnsi="Arial"/>
          <w:sz w:val="18"/>
          <w:szCs w:val="18"/>
          <w:color w:val="auto"/>
        </w:rPr>
        <w:t>” means a common law employee of the Company as reflected at the relevant time on the Company’s payroll records, notwithstanding any later reclassification.</w:t>
      </w:r>
    </w:p>
    <w:p>
      <w:pPr>
        <w:spacing w:after="0" w:line="119" w:lineRule="exact"/>
        <w:rPr>
          <w:rFonts w:ascii="Arial" w:cs="Arial" w:eastAsia="Arial" w:hAnsi="Arial"/>
          <w:sz w:val="18"/>
          <w:szCs w:val="18"/>
          <w:color w:val="auto"/>
        </w:rPr>
      </w:pPr>
    </w:p>
    <w:p>
      <w:pPr>
        <w:ind w:right="280" w:firstLine="921"/>
        <w:spacing w:after="0" w:line="275" w:lineRule="auto"/>
        <w:tabs>
          <w:tab w:leader="none" w:pos="1142" w:val="left"/>
        </w:tabs>
        <w:numPr>
          <w:ilvl w:val="0"/>
          <w:numId w:val="36"/>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Enrollment Form</w:t>
      </w:r>
      <w:r>
        <w:rPr>
          <w:rFonts w:ascii="Arial" w:cs="Arial" w:eastAsia="Arial" w:hAnsi="Arial"/>
          <w:sz w:val="18"/>
          <w:szCs w:val="18"/>
          <w:color w:val="auto"/>
        </w:rPr>
        <w:t>” shall mean such hard copy and/or electronic enrollment form as may be provided by the Committee from time to time to Eligible Employees during the Annual Enrollment Period or the Initial Enrollment Period.</w:t>
      </w:r>
    </w:p>
    <w:p>
      <w:pPr>
        <w:spacing w:after="0" w:line="119" w:lineRule="exact"/>
        <w:rPr>
          <w:rFonts w:ascii="Arial" w:cs="Arial" w:eastAsia="Arial" w:hAnsi="Arial"/>
          <w:sz w:val="18"/>
          <w:szCs w:val="18"/>
          <w:color w:val="auto"/>
        </w:rPr>
      </w:pPr>
    </w:p>
    <w:p>
      <w:pPr>
        <w:ind w:left="1140" w:hanging="219"/>
        <w:spacing w:after="0"/>
        <w:tabs>
          <w:tab w:leader="none" w:pos="1140" w:val="left"/>
        </w:tabs>
        <w:numPr>
          <w:ilvl w:val="0"/>
          <w:numId w:val="36"/>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Enrollment Period</w:t>
      </w:r>
      <w:r>
        <w:rPr>
          <w:rFonts w:ascii="Arial" w:cs="Arial" w:eastAsia="Arial" w:hAnsi="Arial"/>
          <w:sz w:val="18"/>
          <w:szCs w:val="18"/>
          <w:color w:val="auto"/>
        </w:rPr>
        <w:t>” means the Initial Enrollment Period and the Annual Enrollment Period.</w:t>
      </w:r>
    </w:p>
    <w:p>
      <w:pPr>
        <w:spacing w:after="0" w:line="171" w:lineRule="exact"/>
        <w:rPr>
          <w:rFonts w:ascii="Arial" w:cs="Arial" w:eastAsia="Arial" w:hAnsi="Arial"/>
          <w:sz w:val="18"/>
          <w:szCs w:val="18"/>
          <w:color w:val="auto"/>
        </w:rPr>
      </w:pPr>
    </w:p>
    <w:p>
      <w:pPr>
        <w:ind w:left="1160" w:hanging="239"/>
        <w:spacing w:after="0"/>
        <w:tabs>
          <w:tab w:leader="none" w:pos="11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Fund</w:t>
      </w:r>
      <w:r>
        <w:rPr>
          <w:rFonts w:ascii="Arial" w:cs="Arial" w:eastAsia="Arial" w:hAnsi="Arial"/>
          <w:sz w:val="18"/>
          <w:szCs w:val="18"/>
          <w:color w:val="auto"/>
        </w:rPr>
        <w:t>” or “</w:t>
      </w:r>
      <w:r>
        <w:rPr>
          <w:rFonts w:ascii="Arial" w:cs="Arial" w:eastAsia="Arial" w:hAnsi="Arial"/>
          <w:sz w:val="18"/>
          <w:szCs w:val="18"/>
          <w:b w:val="1"/>
          <w:bCs w:val="1"/>
          <w:color w:val="auto"/>
        </w:rPr>
        <w:t>Funds</w:t>
      </w:r>
      <w:r>
        <w:rPr>
          <w:rFonts w:ascii="Arial" w:cs="Arial" w:eastAsia="Arial" w:hAnsi="Arial"/>
          <w:sz w:val="18"/>
          <w:szCs w:val="18"/>
          <w:color w:val="auto"/>
        </w:rPr>
        <w:t>” means one or more of the investment funds selected by the Committee pursuant to Section 3.3.</w:t>
      </w:r>
    </w:p>
    <w:p>
      <w:pPr>
        <w:spacing w:after="0" w:line="171" w:lineRule="exact"/>
        <w:rPr>
          <w:rFonts w:ascii="Arial" w:cs="Arial" w:eastAsia="Arial" w:hAnsi="Arial"/>
          <w:sz w:val="18"/>
          <w:szCs w:val="18"/>
          <w:color w:val="auto"/>
        </w:rPr>
      </w:pPr>
    </w:p>
    <w:p>
      <w:pPr>
        <w:ind w:left="1160" w:hanging="239"/>
        <w:spacing w:after="0"/>
        <w:tabs>
          <w:tab w:leader="none" w:pos="11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Income</w:t>
      </w:r>
      <w:r>
        <w:rPr>
          <w:rFonts w:ascii="Arial" w:cs="Arial" w:eastAsia="Arial" w:hAnsi="Arial"/>
          <w:sz w:val="18"/>
          <w:szCs w:val="18"/>
          <w:color w:val="auto"/>
        </w:rPr>
        <w:t>” means the Investment Returns from Fund investments credited to a Participant’s Account, as defined in Section 4.1(c).</w:t>
      </w:r>
    </w:p>
    <w:p>
      <w:pPr>
        <w:spacing w:after="0" w:line="171" w:lineRule="exact"/>
        <w:rPr>
          <w:rFonts w:ascii="Arial" w:cs="Arial" w:eastAsia="Arial" w:hAnsi="Arial"/>
          <w:sz w:val="18"/>
          <w:szCs w:val="18"/>
          <w:color w:val="auto"/>
        </w:rPr>
      </w:pPr>
    </w:p>
    <w:p>
      <w:pPr>
        <w:ind w:right="340" w:firstLine="921"/>
        <w:spacing w:after="0" w:line="275" w:lineRule="auto"/>
        <w:tabs>
          <w:tab w:leader="none" w:pos="12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Initial Enrollment Period</w:t>
      </w:r>
      <w:r>
        <w:rPr>
          <w:rFonts w:ascii="Arial" w:cs="Arial" w:eastAsia="Arial" w:hAnsi="Arial"/>
          <w:sz w:val="18"/>
          <w:szCs w:val="18"/>
          <w:color w:val="auto"/>
        </w:rPr>
        <w:t>” means, during a Plan Year, the thirty (30) days following an Eligible Employee’s first receipt of notification of eligibility to participate in the Plan.</w:t>
      </w:r>
    </w:p>
    <w:p>
      <w:pPr>
        <w:spacing w:after="0" w:line="119" w:lineRule="exact"/>
        <w:rPr>
          <w:rFonts w:ascii="Arial" w:cs="Arial" w:eastAsia="Arial" w:hAnsi="Arial"/>
          <w:sz w:val="18"/>
          <w:szCs w:val="18"/>
          <w:color w:val="auto"/>
        </w:rPr>
      </w:pPr>
    </w:p>
    <w:p>
      <w:pPr>
        <w:ind w:right="140" w:firstLine="921"/>
        <w:spacing w:after="0" w:line="275" w:lineRule="auto"/>
        <w:tabs>
          <w:tab w:leader="none" w:pos="1162" w:val="left"/>
        </w:tabs>
        <w:numPr>
          <w:ilvl w:val="0"/>
          <w:numId w:val="36"/>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Investment Return</w:t>
      </w:r>
      <w:r>
        <w:rPr>
          <w:rFonts w:ascii="Arial" w:cs="Arial" w:eastAsia="Arial" w:hAnsi="Arial"/>
          <w:sz w:val="18"/>
          <w:szCs w:val="18"/>
          <w:color w:val="auto"/>
        </w:rPr>
        <w:t>” means, for each Fund, an amount equal to the pre-tax rate of income or loss on the assets of such Fund (net of applicable fund and investment charges) during each valuation period, but not less frequently than monthly.</w:t>
      </w:r>
    </w:p>
    <w:p>
      <w:pPr>
        <w:spacing w:after="0" w:line="119" w:lineRule="exact"/>
        <w:rPr>
          <w:rFonts w:ascii="Arial" w:cs="Arial" w:eastAsia="Arial" w:hAnsi="Arial"/>
          <w:sz w:val="18"/>
          <w:szCs w:val="18"/>
          <w:color w:val="auto"/>
        </w:rPr>
      </w:pPr>
    </w:p>
    <w:p>
      <w:pPr>
        <w:ind w:left="1160" w:hanging="239"/>
        <w:spacing w:after="0"/>
        <w:tabs>
          <w:tab w:leader="none" w:pos="11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Key Employee</w:t>
      </w:r>
      <w:r>
        <w:rPr>
          <w:rFonts w:ascii="Arial" w:cs="Arial" w:eastAsia="Arial" w:hAnsi="Arial"/>
          <w:sz w:val="18"/>
          <w:szCs w:val="18"/>
          <w:color w:val="auto"/>
        </w:rPr>
        <w:t>” means a “key employee” as defined in Code Section 416(i) without regard to paragraph 5 thereof.</w:t>
      </w:r>
    </w:p>
    <w:p>
      <w:pPr>
        <w:spacing w:after="0" w:line="171" w:lineRule="exact"/>
        <w:rPr>
          <w:rFonts w:ascii="Arial" w:cs="Arial" w:eastAsia="Arial" w:hAnsi="Arial"/>
          <w:sz w:val="18"/>
          <w:szCs w:val="18"/>
          <w:color w:val="auto"/>
        </w:rPr>
      </w:pPr>
    </w:p>
    <w:p>
      <w:pPr>
        <w:ind w:left="1160" w:hanging="239"/>
        <w:spacing w:after="0"/>
        <w:tabs>
          <w:tab w:leader="none" w:pos="11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Participant</w:t>
      </w:r>
      <w:r>
        <w:rPr>
          <w:rFonts w:ascii="Arial" w:cs="Arial" w:eastAsia="Arial" w:hAnsi="Arial"/>
          <w:sz w:val="18"/>
          <w:szCs w:val="18"/>
          <w:color w:val="auto"/>
        </w:rPr>
        <w:t>” means any Eligible Employee who elects to defer Compensation in accordance with Section 3.1.</w:t>
      </w:r>
    </w:p>
    <w:p>
      <w:pPr>
        <w:spacing w:after="0" w:line="171" w:lineRule="exact"/>
        <w:rPr>
          <w:sz w:val="20"/>
          <w:szCs w:val="20"/>
          <w:color w:val="auto"/>
        </w:rPr>
      </w:pPr>
    </w:p>
    <w:p>
      <w:pPr>
        <w:ind w:left="1240" w:hanging="319"/>
        <w:spacing w:after="0"/>
        <w:tabs>
          <w:tab w:leader="none" w:pos="1240" w:val="left"/>
        </w:tabs>
        <w:numPr>
          <w:ilvl w:val="0"/>
          <w:numId w:val="37"/>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b w:val="1"/>
          <w:bCs w:val="1"/>
          <w:color w:val="auto"/>
        </w:rPr>
        <w:t>Payment Commencement Date</w:t>
      </w:r>
      <w:r>
        <w:rPr>
          <w:rFonts w:ascii="Arial" w:cs="Arial" w:eastAsia="Arial" w:hAnsi="Arial"/>
          <w:sz w:val="16"/>
          <w:szCs w:val="16"/>
          <w:color w:val="auto"/>
        </w:rPr>
        <w:t xml:space="preserve">” means a date that is within ninety (90) days </w:t>
      </w:r>
      <w:r>
        <w:rPr>
          <w:rFonts w:ascii="Arial" w:cs="Arial" w:eastAsia="Arial" w:hAnsi="Arial"/>
          <w:sz w:val="16"/>
          <w:szCs w:val="16"/>
          <w:b w:val="1"/>
          <w:bCs w:val="1"/>
          <w:color w:val="auto"/>
        </w:rPr>
        <w:t>after</w:t>
      </w:r>
      <w:r>
        <w:rPr>
          <w:rFonts w:ascii="Arial" w:cs="Arial" w:eastAsia="Arial" w:hAnsi="Arial"/>
          <w:sz w:val="16"/>
          <w:szCs w:val="16"/>
          <w:color w:val="auto"/>
        </w:rPr>
        <w:t xml:space="preserve"> the Participant has a Distribution Event.</w:t>
      </w:r>
    </w:p>
    <w:p>
      <w:pPr>
        <w:spacing w:after="0" w:line="194" w:lineRule="exact"/>
        <w:rPr>
          <w:rFonts w:ascii="Arial" w:cs="Arial" w:eastAsia="Arial" w:hAnsi="Arial"/>
          <w:sz w:val="16"/>
          <w:szCs w:val="16"/>
          <w:color w:val="auto"/>
        </w:rPr>
      </w:pPr>
    </w:p>
    <w:p>
      <w:pPr>
        <w:ind w:left="1260" w:hanging="339"/>
        <w:spacing w:after="0"/>
        <w:tabs>
          <w:tab w:leader="none" w:pos="1260" w:val="left"/>
        </w:tabs>
        <w:numPr>
          <w:ilvl w:val="0"/>
          <w:numId w:val="37"/>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b w:val="1"/>
          <w:bCs w:val="1"/>
          <w:color w:val="auto"/>
        </w:rPr>
        <w:t>Plan</w:t>
      </w:r>
      <w:r>
        <w:rPr>
          <w:rFonts w:ascii="Arial" w:cs="Arial" w:eastAsia="Arial" w:hAnsi="Arial"/>
          <w:sz w:val="16"/>
          <w:szCs w:val="16"/>
          <w:color w:val="auto"/>
        </w:rPr>
        <w:t>” means the Autodesk, Inc. 2005 Non-Qualified Deferred Compensation Plan set forth herein, now in effect, or as amended from time to</w:t>
      </w:r>
    </w:p>
    <w:p>
      <w:pPr>
        <w:spacing w:after="0" w:line="44" w:lineRule="exact"/>
        <w:rPr>
          <w:sz w:val="20"/>
          <w:szCs w:val="20"/>
          <w:color w:val="auto"/>
        </w:rPr>
      </w:pPr>
    </w:p>
    <w:p>
      <w:pPr>
        <w:spacing w:after="0"/>
        <w:rPr>
          <w:sz w:val="20"/>
          <w:szCs w:val="20"/>
          <w:color w:val="auto"/>
        </w:rPr>
      </w:pPr>
      <w:r>
        <w:rPr>
          <w:rFonts w:ascii="Arial" w:cs="Arial" w:eastAsia="Arial" w:hAnsi="Arial"/>
          <w:sz w:val="18"/>
          <w:szCs w:val="18"/>
          <w:color w:val="auto"/>
        </w:rPr>
        <w:t>time.</w:t>
      </w:r>
    </w:p>
    <w:p>
      <w:pPr>
        <w:spacing w:after="0" w:line="15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00"/>
          </w:cols>
          <w:pgMar w:left="240" w:top="274" w:right="259" w:bottom="1440" w:gutter="0" w:footer="0" w:header="0"/>
        </w:sectPr>
      </w:pPr>
    </w:p>
    <w:bookmarkStart w:id="58" w:name="page59"/>
    <w:bookmarkEnd w:id="58"/>
    <w:p>
      <w:pPr>
        <w:ind w:right="220" w:firstLine="921"/>
        <w:spacing w:after="0" w:line="275" w:lineRule="auto"/>
        <w:tabs>
          <w:tab w:leader="none" w:pos="1230" w:val="left"/>
        </w:tabs>
        <w:numPr>
          <w:ilvl w:val="0"/>
          <w:numId w:val="38"/>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t>
      </w:r>
      <w:r>
        <w:rPr>
          <w:rFonts w:ascii="Arial" w:cs="Arial" w:eastAsia="Arial" w:hAnsi="Arial"/>
          <w:sz w:val="18"/>
          <w:szCs w:val="18"/>
          <w:b w:val="1"/>
          <w:bCs w:val="1"/>
          <w:color w:val="auto"/>
        </w:rPr>
        <w:t>Plan Year</w:t>
      </w:r>
      <w:r>
        <w:rPr>
          <w:rFonts w:ascii="Arial" w:cs="Arial" w:eastAsia="Arial" w:hAnsi="Arial"/>
          <w:sz w:val="18"/>
          <w:szCs w:val="18"/>
          <w:color w:val="auto"/>
        </w:rPr>
        <w:t>” means the twelve (12) consecutive month period beginning each January 1</w:t>
      </w:r>
      <w:r>
        <w:rPr>
          <w:rFonts w:ascii="Arial" w:cs="Arial" w:eastAsia="Arial" w:hAnsi="Arial"/>
          <w:sz w:val="11"/>
          <w:szCs w:val="11"/>
          <w:color w:val="auto"/>
        </w:rPr>
        <w:t>st</w:t>
      </w:r>
      <w:r>
        <w:rPr>
          <w:rFonts w:ascii="Arial" w:cs="Arial" w:eastAsia="Arial" w:hAnsi="Arial"/>
          <w:sz w:val="18"/>
          <w:szCs w:val="18"/>
          <w:color w:val="auto"/>
        </w:rPr>
        <w:t xml:space="preserve"> and ending December 31</w:t>
      </w:r>
      <w:r>
        <w:rPr>
          <w:rFonts w:ascii="Arial" w:cs="Arial" w:eastAsia="Arial" w:hAnsi="Arial"/>
          <w:sz w:val="11"/>
          <w:szCs w:val="11"/>
          <w:color w:val="auto"/>
        </w:rPr>
        <w:t>st</w:t>
      </w:r>
      <w:r>
        <w:rPr>
          <w:rFonts w:ascii="Arial" w:cs="Arial" w:eastAsia="Arial" w:hAnsi="Arial"/>
          <w:sz w:val="18"/>
          <w:szCs w:val="18"/>
          <w:color w:val="auto"/>
        </w:rPr>
        <w:t>, with the first Plan Year beginning on the Effective Date.</w:t>
      </w:r>
    </w:p>
    <w:p>
      <w:pPr>
        <w:spacing w:after="0" w:line="160" w:lineRule="exact"/>
        <w:rPr>
          <w:rFonts w:ascii="Arial" w:cs="Arial" w:eastAsia="Arial" w:hAnsi="Arial"/>
          <w:sz w:val="18"/>
          <w:szCs w:val="18"/>
          <w:color w:val="auto"/>
        </w:rPr>
      </w:pPr>
    </w:p>
    <w:p>
      <w:pPr>
        <w:ind w:left="1260" w:hanging="339"/>
        <w:spacing w:after="0"/>
        <w:tabs>
          <w:tab w:leader="none" w:pos="12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Plan Year Account</w:t>
      </w:r>
      <w:r>
        <w:rPr>
          <w:rFonts w:ascii="Arial" w:cs="Arial" w:eastAsia="Arial" w:hAnsi="Arial"/>
          <w:sz w:val="18"/>
          <w:szCs w:val="18"/>
          <w:color w:val="auto"/>
        </w:rPr>
        <w:t>” means the sub-account of and Account relating to a specific Plan Year.</w:t>
      </w:r>
    </w:p>
    <w:p>
      <w:pPr>
        <w:spacing w:after="0" w:line="171" w:lineRule="exact"/>
        <w:rPr>
          <w:rFonts w:ascii="Arial" w:cs="Arial" w:eastAsia="Arial" w:hAnsi="Arial"/>
          <w:sz w:val="18"/>
          <w:szCs w:val="18"/>
          <w:color w:val="auto"/>
        </w:rPr>
      </w:pPr>
    </w:p>
    <w:p>
      <w:pPr>
        <w:ind w:firstLine="921"/>
        <w:spacing w:after="0" w:line="296" w:lineRule="auto"/>
        <w:tabs>
          <w:tab w:leader="none" w:pos="1230" w:val="left"/>
        </w:tabs>
        <w:numPr>
          <w:ilvl w:val="0"/>
          <w:numId w:val="38"/>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b w:val="1"/>
          <w:bCs w:val="1"/>
          <w:color w:val="auto"/>
        </w:rPr>
        <w:t>Retirement</w:t>
      </w:r>
      <w:r>
        <w:rPr>
          <w:rFonts w:ascii="Arial" w:cs="Arial" w:eastAsia="Arial" w:hAnsi="Arial"/>
          <w:sz w:val="16"/>
          <w:szCs w:val="16"/>
          <w:color w:val="auto"/>
        </w:rPr>
        <w:t>” means the date of a Participant’s separation from service (as determined pursuant to Section 409A(2)(A) of the Code and the Treasury Regulations issued thereunder) with the Company on or after attainment of age sixty-five (65; provided, however, that, in the case of a Key Employee who is treated as a specified employee for purposes of Code Section 409A and the Treasury Regulations issued thereunder, payment of such Participant’s benefit upon Retirement shall not be made before that date that is six (6) months and one day following the Participant’s separation from service or, if earlier, upon the death of the Participant.</w:t>
      </w:r>
    </w:p>
    <w:p>
      <w:pPr>
        <w:spacing w:after="0" w:line="107" w:lineRule="exact"/>
        <w:rPr>
          <w:rFonts w:ascii="Arial" w:cs="Arial" w:eastAsia="Arial" w:hAnsi="Arial"/>
          <w:sz w:val="16"/>
          <w:szCs w:val="16"/>
          <w:color w:val="auto"/>
        </w:rPr>
      </w:pPr>
    </w:p>
    <w:p>
      <w:pPr>
        <w:jc w:val="both"/>
        <w:ind w:right="40" w:firstLine="921"/>
        <w:spacing w:after="0" w:line="326" w:lineRule="auto"/>
        <w:tabs>
          <w:tab w:leader="none" w:pos="1187" w:val="left"/>
        </w:tabs>
        <w:numPr>
          <w:ilvl w:val="0"/>
          <w:numId w:val="38"/>
        </w:numPr>
        <w:rPr>
          <w:rFonts w:ascii="Arial" w:cs="Arial" w:eastAsia="Arial" w:hAnsi="Arial"/>
          <w:sz w:val="15"/>
          <w:szCs w:val="15"/>
          <w:color w:val="auto"/>
        </w:rPr>
      </w:pPr>
      <w:r>
        <w:rPr>
          <w:rFonts w:ascii="Arial" w:cs="Arial" w:eastAsia="Arial" w:hAnsi="Arial"/>
          <w:sz w:val="15"/>
          <w:szCs w:val="15"/>
          <w:color w:val="auto"/>
        </w:rPr>
        <w:t>“</w:t>
      </w:r>
      <w:r>
        <w:rPr>
          <w:rFonts w:ascii="Arial" w:cs="Arial" w:eastAsia="Arial" w:hAnsi="Arial"/>
          <w:sz w:val="15"/>
          <w:szCs w:val="15"/>
          <w:b w:val="1"/>
          <w:bCs w:val="1"/>
          <w:color w:val="auto"/>
        </w:rPr>
        <w:t>Termination</w:t>
      </w:r>
      <w:r>
        <w:rPr>
          <w:rFonts w:ascii="Arial" w:cs="Arial" w:eastAsia="Arial" w:hAnsi="Arial"/>
          <w:sz w:val="15"/>
          <w:szCs w:val="15"/>
          <w:color w:val="auto"/>
        </w:rPr>
        <w:t>” means the date of a Participant’s separation from service (as determined pursuant to Section 409A(2)(A) of the Code and the Treasury Regulations issued thereunder) with the Company, other than Retirement; provided, however, that in the case of a Key Employee who is treated as a specified employee for purposes of Code Section 409A and the Treasury Regulations issued thereunder, payment of such Participant’s benefit upon Termination shall not be before the date that is six (6) months and one day following the Participant’s separation from service or, if earlier, upon the death of the Participant.</w:t>
      </w:r>
    </w:p>
    <w:p>
      <w:pPr>
        <w:spacing w:after="0" w:line="251"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ARTICLE II</w:t>
      </w:r>
    </w:p>
    <w:p>
      <w:pPr>
        <w:spacing w:after="0" w:line="171"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PARTICIPATION</w:t>
      </w:r>
    </w:p>
    <w:p>
      <w:pPr>
        <w:spacing w:after="0" w:line="171" w:lineRule="exact"/>
        <w:rPr>
          <w:sz w:val="20"/>
          <w:szCs w:val="20"/>
          <w:color w:val="auto"/>
        </w:rPr>
      </w:pPr>
    </w:p>
    <w:p>
      <w:pPr>
        <w:ind w:right="120" w:firstLine="456"/>
        <w:spacing w:after="0" w:line="275" w:lineRule="auto"/>
        <w:rPr>
          <w:sz w:val="20"/>
          <w:szCs w:val="20"/>
          <w:color w:val="auto"/>
        </w:rPr>
      </w:pPr>
      <w:r>
        <w:rPr>
          <w:rFonts w:ascii="Arial" w:cs="Arial" w:eastAsia="Arial" w:hAnsi="Arial"/>
          <w:sz w:val="18"/>
          <w:szCs w:val="18"/>
          <w:b w:val="1"/>
          <w:bCs w:val="1"/>
          <w:color w:val="auto"/>
        </w:rPr>
        <w:t xml:space="preserve">2.1 </w:t>
      </w:r>
      <w:r>
        <w:rPr>
          <w:rFonts w:ascii="Arial" w:cs="Arial" w:eastAsia="Arial" w:hAnsi="Arial"/>
          <w:sz w:val="18"/>
          <w:szCs w:val="18"/>
          <w:u w:val="single" w:color="auto"/>
          <w:color w:val="auto"/>
        </w:rPr>
        <w:t>Eligibility</w:t>
      </w:r>
      <w:r>
        <w:rPr>
          <w:rFonts w:ascii="Arial" w:cs="Arial" w:eastAsia="Arial" w:hAnsi="Arial"/>
          <w:sz w:val="18"/>
          <w:szCs w:val="18"/>
          <w:color w:val="auto"/>
        </w:rPr>
        <w:t>. An Eligible Employee shall be eligible to participate in the Plan during each Enrollment Period. No individual may become a Participant,</w:t>
      </w:r>
      <w:r>
        <w:rPr>
          <w:rFonts w:ascii="Arial" w:cs="Arial" w:eastAsia="Arial" w:hAnsi="Arial"/>
          <w:sz w:val="18"/>
          <w:szCs w:val="18"/>
          <w:b w:val="1"/>
          <w:bCs w:val="1"/>
          <w:color w:val="auto"/>
        </w:rPr>
        <w:t xml:space="preserve"> </w:t>
      </w:r>
      <w:r>
        <w:rPr>
          <w:rFonts w:ascii="Arial" w:cs="Arial" w:eastAsia="Arial" w:hAnsi="Arial"/>
          <w:sz w:val="18"/>
          <w:szCs w:val="18"/>
          <w:color w:val="auto"/>
        </w:rPr>
        <w:t>however, if he or she is not an Eligible Employee on the date his or her participation is to begin.</w:t>
      </w:r>
    </w:p>
    <w:p>
      <w:pPr>
        <w:spacing w:after="0" w:line="120" w:lineRule="exact"/>
        <w:rPr>
          <w:sz w:val="20"/>
          <w:szCs w:val="20"/>
          <w:color w:val="auto"/>
        </w:rPr>
      </w:pPr>
    </w:p>
    <w:p>
      <w:pPr>
        <w:ind w:firstLine="456"/>
        <w:spacing w:after="0" w:line="262" w:lineRule="auto"/>
        <w:rPr>
          <w:sz w:val="20"/>
          <w:szCs w:val="20"/>
          <w:color w:val="auto"/>
        </w:rPr>
      </w:pPr>
      <w:r>
        <w:rPr>
          <w:rFonts w:ascii="Arial" w:cs="Arial" w:eastAsia="Arial" w:hAnsi="Arial"/>
          <w:sz w:val="18"/>
          <w:szCs w:val="18"/>
          <w:b w:val="1"/>
          <w:bCs w:val="1"/>
          <w:color w:val="auto"/>
        </w:rPr>
        <w:t xml:space="preserve">2.2 </w:t>
      </w:r>
      <w:r>
        <w:rPr>
          <w:rFonts w:ascii="Arial" w:cs="Arial" w:eastAsia="Arial" w:hAnsi="Arial"/>
          <w:sz w:val="18"/>
          <w:szCs w:val="18"/>
          <w:u w:val="single" w:color="auto"/>
          <w:color w:val="auto"/>
        </w:rPr>
        <w:t>Change of Employment Category</w:t>
      </w:r>
      <w:r>
        <w:rPr>
          <w:rFonts w:ascii="Arial" w:cs="Arial" w:eastAsia="Arial" w:hAnsi="Arial"/>
          <w:sz w:val="18"/>
          <w:szCs w:val="18"/>
          <w:color w:val="auto"/>
        </w:rPr>
        <w:t>. During any Plan Year in which a Participant remains in the employ of the Company but ceases to be an Eligible</w:t>
      </w:r>
      <w:r>
        <w:rPr>
          <w:rFonts w:ascii="Arial" w:cs="Arial" w:eastAsia="Arial" w:hAnsi="Arial"/>
          <w:sz w:val="18"/>
          <w:szCs w:val="18"/>
          <w:b w:val="1"/>
          <w:bCs w:val="1"/>
          <w:color w:val="auto"/>
        </w:rPr>
        <w:t xml:space="preserve"> </w:t>
      </w:r>
      <w:r>
        <w:rPr>
          <w:rFonts w:ascii="Arial" w:cs="Arial" w:eastAsia="Arial" w:hAnsi="Arial"/>
          <w:sz w:val="18"/>
          <w:szCs w:val="18"/>
          <w:color w:val="auto"/>
        </w:rPr>
        <w:t>Employee, he or she shall not be eligible to make further Compensation Deferrals hereunder. Contributions made while an Eligible Employee shall remain in the Plan until distributed pursuant to a Distribution Event in accordance with the terms of the Plan.</w:t>
      </w:r>
    </w:p>
    <w:p>
      <w:pPr>
        <w:spacing w:after="0" w:line="132" w:lineRule="exact"/>
        <w:rPr>
          <w:sz w:val="20"/>
          <w:szCs w:val="20"/>
          <w:color w:val="auto"/>
        </w:rPr>
      </w:pPr>
    </w:p>
    <w:p>
      <w:pPr>
        <w:ind w:right="840" w:firstLine="456"/>
        <w:spacing w:after="0" w:line="275" w:lineRule="auto"/>
        <w:rPr>
          <w:sz w:val="20"/>
          <w:szCs w:val="20"/>
          <w:color w:val="auto"/>
        </w:rPr>
      </w:pPr>
      <w:r>
        <w:rPr>
          <w:rFonts w:ascii="Arial" w:cs="Arial" w:eastAsia="Arial" w:hAnsi="Arial"/>
          <w:sz w:val="18"/>
          <w:szCs w:val="18"/>
          <w:b w:val="1"/>
          <w:bCs w:val="1"/>
          <w:color w:val="auto"/>
        </w:rPr>
        <w:t xml:space="preserve">2.3 </w:t>
      </w:r>
      <w:r>
        <w:rPr>
          <w:rFonts w:ascii="Arial" w:cs="Arial" w:eastAsia="Arial" w:hAnsi="Arial"/>
          <w:sz w:val="18"/>
          <w:szCs w:val="18"/>
          <w:u w:val="single" w:color="auto"/>
          <w:color w:val="auto"/>
        </w:rPr>
        <w:t>Participation</w:t>
      </w:r>
      <w:r>
        <w:rPr>
          <w:rFonts w:ascii="Arial" w:cs="Arial" w:eastAsia="Arial" w:hAnsi="Arial"/>
          <w:sz w:val="18"/>
          <w:szCs w:val="18"/>
          <w:color w:val="auto"/>
        </w:rPr>
        <w:t>. An Eligible Employee shall become a Participant by completing an Enrollment Form electing to defer a portion of his or her</w:t>
      </w:r>
      <w:r>
        <w:rPr>
          <w:rFonts w:ascii="Arial" w:cs="Arial" w:eastAsia="Arial" w:hAnsi="Arial"/>
          <w:sz w:val="18"/>
          <w:szCs w:val="18"/>
          <w:b w:val="1"/>
          <w:bCs w:val="1"/>
          <w:color w:val="auto"/>
        </w:rPr>
        <w:t xml:space="preserve"> </w:t>
      </w:r>
      <w:r>
        <w:rPr>
          <w:rFonts w:ascii="Arial" w:cs="Arial" w:eastAsia="Arial" w:hAnsi="Arial"/>
          <w:sz w:val="18"/>
          <w:szCs w:val="18"/>
          <w:color w:val="auto"/>
        </w:rPr>
        <w:t>Compensation in accordance with Section 3.1.</w:t>
      </w:r>
    </w:p>
    <w:p>
      <w:pPr>
        <w:spacing w:after="0" w:line="112"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300"/>
          </w:cols>
          <w:pgMar w:left="240" w:top="274" w:right="359" w:bottom="1440" w:gutter="0" w:footer="0" w:header="0"/>
        </w:sectPr>
      </w:pPr>
    </w:p>
    <w:bookmarkStart w:id="59" w:name="page60"/>
    <w:bookmarkEnd w:id="59"/>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ARTICLE III</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DEFERRAL ELECTIONS</w:t>
      </w:r>
    </w:p>
    <w:p>
      <w:pPr>
        <w:spacing w:after="0" w:line="171"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 xml:space="preserve">3.1 </w:t>
      </w:r>
      <w:r>
        <w:rPr>
          <w:rFonts w:ascii="Arial" w:cs="Arial" w:eastAsia="Arial" w:hAnsi="Arial"/>
          <w:sz w:val="18"/>
          <w:szCs w:val="18"/>
          <w:u w:val="single" w:color="auto"/>
          <w:color w:val="auto"/>
        </w:rPr>
        <w:t>Elections to Defer Compensation</w:t>
      </w:r>
      <w:r>
        <w:rPr>
          <w:rFonts w:ascii="Arial" w:cs="Arial" w:eastAsia="Arial" w:hAnsi="Arial"/>
          <w:sz w:val="18"/>
          <w:szCs w:val="18"/>
          <w:color w:val="auto"/>
        </w:rPr>
        <w:t>.</w:t>
      </w:r>
    </w:p>
    <w:p>
      <w:pPr>
        <w:spacing w:after="0" w:line="96" w:lineRule="exact"/>
        <w:rPr>
          <w:sz w:val="20"/>
          <w:szCs w:val="20"/>
          <w:color w:val="auto"/>
        </w:rPr>
      </w:pPr>
    </w:p>
    <w:p>
      <w:pPr>
        <w:ind w:left="-20" w:right="20" w:firstLine="921"/>
        <w:spacing w:after="0" w:line="253" w:lineRule="auto"/>
        <w:tabs>
          <w:tab w:leader="none" w:pos="1132" w:val="left"/>
        </w:tabs>
        <w:numPr>
          <w:ilvl w:val="0"/>
          <w:numId w:val="39"/>
        </w:numPr>
        <w:rPr>
          <w:rFonts w:ascii="Arial" w:cs="Arial" w:eastAsia="Arial" w:hAnsi="Arial"/>
          <w:sz w:val="18"/>
          <w:szCs w:val="18"/>
          <w:color w:val="auto"/>
        </w:rPr>
      </w:pPr>
      <w:r>
        <w:rPr>
          <w:rFonts w:ascii="Arial" w:cs="Arial" w:eastAsia="Arial" w:hAnsi="Arial"/>
          <w:sz w:val="18"/>
          <w:szCs w:val="18"/>
          <w:u w:val="single" w:color="auto"/>
          <w:color w:val="auto"/>
        </w:rPr>
        <w:t>Deferral Elections</w:t>
      </w:r>
      <w:r>
        <w:rPr>
          <w:rFonts w:ascii="Arial" w:cs="Arial" w:eastAsia="Arial" w:hAnsi="Arial"/>
          <w:sz w:val="18"/>
          <w:szCs w:val="18"/>
          <w:color w:val="auto"/>
        </w:rPr>
        <w:t>. In accordance with the rules established by the Committee and subject to requirements of the Code and Section 7.1 below, a Participant may make a Deferral Election to defer up to 100% of Compensation relating to services to be performed in the year(s) following the end of the taxable year in which the deferral election is made. A Deferral Election made before the end of a given calendar year may relate to (1) Salary for services to be performed in the following Plan Year and/or (2) Bonuses relating to services to be performed during the Company’s fiscal year beginning in the following Plan Year. Notwithstanding the foregoing, however, the Committee may permit a deferral election for a Bonus to be made up until 6 months before the end of the 12 month service period to which the Bonus relates, provided the Bonus qualifies as “performance-based compensation” under Code Section 409A(a)(4)(B)(iii) and applicable regulations issued thereunder.</w:t>
      </w:r>
    </w:p>
    <w:p>
      <w:pPr>
        <w:spacing w:after="0" w:line="147" w:lineRule="exact"/>
        <w:rPr>
          <w:rFonts w:ascii="Arial" w:cs="Arial" w:eastAsia="Arial" w:hAnsi="Arial"/>
          <w:sz w:val="18"/>
          <w:szCs w:val="18"/>
          <w:color w:val="auto"/>
        </w:rPr>
      </w:pPr>
    </w:p>
    <w:p>
      <w:pPr>
        <w:ind w:left="-20" w:right="120" w:firstLine="921"/>
        <w:spacing w:after="0" w:line="298" w:lineRule="auto"/>
        <w:tabs>
          <w:tab w:leader="none" w:pos="1141" w:val="left"/>
        </w:tabs>
        <w:numPr>
          <w:ilvl w:val="0"/>
          <w:numId w:val="39"/>
        </w:numPr>
        <w:rPr>
          <w:rFonts w:ascii="Arial" w:cs="Arial" w:eastAsia="Arial" w:hAnsi="Arial"/>
          <w:sz w:val="16"/>
          <w:szCs w:val="16"/>
          <w:color w:val="auto"/>
        </w:rPr>
      </w:pPr>
      <w:r>
        <w:rPr>
          <w:rFonts w:ascii="Arial" w:cs="Arial" w:eastAsia="Arial" w:hAnsi="Arial"/>
          <w:sz w:val="16"/>
          <w:szCs w:val="16"/>
          <w:u w:val="single" w:color="auto"/>
          <w:color w:val="auto"/>
        </w:rPr>
        <w:t>Automatic Reduction in Deferral Election</w:t>
      </w:r>
      <w:r>
        <w:rPr>
          <w:rFonts w:ascii="Arial" w:cs="Arial" w:eastAsia="Arial" w:hAnsi="Arial"/>
          <w:sz w:val="16"/>
          <w:szCs w:val="16"/>
          <w:color w:val="auto"/>
        </w:rPr>
        <w:t>. Notwithstanding Section 3.1(a) above, a Participant’s Deferral Election for a Plan Year shall be automatically reduced to the extent necessary to ensure that the Company is able to (i) satisfy its required state, federal or other tax withholding obligations in respect of any amounts payable to the Participant for a Plan Year, (ii) satisfy its legal obligation to comply with any applicable wage garnishment orders in effect and (iii) properly administer the Participant’s valid elections, if any, made in accordance with Code Section 125.</w:t>
      </w:r>
    </w:p>
    <w:p>
      <w:pPr>
        <w:spacing w:after="0" w:line="112" w:lineRule="exact"/>
        <w:rPr>
          <w:rFonts w:ascii="Arial" w:cs="Arial" w:eastAsia="Arial" w:hAnsi="Arial"/>
          <w:sz w:val="16"/>
          <w:szCs w:val="16"/>
          <w:color w:val="auto"/>
        </w:rPr>
      </w:pPr>
    </w:p>
    <w:p>
      <w:pPr>
        <w:ind w:left="-20" w:right="20" w:firstLine="921"/>
        <w:spacing w:after="0" w:line="256" w:lineRule="auto"/>
        <w:tabs>
          <w:tab w:leader="none" w:pos="1132" w:val="left"/>
        </w:tabs>
        <w:numPr>
          <w:ilvl w:val="0"/>
          <w:numId w:val="39"/>
        </w:numPr>
        <w:rPr>
          <w:rFonts w:ascii="Arial" w:cs="Arial" w:eastAsia="Arial" w:hAnsi="Arial"/>
          <w:sz w:val="18"/>
          <w:szCs w:val="18"/>
          <w:color w:val="auto"/>
        </w:rPr>
      </w:pPr>
      <w:r>
        <w:rPr>
          <w:rFonts w:ascii="Arial" w:cs="Arial" w:eastAsia="Arial" w:hAnsi="Arial"/>
          <w:sz w:val="18"/>
          <w:szCs w:val="18"/>
          <w:u w:val="single" w:color="auto"/>
          <w:color w:val="auto"/>
        </w:rPr>
        <w:t>Special Rules for Deferral of Calendar Year 2005 Bonuses</w:t>
      </w:r>
      <w:r>
        <w:rPr>
          <w:rFonts w:ascii="Arial" w:cs="Arial" w:eastAsia="Arial" w:hAnsi="Arial"/>
          <w:sz w:val="18"/>
          <w:szCs w:val="18"/>
          <w:color w:val="auto"/>
        </w:rPr>
        <w:t>. Notwithstanding the timing rules set forth in Section 3.1(a), Participants may elect to defer the Bonus otherwise payable to a Participant during the Plan Year January 1, 2005 through December 31, 2005, so long as the deferral election is made prior to the beginning of the relevant Plan Year, subject to Code Section 409A and the relevant transition rules in Section 885(f) of the America Jobs Creation Act and Treasury Regulations issued thereunder.</w:t>
      </w:r>
    </w:p>
    <w:p>
      <w:pPr>
        <w:spacing w:after="0" w:line="143" w:lineRule="exact"/>
        <w:rPr>
          <w:rFonts w:ascii="Arial" w:cs="Arial" w:eastAsia="Arial" w:hAnsi="Arial"/>
          <w:sz w:val="18"/>
          <w:szCs w:val="18"/>
          <w:color w:val="auto"/>
        </w:rPr>
      </w:pPr>
    </w:p>
    <w:p>
      <w:pPr>
        <w:ind w:left="-20" w:firstLine="921"/>
        <w:spacing w:after="0" w:line="332" w:lineRule="auto"/>
        <w:tabs>
          <w:tab w:leader="none" w:pos="1141" w:val="left"/>
        </w:tabs>
        <w:numPr>
          <w:ilvl w:val="0"/>
          <w:numId w:val="39"/>
        </w:numPr>
        <w:rPr>
          <w:rFonts w:ascii="Arial" w:cs="Arial" w:eastAsia="Arial" w:hAnsi="Arial"/>
          <w:sz w:val="16"/>
          <w:szCs w:val="16"/>
          <w:color w:val="auto"/>
        </w:rPr>
      </w:pPr>
      <w:r>
        <w:rPr>
          <w:rFonts w:ascii="Arial" w:cs="Arial" w:eastAsia="Arial" w:hAnsi="Arial"/>
          <w:sz w:val="16"/>
          <w:szCs w:val="16"/>
          <w:u w:val="single" w:color="auto"/>
          <w:color w:val="auto"/>
        </w:rPr>
        <w:t>Payroll Deductions</w:t>
      </w:r>
      <w:r>
        <w:rPr>
          <w:rFonts w:ascii="Arial" w:cs="Arial" w:eastAsia="Arial" w:hAnsi="Arial"/>
          <w:sz w:val="16"/>
          <w:szCs w:val="16"/>
          <w:color w:val="auto"/>
        </w:rPr>
        <w:t>. Compensation Deferrals shall be made through regular payroll deductions, and will be limited to the extent necessary to satisfy applicable tax withholding, benefit plan contribution requirements, and any amounts necessary to satisfy any wage garnishment or similar type obligations.</w:t>
      </w:r>
    </w:p>
    <w:p>
      <w:pPr>
        <w:spacing w:after="0" w:line="85" w:lineRule="exact"/>
        <w:rPr>
          <w:rFonts w:ascii="Arial" w:cs="Arial" w:eastAsia="Arial" w:hAnsi="Arial"/>
          <w:sz w:val="16"/>
          <w:szCs w:val="16"/>
          <w:color w:val="auto"/>
        </w:rPr>
      </w:pPr>
    </w:p>
    <w:p>
      <w:pPr>
        <w:ind w:left="-20" w:right="40" w:firstLine="921"/>
        <w:spacing w:after="0" w:line="254" w:lineRule="auto"/>
        <w:tabs>
          <w:tab w:leader="none" w:pos="1132" w:val="left"/>
        </w:tabs>
        <w:numPr>
          <w:ilvl w:val="0"/>
          <w:numId w:val="39"/>
        </w:numPr>
        <w:rPr>
          <w:rFonts w:ascii="Arial" w:cs="Arial" w:eastAsia="Arial" w:hAnsi="Arial"/>
          <w:sz w:val="18"/>
          <w:szCs w:val="18"/>
          <w:color w:val="auto"/>
        </w:rPr>
      </w:pPr>
      <w:r>
        <w:rPr>
          <w:rFonts w:ascii="Arial" w:cs="Arial" w:eastAsia="Arial" w:hAnsi="Arial"/>
          <w:sz w:val="18"/>
          <w:szCs w:val="18"/>
          <w:u w:val="single" w:color="auto"/>
          <w:color w:val="auto"/>
        </w:rPr>
        <w:t>Irrevocable Election</w:t>
      </w:r>
      <w:r>
        <w:rPr>
          <w:rFonts w:ascii="Arial" w:cs="Arial" w:eastAsia="Arial" w:hAnsi="Arial"/>
          <w:sz w:val="18"/>
          <w:szCs w:val="18"/>
          <w:color w:val="auto"/>
        </w:rPr>
        <w:t>. Once made, Deferral Elections shall remain in force for the applicable Plan Year unless the Participant ceases to be an Eligible Employee, in which case contributions made while an Eligible Employee shall remain in the Plan until distribution as elected in accordance with Article VII. Notwithstanding the foregoing, an Eligible Employee who participates in the Autodesk, Inc. Executive Incentive Plan may elect to revoke or change his or her Deferral Election for his or her Bonus for the 2008 Plan Year; provided, that the Bonus qualifies as “performance-based compensation” under Code Section 409A(a)(4)(B)(iii) and applicable regulations issued thereunder. Such election to revoke or change his or her Deferral Election shall be made no later than July 31, 2008.</w:t>
      </w:r>
    </w:p>
    <w:p>
      <w:pPr>
        <w:spacing w:after="0" w:line="1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00"/>
          </w:cols>
          <w:pgMar w:left="260" w:top="274" w:right="239" w:bottom="1440" w:gutter="0" w:footer="0" w:header="0"/>
        </w:sectPr>
      </w:pPr>
    </w:p>
    <w:bookmarkStart w:id="60" w:name="page61"/>
    <w:bookmarkEnd w:id="60"/>
    <w:p>
      <w:pPr>
        <w:ind w:right="380" w:firstLine="456"/>
        <w:spacing w:after="0" w:line="378" w:lineRule="auto"/>
        <w:rPr>
          <w:sz w:val="20"/>
          <w:szCs w:val="20"/>
          <w:color w:val="auto"/>
        </w:rPr>
      </w:pPr>
      <w:r>
        <w:rPr>
          <w:rFonts w:ascii="Arial" w:cs="Arial" w:eastAsia="Arial" w:hAnsi="Arial"/>
          <w:sz w:val="15"/>
          <w:szCs w:val="15"/>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3.2 </w:t>
      </w:r>
      <w:r>
        <w:rPr>
          <w:rFonts w:ascii="Arial" w:cs="Arial" w:eastAsia="Arial" w:hAnsi="Arial"/>
          <w:sz w:val="15"/>
          <w:szCs w:val="15"/>
          <w:u w:val="single" w:color="auto"/>
          <w:color w:val="auto"/>
        </w:rPr>
        <w:t>Discretionary Contributions by the Company</w:t>
      </w:r>
      <w:r>
        <w:rPr>
          <w:rFonts w:ascii="Arial" w:cs="Arial" w:eastAsia="Arial" w:hAnsi="Arial"/>
          <w:sz w:val="15"/>
          <w:szCs w:val="15"/>
          <w:color w:val="auto"/>
        </w:rPr>
        <w:t>. The Company may, in its sole and absolute discretion, make contributions (“</w:t>
      </w:r>
      <w:r>
        <w:rPr>
          <w:rFonts w:ascii="Arial" w:cs="Arial" w:eastAsia="Arial" w:hAnsi="Arial"/>
          <w:sz w:val="15"/>
          <w:szCs w:val="15"/>
          <w:b w:val="1"/>
          <w:bCs w:val="1"/>
          <w:color w:val="auto"/>
        </w:rPr>
        <w:t>Discretionary Contributions</w:t>
      </w:r>
      <w:r>
        <w:rPr>
          <w:rFonts w:ascii="Arial" w:cs="Arial" w:eastAsia="Arial" w:hAnsi="Arial"/>
          <w:sz w:val="15"/>
          <w:szCs w:val="15"/>
          <w:color w:val="auto"/>
        </w:rPr>
        <w:t>”) to the Account or a specific Plan Year Account of one or more Participants at such times and in such amounts as the Board may determine.</w:t>
      </w:r>
    </w:p>
    <w:p>
      <w:pPr>
        <w:spacing w:after="0" w:line="51"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b w:val="1"/>
          <w:bCs w:val="1"/>
          <w:color w:val="auto"/>
        </w:rPr>
        <w:t xml:space="preserve">3.3 </w:t>
      </w:r>
      <w:r>
        <w:rPr>
          <w:rFonts w:ascii="Arial" w:cs="Arial" w:eastAsia="Arial" w:hAnsi="Arial"/>
          <w:sz w:val="18"/>
          <w:szCs w:val="18"/>
          <w:u w:val="single" w:color="auto"/>
          <w:color w:val="auto"/>
        </w:rPr>
        <w:t>Investment Elections</w:t>
      </w:r>
      <w:r>
        <w:rPr>
          <w:rFonts w:ascii="Arial" w:cs="Arial" w:eastAsia="Arial" w:hAnsi="Arial"/>
          <w:sz w:val="18"/>
          <w:szCs w:val="18"/>
          <w:color w:val="auto"/>
        </w:rPr>
        <w:t>. The Committee may, in its sole and absolute discretion, provide each Participant with a list of investment Funds available for</w:t>
      </w:r>
      <w:r>
        <w:rPr>
          <w:rFonts w:ascii="Arial" w:cs="Arial" w:eastAsia="Arial" w:hAnsi="Arial"/>
          <w:sz w:val="18"/>
          <w:szCs w:val="18"/>
          <w:b w:val="1"/>
          <w:bCs w:val="1"/>
          <w:color w:val="auto"/>
        </w:rPr>
        <w:t xml:space="preserve"> </w:t>
      </w:r>
      <w:r>
        <w:rPr>
          <w:rFonts w:ascii="Arial" w:cs="Arial" w:eastAsia="Arial" w:hAnsi="Arial"/>
          <w:sz w:val="18"/>
          <w:szCs w:val="18"/>
          <w:color w:val="auto"/>
        </w:rPr>
        <w:t>hypothetical investment, and the Participant may designate, in a manner specified by the Committee, one or more Funds that his or her Account or specific Plan Year Account will be deemed to be invested in for purposes of determining the amount of Income to be credited to his or her Account or specific Plan Year Account. The Committee may, from time to time, in its sole and absolute discretion, select a commercially available fund to constitute the Fund actually selected. The Investment Return of each such commercially available Fund shall be used to determine the amount of Income to be credited to Participants’ Account and Plan Year Accounts under Section 4.1(c).</w:t>
      </w:r>
    </w:p>
    <w:p>
      <w:pPr>
        <w:spacing w:after="0" w:line="145" w:lineRule="exact"/>
        <w:rPr>
          <w:sz w:val="20"/>
          <w:szCs w:val="20"/>
          <w:color w:val="auto"/>
        </w:rPr>
      </w:pPr>
    </w:p>
    <w:p>
      <w:pPr>
        <w:ind w:firstLine="921"/>
        <w:spacing w:after="0" w:line="294" w:lineRule="auto"/>
        <w:tabs>
          <w:tab w:leader="none" w:pos="1152" w:val="left"/>
        </w:tabs>
        <w:numPr>
          <w:ilvl w:val="0"/>
          <w:numId w:val="40"/>
        </w:numPr>
        <w:rPr>
          <w:rFonts w:ascii="Arial" w:cs="Arial" w:eastAsia="Arial" w:hAnsi="Arial"/>
          <w:sz w:val="16"/>
          <w:szCs w:val="16"/>
          <w:color w:val="auto"/>
        </w:rPr>
      </w:pPr>
      <w:r>
        <w:rPr>
          <w:rFonts w:ascii="Arial" w:cs="Arial" w:eastAsia="Arial" w:hAnsi="Arial"/>
          <w:sz w:val="16"/>
          <w:szCs w:val="16"/>
          <w:color w:val="auto"/>
        </w:rPr>
        <w:t>In making the designation pursuant to this Section 3.3, the Participant may specify that all or any one percent (1%) multiple of his or her Account be deemed to be invested in one or more of the Funds offered by the Committee. Subject to such limitations and conditions as the Committee may specify, a Participant may change the designation made under this Section 3.3, in such manner and at such time or times, as the Committee shall specify. If a Participant fails to elect a Fund under this Section 3.3, or if the Committee does not provide such Participant with a list of Funds pursuant to this Section 3.3, then the Participant shall be deemed to have elected a balanced Fund or similar investment Fund designated by the Committee.</w:t>
      </w:r>
    </w:p>
    <w:p>
      <w:pPr>
        <w:spacing w:after="0" w:line="115" w:lineRule="exact"/>
        <w:rPr>
          <w:rFonts w:ascii="Arial" w:cs="Arial" w:eastAsia="Arial" w:hAnsi="Arial"/>
          <w:sz w:val="16"/>
          <w:szCs w:val="16"/>
          <w:color w:val="auto"/>
        </w:rPr>
      </w:pPr>
    </w:p>
    <w:p>
      <w:pPr>
        <w:ind w:right="20" w:firstLine="921"/>
        <w:spacing w:after="0" w:line="306" w:lineRule="auto"/>
        <w:tabs>
          <w:tab w:leader="none" w:pos="1162" w:val="left"/>
        </w:tabs>
        <w:numPr>
          <w:ilvl w:val="0"/>
          <w:numId w:val="40"/>
        </w:numPr>
        <w:rPr>
          <w:rFonts w:ascii="Arial" w:cs="Arial" w:eastAsia="Arial" w:hAnsi="Arial"/>
          <w:sz w:val="16"/>
          <w:szCs w:val="16"/>
          <w:color w:val="auto"/>
        </w:rPr>
      </w:pPr>
      <w:r>
        <w:rPr>
          <w:rFonts w:ascii="Arial" w:cs="Arial" w:eastAsia="Arial" w:hAnsi="Arial"/>
          <w:sz w:val="16"/>
          <w:szCs w:val="16"/>
          <w:color w:val="auto"/>
        </w:rPr>
        <w:t>The Company may, but need not, acquire investments corresponding to those designated by the Participants hereunder, and it is not under any obligation to maintain any investment it may make. Any such investments, if made, shall be Company property in which no Participant shall have any interest. In no event does the Company or Committee make any representation regarding, or guarantee of, investment performance.</w:t>
      </w:r>
    </w:p>
    <w:p>
      <w:pPr>
        <w:spacing w:after="0" w:line="263" w:lineRule="exact"/>
        <w:rPr>
          <w:sz w:val="20"/>
          <w:szCs w:val="20"/>
          <w:color w:val="auto"/>
        </w:rPr>
      </w:pPr>
    </w:p>
    <w:p>
      <w:pPr>
        <w:ind w:left="5200"/>
        <w:spacing w:after="0"/>
        <w:rPr>
          <w:sz w:val="20"/>
          <w:szCs w:val="20"/>
          <w:color w:val="auto"/>
        </w:rPr>
      </w:pPr>
      <w:r>
        <w:rPr>
          <w:rFonts w:ascii="Arial" w:cs="Arial" w:eastAsia="Arial" w:hAnsi="Arial"/>
          <w:sz w:val="18"/>
          <w:szCs w:val="18"/>
          <w:b w:val="1"/>
          <w:bCs w:val="1"/>
          <w:color w:val="auto"/>
        </w:rPr>
        <w:t>ARTICLE IV</w:t>
      </w:r>
    </w:p>
    <w:p>
      <w:pPr>
        <w:spacing w:after="0" w:line="171" w:lineRule="exact"/>
        <w:rPr>
          <w:sz w:val="20"/>
          <w:szCs w:val="20"/>
          <w:color w:val="auto"/>
        </w:rPr>
      </w:pPr>
    </w:p>
    <w:p>
      <w:pPr>
        <w:ind w:left="5220"/>
        <w:spacing w:after="0"/>
        <w:rPr>
          <w:sz w:val="20"/>
          <w:szCs w:val="20"/>
          <w:color w:val="auto"/>
        </w:rPr>
      </w:pPr>
      <w:r>
        <w:rPr>
          <w:rFonts w:ascii="Arial" w:cs="Arial" w:eastAsia="Arial" w:hAnsi="Arial"/>
          <w:sz w:val="18"/>
          <w:szCs w:val="18"/>
          <w:b w:val="1"/>
          <w:bCs w:val="1"/>
          <w:color w:val="auto"/>
        </w:rPr>
        <w:t>ACCOUNTS</w:t>
      </w:r>
    </w:p>
    <w:p>
      <w:pPr>
        <w:spacing w:after="0" w:line="171" w:lineRule="exact"/>
        <w:rPr>
          <w:sz w:val="20"/>
          <w:szCs w:val="20"/>
          <w:color w:val="auto"/>
        </w:rPr>
      </w:pPr>
    </w:p>
    <w:p>
      <w:pPr>
        <w:ind w:right="380" w:firstLine="456"/>
        <w:spacing w:after="0" w:line="258" w:lineRule="auto"/>
        <w:rPr>
          <w:sz w:val="20"/>
          <w:szCs w:val="20"/>
          <w:color w:val="auto"/>
        </w:rPr>
      </w:pPr>
      <w:r>
        <w:rPr>
          <w:rFonts w:ascii="Arial" w:cs="Arial" w:eastAsia="Arial" w:hAnsi="Arial"/>
          <w:sz w:val="18"/>
          <w:szCs w:val="18"/>
          <w:b w:val="1"/>
          <w:bCs w:val="1"/>
          <w:color w:val="auto"/>
        </w:rPr>
        <w:t xml:space="preserve">4.1 </w:t>
      </w:r>
      <w:r>
        <w:rPr>
          <w:rFonts w:ascii="Arial" w:cs="Arial" w:eastAsia="Arial" w:hAnsi="Arial"/>
          <w:sz w:val="18"/>
          <w:szCs w:val="18"/>
          <w:u w:val="single" w:color="auto"/>
          <w:color w:val="auto"/>
        </w:rPr>
        <w:t>Participant Accounts</w:t>
      </w:r>
      <w:r>
        <w:rPr>
          <w:rFonts w:ascii="Arial" w:cs="Arial" w:eastAsia="Arial" w:hAnsi="Arial"/>
          <w:sz w:val="18"/>
          <w:szCs w:val="18"/>
          <w:color w:val="auto"/>
        </w:rPr>
        <w:t>. The Committee shall establish and maintain an Account and Plan Year Account for each Participant under the Plan. Each</w:t>
      </w:r>
      <w:r>
        <w:rPr>
          <w:rFonts w:ascii="Arial" w:cs="Arial" w:eastAsia="Arial" w:hAnsi="Arial"/>
          <w:sz w:val="18"/>
          <w:szCs w:val="18"/>
          <w:b w:val="1"/>
          <w:bCs w:val="1"/>
          <w:color w:val="auto"/>
        </w:rPr>
        <w:t xml:space="preserve"> </w:t>
      </w:r>
      <w:r>
        <w:rPr>
          <w:rFonts w:ascii="Arial" w:cs="Arial" w:eastAsia="Arial" w:hAnsi="Arial"/>
          <w:sz w:val="18"/>
          <w:szCs w:val="18"/>
          <w:color w:val="auto"/>
        </w:rPr>
        <w:t>Participant’s Account or Plan Year Account may be further divided into separate subaccounts (“investment fund subaccounts”), corresponding to investment Funds elected by the Participant pursuant to Section 3.3 or as otherwise determined by the Committee to be necessary or appropriate for proper Plan administration. A Participant’s Plan Year Account shall be credited as follows:</w:t>
      </w:r>
    </w:p>
    <w:p>
      <w:pPr>
        <w:spacing w:after="0" w:line="12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380"/>
          </w:cols>
          <w:pgMar w:left="240" w:top="274" w:right="279" w:bottom="1440" w:gutter="0" w:footer="0" w:header="0"/>
        </w:sectPr>
      </w:pPr>
    </w:p>
    <w:bookmarkStart w:id="61" w:name="page62"/>
    <w:bookmarkEnd w:id="61"/>
    <w:p>
      <w:pPr>
        <w:ind w:right="360" w:firstLine="921"/>
        <w:spacing w:after="0" w:line="259" w:lineRule="auto"/>
        <w:tabs>
          <w:tab w:leader="none" w:pos="1152" w:val="left"/>
        </w:tabs>
        <w:numPr>
          <w:ilvl w:val="0"/>
          <w:numId w:val="41"/>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As soon as administratively practicable after the payroll withholding is made for a Participant, the Committee shall credit the portion of the Participant’s Compensation Deferrals that the Participant has elected to be deemed to be invested in a certain type of investment Fund to the investment fund subaccount corresponding to that investment Fund.</w:t>
      </w:r>
    </w:p>
    <w:p>
      <w:pPr>
        <w:spacing w:after="0" w:line="140" w:lineRule="exact"/>
        <w:rPr>
          <w:rFonts w:ascii="Arial" w:cs="Arial" w:eastAsia="Arial" w:hAnsi="Arial"/>
          <w:sz w:val="18"/>
          <w:szCs w:val="18"/>
          <w:color w:val="auto"/>
        </w:rPr>
      </w:pPr>
    </w:p>
    <w:p>
      <w:pPr>
        <w:ind w:right="120" w:firstLine="921"/>
        <w:spacing w:after="0" w:line="259" w:lineRule="auto"/>
        <w:tabs>
          <w:tab w:leader="none" w:pos="1162" w:val="left"/>
        </w:tabs>
        <w:numPr>
          <w:ilvl w:val="0"/>
          <w:numId w:val="41"/>
        </w:numPr>
        <w:rPr>
          <w:rFonts w:ascii="Arial" w:cs="Arial" w:eastAsia="Arial" w:hAnsi="Arial"/>
          <w:sz w:val="18"/>
          <w:szCs w:val="18"/>
          <w:color w:val="auto"/>
        </w:rPr>
      </w:pPr>
      <w:r>
        <w:rPr>
          <w:rFonts w:ascii="Arial" w:cs="Arial" w:eastAsia="Arial" w:hAnsi="Arial"/>
          <w:sz w:val="18"/>
          <w:szCs w:val="18"/>
          <w:color w:val="auto"/>
        </w:rPr>
        <w:t>As soon as administratively practicable after the last day of the Plan Year or such earlier time or times as the Committee may determine, the Committee shall credit the portion of the Participant’s discretionary contributions, if any, that the Participant has elected to be deemed to be invested in a certain type of investment Fund to the investment fund subaccount corresponding to that investment Fund.</w:t>
      </w:r>
    </w:p>
    <w:p>
      <w:pPr>
        <w:spacing w:after="0" w:line="140" w:lineRule="exact"/>
        <w:rPr>
          <w:rFonts w:ascii="Arial" w:cs="Arial" w:eastAsia="Arial" w:hAnsi="Arial"/>
          <w:sz w:val="18"/>
          <w:szCs w:val="18"/>
          <w:color w:val="auto"/>
        </w:rPr>
      </w:pPr>
    </w:p>
    <w:p>
      <w:pPr>
        <w:jc w:val="both"/>
        <w:ind w:right="40" w:firstLine="921"/>
        <w:spacing w:after="0" w:line="306" w:lineRule="auto"/>
        <w:tabs>
          <w:tab w:leader="none" w:pos="1152" w:val="left"/>
        </w:tabs>
        <w:numPr>
          <w:ilvl w:val="0"/>
          <w:numId w:val="41"/>
        </w:numPr>
        <w:rPr>
          <w:rFonts w:ascii="Arial" w:cs="Arial" w:eastAsia="Arial" w:hAnsi="Arial"/>
          <w:sz w:val="16"/>
          <w:szCs w:val="16"/>
          <w:color w:val="auto"/>
        </w:rPr>
      </w:pPr>
      <w:r>
        <w:rPr>
          <w:rFonts w:ascii="Arial" w:cs="Arial" w:eastAsia="Arial" w:hAnsi="Arial"/>
          <w:sz w:val="16"/>
          <w:szCs w:val="16"/>
          <w:color w:val="auto"/>
        </w:rPr>
        <w:t>At such time or times as the Committee may determine, but not less frequently than monthly, each investment Fund subaccount of a Participant’s relevant Plan Year Account shall be credited with an amount equal to that determined by multiplying the balance credited to such investment fund subaccount as of the last day of the preceding valuation period by the Investment Return for the corresponding Fund selected by the Company (“</w:t>
      </w:r>
      <w:r>
        <w:rPr>
          <w:rFonts w:ascii="Arial" w:cs="Arial" w:eastAsia="Arial" w:hAnsi="Arial"/>
          <w:sz w:val="16"/>
          <w:szCs w:val="16"/>
          <w:b w:val="1"/>
          <w:bCs w:val="1"/>
          <w:color w:val="auto"/>
        </w:rPr>
        <w:t>Income</w:t>
      </w:r>
      <w:r>
        <w:rPr>
          <w:rFonts w:ascii="Arial" w:cs="Arial" w:eastAsia="Arial" w:hAnsi="Arial"/>
          <w:sz w:val="16"/>
          <w:szCs w:val="16"/>
          <w:color w:val="auto"/>
        </w:rPr>
        <w:t>”).</w:t>
      </w:r>
    </w:p>
    <w:p>
      <w:pPr>
        <w:spacing w:after="0" w:line="263" w:lineRule="exact"/>
        <w:rPr>
          <w:sz w:val="20"/>
          <w:szCs w:val="20"/>
          <w:color w:val="auto"/>
        </w:rPr>
      </w:pPr>
    </w:p>
    <w:p>
      <w:pPr>
        <w:ind w:left="5240"/>
        <w:spacing w:after="0"/>
        <w:rPr>
          <w:sz w:val="20"/>
          <w:szCs w:val="20"/>
          <w:color w:val="auto"/>
        </w:rPr>
      </w:pPr>
      <w:r>
        <w:rPr>
          <w:rFonts w:ascii="Arial" w:cs="Arial" w:eastAsia="Arial" w:hAnsi="Arial"/>
          <w:sz w:val="18"/>
          <w:szCs w:val="18"/>
          <w:b w:val="1"/>
          <w:bCs w:val="1"/>
          <w:color w:val="auto"/>
        </w:rPr>
        <w:t>ARTICLE V</w:t>
      </w:r>
    </w:p>
    <w:p>
      <w:pPr>
        <w:spacing w:after="0" w:line="171" w:lineRule="exact"/>
        <w:rPr>
          <w:sz w:val="20"/>
          <w:szCs w:val="20"/>
          <w:color w:val="auto"/>
        </w:rPr>
      </w:pPr>
    </w:p>
    <w:p>
      <w:pPr>
        <w:ind w:left="5320"/>
        <w:spacing w:after="0"/>
        <w:rPr>
          <w:sz w:val="20"/>
          <w:szCs w:val="20"/>
          <w:color w:val="auto"/>
        </w:rPr>
      </w:pPr>
      <w:r>
        <w:rPr>
          <w:rFonts w:ascii="Arial" w:cs="Arial" w:eastAsia="Arial" w:hAnsi="Arial"/>
          <w:sz w:val="18"/>
          <w:szCs w:val="18"/>
          <w:b w:val="1"/>
          <w:bCs w:val="1"/>
          <w:color w:val="auto"/>
        </w:rPr>
        <w:t>VESTING</w:t>
      </w:r>
    </w:p>
    <w:p>
      <w:pPr>
        <w:spacing w:after="0" w:line="17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 Participant’s Account, including all Plan Year Accounts, shall be one hundred percent (100%) vested at all times.</w:t>
      </w:r>
    </w:p>
    <w:p>
      <w:pPr>
        <w:spacing w:after="0" w:line="3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ARTICLE VI</w:t>
      </w:r>
    </w:p>
    <w:p>
      <w:pPr>
        <w:spacing w:after="0" w:line="17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GENERAL DUTIES</w:t>
      </w:r>
    </w:p>
    <w:p>
      <w:pPr>
        <w:spacing w:after="0" w:line="171" w:lineRule="exact"/>
        <w:rPr>
          <w:sz w:val="20"/>
          <w:szCs w:val="20"/>
          <w:color w:val="auto"/>
        </w:rPr>
      </w:pPr>
    </w:p>
    <w:p>
      <w:pPr>
        <w:ind w:right="100" w:firstLine="456"/>
        <w:spacing w:after="0" w:line="275" w:lineRule="auto"/>
        <w:rPr>
          <w:sz w:val="20"/>
          <w:szCs w:val="20"/>
          <w:color w:val="auto"/>
        </w:rPr>
      </w:pPr>
      <w:r>
        <w:rPr>
          <w:rFonts w:ascii="Arial" w:cs="Arial" w:eastAsia="Arial" w:hAnsi="Arial"/>
          <w:sz w:val="18"/>
          <w:szCs w:val="18"/>
          <w:b w:val="1"/>
          <w:bCs w:val="1"/>
          <w:color w:val="auto"/>
        </w:rPr>
        <w:t xml:space="preserve">6.1 </w:t>
      </w:r>
      <w:r>
        <w:rPr>
          <w:rFonts w:ascii="Arial" w:cs="Arial" w:eastAsia="Arial" w:hAnsi="Arial"/>
          <w:sz w:val="18"/>
          <w:szCs w:val="18"/>
          <w:u w:val="single" w:color="auto"/>
          <w:color w:val="auto"/>
        </w:rPr>
        <w:t>Trustee Duties</w:t>
      </w:r>
      <w:r>
        <w:rPr>
          <w:rFonts w:ascii="Arial" w:cs="Arial" w:eastAsia="Arial" w:hAnsi="Arial"/>
          <w:sz w:val="18"/>
          <w:szCs w:val="18"/>
          <w:color w:val="auto"/>
        </w:rPr>
        <w:t>. The Trustee shall manage, invest and reinvest the Trust Fund as provided in the Trust Agreement. The Trustee shall collect the income</w:t>
      </w:r>
      <w:r>
        <w:rPr>
          <w:rFonts w:ascii="Arial" w:cs="Arial" w:eastAsia="Arial" w:hAnsi="Arial"/>
          <w:sz w:val="18"/>
          <w:szCs w:val="18"/>
          <w:b w:val="1"/>
          <w:bCs w:val="1"/>
          <w:color w:val="auto"/>
        </w:rPr>
        <w:t xml:space="preserve"> </w:t>
      </w:r>
      <w:r>
        <w:rPr>
          <w:rFonts w:ascii="Arial" w:cs="Arial" w:eastAsia="Arial" w:hAnsi="Arial"/>
          <w:sz w:val="18"/>
          <w:szCs w:val="18"/>
          <w:color w:val="auto"/>
        </w:rPr>
        <w:t>on the Trust Fund, and make distributions therefrom, all as provided in this Plan and in the Trust Agreement.</w:t>
      </w:r>
    </w:p>
    <w:p>
      <w:pPr>
        <w:spacing w:after="0" w:line="120" w:lineRule="exact"/>
        <w:rPr>
          <w:sz w:val="20"/>
          <w:szCs w:val="20"/>
          <w:color w:val="auto"/>
        </w:rPr>
      </w:pPr>
    </w:p>
    <w:p>
      <w:pPr>
        <w:ind w:firstLine="456"/>
        <w:spacing w:after="0" w:line="301" w:lineRule="auto"/>
        <w:rPr>
          <w:sz w:val="20"/>
          <w:szCs w:val="20"/>
          <w:color w:val="auto"/>
        </w:rPr>
      </w:pPr>
      <w:r>
        <w:rPr>
          <w:rFonts w:ascii="Arial" w:cs="Arial" w:eastAsia="Arial" w:hAnsi="Arial"/>
          <w:sz w:val="16"/>
          <w:szCs w:val="16"/>
          <w:b w:val="1"/>
          <w:bCs w:val="1"/>
          <w:color w:val="auto"/>
        </w:rPr>
        <w:t xml:space="preserve">6.2 </w:t>
      </w:r>
      <w:r>
        <w:rPr>
          <w:rFonts w:ascii="Arial" w:cs="Arial" w:eastAsia="Arial" w:hAnsi="Arial"/>
          <w:sz w:val="16"/>
          <w:szCs w:val="16"/>
          <w:u w:val="single" w:color="auto"/>
          <w:color w:val="auto"/>
        </w:rPr>
        <w:t>Discretionary Contributions</w:t>
      </w:r>
      <w:r>
        <w:rPr>
          <w:rFonts w:ascii="Arial" w:cs="Arial" w:eastAsia="Arial" w:hAnsi="Arial"/>
          <w:sz w:val="16"/>
          <w:szCs w:val="16"/>
          <w:color w:val="auto"/>
        </w:rPr>
        <w:t>. While the Plan remains in effect, the Company shall make contributions to the Trust Fund at least once each quarter. As</w:t>
      </w:r>
      <w:r>
        <w:rPr>
          <w:rFonts w:ascii="Arial" w:cs="Arial" w:eastAsia="Arial" w:hAnsi="Arial"/>
          <w:sz w:val="16"/>
          <w:szCs w:val="16"/>
          <w:b w:val="1"/>
          <w:bCs w:val="1"/>
          <w:color w:val="auto"/>
        </w:rPr>
        <w:t xml:space="preserve"> </w:t>
      </w:r>
      <w:r>
        <w:rPr>
          <w:rFonts w:ascii="Arial" w:cs="Arial" w:eastAsia="Arial" w:hAnsi="Arial"/>
          <w:sz w:val="16"/>
          <w:szCs w:val="16"/>
          <w:color w:val="auto"/>
        </w:rPr>
        <w:t>soon as administratively practicable after the close of each Plan quarter, the Company shall make an additional contribution to the Trust Fund to the extent that previous contributions to the Trust Fund for the current Plan quarter are less than the total of the Compensation Deferrals made by each Participant plus Company discretionary contributions, if any, accrued as of the close of the current Plan quarter.</w:t>
      </w:r>
    </w:p>
    <w:p>
      <w:pPr>
        <w:spacing w:after="0" w:line="103" w:lineRule="exact"/>
        <w:rPr>
          <w:sz w:val="20"/>
          <w:szCs w:val="20"/>
          <w:color w:val="auto"/>
        </w:rPr>
      </w:pPr>
    </w:p>
    <w:p>
      <w:pPr>
        <w:ind w:right="240" w:firstLine="456"/>
        <w:spacing w:after="0" w:line="339" w:lineRule="auto"/>
        <w:rPr>
          <w:sz w:val="20"/>
          <w:szCs w:val="20"/>
          <w:color w:val="auto"/>
        </w:rPr>
      </w:pPr>
      <w:r>
        <w:rPr>
          <w:rFonts w:ascii="Arial" w:cs="Arial" w:eastAsia="Arial" w:hAnsi="Arial"/>
          <w:sz w:val="16"/>
          <w:szCs w:val="16"/>
          <w:b w:val="1"/>
          <w:bCs w:val="1"/>
          <w:color w:val="auto"/>
        </w:rPr>
        <w:t xml:space="preserve">6.3 </w:t>
      </w:r>
      <w:r>
        <w:rPr>
          <w:rFonts w:ascii="Arial" w:cs="Arial" w:eastAsia="Arial" w:hAnsi="Arial"/>
          <w:sz w:val="16"/>
          <w:szCs w:val="16"/>
          <w:u w:val="single" w:color="auto"/>
          <w:color w:val="auto"/>
        </w:rPr>
        <w:t>Department of Labor Determination</w:t>
      </w:r>
      <w:r>
        <w:rPr>
          <w:rFonts w:ascii="Arial" w:cs="Arial" w:eastAsia="Arial" w:hAnsi="Arial"/>
          <w:sz w:val="16"/>
          <w:szCs w:val="16"/>
          <w:color w:val="auto"/>
        </w:rPr>
        <w:t>. In the event that any Participants are found to be ineligible, for purposes of the Plan remaining a “top hat” plan</w:t>
      </w:r>
      <w:r>
        <w:rPr>
          <w:rFonts w:ascii="Arial" w:cs="Arial" w:eastAsia="Arial" w:hAnsi="Arial"/>
          <w:sz w:val="16"/>
          <w:szCs w:val="16"/>
          <w:b w:val="1"/>
          <w:bCs w:val="1"/>
          <w:color w:val="auto"/>
        </w:rPr>
        <w:t xml:space="preserve"> </w:t>
      </w:r>
      <w:r>
        <w:rPr>
          <w:rFonts w:ascii="Arial" w:cs="Arial" w:eastAsia="Arial" w:hAnsi="Arial"/>
          <w:sz w:val="16"/>
          <w:szCs w:val="16"/>
          <w:color w:val="auto"/>
        </w:rPr>
        <w:t>under applicable regulations, that is, not members of a select group of management or highly compensated employees,</w:t>
      </w:r>
    </w:p>
    <w:p>
      <w:pPr>
        <w:spacing w:after="0" w:line="6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380"/>
          </w:cols>
          <w:pgMar w:left="240" w:top="280" w:right="279" w:bottom="1440" w:gutter="0" w:footer="0" w:header="0"/>
        </w:sectPr>
      </w:pPr>
    </w:p>
    <w:bookmarkStart w:id="62" w:name="page63"/>
    <w:bookmarkEnd w:id="62"/>
    <w:p>
      <w:pPr>
        <w:spacing w:after="0" w:line="30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according to a determination made by the Department of Labor (or a general pronouncement, ruling, opinion or regulation of the Department of Labor, or a judicial decision, which the Committee believes would apply and render such Participants ineligible), the Committee may take whatever steps it deems necessary, in its sole and absolute discretion, to equitably protect the interests of the affected Participants and other Plan Participants.</w:t>
      </w:r>
    </w:p>
    <w:p>
      <w:pPr>
        <w:spacing w:after="0" w:line="263"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ARTICLE VII</w:t>
      </w:r>
    </w:p>
    <w:p>
      <w:pPr>
        <w:spacing w:after="0" w:line="171"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DISTRIBUTIONS AND WITHDRAWALS</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 xml:space="preserve">7.1 </w:t>
      </w:r>
      <w:r>
        <w:rPr>
          <w:rFonts w:ascii="Arial" w:cs="Arial" w:eastAsia="Arial" w:hAnsi="Arial"/>
          <w:sz w:val="18"/>
          <w:szCs w:val="18"/>
          <w:u w:val="single" w:color="auto"/>
          <w:color w:val="auto"/>
        </w:rPr>
        <w:t>Distributions</w:t>
      </w:r>
      <w:r>
        <w:rPr>
          <w:rFonts w:ascii="Arial" w:cs="Arial" w:eastAsia="Arial" w:hAnsi="Arial"/>
          <w:sz w:val="18"/>
          <w:szCs w:val="18"/>
          <w:color w:val="auto"/>
        </w:rPr>
        <w:t>.</w:t>
      </w:r>
    </w:p>
    <w:p>
      <w:pPr>
        <w:spacing w:after="0" w:line="96" w:lineRule="exact"/>
        <w:rPr>
          <w:sz w:val="20"/>
          <w:szCs w:val="20"/>
          <w:color w:val="auto"/>
        </w:rPr>
      </w:pPr>
    </w:p>
    <w:p>
      <w:pPr>
        <w:ind w:right="480" w:firstLine="921"/>
        <w:spacing w:after="0" w:line="306" w:lineRule="auto"/>
        <w:tabs>
          <w:tab w:leader="none" w:pos="1152" w:val="left"/>
        </w:tabs>
        <w:numPr>
          <w:ilvl w:val="0"/>
          <w:numId w:val="42"/>
        </w:numPr>
        <w:rPr>
          <w:rFonts w:ascii="Arial" w:cs="Arial" w:eastAsia="Arial" w:hAnsi="Arial"/>
          <w:sz w:val="16"/>
          <w:szCs w:val="16"/>
          <w:color w:val="auto"/>
        </w:rPr>
      </w:pPr>
      <w:r>
        <w:rPr>
          <w:rFonts w:ascii="Arial" w:cs="Arial" w:eastAsia="Arial" w:hAnsi="Arial"/>
          <w:sz w:val="16"/>
          <w:szCs w:val="16"/>
          <w:u w:val="single" w:color="auto"/>
          <w:color w:val="auto"/>
        </w:rPr>
        <w:t>Election of Distribution Event</w:t>
      </w:r>
      <w:r>
        <w:rPr>
          <w:rFonts w:ascii="Arial" w:cs="Arial" w:eastAsia="Arial" w:hAnsi="Arial"/>
          <w:sz w:val="16"/>
          <w:szCs w:val="16"/>
          <w:color w:val="auto"/>
        </w:rPr>
        <w:t xml:space="preserve">. During an Enrollment Period, a Participant may elect on the Enrollment Form the following as Distribution Event(s) which will trigger payment of the Distributable Amount in a Participant’s Plan Year Account to the Participant: (1) Retirement; (2) Termination; </w:t>
      </w:r>
      <w:r>
        <w:rPr>
          <w:rFonts w:ascii="Arial" w:cs="Arial" w:eastAsia="Arial" w:hAnsi="Arial"/>
          <w:sz w:val="16"/>
          <w:szCs w:val="16"/>
          <w:b w:val="1"/>
          <w:bCs w:val="1"/>
          <w:color w:val="auto"/>
        </w:rPr>
        <w:t>(</w:t>
      </w:r>
      <w:r>
        <w:rPr>
          <w:rFonts w:ascii="Arial" w:cs="Arial" w:eastAsia="Arial" w:hAnsi="Arial"/>
          <w:sz w:val="16"/>
          <w:szCs w:val="16"/>
          <w:color w:val="auto"/>
        </w:rPr>
        <w:t>3</w:t>
      </w:r>
      <w:r>
        <w:rPr>
          <w:rFonts w:ascii="Arial" w:cs="Arial" w:eastAsia="Arial" w:hAnsi="Arial"/>
          <w:sz w:val="16"/>
          <w:szCs w:val="16"/>
          <w:b w:val="1"/>
          <w:bCs w:val="1"/>
          <w:color w:val="auto"/>
        </w:rPr>
        <w:t xml:space="preserve">) </w:t>
      </w:r>
      <w:r>
        <w:rPr>
          <w:rFonts w:ascii="Arial" w:cs="Arial" w:eastAsia="Arial" w:hAnsi="Arial"/>
          <w:sz w:val="16"/>
          <w:szCs w:val="16"/>
          <w:color w:val="auto"/>
        </w:rPr>
        <w:t>another date specified by the Participant. The death or Disability or a Participant will automatically be a Distribution Event under the Plan.</w:t>
      </w:r>
    </w:p>
    <w:p>
      <w:pPr>
        <w:spacing w:after="0" w:line="106" w:lineRule="exact"/>
        <w:rPr>
          <w:rFonts w:ascii="Arial" w:cs="Arial" w:eastAsia="Arial" w:hAnsi="Arial"/>
          <w:sz w:val="16"/>
          <w:szCs w:val="16"/>
          <w:color w:val="auto"/>
        </w:rPr>
      </w:pPr>
    </w:p>
    <w:p>
      <w:pPr>
        <w:ind w:right="120" w:firstLine="921"/>
        <w:spacing w:after="0" w:line="268" w:lineRule="auto"/>
        <w:tabs>
          <w:tab w:leader="none" w:pos="1161" w:val="left"/>
        </w:tabs>
        <w:numPr>
          <w:ilvl w:val="0"/>
          <w:numId w:val="42"/>
        </w:numPr>
        <w:rPr>
          <w:rFonts w:ascii="Arial" w:cs="Arial" w:eastAsia="Arial" w:hAnsi="Arial"/>
          <w:sz w:val="18"/>
          <w:szCs w:val="18"/>
          <w:color w:val="auto"/>
        </w:rPr>
      </w:pPr>
      <w:r>
        <w:rPr>
          <w:rFonts w:ascii="Arial" w:cs="Arial" w:eastAsia="Arial" w:hAnsi="Arial"/>
          <w:sz w:val="18"/>
          <w:szCs w:val="18"/>
          <w:u w:val="single" w:color="auto"/>
          <w:color w:val="auto"/>
        </w:rPr>
        <w:t>Form of Distribution</w:t>
      </w:r>
      <w:r>
        <w:rPr>
          <w:rFonts w:ascii="Arial" w:cs="Arial" w:eastAsia="Arial" w:hAnsi="Arial"/>
          <w:sz w:val="18"/>
          <w:szCs w:val="18"/>
          <w:color w:val="auto"/>
        </w:rPr>
        <w:t>. A Participant may elect either of the following forms of distribution with respect to each Distribution Event for which the Participant makes an election:</w:t>
      </w:r>
    </w:p>
    <w:p>
      <w:pPr>
        <w:spacing w:after="0" w:line="131" w:lineRule="exact"/>
        <w:rPr>
          <w:rFonts w:ascii="Arial" w:cs="Arial" w:eastAsia="Arial" w:hAnsi="Arial"/>
          <w:sz w:val="18"/>
          <w:szCs w:val="18"/>
          <w:color w:val="auto"/>
        </w:rPr>
      </w:pPr>
    </w:p>
    <w:p>
      <w:pPr>
        <w:ind w:left="1700" w:hanging="208"/>
        <w:spacing w:after="0"/>
        <w:tabs>
          <w:tab w:leader="none" w:pos="1700" w:val="left"/>
        </w:tabs>
        <w:numPr>
          <w:ilvl w:val="1"/>
          <w:numId w:val="42"/>
        </w:numPr>
        <w:rPr>
          <w:rFonts w:ascii="Arial" w:cs="Arial" w:eastAsia="Arial" w:hAnsi="Arial"/>
          <w:sz w:val="18"/>
          <w:szCs w:val="18"/>
          <w:color w:val="auto"/>
        </w:rPr>
      </w:pPr>
      <w:r>
        <w:rPr>
          <w:rFonts w:ascii="Arial" w:cs="Arial" w:eastAsia="Arial" w:hAnsi="Arial"/>
          <w:sz w:val="18"/>
          <w:szCs w:val="18"/>
          <w:color w:val="auto"/>
        </w:rPr>
        <w:t>Lump sum payable on the Payment Commencement Date; or</w:t>
      </w:r>
    </w:p>
    <w:p>
      <w:pPr>
        <w:spacing w:after="0" w:line="171" w:lineRule="exact"/>
        <w:rPr>
          <w:rFonts w:ascii="Arial" w:cs="Arial" w:eastAsia="Arial" w:hAnsi="Arial"/>
          <w:sz w:val="18"/>
          <w:szCs w:val="18"/>
          <w:color w:val="auto"/>
        </w:rPr>
      </w:pPr>
    </w:p>
    <w:p>
      <w:pPr>
        <w:ind w:right="120" w:firstLine="1492"/>
        <w:spacing w:after="0" w:line="255" w:lineRule="auto"/>
        <w:tabs>
          <w:tab w:leader="none" w:pos="1742" w:val="left"/>
        </w:tabs>
        <w:numPr>
          <w:ilvl w:val="1"/>
          <w:numId w:val="42"/>
        </w:numPr>
        <w:rPr>
          <w:rFonts w:ascii="Arial" w:cs="Arial" w:eastAsia="Arial" w:hAnsi="Arial"/>
          <w:sz w:val="18"/>
          <w:szCs w:val="18"/>
          <w:color w:val="auto"/>
        </w:rPr>
      </w:pPr>
      <w:r>
        <w:rPr>
          <w:rFonts w:ascii="Arial" w:cs="Arial" w:eastAsia="Arial" w:hAnsi="Arial"/>
          <w:sz w:val="18"/>
          <w:szCs w:val="18"/>
          <w:color w:val="auto"/>
        </w:rPr>
        <w:t>Up to ten (10) annual installments payable on the Payment Commencement Date and continuing on each anniversary of the Payment Commencement Date thereafter until fully paid</w:t>
      </w:r>
      <w:r>
        <w:rPr>
          <w:rFonts w:ascii="Arial" w:cs="Arial" w:eastAsia="Arial" w:hAnsi="Arial"/>
          <w:sz w:val="18"/>
          <w:szCs w:val="18"/>
          <w:b w:val="1"/>
          <w:bCs w:val="1"/>
          <w:color w:val="auto"/>
        </w:rPr>
        <w:t>.</w:t>
      </w:r>
      <w:r>
        <w:rPr>
          <w:rFonts w:ascii="Arial" w:cs="Arial" w:eastAsia="Arial" w:hAnsi="Arial"/>
          <w:sz w:val="18"/>
          <w:szCs w:val="18"/>
          <w:color w:val="auto"/>
        </w:rPr>
        <w:t xml:space="preserve"> Ten (10) annual installments shall be the default form of distribution in the absence of an election made by the Participant. If the Participant’s Distributable Amount is paid in installments, the Participant’s Plan Year Account shall continue to be credited not less frequently than monthly with Income and the installment amount shall be adjusted annually to reflect Income until all amounts credited to the Participant’s Plan Year Account under the Plan have been distributed.</w:t>
      </w:r>
    </w:p>
    <w:p>
      <w:pPr>
        <w:spacing w:after="0" w:line="143" w:lineRule="exact"/>
        <w:rPr>
          <w:sz w:val="20"/>
          <w:szCs w:val="20"/>
          <w:color w:val="auto"/>
        </w:rPr>
      </w:pPr>
    </w:p>
    <w:p>
      <w:pPr>
        <w:ind w:right="20" w:firstLine="1940"/>
        <w:spacing w:after="0" w:line="256" w:lineRule="auto"/>
        <w:rPr>
          <w:sz w:val="20"/>
          <w:szCs w:val="20"/>
          <w:color w:val="auto"/>
        </w:rPr>
      </w:pPr>
      <w:r>
        <w:rPr>
          <w:rFonts w:ascii="Arial" w:cs="Arial" w:eastAsia="Arial" w:hAnsi="Arial"/>
          <w:sz w:val="18"/>
          <w:szCs w:val="18"/>
          <w:color w:val="auto"/>
        </w:rPr>
        <w:t>Upon Disability or death, the Participant or his beneficiary will automatically receive the Distributable Amount in a lump sum on the Payment Commencement Date. Notwithstanding anything in this Plan to the contrary</w:t>
      </w:r>
      <w:r>
        <w:rPr>
          <w:rFonts w:ascii="Arial" w:cs="Arial" w:eastAsia="Arial" w:hAnsi="Arial"/>
          <w:sz w:val="18"/>
          <w:szCs w:val="18"/>
          <w:b w:val="1"/>
          <w:bCs w:val="1"/>
          <w:color w:val="auto"/>
        </w:rPr>
        <w:t>,</w:t>
      </w:r>
      <w:r>
        <w:rPr>
          <w:rFonts w:ascii="Arial" w:cs="Arial" w:eastAsia="Arial" w:hAnsi="Arial"/>
          <w:sz w:val="18"/>
          <w:szCs w:val="18"/>
          <w:color w:val="auto"/>
        </w:rPr>
        <w:t xml:space="preserve"> if the Participant’s Distributable Amount is less than the applicable limit under Section 402(g)(1)(B) of the Code upon the occurrence of any Distribution Event, the Distributable Amount shall automatically be distributed in the form of a cash lump sum payment on the Payment Commencement Date.</w:t>
      </w:r>
    </w:p>
    <w:p>
      <w:pPr>
        <w:spacing w:after="0" w:line="143" w:lineRule="exact"/>
        <w:rPr>
          <w:sz w:val="20"/>
          <w:szCs w:val="20"/>
          <w:color w:val="auto"/>
        </w:rPr>
      </w:pPr>
    </w:p>
    <w:p>
      <w:pPr>
        <w:ind w:right="200" w:firstLine="921"/>
        <w:spacing w:after="0" w:line="298" w:lineRule="auto"/>
        <w:tabs>
          <w:tab w:leader="none" w:pos="1152" w:val="left"/>
        </w:tabs>
        <w:numPr>
          <w:ilvl w:val="0"/>
          <w:numId w:val="43"/>
        </w:numPr>
        <w:rPr>
          <w:rFonts w:ascii="Arial" w:cs="Arial" w:eastAsia="Arial" w:hAnsi="Arial"/>
          <w:sz w:val="16"/>
          <w:szCs w:val="16"/>
          <w:color w:val="auto"/>
        </w:rPr>
      </w:pPr>
      <w:r>
        <w:rPr>
          <w:rFonts w:ascii="Arial" w:cs="Arial" w:eastAsia="Arial" w:hAnsi="Arial"/>
          <w:sz w:val="16"/>
          <w:szCs w:val="16"/>
          <w:u w:val="single" w:color="auto"/>
          <w:color w:val="auto"/>
        </w:rPr>
        <w:t>Change to Distribution Elections</w:t>
      </w:r>
      <w:r>
        <w:rPr>
          <w:rFonts w:ascii="Arial" w:cs="Arial" w:eastAsia="Arial" w:hAnsi="Arial"/>
          <w:sz w:val="16"/>
          <w:szCs w:val="16"/>
          <w:color w:val="auto"/>
        </w:rPr>
        <w:t>. A Participant may change his or her Distribution Election by submitting a Change Form, in a manner prescribed by the Committee; provided, however, that any change shall not be effective for at least twelve (12) months after the date on which the Participant submits the Change Form. In addition, with respect to a specific payment date elected by the Participant, any change in the payment date must be made at least twelve (12) months prior to the date specified in the election, and any change of Distribution</w:t>
      </w:r>
    </w:p>
    <w:p>
      <w:pPr>
        <w:spacing w:after="0" w:line="9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380"/>
          </w:cols>
          <w:pgMar w:left="240" w:top="280" w:right="279" w:bottom="1440" w:gutter="0" w:footer="0" w:header="0"/>
        </w:sectPr>
      </w:pPr>
    </w:p>
    <w:bookmarkStart w:id="63" w:name="page64"/>
    <w:bookmarkEnd w:id="63"/>
    <w:p>
      <w:pPr>
        <w:ind w:right="140"/>
        <w:spacing w:after="0" w:line="253"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Election relating to a distribution other than as a result of Disability or death shall be effective only to the extent that the first payment pursuant to such changed election is deferred for a period of at least five (5) years from the date such payment would otherwise have been made. Notwithstanding the foregoing, a Participant (including, for the avoidance of doubt, a Participant who has ceased to be an Employee) may make an election to change his or her previous Distribution Elections during the November 2007 and November 2008 enrollment periods in accordance with the transition relief under Section 409A of the Internal Revenue Code and Internal Revenue Service Notice 2007-86; provided, however, such election may apply only to amounts that would not otherwise be payable in 2007 and 2008, respectively, and may not cause an amount to be paid in 2007 and 2008, respectively, that would not otherwise be payable in 2007 or 2008, respectively.</w:t>
      </w:r>
    </w:p>
    <w:p>
      <w:pPr>
        <w:spacing w:after="0" w:line="147" w:lineRule="exact"/>
        <w:rPr>
          <w:sz w:val="20"/>
          <w:szCs w:val="20"/>
          <w:color w:val="auto"/>
        </w:rPr>
      </w:pPr>
    </w:p>
    <w:p>
      <w:pPr>
        <w:ind w:right="180" w:firstLine="921"/>
        <w:spacing w:after="0" w:line="268" w:lineRule="auto"/>
        <w:tabs>
          <w:tab w:leader="none" w:pos="1161" w:val="left"/>
        </w:tabs>
        <w:numPr>
          <w:ilvl w:val="0"/>
          <w:numId w:val="44"/>
        </w:numPr>
        <w:rPr>
          <w:rFonts w:ascii="Arial" w:cs="Arial" w:eastAsia="Arial" w:hAnsi="Arial"/>
          <w:sz w:val="18"/>
          <w:szCs w:val="18"/>
          <w:color w:val="auto"/>
        </w:rPr>
      </w:pPr>
      <w:r>
        <w:rPr>
          <w:rFonts w:ascii="Arial" w:cs="Arial" w:eastAsia="Arial" w:hAnsi="Arial"/>
          <w:sz w:val="18"/>
          <w:szCs w:val="18"/>
          <w:u w:val="single" w:color="auto"/>
          <w:color w:val="auto"/>
        </w:rPr>
        <w:t>Death</w:t>
      </w:r>
      <w:r>
        <w:rPr>
          <w:rFonts w:ascii="Arial" w:cs="Arial" w:eastAsia="Arial" w:hAnsi="Arial"/>
          <w:sz w:val="18"/>
          <w:szCs w:val="18"/>
          <w:color w:val="auto"/>
        </w:rPr>
        <w:t>. While Receiving Benefits. If a Participant is receiving annual installment payments at the time of his or her death, then the Participant’s Beneficiary shall be paid the remaining annual installments as they come due.</w:t>
      </w:r>
    </w:p>
    <w:p>
      <w:pPr>
        <w:spacing w:after="0" w:line="131" w:lineRule="exact"/>
        <w:rPr>
          <w:rFonts w:ascii="Arial" w:cs="Arial" w:eastAsia="Arial" w:hAnsi="Arial"/>
          <w:sz w:val="18"/>
          <w:szCs w:val="18"/>
          <w:color w:val="auto"/>
        </w:rPr>
      </w:pPr>
    </w:p>
    <w:p>
      <w:pPr>
        <w:ind w:firstLine="921"/>
        <w:spacing w:after="0" w:line="306" w:lineRule="auto"/>
        <w:tabs>
          <w:tab w:leader="none" w:pos="1152" w:val="left"/>
        </w:tabs>
        <w:numPr>
          <w:ilvl w:val="0"/>
          <w:numId w:val="44"/>
        </w:numPr>
        <w:rPr>
          <w:rFonts w:ascii="Arial" w:cs="Arial" w:eastAsia="Arial" w:hAnsi="Arial"/>
          <w:sz w:val="16"/>
          <w:szCs w:val="16"/>
          <w:color w:val="auto"/>
        </w:rPr>
      </w:pPr>
      <w:r>
        <w:rPr>
          <w:rFonts w:ascii="Arial" w:cs="Arial" w:eastAsia="Arial" w:hAnsi="Arial"/>
          <w:sz w:val="16"/>
          <w:szCs w:val="16"/>
          <w:u w:val="single" w:color="auto"/>
          <w:color w:val="auto"/>
        </w:rPr>
        <w:t>Payment of Distributable Amount</w:t>
      </w:r>
      <w:r>
        <w:rPr>
          <w:rFonts w:ascii="Arial" w:cs="Arial" w:eastAsia="Arial" w:hAnsi="Arial"/>
          <w:sz w:val="16"/>
          <w:szCs w:val="16"/>
          <w:color w:val="auto"/>
        </w:rPr>
        <w:t>. The Distributable Amount shall be paid to the Participant (or Beneficiary, if applicable) in accordance with Participant’s Deferral Election(s) on the Payment Commencement Date, provided that if the applicable Distribution Event(s) is a date specified by the Participant, such specified payment date must be at least three (3) years after the end of the Plan Year for which the election is made.</w:t>
      </w:r>
    </w:p>
    <w:p>
      <w:pPr>
        <w:spacing w:after="0" w:line="182"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 xml:space="preserve">7.2 </w:t>
      </w:r>
      <w:r>
        <w:rPr>
          <w:rFonts w:ascii="Arial" w:cs="Arial" w:eastAsia="Arial" w:hAnsi="Arial"/>
          <w:sz w:val="18"/>
          <w:szCs w:val="18"/>
          <w:u w:val="single" w:color="auto"/>
          <w:color w:val="auto"/>
        </w:rPr>
        <w:t>Unforeseeable Emergency Withdrawal</w:t>
      </w:r>
      <w:r>
        <w:rPr>
          <w:rFonts w:ascii="Arial" w:cs="Arial" w:eastAsia="Arial" w:hAnsi="Arial"/>
          <w:sz w:val="18"/>
          <w:szCs w:val="18"/>
          <w:color w:val="auto"/>
        </w:rPr>
        <w:t>.</w:t>
      </w:r>
    </w:p>
    <w:p>
      <w:pPr>
        <w:spacing w:after="0" w:line="96" w:lineRule="exact"/>
        <w:rPr>
          <w:sz w:val="20"/>
          <w:szCs w:val="20"/>
          <w:color w:val="auto"/>
        </w:rPr>
      </w:pPr>
    </w:p>
    <w:p>
      <w:pPr>
        <w:ind w:right="120" w:firstLine="921"/>
        <w:spacing w:after="0" w:line="288" w:lineRule="auto"/>
        <w:tabs>
          <w:tab w:leader="none" w:pos="1152" w:val="left"/>
        </w:tabs>
        <w:numPr>
          <w:ilvl w:val="0"/>
          <w:numId w:val="45"/>
        </w:numPr>
        <w:rPr>
          <w:rFonts w:ascii="Arial" w:cs="Arial" w:eastAsia="Arial" w:hAnsi="Arial"/>
          <w:sz w:val="16"/>
          <w:szCs w:val="16"/>
          <w:color w:val="auto"/>
        </w:rPr>
      </w:pPr>
      <w:r>
        <w:rPr>
          <w:rFonts w:ascii="Arial" w:cs="Arial" w:eastAsia="Arial" w:hAnsi="Arial"/>
          <w:sz w:val="16"/>
          <w:szCs w:val="16"/>
          <w:u w:val="single" w:color="auto"/>
          <w:color w:val="auto"/>
        </w:rPr>
        <w:t>Triggering an Unforeseeable Emergency Hardship Withdrawal</w:t>
      </w:r>
      <w:r>
        <w:rPr>
          <w:rFonts w:ascii="Arial" w:cs="Arial" w:eastAsia="Arial" w:hAnsi="Arial"/>
          <w:sz w:val="16"/>
          <w:szCs w:val="16"/>
          <w:color w:val="auto"/>
        </w:rPr>
        <w:t>. The Committee may, in its sole and absolute discretion, accelerate the date of distribution of a Participant’s Account because of an Unforeseeable Emergency at any time. “</w:t>
      </w:r>
      <w:r>
        <w:rPr>
          <w:rFonts w:ascii="Arial" w:cs="Arial" w:eastAsia="Arial" w:hAnsi="Arial"/>
          <w:sz w:val="16"/>
          <w:szCs w:val="16"/>
          <w:b w:val="1"/>
          <w:bCs w:val="1"/>
          <w:color w:val="auto"/>
        </w:rPr>
        <w:t>Unforeseeable Emergency</w:t>
      </w:r>
      <w:r>
        <w:rPr>
          <w:rFonts w:ascii="Arial" w:cs="Arial" w:eastAsia="Arial" w:hAnsi="Arial"/>
          <w:sz w:val="16"/>
          <w:szCs w:val="16"/>
          <w:color w:val="auto"/>
        </w:rPr>
        <w:t>” means a severe financial hardship to the Participant resulting from an illness or accident of the Participant, the Participant’s spouse, or a dependent (as defined in Code Section 152(a)) of the Participant, loss of the Participant’s property due to casualty, or other similar extraordinary and unforeseeable circumstances arising as a result of events beyond the control of the Participant. The amount permitted to be distributed with respect to the Unforeseeable Emergency may not exceed the amount necessary to satisfy such emergency plus the amount necessary to pay taxes reasonably anticipated as a result of the distribution, after taking into account the extent to which such hardship is or may be relieved through reimbursement or compensation by insurance or otherwise or by liquidation of the Participant’s assets (to the extent the liquidation of such assets would not itself cause severe financial hardship). This Section 7.2 shall be interpreted consistent with Code Section 409 a(2)(B)(ii) and applicable regulations issued thereunder.</w:t>
      </w:r>
    </w:p>
    <w:p>
      <w:pPr>
        <w:spacing w:after="0" w:line="119" w:lineRule="exact"/>
        <w:rPr>
          <w:rFonts w:ascii="Arial" w:cs="Arial" w:eastAsia="Arial" w:hAnsi="Arial"/>
          <w:sz w:val="16"/>
          <w:szCs w:val="16"/>
          <w:color w:val="auto"/>
        </w:rPr>
      </w:pPr>
    </w:p>
    <w:p>
      <w:pPr>
        <w:ind w:right="20" w:firstLine="921"/>
        <w:spacing w:after="0" w:line="294" w:lineRule="auto"/>
        <w:tabs>
          <w:tab w:leader="none" w:pos="1161" w:val="left"/>
        </w:tabs>
        <w:numPr>
          <w:ilvl w:val="0"/>
          <w:numId w:val="45"/>
        </w:numPr>
        <w:rPr>
          <w:rFonts w:ascii="Arial" w:cs="Arial" w:eastAsia="Arial" w:hAnsi="Arial"/>
          <w:sz w:val="16"/>
          <w:szCs w:val="16"/>
          <w:color w:val="auto"/>
        </w:rPr>
      </w:pPr>
      <w:r>
        <w:rPr>
          <w:rFonts w:ascii="Arial" w:cs="Arial" w:eastAsia="Arial" w:hAnsi="Arial"/>
          <w:sz w:val="16"/>
          <w:szCs w:val="16"/>
          <w:u w:val="single" w:color="auto"/>
          <w:color w:val="auto"/>
        </w:rPr>
        <w:t>Distribution Attributable to an Unforeseeable Emergency</w:t>
      </w:r>
      <w:r>
        <w:rPr>
          <w:rFonts w:ascii="Arial" w:cs="Arial" w:eastAsia="Arial" w:hAnsi="Arial"/>
          <w:sz w:val="16"/>
          <w:szCs w:val="16"/>
          <w:color w:val="auto"/>
        </w:rPr>
        <w:t>. Unless the Committee, in its sole and absolute discretion, determines otherwise, distribution pursuant to this Section 7.2 of less than the Participant’s entire interest in the Plan shall be made pro rata from his or her assumed investments according to the balances in such investments. Subject to the foregoing, payment of any amount with respect to which a Participant has filed a request under this Section 7.2 shall be made in a single cash lump sum within thirty (30) days after the Committee approves the Participant’s request. Any remaining amounts in the Participant’s Account shall be distributed as provided in Section 7.1 above.</w:t>
      </w:r>
    </w:p>
    <w:p>
      <w:pPr>
        <w:spacing w:after="0" w:line="10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380"/>
          </w:cols>
          <w:pgMar w:left="240" w:top="280" w:right="279" w:bottom="1440" w:gutter="0" w:footer="0" w:header="0"/>
        </w:sectPr>
      </w:pPr>
    </w:p>
    <w:bookmarkStart w:id="64" w:name="page65"/>
    <w:bookmarkEnd w:id="64"/>
    <w:p>
      <w:pPr>
        <w:ind w:right="160" w:firstLine="456"/>
        <w:spacing w:after="0" w:line="258" w:lineRule="auto"/>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7.3 </w:t>
      </w:r>
      <w:r>
        <w:rPr>
          <w:rFonts w:ascii="Arial" w:cs="Arial" w:eastAsia="Arial" w:hAnsi="Arial"/>
          <w:sz w:val="18"/>
          <w:szCs w:val="18"/>
          <w:u w:val="single" w:color="auto"/>
          <w:color w:val="auto"/>
        </w:rPr>
        <w:t>Inability To Locate Participant</w:t>
      </w:r>
      <w:r>
        <w:rPr>
          <w:rFonts w:ascii="Arial" w:cs="Arial" w:eastAsia="Arial" w:hAnsi="Arial"/>
          <w:sz w:val="18"/>
          <w:szCs w:val="18"/>
          <w:color w:val="auto"/>
        </w:rPr>
        <w:t>. In the event that the Committee is unable to locate a Participant or Beneficiary within two (2) years following the</w:t>
      </w:r>
      <w:r>
        <w:rPr>
          <w:rFonts w:ascii="Arial" w:cs="Arial" w:eastAsia="Arial" w:hAnsi="Arial"/>
          <w:sz w:val="18"/>
          <w:szCs w:val="18"/>
          <w:b w:val="1"/>
          <w:bCs w:val="1"/>
          <w:color w:val="auto"/>
        </w:rPr>
        <w:t xml:space="preserve"> </w:t>
      </w:r>
      <w:r>
        <w:rPr>
          <w:rFonts w:ascii="Arial" w:cs="Arial" w:eastAsia="Arial" w:hAnsi="Arial"/>
          <w:sz w:val="18"/>
          <w:szCs w:val="18"/>
          <w:color w:val="auto"/>
        </w:rPr>
        <w:t>Participant’s Distribution Event, the amount allocated to the Participant’s Deferral Account shall be forfeited. If, after such forfeiture, the Participant or Beneficiary later establishes a proper claim for such benefit, as determined by the Committee in its sole discretion, such benefit (calculated immediately prior to the forfeiture) shall be reinstated without interest or income.</w:t>
      </w:r>
    </w:p>
    <w:p>
      <w:pPr>
        <w:spacing w:after="0" w:line="29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VIII</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ADMINISTRATION</w:t>
      </w:r>
    </w:p>
    <w:p>
      <w:pPr>
        <w:spacing w:after="0" w:line="171" w:lineRule="exact"/>
        <w:rPr>
          <w:sz w:val="20"/>
          <w:szCs w:val="20"/>
          <w:color w:val="auto"/>
        </w:rPr>
      </w:pPr>
    </w:p>
    <w:p>
      <w:pPr>
        <w:ind w:right="240" w:firstLine="456"/>
        <w:spacing w:after="0" w:line="258" w:lineRule="auto"/>
        <w:rPr>
          <w:sz w:val="20"/>
          <w:szCs w:val="20"/>
          <w:color w:val="auto"/>
        </w:rPr>
      </w:pPr>
      <w:r>
        <w:rPr>
          <w:rFonts w:ascii="Arial" w:cs="Arial" w:eastAsia="Arial" w:hAnsi="Arial"/>
          <w:sz w:val="18"/>
          <w:szCs w:val="18"/>
          <w:b w:val="1"/>
          <w:bCs w:val="1"/>
          <w:color w:val="auto"/>
        </w:rPr>
        <w:t xml:space="preserve">8.1 </w:t>
      </w:r>
      <w:r>
        <w:rPr>
          <w:rFonts w:ascii="Arial" w:cs="Arial" w:eastAsia="Arial" w:hAnsi="Arial"/>
          <w:sz w:val="18"/>
          <w:szCs w:val="18"/>
          <w:u w:val="single" w:color="auto"/>
          <w:color w:val="auto"/>
        </w:rPr>
        <w:t>Committee</w:t>
      </w:r>
      <w:r>
        <w:rPr>
          <w:rFonts w:ascii="Arial" w:cs="Arial" w:eastAsia="Arial" w:hAnsi="Arial"/>
          <w:sz w:val="18"/>
          <w:szCs w:val="18"/>
          <w:color w:val="auto"/>
        </w:rPr>
        <w:t>. A Committee shall be appointed by, and serve at the pleasure of, the Board. The number of members comprising the Committee shall be</w:t>
      </w:r>
      <w:r>
        <w:rPr>
          <w:rFonts w:ascii="Arial" w:cs="Arial" w:eastAsia="Arial" w:hAnsi="Arial"/>
          <w:sz w:val="18"/>
          <w:szCs w:val="18"/>
          <w:b w:val="1"/>
          <w:bCs w:val="1"/>
          <w:color w:val="auto"/>
        </w:rPr>
        <w:t xml:space="preserve"> </w:t>
      </w:r>
      <w:r>
        <w:rPr>
          <w:rFonts w:ascii="Arial" w:cs="Arial" w:eastAsia="Arial" w:hAnsi="Arial"/>
          <w:sz w:val="18"/>
          <w:szCs w:val="18"/>
          <w:color w:val="auto"/>
        </w:rPr>
        <w:t>determined by the Board, which may from time to time vary the number of members. A member of the Committee may resign by delivering a written notice of resignation to the Board. The Board may remove any member by delivering a certified copy of its resolution of removal to such member. Vacancies in the membership of the Committee shall be filled by the Board.</w:t>
      </w:r>
    </w:p>
    <w:p>
      <w:pPr>
        <w:spacing w:after="0" w:line="136" w:lineRule="exact"/>
        <w:rPr>
          <w:sz w:val="20"/>
          <w:szCs w:val="20"/>
          <w:color w:val="auto"/>
        </w:rPr>
      </w:pPr>
    </w:p>
    <w:p>
      <w:pPr>
        <w:ind w:right="20" w:firstLine="456"/>
        <w:spacing w:after="0" w:line="256" w:lineRule="auto"/>
        <w:rPr>
          <w:sz w:val="20"/>
          <w:szCs w:val="20"/>
          <w:color w:val="auto"/>
        </w:rPr>
      </w:pPr>
      <w:r>
        <w:rPr>
          <w:rFonts w:ascii="Arial" w:cs="Arial" w:eastAsia="Arial" w:hAnsi="Arial"/>
          <w:sz w:val="18"/>
          <w:szCs w:val="18"/>
          <w:b w:val="1"/>
          <w:bCs w:val="1"/>
          <w:color w:val="auto"/>
        </w:rPr>
        <w:t xml:space="preserve">8.2 </w:t>
      </w:r>
      <w:r>
        <w:rPr>
          <w:rFonts w:ascii="Arial" w:cs="Arial" w:eastAsia="Arial" w:hAnsi="Arial"/>
          <w:sz w:val="18"/>
          <w:szCs w:val="18"/>
          <w:u w:val="single" w:color="auto"/>
          <w:color w:val="auto"/>
        </w:rPr>
        <w:t>Committee Action</w:t>
      </w:r>
      <w:r>
        <w:rPr>
          <w:rFonts w:ascii="Arial" w:cs="Arial" w:eastAsia="Arial" w:hAnsi="Arial"/>
          <w:sz w:val="18"/>
          <w:szCs w:val="18"/>
          <w:color w:val="auto"/>
        </w:rPr>
        <w:t>. The Committee shall act at meetings by affirmative vote of a majority of the members of the Committee. Any action permitted to be</w:t>
      </w:r>
      <w:r>
        <w:rPr>
          <w:rFonts w:ascii="Arial" w:cs="Arial" w:eastAsia="Arial" w:hAnsi="Arial"/>
          <w:sz w:val="18"/>
          <w:szCs w:val="18"/>
          <w:b w:val="1"/>
          <w:bCs w:val="1"/>
          <w:color w:val="auto"/>
        </w:rPr>
        <w:t xml:space="preserve"> </w:t>
      </w:r>
      <w:r>
        <w:rPr>
          <w:rFonts w:ascii="Arial" w:cs="Arial" w:eastAsia="Arial" w:hAnsi="Arial"/>
          <w:sz w:val="18"/>
          <w:szCs w:val="18"/>
          <w:color w:val="auto"/>
        </w:rPr>
        <w:t>taken at a meeting may be taken without a meeting if a written consent to the action is signed by all members of the Committee and such written consent is filed with the minutes of the proceedings of the Committee. A member of the Committee shall not vote or act upon any matter that relates solely to himself or herself as a Participant. The chairman or any other member or members of the Committee designated by the chairman may execute any certificate or other written direction on behalf of the Committee.</w:t>
      </w:r>
    </w:p>
    <w:p>
      <w:pPr>
        <w:spacing w:after="0" w:line="220"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 xml:space="preserve">8.3 </w:t>
      </w:r>
      <w:r>
        <w:rPr>
          <w:rFonts w:ascii="Arial" w:cs="Arial" w:eastAsia="Arial" w:hAnsi="Arial"/>
          <w:sz w:val="18"/>
          <w:szCs w:val="18"/>
          <w:u w:val="single" w:color="auto"/>
          <w:color w:val="auto"/>
        </w:rPr>
        <w:t>Powers and Duties of the Committee</w:t>
      </w:r>
      <w:r>
        <w:rPr>
          <w:rFonts w:ascii="Arial" w:cs="Arial" w:eastAsia="Arial" w:hAnsi="Arial"/>
          <w:sz w:val="18"/>
          <w:szCs w:val="18"/>
          <w:color w:val="auto"/>
        </w:rPr>
        <w:t>.</w:t>
      </w:r>
    </w:p>
    <w:p>
      <w:pPr>
        <w:spacing w:after="0" w:line="96" w:lineRule="exact"/>
        <w:rPr>
          <w:sz w:val="20"/>
          <w:szCs w:val="20"/>
          <w:color w:val="auto"/>
        </w:rPr>
      </w:pPr>
    </w:p>
    <w:p>
      <w:pPr>
        <w:ind w:firstLine="921"/>
        <w:spacing w:after="0" w:line="332" w:lineRule="auto"/>
        <w:tabs>
          <w:tab w:leader="none" w:pos="1152" w:val="left"/>
        </w:tabs>
        <w:numPr>
          <w:ilvl w:val="0"/>
          <w:numId w:val="46"/>
        </w:numPr>
        <w:rPr>
          <w:rFonts w:ascii="Arial" w:cs="Arial" w:eastAsia="Arial" w:hAnsi="Arial"/>
          <w:sz w:val="16"/>
          <w:szCs w:val="16"/>
          <w:color w:val="auto"/>
        </w:rPr>
      </w:pPr>
      <w:r>
        <w:rPr>
          <w:rFonts w:ascii="Arial" w:cs="Arial" w:eastAsia="Arial" w:hAnsi="Arial"/>
          <w:sz w:val="16"/>
          <w:szCs w:val="16"/>
          <w:color w:val="auto"/>
        </w:rPr>
        <w:t>The Committee, on behalf of the Participants and their Beneficiaries, shall enforce the Plan in accordance with its terms, shall be charged with the general administration of the Plan and shall have all powers necessary to accomplish its purposes, including, but not by way of limitation, the following:</w:t>
      </w:r>
    </w:p>
    <w:p>
      <w:pPr>
        <w:spacing w:after="0" w:line="85" w:lineRule="exact"/>
        <w:rPr>
          <w:rFonts w:ascii="Arial" w:cs="Arial" w:eastAsia="Arial" w:hAnsi="Arial"/>
          <w:sz w:val="16"/>
          <w:szCs w:val="16"/>
          <w:color w:val="auto"/>
        </w:rPr>
      </w:pPr>
    </w:p>
    <w:p>
      <w:pPr>
        <w:ind w:left="1700" w:hanging="208"/>
        <w:spacing w:after="0"/>
        <w:tabs>
          <w:tab w:leader="none" w:pos="1700" w:val="left"/>
        </w:tabs>
        <w:numPr>
          <w:ilvl w:val="1"/>
          <w:numId w:val="46"/>
        </w:numPr>
        <w:rPr>
          <w:rFonts w:ascii="Arial" w:cs="Arial" w:eastAsia="Arial" w:hAnsi="Arial"/>
          <w:sz w:val="18"/>
          <w:szCs w:val="18"/>
          <w:color w:val="auto"/>
        </w:rPr>
      </w:pPr>
      <w:r>
        <w:rPr>
          <w:rFonts w:ascii="Arial" w:cs="Arial" w:eastAsia="Arial" w:hAnsi="Arial"/>
          <w:sz w:val="18"/>
          <w:szCs w:val="18"/>
          <w:color w:val="auto"/>
        </w:rPr>
        <w:t>To select the funds to be the Funds in accordance with Section 3.3 hereof;</w:t>
      </w:r>
    </w:p>
    <w:p>
      <w:pPr>
        <w:spacing w:after="0" w:line="171" w:lineRule="exact"/>
        <w:rPr>
          <w:rFonts w:ascii="Arial" w:cs="Arial" w:eastAsia="Arial" w:hAnsi="Arial"/>
          <w:sz w:val="18"/>
          <w:szCs w:val="18"/>
          <w:color w:val="auto"/>
        </w:rPr>
      </w:pPr>
    </w:p>
    <w:p>
      <w:pPr>
        <w:ind w:left="1760" w:hanging="268"/>
        <w:spacing w:after="0"/>
        <w:tabs>
          <w:tab w:leader="none" w:pos="1760" w:val="left"/>
        </w:tabs>
        <w:numPr>
          <w:ilvl w:val="1"/>
          <w:numId w:val="46"/>
        </w:numPr>
        <w:rPr>
          <w:rFonts w:ascii="Arial" w:cs="Arial" w:eastAsia="Arial" w:hAnsi="Arial"/>
          <w:sz w:val="16"/>
          <w:szCs w:val="16"/>
          <w:color w:val="auto"/>
        </w:rPr>
      </w:pPr>
      <w:r>
        <w:rPr>
          <w:rFonts w:ascii="Arial" w:cs="Arial" w:eastAsia="Arial" w:hAnsi="Arial"/>
          <w:sz w:val="16"/>
          <w:szCs w:val="16"/>
          <w:color w:val="auto"/>
        </w:rPr>
        <w:t>To construe and interpret the terms and provisions of this Plan and to make factual determinations relevant to Plan benefits and</w:t>
      </w:r>
    </w:p>
    <w:p>
      <w:pPr>
        <w:spacing w:after="0" w:line="38"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entitlements;</w:t>
      </w:r>
    </w:p>
    <w:p>
      <w:pPr>
        <w:spacing w:after="0" w:line="164" w:lineRule="exact"/>
        <w:rPr>
          <w:rFonts w:ascii="Arial" w:cs="Arial" w:eastAsia="Arial" w:hAnsi="Arial"/>
          <w:sz w:val="16"/>
          <w:szCs w:val="16"/>
          <w:color w:val="auto"/>
        </w:rPr>
      </w:pPr>
    </w:p>
    <w:p>
      <w:pPr>
        <w:ind w:left="1800" w:hanging="308"/>
        <w:spacing w:after="0"/>
        <w:tabs>
          <w:tab w:leader="none" w:pos="1800" w:val="left"/>
        </w:tabs>
        <w:numPr>
          <w:ilvl w:val="1"/>
          <w:numId w:val="46"/>
        </w:numPr>
        <w:rPr>
          <w:rFonts w:ascii="Arial" w:cs="Arial" w:eastAsia="Arial" w:hAnsi="Arial"/>
          <w:sz w:val="18"/>
          <w:szCs w:val="18"/>
          <w:color w:val="auto"/>
        </w:rPr>
      </w:pPr>
      <w:r>
        <w:rPr>
          <w:rFonts w:ascii="Arial" w:cs="Arial" w:eastAsia="Arial" w:hAnsi="Arial"/>
          <w:sz w:val="18"/>
          <w:szCs w:val="18"/>
          <w:color w:val="auto"/>
        </w:rPr>
        <w:t>To amend, modify, suspend or terminate the Plan in accordance with Section 9.4;</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20"/>
          </w:cols>
          <w:pgMar w:left="240" w:top="274" w:right="239" w:bottom="1440" w:gutter="0" w:footer="0" w:header="0"/>
        </w:sectPr>
      </w:pPr>
    </w:p>
    <w:bookmarkStart w:id="65" w:name="page66"/>
    <w:bookmarkEnd w:id="65"/>
    <w:p>
      <w:pPr>
        <w:ind w:right="60" w:firstLine="1492"/>
        <w:spacing w:after="0" w:line="268" w:lineRule="auto"/>
        <w:tabs>
          <w:tab w:leader="none" w:pos="1781" w:val="left"/>
        </w:tabs>
        <w:numPr>
          <w:ilvl w:val="0"/>
          <w:numId w:val="47"/>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To compute and certify the amount and kind of benefits payable to Participants and their Beneficiaries and to direct the Trustee as to the distribution of Plan assets;</w:t>
      </w:r>
    </w:p>
    <w:p>
      <w:pPr>
        <w:spacing w:after="0" w:line="131" w:lineRule="exact"/>
        <w:rPr>
          <w:rFonts w:ascii="Arial" w:cs="Arial" w:eastAsia="Arial" w:hAnsi="Arial"/>
          <w:sz w:val="18"/>
          <w:szCs w:val="18"/>
          <w:color w:val="auto"/>
        </w:rPr>
      </w:pPr>
    </w:p>
    <w:p>
      <w:pPr>
        <w:ind w:left="1740" w:hanging="248"/>
        <w:spacing w:after="0"/>
        <w:tabs>
          <w:tab w:leader="none" w:pos="1740" w:val="left"/>
        </w:tabs>
        <w:numPr>
          <w:ilvl w:val="0"/>
          <w:numId w:val="47"/>
        </w:numPr>
        <w:rPr>
          <w:rFonts w:ascii="Arial" w:cs="Arial" w:eastAsia="Arial" w:hAnsi="Arial"/>
          <w:sz w:val="18"/>
          <w:szCs w:val="18"/>
          <w:color w:val="auto"/>
        </w:rPr>
      </w:pPr>
      <w:r>
        <w:rPr>
          <w:rFonts w:ascii="Arial" w:cs="Arial" w:eastAsia="Arial" w:hAnsi="Arial"/>
          <w:sz w:val="18"/>
          <w:szCs w:val="18"/>
          <w:color w:val="auto"/>
        </w:rPr>
        <w:t>To maintain all records that may be necessary for the administration of the Plan;</w:t>
      </w:r>
    </w:p>
    <w:p>
      <w:pPr>
        <w:spacing w:after="0" w:line="171" w:lineRule="exact"/>
        <w:rPr>
          <w:rFonts w:ascii="Arial" w:cs="Arial" w:eastAsia="Arial" w:hAnsi="Arial"/>
          <w:sz w:val="18"/>
          <w:szCs w:val="18"/>
          <w:color w:val="auto"/>
        </w:rPr>
      </w:pPr>
    </w:p>
    <w:p>
      <w:pPr>
        <w:ind w:right="140" w:firstLine="1492"/>
        <w:spacing w:after="0" w:line="268" w:lineRule="auto"/>
        <w:tabs>
          <w:tab w:leader="none" w:pos="1781" w:val="left"/>
        </w:tabs>
        <w:numPr>
          <w:ilvl w:val="0"/>
          <w:numId w:val="47"/>
        </w:numPr>
        <w:rPr>
          <w:rFonts w:ascii="Arial" w:cs="Arial" w:eastAsia="Arial" w:hAnsi="Arial"/>
          <w:sz w:val="18"/>
          <w:szCs w:val="18"/>
          <w:color w:val="auto"/>
        </w:rPr>
      </w:pPr>
      <w:r>
        <w:rPr>
          <w:rFonts w:ascii="Arial" w:cs="Arial" w:eastAsia="Arial" w:hAnsi="Arial"/>
          <w:sz w:val="18"/>
          <w:szCs w:val="18"/>
          <w:color w:val="auto"/>
        </w:rPr>
        <w:t>To provide for the disclosure of all information and the filing or provision of all reports and statements to Participants, Beneficiaries or governmental agencies as shall be required by law;</w:t>
      </w:r>
    </w:p>
    <w:p>
      <w:pPr>
        <w:spacing w:after="0" w:line="131" w:lineRule="exact"/>
        <w:rPr>
          <w:rFonts w:ascii="Arial" w:cs="Arial" w:eastAsia="Arial" w:hAnsi="Arial"/>
          <w:sz w:val="18"/>
          <w:szCs w:val="18"/>
          <w:color w:val="auto"/>
        </w:rPr>
      </w:pPr>
    </w:p>
    <w:p>
      <w:pPr>
        <w:ind w:right="220" w:firstLine="1492"/>
        <w:spacing w:after="0" w:line="268" w:lineRule="auto"/>
        <w:tabs>
          <w:tab w:leader="none" w:pos="1830" w:val="left"/>
        </w:tabs>
        <w:numPr>
          <w:ilvl w:val="0"/>
          <w:numId w:val="47"/>
        </w:numPr>
        <w:rPr>
          <w:rFonts w:ascii="Arial" w:cs="Arial" w:eastAsia="Arial" w:hAnsi="Arial"/>
          <w:sz w:val="18"/>
          <w:szCs w:val="18"/>
          <w:color w:val="auto"/>
        </w:rPr>
      </w:pPr>
      <w:r>
        <w:rPr>
          <w:rFonts w:ascii="Arial" w:cs="Arial" w:eastAsia="Arial" w:hAnsi="Arial"/>
          <w:sz w:val="18"/>
          <w:szCs w:val="18"/>
          <w:color w:val="auto"/>
        </w:rPr>
        <w:t>To make and publish such rules for the regulation of the Plan and procedures for the administration of the Plan, including the form of Enrollment Form, as are not inconsistent with the terms hereof;</w:t>
      </w:r>
    </w:p>
    <w:p>
      <w:pPr>
        <w:spacing w:after="0" w:line="131" w:lineRule="exact"/>
        <w:rPr>
          <w:rFonts w:ascii="Arial" w:cs="Arial" w:eastAsia="Arial" w:hAnsi="Arial"/>
          <w:sz w:val="18"/>
          <w:szCs w:val="18"/>
          <w:color w:val="auto"/>
        </w:rPr>
      </w:pPr>
    </w:p>
    <w:p>
      <w:pPr>
        <w:ind w:right="980" w:firstLine="1492"/>
        <w:spacing w:after="0" w:line="268" w:lineRule="auto"/>
        <w:tabs>
          <w:tab w:leader="none" w:pos="1879" w:val="left"/>
        </w:tabs>
        <w:numPr>
          <w:ilvl w:val="0"/>
          <w:numId w:val="47"/>
        </w:numPr>
        <w:rPr>
          <w:rFonts w:ascii="Arial" w:cs="Arial" w:eastAsia="Arial" w:hAnsi="Arial"/>
          <w:sz w:val="18"/>
          <w:szCs w:val="18"/>
          <w:color w:val="auto"/>
        </w:rPr>
      </w:pPr>
      <w:r>
        <w:rPr>
          <w:rFonts w:ascii="Arial" w:cs="Arial" w:eastAsia="Arial" w:hAnsi="Arial"/>
          <w:sz w:val="18"/>
          <w:szCs w:val="18"/>
          <w:color w:val="auto"/>
        </w:rPr>
        <w:t>To appoint a plan administrator or any other agent, and to delegate to them such powers and duties in connection with the administration of the Plan as the Committee may from time to time prescribe;</w:t>
      </w:r>
    </w:p>
    <w:p>
      <w:pPr>
        <w:spacing w:after="0" w:line="131" w:lineRule="exact"/>
        <w:rPr>
          <w:rFonts w:ascii="Arial" w:cs="Arial" w:eastAsia="Arial" w:hAnsi="Arial"/>
          <w:sz w:val="18"/>
          <w:szCs w:val="18"/>
          <w:color w:val="auto"/>
        </w:rPr>
      </w:pPr>
    </w:p>
    <w:p>
      <w:pPr>
        <w:ind w:left="1780" w:hanging="288"/>
        <w:spacing w:after="0"/>
        <w:tabs>
          <w:tab w:leader="none" w:pos="1780" w:val="left"/>
        </w:tabs>
        <w:numPr>
          <w:ilvl w:val="0"/>
          <w:numId w:val="47"/>
        </w:numPr>
        <w:rPr>
          <w:rFonts w:ascii="Arial" w:cs="Arial" w:eastAsia="Arial" w:hAnsi="Arial"/>
          <w:sz w:val="18"/>
          <w:szCs w:val="18"/>
          <w:color w:val="auto"/>
        </w:rPr>
      </w:pPr>
      <w:r>
        <w:rPr>
          <w:rFonts w:ascii="Arial" w:cs="Arial" w:eastAsia="Arial" w:hAnsi="Arial"/>
          <w:sz w:val="18"/>
          <w:szCs w:val="18"/>
          <w:color w:val="auto"/>
        </w:rPr>
        <w:t>To designate the affiliates that will participate in the Plan; and</w:t>
      </w:r>
    </w:p>
    <w:p>
      <w:pPr>
        <w:spacing w:after="0" w:line="171" w:lineRule="exact"/>
        <w:rPr>
          <w:rFonts w:ascii="Arial" w:cs="Arial" w:eastAsia="Arial" w:hAnsi="Arial"/>
          <w:sz w:val="18"/>
          <w:szCs w:val="18"/>
          <w:color w:val="auto"/>
        </w:rPr>
      </w:pPr>
    </w:p>
    <w:p>
      <w:pPr>
        <w:ind w:left="1740" w:hanging="248"/>
        <w:spacing w:after="0"/>
        <w:tabs>
          <w:tab w:leader="none" w:pos="1740" w:val="left"/>
        </w:tabs>
        <w:numPr>
          <w:ilvl w:val="0"/>
          <w:numId w:val="47"/>
        </w:numPr>
        <w:rPr>
          <w:rFonts w:ascii="Arial" w:cs="Arial" w:eastAsia="Arial" w:hAnsi="Arial"/>
          <w:sz w:val="16"/>
          <w:szCs w:val="16"/>
          <w:color w:val="auto"/>
        </w:rPr>
      </w:pPr>
      <w:r>
        <w:rPr>
          <w:rFonts w:ascii="Arial" w:cs="Arial" w:eastAsia="Arial" w:hAnsi="Arial"/>
          <w:sz w:val="16"/>
          <w:szCs w:val="16"/>
          <w:color w:val="auto"/>
        </w:rPr>
        <w:t>To determine the entities that constitute predecessor employers for purposes of determining years of service (if applicable).</w:t>
      </w:r>
    </w:p>
    <w:p>
      <w:pPr>
        <w:spacing w:after="0" w:line="188" w:lineRule="exact"/>
        <w:rPr>
          <w:sz w:val="20"/>
          <w:szCs w:val="20"/>
          <w:color w:val="auto"/>
        </w:rPr>
      </w:pPr>
    </w:p>
    <w:p>
      <w:pPr>
        <w:jc w:val="both"/>
        <w:ind w:right="180" w:firstLine="456"/>
        <w:spacing w:after="0" w:line="262" w:lineRule="auto"/>
        <w:rPr>
          <w:sz w:val="20"/>
          <w:szCs w:val="20"/>
          <w:color w:val="auto"/>
        </w:rPr>
      </w:pPr>
      <w:r>
        <w:rPr>
          <w:rFonts w:ascii="Arial" w:cs="Arial" w:eastAsia="Arial" w:hAnsi="Arial"/>
          <w:sz w:val="18"/>
          <w:szCs w:val="18"/>
          <w:b w:val="1"/>
          <w:bCs w:val="1"/>
          <w:color w:val="auto"/>
        </w:rPr>
        <w:t xml:space="preserve">8.4 </w:t>
      </w:r>
      <w:r>
        <w:rPr>
          <w:rFonts w:ascii="Arial" w:cs="Arial" w:eastAsia="Arial" w:hAnsi="Arial"/>
          <w:sz w:val="18"/>
          <w:szCs w:val="18"/>
          <w:u w:val="single" w:color="auto"/>
          <w:color w:val="auto"/>
        </w:rPr>
        <w:t>Construction and Interpretation</w:t>
      </w:r>
      <w:r>
        <w:rPr>
          <w:rFonts w:ascii="Arial" w:cs="Arial" w:eastAsia="Arial" w:hAnsi="Arial"/>
          <w:sz w:val="18"/>
          <w:szCs w:val="18"/>
          <w:color w:val="auto"/>
        </w:rPr>
        <w:t>. The Committee shall have full discretion to construe and interpret the terms and provisions of this Plan, and to apply</w:t>
      </w:r>
      <w:r>
        <w:rPr>
          <w:rFonts w:ascii="Arial" w:cs="Arial" w:eastAsia="Arial" w:hAnsi="Arial"/>
          <w:sz w:val="18"/>
          <w:szCs w:val="18"/>
          <w:b w:val="1"/>
          <w:bCs w:val="1"/>
          <w:color w:val="auto"/>
        </w:rPr>
        <w:t xml:space="preserve"> </w:t>
      </w:r>
      <w:r>
        <w:rPr>
          <w:rFonts w:ascii="Arial" w:cs="Arial" w:eastAsia="Arial" w:hAnsi="Arial"/>
          <w:sz w:val="18"/>
          <w:szCs w:val="18"/>
          <w:color w:val="auto"/>
        </w:rPr>
        <w:t>them to particular factual circumstances, which interpretation or construction shall be final and binding on all parties, including but not limited to the Company and any Participant and Beneficiary.</w:t>
      </w:r>
    </w:p>
    <w:p>
      <w:pPr>
        <w:spacing w:after="0" w:line="132" w:lineRule="exact"/>
        <w:rPr>
          <w:sz w:val="20"/>
          <w:szCs w:val="20"/>
          <w:color w:val="auto"/>
        </w:rPr>
      </w:pPr>
    </w:p>
    <w:p>
      <w:pPr>
        <w:ind w:firstLine="456"/>
        <w:spacing w:after="0" w:line="378" w:lineRule="auto"/>
        <w:rPr>
          <w:sz w:val="20"/>
          <w:szCs w:val="20"/>
          <w:color w:val="auto"/>
        </w:rPr>
      </w:pPr>
      <w:r>
        <w:rPr>
          <w:rFonts w:ascii="Arial" w:cs="Arial" w:eastAsia="Arial" w:hAnsi="Arial"/>
          <w:sz w:val="15"/>
          <w:szCs w:val="15"/>
          <w:b w:val="1"/>
          <w:bCs w:val="1"/>
          <w:color w:val="auto"/>
        </w:rPr>
        <w:t xml:space="preserve">8.5 </w:t>
      </w:r>
      <w:r>
        <w:rPr>
          <w:rFonts w:ascii="Arial" w:cs="Arial" w:eastAsia="Arial" w:hAnsi="Arial"/>
          <w:sz w:val="15"/>
          <w:szCs w:val="15"/>
          <w:u w:val="single" w:color="auto"/>
          <w:color w:val="auto"/>
        </w:rPr>
        <w:t>Information</w:t>
      </w:r>
      <w:r>
        <w:rPr>
          <w:rFonts w:ascii="Arial" w:cs="Arial" w:eastAsia="Arial" w:hAnsi="Arial"/>
          <w:sz w:val="15"/>
          <w:szCs w:val="15"/>
          <w:color w:val="auto"/>
        </w:rPr>
        <w:t>. To enable the Committee to perform its functions, the Company shall supply full and timely information to the Committee on all matters</w:t>
      </w:r>
      <w:r>
        <w:rPr>
          <w:rFonts w:ascii="Arial" w:cs="Arial" w:eastAsia="Arial" w:hAnsi="Arial"/>
          <w:sz w:val="15"/>
          <w:szCs w:val="15"/>
          <w:b w:val="1"/>
          <w:bCs w:val="1"/>
          <w:color w:val="auto"/>
        </w:rPr>
        <w:t xml:space="preserve"> </w:t>
      </w:r>
      <w:r>
        <w:rPr>
          <w:rFonts w:ascii="Arial" w:cs="Arial" w:eastAsia="Arial" w:hAnsi="Arial"/>
          <w:sz w:val="15"/>
          <w:szCs w:val="15"/>
          <w:color w:val="auto"/>
        </w:rPr>
        <w:t>relating to the Compensation of all Participants, their death or other cause of termination, and such other pertinent facts as the Committee may reasonably require.</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 xml:space="preserve">8.6 </w:t>
      </w:r>
      <w:r>
        <w:rPr>
          <w:rFonts w:ascii="Arial" w:cs="Arial" w:eastAsia="Arial" w:hAnsi="Arial"/>
          <w:sz w:val="18"/>
          <w:szCs w:val="18"/>
          <w:u w:val="single" w:color="auto"/>
          <w:color w:val="auto"/>
        </w:rPr>
        <w:t>Compensation, Expenses and Indemnity</w:t>
      </w:r>
      <w:r>
        <w:rPr>
          <w:rFonts w:ascii="Arial" w:cs="Arial" w:eastAsia="Arial" w:hAnsi="Arial"/>
          <w:sz w:val="18"/>
          <w:szCs w:val="18"/>
          <w:color w:val="auto"/>
        </w:rPr>
        <w:t>.</w:t>
      </w:r>
    </w:p>
    <w:p>
      <w:pPr>
        <w:spacing w:after="0" w:line="96" w:lineRule="exact"/>
        <w:rPr>
          <w:sz w:val="20"/>
          <w:szCs w:val="20"/>
          <w:color w:val="auto"/>
        </w:rPr>
      </w:pPr>
    </w:p>
    <w:p>
      <w:pPr>
        <w:ind w:left="1160" w:hanging="239"/>
        <w:spacing w:after="0"/>
        <w:tabs>
          <w:tab w:leader="none" w:pos="1160" w:val="left"/>
        </w:tabs>
        <w:numPr>
          <w:ilvl w:val="0"/>
          <w:numId w:val="48"/>
        </w:numPr>
        <w:rPr>
          <w:rFonts w:ascii="Arial" w:cs="Arial" w:eastAsia="Arial" w:hAnsi="Arial"/>
          <w:sz w:val="18"/>
          <w:szCs w:val="18"/>
          <w:color w:val="auto"/>
        </w:rPr>
      </w:pPr>
      <w:r>
        <w:rPr>
          <w:rFonts w:ascii="Arial" w:cs="Arial" w:eastAsia="Arial" w:hAnsi="Arial"/>
          <w:sz w:val="18"/>
          <w:szCs w:val="18"/>
          <w:color w:val="auto"/>
        </w:rPr>
        <w:t>The members of the Committee shall serve without compensation for their services hereunder.</w:t>
      </w:r>
    </w:p>
    <w:p>
      <w:pPr>
        <w:spacing w:after="0" w:line="171" w:lineRule="exact"/>
        <w:rPr>
          <w:rFonts w:ascii="Arial" w:cs="Arial" w:eastAsia="Arial" w:hAnsi="Arial"/>
          <w:sz w:val="18"/>
          <w:szCs w:val="18"/>
          <w:color w:val="auto"/>
        </w:rPr>
      </w:pPr>
    </w:p>
    <w:p>
      <w:pPr>
        <w:ind w:right="100" w:firstLine="921"/>
        <w:spacing w:after="0" w:line="259" w:lineRule="auto"/>
        <w:tabs>
          <w:tab w:leader="none" w:pos="1162" w:val="left"/>
        </w:tabs>
        <w:numPr>
          <w:ilvl w:val="0"/>
          <w:numId w:val="48"/>
        </w:numPr>
        <w:rPr>
          <w:rFonts w:ascii="Arial" w:cs="Arial" w:eastAsia="Arial" w:hAnsi="Arial"/>
          <w:sz w:val="18"/>
          <w:szCs w:val="18"/>
          <w:color w:val="auto"/>
        </w:rPr>
      </w:pPr>
      <w:r>
        <w:rPr>
          <w:rFonts w:ascii="Arial" w:cs="Arial" w:eastAsia="Arial" w:hAnsi="Arial"/>
          <w:sz w:val="18"/>
          <w:szCs w:val="18"/>
          <w:color w:val="auto"/>
        </w:rPr>
        <w:t>The Committee is authorized at the expense of the Company to employ such legal counsel or other professional advisers as it may deem advisable from time to time to assist in the performance of its duties hereunder. Expenses and fees in connection with the administration of the Plan shall be paid by the Company.</w:t>
      </w:r>
    </w:p>
    <w:p>
      <w:pPr>
        <w:spacing w:after="0" w:line="140" w:lineRule="exact"/>
        <w:rPr>
          <w:rFonts w:ascii="Arial" w:cs="Arial" w:eastAsia="Arial" w:hAnsi="Arial"/>
          <w:sz w:val="18"/>
          <w:szCs w:val="18"/>
          <w:color w:val="auto"/>
        </w:rPr>
      </w:pPr>
    </w:p>
    <w:p>
      <w:pPr>
        <w:ind w:right="100" w:firstLine="921"/>
        <w:spacing w:after="0" w:line="306" w:lineRule="auto"/>
        <w:tabs>
          <w:tab w:leader="none" w:pos="1152" w:val="left"/>
        </w:tabs>
        <w:numPr>
          <w:ilvl w:val="0"/>
          <w:numId w:val="48"/>
        </w:numPr>
        <w:rPr>
          <w:rFonts w:ascii="Arial" w:cs="Arial" w:eastAsia="Arial" w:hAnsi="Arial"/>
          <w:sz w:val="16"/>
          <w:szCs w:val="16"/>
          <w:color w:val="auto"/>
        </w:rPr>
      </w:pPr>
      <w:r>
        <w:rPr>
          <w:rFonts w:ascii="Arial" w:cs="Arial" w:eastAsia="Arial" w:hAnsi="Arial"/>
          <w:sz w:val="16"/>
          <w:szCs w:val="16"/>
          <w:color w:val="auto"/>
        </w:rPr>
        <w:t>To the extent permitted by applicable state law, the Company shall indemnify and save harmless the Committee and each member thereof, the Board and any delegate of the Committee who is an employee of the Company against any and all expenses, liabilities and claims, including legal fees to defend against such liabilities and claims arising out of their discharge in good faith of responsibilities under or incident to the Plan, other than</w:t>
      </w:r>
    </w:p>
    <w:p>
      <w:pPr>
        <w:spacing w:after="0" w:line="9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00"/>
          </w:cols>
          <w:pgMar w:left="240" w:top="280" w:right="259" w:bottom="1440" w:gutter="0" w:footer="0" w:header="0"/>
        </w:sectPr>
      </w:pPr>
    </w:p>
    <w:bookmarkStart w:id="66" w:name="page67"/>
    <w:bookmarkEnd w:id="66"/>
    <w:p>
      <w:pPr>
        <w:ind w:right="4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expenses and liabilities arising out of willful misconduct or gross negligence. This indemnity shall not preclude such further indemnities as may be available under insurance purchased by the Company or provided by the Company under any bylaw, agreement or otherwise, as such indemnities are permitted under state law.</w:t>
      </w:r>
    </w:p>
    <w:p>
      <w:pPr>
        <w:spacing w:after="0" w:line="134" w:lineRule="exact"/>
        <w:rPr>
          <w:sz w:val="20"/>
          <w:szCs w:val="20"/>
          <w:color w:val="auto"/>
        </w:rPr>
      </w:pPr>
    </w:p>
    <w:p>
      <w:pPr>
        <w:ind w:right="840" w:firstLine="456"/>
        <w:spacing w:after="0" w:line="275" w:lineRule="auto"/>
        <w:rPr>
          <w:sz w:val="20"/>
          <w:szCs w:val="20"/>
          <w:color w:val="auto"/>
        </w:rPr>
      </w:pPr>
      <w:r>
        <w:rPr>
          <w:rFonts w:ascii="Arial" w:cs="Arial" w:eastAsia="Arial" w:hAnsi="Arial"/>
          <w:sz w:val="18"/>
          <w:szCs w:val="18"/>
          <w:b w:val="1"/>
          <w:bCs w:val="1"/>
          <w:color w:val="auto"/>
        </w:rPr>
        <w:t xml:space="preserve">8.7 </w:t>
      </w:r>
      <w:r>
        <w:rPr>
          <w:rFonts w:ascii="Arial" w:cs="Arial" w:eastAsia="Arial" w:hAnsi="Arial"/>
          <w:sz w:val="18"/>
          <w:szCs w:val="18"/>
          <w:u w:val="single" w:color="auto"/>
          <w:color w:val="auto"/>
        </w:rPr>
        <w:t>Quarterly Statements</w:t>
      </w:r>
      <w:r>
        <w:rPr>
          <w:rFonts w:ascii="Arial" w:cs="Arial" w:eastAsia="Arial" w:hAnsi="Arial"/>
          <w:sz w:val="18"/>
          <w:szCs w:val="18"/>
          <w:color w:val="auto"/>
        </w:rPr>
        <w:t>. Under procedures established by the Committee, a Participant shall be provided with a statement with respect to such</w:t>
      </w:r>
      <w:r>
        <w:rPr>
          <w:rFonts w:ascii="Arial" w:cs="Arial" w:eastAsia="Arial" w:hAnsi="Arial"/>
          <w:sz w:val="18"/>
          <w:szCs w:val="18"/>
          <w:b w:val="1"/>
          <w:bCs w:val="1"/>
          <w:color w:val="auto"/>
        </w:rPr>
        <w:t xml:space="preserve"> </w:t>
      </w:r>
      <w:r>
        <w:rPr>
          <w:rFonts w:ascii="Arial" w:cs="Arial" w:eastAsia="Arial" w:hAnsi="Arial"/>
          <w:sz w:val="18"/>
          <w:szCs w:val="18"/>
          <w:color w:val="auto"/>
        </w:rPr>
        <w:t>Participant’s Account on a quarterly basis.</w:t>
      </w:r>
    </w:p>
    <w:p>
      <w:pPr>
        <w:spacing w:after="0" w:line="282"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ARTICLE IX</w:t>
      </w:r>
    </w:p>
    <w:p>
      <w:pPr>
        <w:spacing w:after="0" w:line="17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MISCELLANEOUS</w:t>
      </w:r>
    </w:p>
    <w:p>
      <w:pPr>
        <w:spacing w:after="0" w:line="171" w:lineRule="exact"/>
        <w:rPr>
          <w:sz w:val="20"/>
          <w:szCs w:val="20"/>
          <w:color w:val="auto"/>
        </w:rPr>
      </w:pPr>
    </w:p>
    <w:p>
      <w:pPr>
        <w:ind w:firstLine="456"/>
        <w:spacing w:after="0" w:line="296" w:lineRule="auto"/>
        <w:rPr>
          <w:sz w:val="20"/>
          <w:szCs w:val="20"/>
          <w:color w:val="auto"/>
        </w:rPr>
      </w:pPr>
      <w:r>
        <w:rPr>
          <w:rFonts w:ascii="Arial" w:cs="Arial" w:eastAsia="Arial" w:hAnsi="Arial"/>
          <w:sz w:val="16"/>
          <w:szCs w:val="16"/>
          <w:b w:val="1"/>
          <w:bCs w:val="1"/>
          <w:color w:val="auto"/>
        </w:rPr>
        <w:t xml:space="preserve">9.1 </w:t>
      </w:r>
      <w:r>
        <w:rPr>
          <w:rFonts w:ascii="Arial" w:cs="Arial" w:eastAsia="Arial" w:hAnsi="Arial"/>
          <w:sz w:val="16"/>
          <w:szCs w:val="16"/>
          <w:u w:val="single" w:color="auto"/>
          <w:color w:val="auto"/>
        </w:rPr>
        <w:t>Unsecured General Creditor</w:t>
      </w:r>
      <w:r>
        <w:rPr>
          <w:rFonts w:ascii="Arial" w:cs="Arial" w:eastAsia="Arial" w:hAnsi="Arial"/>
          <w:sz w:val="16"/>
          <w:szCs w:val="16"/>
          <w:color w:val="auto"/>
        </w:rPr>
        <w:t>. Participants and their Beneficiaries, heirs, successors, and assigns shall have no legal or equitable rights, claims, or</w:t>
      </w:r>
      <w:r>
        <w:rPr>
          <w:rFonts w:ascii="Arial" w:cs="Arial" w:eastAsia="Arial" w:hAnsi="Arial"/>
          <w:sz w:val="16"/>
          <w:szCs w:val="16"/>
          <w:b w:val="1"/>
          <w:bCs w:val="1"/>
          <w:color w:val="auto"/>
        </w:rPr>
        <w:t xml:space="preserve"> </w:t>
      </w:r>
      <w:r>
        <w:rPr>
          <w:rFonts w:ascii="Arial" w:cs="Arial" w:eastAsia="Arial" w:hAnsi="Arial"/>
          <w:sz w:val="16"/>
          <w:szCs w:val="16"/>
          <w:color w:val="auto"/>
        </w:rPr>
        <w:t>interests in any specific property or assets of the Company. No assets of the Company shall be held in any way as collateral security for the fulfilling of the obligations of the Company under this Plan. Any and all of the Company’s assets shall be, and remain, the general unpledged, unrestricted assets of the Company. The Company’s obligation under the Plan shall be merely that of an unfunded and unsecured promise of the Company to pay money in the future, and the rights of the Participants and Beneficiaries shall be no greater than those of unsecured general creditors.</w:t>
      </w:r>
    </w:p>
    <w:p>
      <w:pPr>
        <w:spacing w:after="0" w:line="108"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b w:val="1"/>
          <w:bCs w:val="1"/>
          <w:color w:val="auto"/>
        </w:rPr>
        <w:t xml:space="preserve">9.2 </w:t>
      </w:r>
      <w:r>
        <w:rPr>
          <w:rFonts w:ascii="Arial" w:cs="Arial" w:eastAsia="Arial" w:hAnsi="Arial"/>
          <w:sz w:val="16"/>
          <w:szCs w:val="16"/>
          <w:u w:val="single" w:color="auto"/>
          <w:color w:val="auto"/>
        </w:rPr>
        <w:t>Restriction Against Assignment</w:t>
      </w:r>
      <w:r>
        <w:rPr>
          <w:rFonts w:ascii="Arial" w:cs="Arial" w:eastAsia="Arial" w:hAnsi="Arial"/>
          <w:sz w:val="16"/>
          <w:szCs w:val="16"/>
          <w:color w:val="auto"/>
        </w:rPr>
        <w:t>. The Company shall pay all amounts payable hereunder only to the person or persons designated by the Plan and not to</w:t>
      </w:r>
      <w:r>
        <w:rPr>
          <w:rFonts w:ascii="Arial" w:cs="Arial" w:eastAsia="Arial" w:hAnsi="Arial"/>
          <w:sz w:val="16"/>
          <w:szCs w:val="16"/>
          <w:b w:val="1"/>
          <w:bCs w:val="1"/>
          <w:color w:val="auto"/>
        </w:rPr>
        <w:t xml:space="preserve"> </w:t>
      </w:r>
      <w:r>
        <w:rPr>
          <w:rFonts w:ascii="Arial" w:cs="Arial" w:eastAsia="Arial" w:hAnsi="Arial"/>
          <w:sz w:val="16"/>
          <w:szCs w:val="16"/>
          <w:color w:val="auto"/>
        </w:rPr>
        <w:t>any other person or corporation. No part of a Participant’s Account shall be liable for the debts, contracts, or engagements of any Participant, his or her Beneficiary, or successors in interest, nor shall a Participant’s Account be subject to execution by levy, attachment, or garnishment or by any other legal or equitable proceeding, nor shall any such person have any right to alienate, anticipate, commute, pledge, encumber, or assign any benefits or payments hereunder in any manner whatsoever. If any Participant, Beneficiary or successor in interest is adjudicated bankrupt or purports to anticipate, alienate, sell, transfer, assign, pledge, encumber or charge any distribution or payment from the Plan, voluntarily or involuntarily, the Committee, in its sole and absolute discretion, may cancel such distribution or payment (or any part thereof) to or for the benefit of such Participant, Beneficiary or successor in interest in such manner as the Committee shall direct.</w:t>
      </w:r>
    </w:p>
    <w:p>
      <w:pPr>
        <w:spacing w:after="0" w:line="112" w:lineRule="exact"/>
        <w:rPr>
          <w:sz w:val="20"/>
          <w:szCs w:val="20"/>
          <w:color w:val="auto"/>
        </w:rPr>
      </w:pPr>
    </w:p>
    <w:p>
      <w:pPr>
        <w:ind w:right="120" w:firstLine="456"/>
        <w:spacing w:after="0" w:line="339" w:lineRule="auto"/>
        <w:rPr>
          <w:sz w:val="20"/>
          <w:szCs w:val="20"/>
          <w:color w:val="auto"/>
        </w:rPr>
      </w:pPr>
      <w:r>
        <w:rPr>
          <w:rFonts w:ascii="Arial" w:cs="Arial" w:eastAsia="Arial" w:hAnsi="Arial"/>
          <w:sz w:val="16"/>
          <w:szCs w:val="16"/>
          <w:b w:val="1"/>
          <w:bCs w:val="1"/>
          <w:color w:val="auto"/>
        </w:rPr>
        <w:t xml:space="preserve">9.3 </w:t>
      </w:r>
      <w:r>
        <w:rPr>
          <w:rFonts w:ascii="Arial" w:cs="Arial" w:eastAsia="Arial" w:hAnsi="Arial"/>
          <w:sz w:val="16"/>
          <w:szCs w:val="16"/>
          <w:u w:val="single" w:color="auto"/>
          <w:color w:val="auto"/>
        </w:rPr>
        <w:t>Withholding</w:t>
      </w:r>
      <w:r>
        <w:rPr>
          <w:rFonts w:ascii="Arial" w:cs="Arial" w:eastAsia="Arial" w:hAnsi="Arial"/>
          <w:sz w:val="16"/>
          <w:szCs w:val="16"/>
          <w:color w:val="auto"/>
        </w:rPr>
        <w:t>. There shall be deducted from each payment made under the Plan, all taxes that are required to be withheld by the Company in respect to</w:t>
      </w:r>
      <w:r>
        <w:rPr>
          <w:rFonts w:ascii="Arial" w:cs="Arial" w:eastAsia="Arial" w:hAnsi="Arial"/>
          <w:sz w:val="16"/>
          <w:szCs w:val="16"/>
          <w:b w:val="1"/>
          <w:bCs w:val="1"/>
          <w:color w:val="auto"/>
        </w:rPr>
        <w:t xml:space="preserve"> </w:t>
      </w:r>
      <w:r>
        <w:rPr>
          <w:rFonts w:ascii="Arial" w:cs="Arial" w:eastAsia="Arial" w:hAnsi="Arial"/>
          <w:sz w:val="16"/>
          <w:szCs w:val="16"/>
          <w:color w:val="auto"/>
        </w:rPr>
        <w:t>such payment. The Company shall have the right to reduce any payment by the amount of cash sufficient to provide the amount of said taxes.</w:t>
      </w:r>
    </w:p>
    <w:p>
      <w:pPr>
        <w:spacing w:after="0" w:line="74" w:lineRule="exact"/>
        <w:rPr>
          <w:sz w:val="20"/>
          <w:szCs w:val="20"/>
          <w:color w:val="auto"/>
        </w:rPr>
      </w:pPr>
    </w:p>
    <w:p>
      <w:pPr>
        <w:ind w:right="200" w:firstLine="456"/>
        <w:spacing w:after="0" w:line="262" w:lineRule="auto"/>
        <w:rPr>
          <w:sz w:val="20"/>
          <w:szCs w:val="20"/>
          <w:color w:val="auto"/>
        </w:rPr>
      </w:pPr>
      <w:r>
        <w:rPr>
          <w:rFonts w:ascii="Arial" w:cs="Arial" w:eastAsia="Arial" w:hAnsi="Arial"/>
          <w:sz w:val="18"/>
          <w:szCs w:val="18"/>
          <w:b w:val="1"/>
          <w:bCs w:val="1"/>
          <w:color w:val="auto"/>
        </w:rPr>
        <w:t xml:space="preserve">9.4 </w:t>
      </w:r>
      <w:r>
        <w:rPr>
          <w:rFonts w:ascii="Arial" w:cs="Arial" w:eastAsia="Arial" w:hAnsi="Arial"/>
          <w:sz w:val="18"/>
          <w:szCs w:val="18"/>
          <w:u w:val="single" w:color="auto"/>
          <w:color w:val="auto"/>
        </w:rPr>
        <w:t>Amendment, Modification, Suspension or Termination</w:t>
      </w:r>
      <w:r>
        <w:rPr>
          <w:rFonts w:ascii="Arial" w:cs="Arial" w:eastAsia="Arial" w:hAnsi="Arial"/>
          <w:sz w:val="18"/>
          <w:szCs w:val="18"/>
          <w:color w:val="auto"/>
        </w:rPr>
        <w:t>. The Committee may amend, modify, suspend or terminate the Plan in whole or in part at any</w:t>
      </w:r>
      <w:r>
        <w:rPr>
          <w:rFonts w:ascii="Arial" w:cs="Arial" w:eastAsia="Arial" w:hAnsi="Arial"/>
          <w:sz w:val="18"/>
          <w:szCs w:val="18"/>
          <w:b w:val="1"/>
          <w:bCs w:val="1"/>
          <w:color w:val="auto"/>
        </w:rPr>
        <w:t xml:space="preserve"> </w:t>
      </w:r>
      <w:r>
        <w:rPr>
          <w:rFonts w:ascii="Arial" w:cs="Arial" w:eastAsia="Arial" w:hAnsi="Arial"/>
          <w:sz w:val="18"/>
          <w:szCs w:val="18"/>
          <w:color w:val="auto"/>
        </w:rPr>
        <w:t>time for any reason, except that no amendment, modification, suspension or termination shall have any retroactive effect to reduce any amounts allocated to a Participant’s Account, provided that a termination or</w:t>
      </w:r>
    </w:p>
    <w:p>
      <w:pPr>
        <w:spacing w:after="0" w:line="12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380"/>
          </w:cols>
          <w:pgMar w:left="240" w:top="280" w:right="279" w:bottom="1440" w:gutter="0" w:footer="0" w:header="0"/>
        </w:sectPr>
      </w:pPr>
    </w:p>
    <w:bookmarkStart w:id="67" w:name="page68"/>
    <w:bookmarkEnd w:id="67"/>
    <w:p>
      <w:pPr>
        <w:jc w:val="both"/>
        <w:ind w:right="100"/>
        <w:spacing w:after="0" w:line="256"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suspension of the Plan or any Plan amendment or modification that will significantly increase costs to the Company shall be approved by the Board. In the event that this Plan is terminated, the timing of the disposition of the amounts credited to a Participant’s Account shall occur in accordance with Section 7.1, subject to earlier distribution at the sole and absolute discretion of the Committee to the extent such exercise of discretion is consistent with the acceleration of distribution rules under Code Section 409A and Treasury Regulations issued thereunder.</w:t>
      </w:r>
    </w:p>
    <w:p>
      <w:pPr>
        <w:spacing w:after="0" w:line="137" w:lineRule="exact"/>
        <w:rPr>
          <w:sz w:val="20"/>
          <w:szCs w:val="20"/>
          <w:color w:val="auto"/>
        </w:rPr>
      </w:pPr>
    </w:p>
    <w:p>
      <w:pPr>
        <w:ind w:firstLine="456"/>
        <w:spacing w:after="0" w:line="262" w:lineRule="auto"/>
        <w:rPr>
          <w:sz w:val="20"/>
          <w:szCs w:val="20"/>
          <w:color w:val="auto"/>
        </w:rPr>
      </w:pPr>
      <w:r>
        <w:rPr>
          <w:rFonts w:ascii="Arial" w:cs="Arial" w:eastAsia="Arial" w:hAnsi="Arial"/>
          <w:sz w:val="18"/>
          <w:szCs w:val="18"/>
          <w:b w:val="1"/>
          <w:bCs w:val="1"/>
          <w:color w:val="auto"/>
        </w:rPr>
        <w:t xml:space="preserve">9.5 </w:t>
      </w:r>
      <w:r>
        <w:rPr>
          <w:rFonts w:ascii="Arial" w:cs="Arial" w:eastAsia="Arial" w:hAnsi="Arial"/>
          <w:sz w:val="18"/>
          <w:szCs w:val="18"/>
          <w:u w:val="single" w:color="auto"/>
          <w:color w:val="auto"/>
        </w:rPr>
        <w:t>Governing Law</w:t>
      </w:r>
      <w:r>
        <w:rPr>
          <w:rFonts w:ascii="Arial" w:cs="Arial" w:eastAsia="Arial" w:hAnsi="Arial"/>
          <w:sz w:val="18"/>
          <w:szCs w:val="18"/>
          <w:color w:val="auto"/>
        </w:rPr>
        <w:t>. The Plan shall be construed, governed and administered in all respects in accordance with ERISA, the Code and other pertinent</w:t>
      </w:r>
      <w:r>
        <w:rPr>
          <w:rFonts w:ascii="Arial" w:cs="Arial" w:eastAsia="Arial" w:hAnsi="Arial"/>
          <w:sz w:val="18"/>
          <w:szCs w:val="18"/>
          <w:b w:val="1"/>
          <w:bCs w:val="1"/>
          <w:color w:val="auto"/>
        </w:rPr>
        <w:t xml:space="preserve"> </w:t>
      </w:r>
      <w:r>
        <w:rPr>
          <w:rFonts w:ascii="Arial" w:cs="Arial" w:eastAsia="Arial" w:hAnsi="Arial"/>
          <w:sz w:val="18"/>
          <w:szCs w:val="18"/>
          <w:color w:val="auto"/>
        </w:rPr>
        <w:t>Federal laws to the extent applicable, and, to the extent not preempted by ERISA, in accordance with the laws of the State of California (irrespective of the choice of law principles of the State of California as to all matters).</w:t>
      </w:r>
    </w:p>
    <w:p>
      <w:pPr>
        <w:spacing w:after="0" w:line="132" w:lineRule="exact"/>
        <w:rPr>
          <w:sz w:val="20"/>
          <w:szCs w:val="20"/>
          <w:color w:val="auto"/>
        </w:rPr>
      </w:pPr>
    </w:p>
    <w:p>
      <w:pPr>
        <w:ind w:right="180" w:firstLine="456"/>
        <w:spacing w:after="0" w:line="262" w:lineRule="auto"/>
        <w:rPr>
          <w:sz w:val="20"/>
          <w:szCs w:val="20"/>
          <w:color w:val="auto"/>
        </w:rPr>
      </w:pPr>
      <w:r>
        <w:rPr>
          <w:rFonts w:ascii="Arial" w:cs="Arial" w:eastAsia="Arial" w:hAnsi="Arial"/>
          <w:sz w:val="18"/>
          <w:szCs w:val="18"/>
          <w:b w:val="1"/>
          <w:bCs w:val="1"/>
          <w:color w:val="auto"/>
        </w:rPr>
        <w:t xml:space="preserve">9.6 </w:t>
      </w:r>
      <w:r>
        <w:rPr>
          <w:rFonts w:ascii="Arial" w:cs="Arial" w:eastAsia="Arial" w:hAnsi="Arial"/>
          <w:sz w:val="18"/>
          <w:szCs w:val="18"/>
          <w:u w:val="single" w:color="auto"/>
          <w:color w:val="auto"/>
        </w:rPr>
        <w:t>Receipt or Release</w:t>
      </w:r>
      <w:r>
        <w:rPr>
          <w:rFonts w:ascii="Arial" w:cs="Arial" w:eastAsia="Arial" w:hAnsi="Arial"/>
          <w:sz w:val="18"/>
          <w:szCs w:val="18"/>
          <w:color w:val="auto"/>
        </w:rPr>
        <w:t>. Any payment to a Participant or the Participant’s Beneficiary in accordance with the provisions of the Plan shall, to the extent</w:t>
      </w:r>
      <w:r>
        <w:rPr>
          <w:rFonts w:ascii="Arial" w:cs="Arial" w:eastAsia="Arial" w:hAnsi="Arial"/>
          <w:sz w:val="18"/>
          <w:szCs w:val="18"/>
          <w:b w:val="1"/>
          <w:bCs w:val="1"/>
          <w:color w:val="auto"/>
        </w:rPr>
        <w:t xml:space="preserve"> </w:t>
      </w:r>
      <w:r>
        <w:rPr>
          <w:rFonts w:ascii="Arial" w:cs="Arial" w:eastAsia="Arial" w:hAnsi="Arial"/>
          <w:sz w:val="18"/>
          <w:szCs w:val="18"/>
          <w:color w:val="auto"/>
        </w:rPr>
        <w:t>thereof, be in full satisfaction of all claims against the Committee and the Company. The Committee may require such Participant or Beneficiary, as a condition precedent to such payment, to execute a receipt and release to such effect.</w:t>
      </w:r>
    </w:p>
    <w:p>
      <w:pPr>
        <w:spacing w:after="0" w:line="132" w:lineRule="exact"/>
        <w:rPr>
          <w:sz w:val="20"/>
          <w:szCs w:val="20"/>
          <w:color w:val="auto"/>
        </w:rPr>
      </w:pPr>
    </w:p>
    <w:p>
      <w:pPr>
        <w:ind w:right="240" w:firstLine="456"/>
        <w:spacing w:after="0" w:line="301" w:lineRule="auto"/>
        <w:rPr>
          <w:sz w:val="20"/>
          <w:szCs w:val="20"/>
          <w:color w:val="auto"/>
        </w:rPr>
      </w:pPr>
      <w:r>
        <w:rPr>
          <w:rFonts w:ascii="Arial" w:cs="Arial" w:eastAsia="Arial" w:hAnsi="Arial"/>
          <w:sz w:val="16"/>
          <w:szCs w:val="16"/>
          <w:b w:val="1"/>
          <w:bCs w:val="1"/>
          <w:color w:val="auto"/>
        </w:rPr>
        <w:t xml:space="preserve">9.7 </w:t>
      </w:r>
      <w:r>
        <w:rPr>
          <w:rFonts w:ascii="Arial" w:cs="Arial" w:eastAsia="Arial" w:hAnsi="Arial"/>
          <w:sz w:val="16"/>
          <w:szCs w:val="16"/>
          <w:u w:val="single" w:color="auto"/>
          <w:color w:val="auto"/>
        </w:rPr>
        <w:t>Payments on Behalf of Persons Under Incapacity</w:t>
      </w:r>
      <w:r>
        <w:rPr>
          <w:rFonts w:ascii="Arial" w:cs="Arial" w:eastAsia="Arial" w:hAnsi="Arial"/>
          <w:sz w:val="16"/>
          <w:szCs w:val="16"/>
          <w:color w:val="auto"/>
        </w:rPr>
        <w:t>. In the event that any amount becomes payable under the Plan to a person who, in the sole and</w:t>
      </w:r>
      <w:r>
        <w:rPr>
          <w:rFonts w:ascii="Arial" w:cs="Arial" w:eastAsia="Arial" w:hAnsi="Arial"/>
          <w:sz w:val="16"/>
          <w:szCs w:val="16"/>
          <w:b w:val="1"/>
          <w:bCs w:val="1"/>
          <w:color w:val="auto"/>
        </w:rPr>
        <w:t xml:space="preserve"> </w:t>
      </w:r>
      <w:r>
        <w:rPr>
          <w:rFonts w:ascii="Arial" w:cs="Arial" w:eastAsia="Arial" w:hAnsi="Arial"/>
          <w:sz w:val="16"/>
          <w:szCs w:val="16"/>
          <w:color w:val="auto"/>
        </w:rPr>
        <w:t>absolute judgment of the Committee, is considered by reason of physical or mental condition to be unable to give a valid receipt therefore, the Committee may direct that such payment be made to any person found by the Committee, in its sole judgment, to have assumed the care of such person. Any payment made pursuant to such determination shall constitute a full release and discharge of the Committee and the Company.</w:t>
      </w:r>
    </w:p>
    <w:p>
      <w:pPr>
        <w:spacing w:after="0" w:line="103" w:lineRule="exact"/>
        <w:rPr>
          <w:sz w:val="20"/>
          <w:szCs w:val="20"/>
          <w:color w:val="auto"/>
        </w:rPr>
      </w:pPr>
    </w:p>
    <w:p>
      <w:pPr>
        <w:ind w:right="60" w:firstLine="456"/>
        <w:spacing w:after="0" w:line="310" w:lineRule="auto"/>
        <w:rPr>
          <w:sz w:val="20"/>
          <w:szCs w:val="20"/>
          <w:color w:val="auto"/>
        </w:rPr>
      </w:pPr>
      <w:r>
        <w:rPr>
          <w:rFonts w:ascii="Arial" w:cs="Arial" w:eastAsia="Arial" w:hAnsi="Arial"/>
          <w:sz w:val="16"/>
          <w:szCs w:val="16"/>
          <w:b w:val="1"/>
          <w:bCs w:val="1"/>
          <w:color w:val="auto"/>
        </w:rPr>
        <w:t xml:space="preserve">9.8 </w:t>
      </w:r>
      <w:r>
        <w:rPr>
          <w:rFonts w:ascii="Arial" w:cs="Arial" w:eastAsia="Arial" w:hAnsi="Arial"/>
          <w:sz w:val="16"/>
          <w:szCs w:val="16"/>
          <w:u w:val="single" w:color="auto"/>
          <w:color w:val="auto"/>
        </w:rPr>
        <w:t>No Employment Rights; No Undertakings</w:t>
      </w:r>
      <w:r>
        <w:rPr>
          <w:rFonts w:ascii="Arial" w:cs="Arial" w:eastAsia="Arial" w:hAnsi="Arial"/>
          <w:sz w:val="16"/>
          <w:szCs w:val="16"/>
          <w:color w:val="auto"/>
        </w:rPr>
        <w:t>. Participation in this Plan shall not confer upon any person any right to be employed by the Company or any</w:t>
      </w:r>
      <w:r>
        <w:rPr>
          <w:rFonts w:ascii="Arial" w:cs="Arial" w:eastAsia="Arial" w:hAnsi="Arial"/>
          <w:sz w:val="16"/>
          <w:szCs w:val="16"/>
          <w:b w:val="1"/>
          <w:bCs w:val="1"/>
          <w:color w:val="auto"/>
        </w:rPr>
        <w:t xml:space="preserve"> </w:t>
      </w:r>
      <w:r>
        <w:rPr>
          <w:rFonts w:ascii="Arial" w:cs="Arial" w:eastAsia="Arial" w:hAnsi="Arial"/>
          <w:sz w:val="16"/>
          <w:szCs w:val="16"/>
          <w:color w:val="auto"/>
        </w:rPr>
        <w:t>other right not expressly provided hereunder. The Company makes no undertakings, covenants or representations to maintain the tax-deferred status of deferrals under the Plan or that any particular tax or legal consequences will apply to Deferrals or Plan benefits.</w:t>
      </w:r>
    </w:p>
    <w:p>
      <w:pPr>
        <w:spacing w:after="0" w:line="97" w:lineRule="exact"/>
        <w:rPr>
          <w:sz w:val="20"/>
          <w:szCs w:val="20"/>
          <w:color w:val="auto"/>
        </w:rPr>
      </w:pPr>
    </w:p>
    <w:p>
      <w:pPr>
        <w:ind w:right="740" w:firstLine="456"/>
        <w:spacing w:after="0" w:line="275" w:lineRule="auto"/>
        <w:rPr>
          <w:sz w:val="20"/>
          <w:szCs w:val="20"/>
          <w:color w:val="auto"/>
        </w:rPr>
      </w:pPr>
      <w:r>
        <w:rPr>
          <w:rFonts w:ascii="Arial" w:cs="Arial" w:eastAsia="Arial" w:hAnsi="Arial"/>
          <w:sz w:val="18"/>
          <w:szCs w:val="18"/>
          <w:b w:val="1"/>
          <w:bCs w:val="1"/>
          <w:color w:val="auto"/>
        </w:rPr>
        <w:t xml:space="preserve">9.9 </w:t>
      </w:r>
      <w:r>
        <w:rPr>
          <w:rFonts w:ascii="Arial" w:cs="Arial" w:eastAsia="Arial" w:hAnsi="Arial"/>
          <w:sz w:val="18"/>
          <w:szCs w:val="18"/>
          <w:u w:val="single" w:color="auto"/>
          <w:color w:val="auto"/>
        </w:rPr>
        <w:t>Headings, etc. Not Part of Agreement</w:t>
      </w:r>
      <w:r>
        <w:rPr>
          <w:rFonts w:ascii="Arial" w:cs="Arial" w:eastAsia="Arial" w:hAnsi="Arial"/>
          <w:sz w:val="18"/>
          <w:szCs w:val="18"/>
          <w:color w:val="auto"/>
        </w:rPr>
        <w:t>. Headings and subheadings in this Plan are inserted for convenience of reference only and are not to be</w:t>
      </w:r>
      <w:r>
        <w:rPr>
          <w:rFonts w:ascii="Arial" w:cs="Arial" w:eastAsia="Arial" w:hAnsi="Arial"/>
          <w:sz w:val="18"/>
          <w:szCs w:val="18"/>
          <w:b w:val="1"/>
          <w:bCs w:val="1"/>
          <w:color w:val="auto"/>
        </w:rPr>
        <w:t xml:space="preserve"> </w:t>
      </w:r>
      <w:r>
        <w:rPr>
          <w:rFonts w:ascii="Arial" w:cs="Arial" w:eastAsia="Arial" w:hAnsi="Arial"/>
          <w:sz w:val="18"/>
          <w:szCs w:val="18"/>
          <w:color w:val="auto"/>
        </w:rPr>
        <w:t>considered in the construction of the provisions hereof.</w:t>
      </w:r>
    </w:p>
    <w:p>
      <w:pPr>
        <w:spacing w:after="0" w:line="11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00"/>
          </w:cols>
          <w:pgMar w:left="240" w:top="280" w:right="259" w:bottom="1440" w:gutter="0" w:footer="0" w:header="0"/>
        </w:sectPr>
      </w:pPr>
    </w:p>
    <w:bookmarkStart w:id="68" w:name="page69"/>
    <w:bookmarkEnd w:id="68"/>
    <w:p>
      <w:pPr>
        <w:jc w:val="right"/>
        <w:spacing w:after="0"/>
        <w:rPr>
          <w:sz w:val="20"/>
          <w:szCs w:val="20"/>
          <w:color w:val="auto"/>
        </w:rPr>
      </w:pPr>
      <w:r>
        <w:rPr>
          <w:rFonts w:ascii="Arial" w:cs="Arial" w:eastAsia="Arial" w:hAnsi="Arial"/>
          <w:sz w:val="18"/>
          <w:szCs w:val="18"/>
          <w:b w:val="1"/>
          <w:bCs w:val="1"/>
          <w:color w:val="auto"/>
        </w:rPr>
        <w:t>Exhibit 31.1</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color w:val="auto"/>
        </w:rPr>
        <w:t>I, Carl Bass, certify that:</w:t>
      </w:r>
    </w:p>
    <w:p>
      <w:pPr>
        <w:spacing w:after="0" w:line="90" w:lineRule="exact"/>
        <w:rPr>
          <w:sz w:val="20"/>
          <w:szCs w:val="20"/>
          <w:color w:val="auto"/>
        </w:rPr>
      </w:pPr>
    </w:p>
    <w:p>
      <w:pPr>
        <w:ind w:left="460" w:hanging="452"/>
        <w:spacing w:after="0"/>
        <w:tabs>
          <w:tab w:leader="none" w:pos="460" w:val="left"/>
        </w:tabs>
        <w:numPr>
          <w:ilvl w:val="0"/>
          <w:numId w:val="49"/>
        </w:numPr>
        <w:rPr>
          <w:rFonts w:ascii="Arial" w:cs="Arial" w:eastAsia="Arial" w:hAnsi="Arial"/>
          <w:sz w:val="18"/>
          <w:szCs w:val="18"/>
          <w:color w:val="auto"/>
        </w:rPr>
      </w:pPr>
      <w:r>
        <w:rPr>
          <w:rFonts w:ascii="Arial" w:cs="Arial" w:eastAsia="Arial" w:hAnsi="Arial"/>
          <w:sz w:val="18"/>
          <w:szCs w:val="18"/>
          <w:color w:val="auto"/>
        </w:rPr>
        <w:t>I have reviewed this report on Form 10-Q of Autodesk, Inc.;</w:t>
      </w:r>
    </w:p>
    <w:p>
      <w:pPr>
        <w:spacing w:after="0" w:line="90" w:lineRule="exact"/>
        <w:rPr>
          <w:rFonts w:ascii="Arial" w:cs="Arial" w:eastAsia="Arial" w:hAnsi="Arial"/>
          <w:sz w:val="18"/>
          <w:szCs w:val="18"/>
          <w:color w:val="auto"/>
        </w:rPr>
      </w:pPr>
    </w:p>
    <w:p>
      <w:pPr>
        <w:ind w:left="460" w:right="260" w:hanging="452"/>
        <w:spacing w:after="0" w:line="357" w:lineRule="auto"/>
        <w:tabs>
          <w:tab w:leader="none" w:pos="460" w:val="left"/>
        </w:tabs>
        <w:numPr>
          <w:ilvl w:val="0"/>
          <w:numId w:val="49"/>
        </w:numPr>
        <w:rPr>
          <w:rFonts w:ascii="Arial" w:cs="Arial" w:eastAsia="Arial" w:hAnsi="Arial"/>
          <w:sz w:val="15"/>
          <w:szCs w:val="15"/>
          <w:color w:val="auto"/>
        </w:rPr>
      </w:pPr>
      <w:r>
        <w:rPr>
          <w:rFonts w:ascii="Arial" w:cs="Arial" w:eastAsia="Arial" w:hAnsi="Arial"/>
          <w:sz w:val="15"/>
          <w:szCs w:val="15"/>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ind w:left="460" w:right="60" w:hanging="452"/>
        <w:spacing w:after="0" w:line="268" w:lineRule="auto"/>
        <w:tabs>
          <w:tab w:leader="none" w:pos="460" w:val="left"/>
        </w:tabs>
        <w:numPr>
          <w:ilvl w:val="0"/>
          <w:numId w:val="49"/>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0" w:lineRule="exact"/>
        <w:rPr>
          <w:rFonts w:ascii="Arial" w:cs="Arial" w:eastAsia="Arial" w:hAnsi="Arial"/>
          <w:sz w:val="18"/>
          <w:szCs w:val="18"/>
          <w:color w:val="auto"/>
        </w:rPr>
      </w:pPr>
    </w:p>
    <w:p>
      <w:pPr>
        <w:ind w:left="460" w:right="200" w:hanging="452"/>
        <w:spacing w:after="0" w:line="259" w:lineRule="auto"/>
        <w:tabs>
          <w:tab w:leader="none" w:pos="460" w:val="left"/>
        </w:tabs>
        <w:numPr>
          <w:ilvl w:val="0"/>
          <w:numId w:val="49"/>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59" w:lineRule="exact"/>
        <w:rPr>
          <w:rFonts w:ascii="Arial" w:cs="Arial" w:eastAsia="Arial" w:hAnsi="Arial"/>
          <w:sz w:val="18"/>
          <w:szCs w:val="18"/>
          <w:color w:val="auto"/>
        </w:rPr>
      </w:pPr>
    </w:p>
    <w:p>
      <w:pPr>
        <w:ind w:left="900" w:right="60" w:hanging="446"/>
        <w:spacing w:after="0" w:line="259" w:lineRule="auto"/>
        <w:tabs>
          <w:tab w:leader="none" w:pos="900" w:val="left"/>
        </w:tabs>
        <w:numPr>
          <w:ilvl w:val="1"/>
          <w:numId w:val="49"/>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59" w:lineRule="exact"/>
        <w:rPr>
          <w:rFonts w:ascii="Arial" w:cs="Arial" w:eastAsia="Arial" w:hAnsi="Arial"/>
          <w:sz w:val="18"/>
          <w:szCs w:val="18"/>
          <w:color w:val="auto"/>
        </w:rPr>
      </w:pPr>
    </w:p>
    <w:p>
      <w:pPr>
        <w:ind w:left="900" w:right="40" w:hanging="446"/>
        <w:spacing w:after="0" w:line="259" w:lineRule="auto"/>
        <w:tabs>
          <w:tab w:leader="none" w:pos="900" w:val="left"/>
        </w:tabs>
        <w:numPr>
          <w:ilvl w:val="1"/>
          <w:numId w:val="49"/>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59" w:lineRule="exact"/>
        <w:rPr>
          <w:rFonts w:ascii="Arial" w:cs="Arial" w:eastAsia="Arial" w:hAnsi="Arial"/>
          <w:sz w:val="18"/>
          <w:szCs w:val="18"/>
          <w:color w:val="auto"/>
        </w:rPr>
      </w:pPr>
    </w:p>
    <w:p>
      <w:pPr>
        <w:ind w:left="900" w:right="100" w:hanging="446"/>
        <w:spacing w:after="0" w:line="332" w:lineRule="auto"/>
        <w:tabs>
          <w:tab w:leader="none" w:pos="900" w:val="left"/>
        </w:tabs>
        <w:numPr>
          <w:ilvl w:val="1"/>
          <w:numId w:val="49"/>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4" w:lineRule="exact"/>
        <w:rPr>
          <w:rFonts w:ascii="Arial" w:cs="Arial" w:eastAsia="Arial" w:hAnsi="Arial"/>
          <w:sz w:val="16"/>
          <w:szCs w:val="16"/>
          <w:color w:val="auto"/>
        </w:rPr>
      </w:pPr>
    </w:p>
    <w:p>
      <w:pPr>
        <w:ind w:left="900" w:right="140" w:hanging="446"/>
        <w:spacing w:after="0" w:line="259" w:lineRule="auto"/>
        <w:tabs>
          <w:tab w:leader="none" w:pos="900" w:val="left"/>
        </w:tabs>
        <w:numPr>
          <w:ilvl w:val="1"/>
          <w:numId w:val="49"/>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59" w:lineRule="exact"/>
        <w:rPr>
          <w:rFonts w:ascii="Arial" w:cs="Arial" w:eastAsia="Arial" w:hAnsi="Arial"/>
          <w:sz w:val="18"/>
          <w:szCs w:val="18"/>
          <w:color w:val="auto"/>
        </w:rPr>
      </w:pPr>
    </w:p>
    <w:p>
      <w:pPr>
        <w:ind w:left="460" w:right="640" w:hanging="452"/>
        <w:spacing w:after="0" w:line="332" w:lineRule="auto"/>
        <w:tabs>
          <w:tab w:leader="none" w:pos="460" w:val="left"/>
        </w:tabs>
        <w:numPr>
          <w:ilvl w:val="0"/>
          <w:numId w:val="49"/>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4" w:lineRule="exact"/>
        <w:rPr>
          <w:rFonts w:ascii="Arial" w:cs="Arial" w:eastAsia="Arial" w:hAnsi="Arial"/>
          <w:sz w:val="16"/>
          <w:szCs w:val="16"/>
          <w:color w:val="auto"/>
        </w:rPr>
      </w:pPr>
    </w:p>
    <w:p>
      <w:pPr>
        <w:ind w:left="900" w:right="20" w:hanging="446"/>
        <w:spacing w:after="0" w:line="268" w:lineRule="auto"/>
        <w:tabs>
          <w:tab w:leader="none" w:pos="900" w:val="left"/>
        </w:tabs>
        <w:numPr>
          <w:ilvl w:val="1"/>
          <w:numId w:val="49"/>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0" w:lineRule="exact"/>
        <w:rPr>
          <w:rFonts w:ascii="Arial" w:cs="Arial" w:eastAsia="Arial" w:hAnsi="Arial"/>
          <w:sz w:val="18"/>
          <w:szCs w:val="18"/>
          <w:color w:val="auto"/>
        </w:rPr>
      </w:pPr>
    </w:p>
    <w:p>
      <w:pPr>
        <w:ind w:left="900" w:right="60" w:hanging="446"/>
        <w:spacing w:after="0" w:line="268" w:lineRule="auto"/>
        <w:tabs>
          <w:tab w:leader="none" w:pos="900" w:val="left"/>
        </w:tabs>
        <w:numPr>
          <w:ilvl w:val="1"/>
          <w:numId w:val="49"/>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color w:val="auto"/>
        </w:rPr>
        <w:t>Date: December 8, 2009</w:t>
      </w:r>
    </w:p>
    <w:p>
      <w:pPr>
        <w:spacing w:after="0" w:line="374" w:lineRule="exact"/>
        <w:rPr>
          <w:sz w:val="20"/>
          <w:szCs w:val="20"/>
          <w:color w:val="auto"/>
        </w:rPr>
      </w:pPr>
    </w:p>
    <w:p>
      <w:pPr>
        <w:jc w:val="center"/>
        <w:ind w:left="6860"/>
        <w:spacing w:after="0"/>
        <w:rPr>
          <w:sz w:val="20"/>
          <w:szCs w:val="20"/>
          <w:color w:val="auto"/>
        </w:rPr>
      </w:pPr>
      <w:r>
        <w:rPr>
          <w:rFonts w:ascii="Arial" w:cs="Arial" w:eastAsia="Arial" w:hAnsi="Arial"/>
          <w:sz w:val="18"/>
          <w:szCs w:val="18"/>
          <w:color w:val="auto"/>
        </w:rPr>
        <w:t>/s/ C</w:t>
      </w:r>
      <w:r>
        <w:rPr>
          <w:rFonts w:ascii="Arial" w:cs="Arial" w:eastAsia="Arial" w:hAnsi="Arial"/>
          <w:sz w:val="14"/>
          <w:szCs w:val="14"/>
          <w:color w:val="auto"/>
        </w:rPr>
        <w:t>ARL</w:t>
      </w:r>
      <w:r>
        <w:rPr>
          <w:rFonts w:ascii="Arial" w:cs="Arial" w:eastAsia="Arial" w:hAnsi="Arial"/>
          <w:sz w:val="18"/>
          <w:szCs w:val="18"/>
          <w:color w:val="auto"/>
        </w:rPr>
        <w:t xml:space="preserve"> B</w:t>
      </w:r>
      <w:r>
        <w:rPr>
          <w:rFonts w:ascii="Arial" w:cs="Arial" w:eastAsia="Arial" w:hAnsi="Arial"/>
          <w:sz w:val="14"/>
          <w:szCs w:val="14"/>
          <w:color w:val="auto"/>
        </w:rPr>
        <w:t>ASS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10795</wp:posOffset>
            </wp:positionV>
            <wp:extent cx="2898775" cy="889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12" w:lineRule="exact"/>
        <w:rPr>
          <w:sz w:val="20"/>
          <w:szCs w:val="20"/>
          <w:color w:val="auto"/>
        </w:rPr>
      </w:pPr>
    </w:p>
    <w:p>
      <w:pPr>
        <w:jc w:val="center"/>
        <w:ind w:left="6860"/>
        <w:spacing w:after="0"/>
        <w:rPr>
          <w:sz w:val="20"/>
          <w:szCs w:val="20"/>
          <w:color w:val="auto"/>
        </w:rPr>
      </w:pPr>
      <w:r>
        <w:rPr>
          <w:rFonts w:ascii="Arial" w:cs="Arial" w:eastAsia="Arial" w:hAnsi="Arial"/>
          <w:sz w:val="14"/>
          <w:szCs w:val="14"/>
          <w:b w:val="1"/>
          <w:bCs w:val="1"/>
          <w:color w:val="auto"/>
        </w:rPr>
        <w:t>Carl Bass</w:t>
      </w:r>
    </w:p>
    <w:p>
      <w:pPr>
        <w:jc w:val="center"/>
        <w:ind w:left="6860"/>
        <w:spacing w:after="0" w:line="223" w:lineRule="auto"/>
        <w:rPr>
          <w:sz w:val="20"/>
          <w:szCs w:val="20"/>
          <w:color w:val="auto"/>
        </w:rPr>
      </w:pPr>
      <w:r>
        <w:rPr>
          <w:rFonts w:ascii="Arial" w:cs="Arial" w:eastAsia="Arial" w:hAnsi="Arial"/>
          <w:sz w:val="14"/>
          <w:szCs w:val="14"/>
          <w:b w:val="1"/>
          <w:bCs w:val="1"/>
          <w:color w:val="auto"/>
        </w:rPr>
        <w:t>Chief Executive Officer and President</w:t>
      </w:r>
    </w:p>
    <w:p>
      <w:pPr>
        <w:jc w:val="center"/>
        <w:ind w:left="6860"/>
        <w:spacing w:after="0"/>
        <w:rPr>
          <w:sz w:val="20"/>
          <w:szCs w:val="20"/>
          <w:color w:val="auto"/>
        </w:rPr>
      </w:pPr>
      <w:r>
        <w:rPr>
          <w:rFonts w:ascii="Arial" w:cs="Arial" w:eastAsia="Arial" w:hAnsi="Arial"/>
          <w:sz w:val="14"/>
          <w:szCs w:val="14"/>
          <w:b w:val="1"/>
          <w:bCs w:val="1"/>
          <w:color w:val="auto"/>
        </w:rPr>
        <w:t>(Principal Executive Officer)</w:t>
      </w:r>
    </w:p>
    <w:p>
      <w:pPr>
        <w:sectPr>
          <w:pgSz w:w="11900" w:h="16838" w:orient="portrait"/>
          <w:cols w:equalWidth="0" w:num="1">
            <w:col w:w="11420"/>
          </w:cols>
          <w:pgMar w:left="240" w:top="125" w:right="239" w:bottom="1440" w:gutter="0" w:footer="0" w:header="0"/>
        </w:sectPr>
      </w:pPr>
    </w:p>
    <w:bookmarkStart w:id="69" w:name="page70"/>
    <w:bookmarkEnd w:id="69"/>
    <w:p>
      <w:pPr>
        <w:jc w:val="right"/>
        <w:spacing w:after="0"/>
        <w:rPr>
          <w:sz w:val="20"/>
          <w:szCs w:val="20"/>
          <w:color w:val="auto"/>
        </w:rPr>
      </w:pPr>
      <w:r>
        <w:rPr>
          <w:rFonts w:ascii="Arial" w:cs="Arial" w:eastAsia="Arial" w:hAnsi="Arial"/>
          <w:sz w:val="18"/>
          <w:szCs w:val="18"/>
          <w:b w:val="1"/>
          <w:bCs w:val="1"/>
          <w:color w:val="auto"/>
        </w:rPr>
        <w:t>Exhibit 31.2</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color w:val="auto"/>
        </w:rPr>
        <w:t>I, Mark J. Hawkins, certify that:</w:t>
      </w:r>
    </w:p>
    <w:p>
      <w:pPr>
        <w:spacing w:after="0" w:line="90" w:lineRule="exact"/>
        <w:rPr>
          <w:sz w:val="20"/>
          <w:szCs w:val="20"/>
          <w:color w:val="auto"/>
        </w:rPr>
      </w:pPr>
    </w:p>
    <w:p>
      <w:pPr>
        <w:ind w:left="460" w:hanging="452"/>
        <w:spacing w:after="0"/>
        <w:tabs>
          <w:tab w:leader="none" w:pos="460" w:val="left"/>
        </w:tabs>
        <w:numPr>
          <w:ilvl w:val="0"/>
          <w:numId w:val="50"/>
        </w:numPr>
        <w:rPr>
          <w:rFonts w:ascii="Arial" w:cs="Arial" w:eastAsia="Arial" w:hAnsi="Arial"/>
          <w:sz w:val="18"/>
          <w:szCs w:val="18"/>
          <w:color w:val="auto"/>
        </w:rPr>
      </w:pPr>
      <w:r>
        <w:rPr>
          <w:rFonts w:ascii="Arial" w:cs="Arial" w:eastAsia="Arial" w:hAnsi="Arial"/>
          <w:sz w:val="18"/>
          <w:szCs w:val="18"/>
          <w:color w:val="auto"/>
        </w:rPr>
        <w:t>I have reviewed this report on Form 10-Q of Autodesk, Inc.;</w:t>
      </w:r>
    </w:p>
    <w:p>
      <w:pPr>
        <w:spacing w:after="0" w:line="90" w:lineRule="exact"/>
        <w:rPr>
          <w:rFonts w:ascii="Arial" w:cs="Arial" w:eastAsia="Arial" w:hAnsi="Arial"/>
          <w:sz w:val="18"/>
          <w:szCs w:val="18"/>
          <w:color w:val="auto"/>
        </w:rPr>
      </w:pPr>
    </w:p>
    <w:p>
      <w:pPr>
        <w:ind w:left="460" w:right="260" w:hanging="452"/>
        <w:spacing w:after="0" w:line="357" w:lineRule="auto"/>
        <w:tabs>
          <w:tab w:leader="none" w:pos="460" w:val="left"/>
        </w:tabs>
        <w:numPr>
          <w:ilvl w:val="0"/>
          <w:numId w:val="50"/>
        </w:numPr>
        <w:rPr>
          <w:rFonts w:ascii="Arial" w:cs="Arial" w:eastAsia="Arial" w:hAnsi="Arial"/>
          <w:sz w:val="15"/>
          <w:szCs w:val="15"/>
          <w:color w:val="auto"/>
        </w:rPr>
      </w:pPr>
      <w:r>
        <w:rPr>
          <w:rFonts w:ascii="Arial" w:cs="Arial" w:eastAsia="Arial" w:hAnsi="Arial"/>
          <w:sz w:val="15"/>
          <w:szCs w:val="15"/>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ind w:left="460" w:right="60" w:hanging="452"/>
        <w:spacing w:after="0" w:line="268" w:lineRule="auto"/>
        <w:tabs>
          <w:tab w:leader="none" w:pos="460" w:val="left"/>
        </w:tabs>
        <w:numPr>
          <w:ilvl w:val="0"/>
          <w:numId w:val="50"/>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0" w:lineRule="exact"/>
        <w:rPr>
          <w:rFonts w:ascii="Arial" w:cs="Arial" w:eastAsia="Arial" w:hAnsi="Arial"/>
          <w:sz w:val="18"/>
          <w:szCs w:val="18"/>
          <w:color w:val="auto"/>
        </w:rPr>
      </w:pPr>
    </w:p>
    <w:p>
      <w:pPr>
        <w:ind w:left="460" w:right="200" w:hanging="452"/>
        <w:spacing w:after="0" w:line="259" w:lineRule="auto"/>
        <w:tabs>
          <w:tab w:leader="none" w:pos="460" w:val="left"/>
        </w:tabs>
        <w:numPr>
          <w:ilvl w:val="0"/>
          <w:numId w:val="50"/>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59" w:lineRule="exact"/>
        <w:rPr>
          <w:rFonts w:ascii="Arial" w:cs="Arial" w:eastAsia="Arial" w:hAnsi="Arial"/>
          <w:sz w:val="18"/>
          <w:szCs w:val="18"/>
          <w:color w:val="auto"/>
        </w:rPr>
      </w:pPr>
    </w:p>
    <w:p>
      <w:pPr>
        <w:ind w:left="900" w:right="60" w:hanging="446"/>
        <w:spacing w:after="0" w:line="259" w:lineRule="auto"/>
        <w:tabs>
          <w:tab w:leader="none" w:pos="900" w:val="left"/>
        </w:tabs>
        <w:numPr>
          <w:ilvl w:val="1"/>
          <w:numId w:val="50"/>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59" w:lineRule="exact"/>
        <w:rPr>
          <w:rFonts w:ascii="Arial" w:cs="Arial" w:eastAsia="Arial" w:hAnsi="Arial"/>
          <w:sz w:val="18"/>
          <w:szCs w:val="18"/>
          <w:color w:val="auto"/>
        </w:rPr>
      </w:pPr>
    </w:p>
    <w:p>
      <w:pPr>
        <w:ind w:left="900" w:right="40" w:hanging="446"/>
        <w:spacing w:after="0" w:line="259" w:lineRule="auto"/>
        <w:tabs>
          <w:tab w:leader="none" w:pos="900" w:val="left"/>
        </w:tabs>
        <w:numPr>
          <w:ilvl w:val="1"/>
          <w:numId w:val="50"/>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59" w:lineRule="exact"/>
        <w:rPr>
          <w:rFonts w:ascii="Arial" w:cs="Arial" w:eastAsia="Arial" w:hAnsi="Arial"/>
          <w:sz w:val="18"/>
          <w:szCs w:val="18"/>
          <w:color w:val="auto"/>
        </w:rPr>
      </w:pPr>
    </w:p>
    <w:p>
      <w:pPr>
        <w:ind w:left="900" w:right="100" w:hanging="446"/>
        <w:spacing w:after="0" w:line="332" w:lineRule="auto"/>
        <w:tabs>
          <w:tab w:leader="none" w:pos="900" w:val="left"/>
        </w:tabs>
        <w:numPr>
          <w:ilvl w:val="1"/>
          <w:numId w:val="50"/>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4" w:lineRule="exact"/>
        <w:rPr>
          <w:rFonts w:ascii="Arial" w:cs="Arial" w:eastAsia="Arial" w:hAnsi="Arial"/>
          <w:sz w:val="16"/>
          <w:szCs w:val="16"/>
          <w:color w:val="auto"/>
        </w:rPr>
      </w:pPr>
    </w:p>
    <w:p>
      <w:pPr>
        <w:ind w:left="900" w:right="140" w:hanging="446"/>
        <w:spacing w:after="0" w:line="259" w:lineRule="auto"/>
        <w:tabs>
          <w:tab w:leader="none" w:pos="900" w:val="left"/>
        </w:tabs>
        <w:numPr>
          <w:ilvl w:val="1"/>
          <w:numId w:val="50"/>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59" w:lineRule="exact"/>
        <w:rPr>
          <w:rFonts w:ascii="Arial" w:cs="Arial" w:eastAsia="Arial" w:hAnsi="Arial"/>
          <w:sz w:val="18"/>
          <w:szCs w:val="18"/>
          <w:color w:val="auto"/>
        </w:rPr>
      </w:pPr>
    </w:p>
    <w:p>
      <w:pPr>
        <w:ind w:left="460" w:right="640" w:hanging="452"/>
        <w:spacing w:after="0" w:line="332" w:lineRule="auto"/>
        <w:tabs>
          <w:tab w:leader="none" w:pos="460" w:val="left"/>
        </w:tabs>
        <w:numPr>
          <w:ilvl w:val="0"/>
          <w:numId w:val="50"/>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4" w:lineRule="exact"/>
        <w:rPr>
          <w:rFonts w:ascii="Arial" w:cs="Arial" w:eastAsia="Arial" w:hAnsi="Arial"/>
          <w:sz w:val="16"/>
          <w:szCs w:val="16"/>
          <w:color w:val="auto"/>
        </w:rPr>
      </w:pPr>
    </w:p>
    <w:p>
      <w:pPr>
        <w:ind w:left="900" w:right="20" w:hanging="446"/>
        <w:spacing w:after="0" w:line="268" w:lineRule="auto"/>
        <w:tabs>
          <w:tab w:leader="none" w:pos="900" w:val="left"/>
        </w:tabs>
        <w:numPr>
          <w:ilvl w:val="1"/>
          <w:numId w:val="50"/>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0" w:lineRule="exact"/>
        <w:rPr>
          <w:rFonts w:ascii="Arial" w:cs="Arial" w:eastAsia="Arial" w:hAnsi="Arial"/>
          <w:sz w:val="18"/>
          <w:szCs w:val="18"/>
          <w:color w:val="auto"/>
        </w:rPr>
      </w:pPr>
    </w:p>
    <w:p>
      <w:pPr>
        <w:ind w:left="900" w:right="60" w:hanging="446"/>
        <w:spacing w:after="0" w:line="268" w:lineRule="auto"/>
        <w:tabs>
          <w:tab w:leader="none" w:pos="900" w:val="left"/>
        </w:tabs>
        <w:numPr>
          <w:ilvl w:val="1"/>
          <w:numId w:val="50"/>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color w:val="auto"/>
        </w:rPr>
        <w:t>Date: December 8, 2009</w:t>
      </w:r>
    </w:p>
    <w:p>
      <w:pPr>
        <w:spacing w:after="0" w:line="374" w:lineRule="exact"/>
        <w:rPr>
          <w:sz w:val="20"/>
          <w:szCs w:val="20"/>
          <w:color w:val="auto"/>
        </w:rPr>
      </w:pPr>
    </w:p>
    <w:p>
      <w:pPr>
        <w:jc w:val="center"/>
        <w:ind w:left="6860"/>
        <w:spacing w:after="0"/>
        <w:rPr>
          <w:sz w:val="20"/>
          <w:szCs w:val="20"/>
          <w:color w:val="auto"/>
        </w:rPr>
      </w:pPr>
      <w:r>
        <w:rPr>
          <w:rFonts w:ascii="Arial" w:cs="Arial" w:eastAsia="Arial" w:hAnsi="Arial"/>
          <w:sz w:val="18"/>
          <w:szCs w:val="18"/>
          <w:color w:val="auto"/>
        </w:rPr>
        <w:t>/s/ M</w:t>
      </w:r>
      <w:r>
        <w:rPr>
          <w:rFonts w:ascii="Arial" w:cs="Arial" w:eastAsia="Arial" w:hAnsi="Arial"/>
          <w:sz w:val="14"/>
          <w:szCs w:val="14"/>
          <w:color w:val="auto"/>
        </w:rPr>
        <w:t>ARK</w:t>
      </w:r>
      <w:r>
        <w:rPr>
          <w:rFonts w:ascii="Arial" w:cs="Arial" w:eastAsia="Arial" w:hAnsi="Arial"/>
          <w:sz w:val="18"/>
          <w:szCs w:val="18"/>
          <w:color w:val="auto"/>
        </w:rPr>
        <w:t xml:space="preserve"> J. H</w:t>
      </w:r>
      <w:r>
        <w:rPr>
          <w:rFonts w:ascii="Arial" w:cs="Arial" w:eastAsia="Arial" w:hAnsi="Arial"/>
          <w:sz w:val="14"/>
          <w:szCs w:val="14"/>
          <w:color w:val="auto"/>
        </w:rPr>
        <w:t>AWKINS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10795</wp:posOffset>
            </wp:positionV>
            <wp:extent cx="2898775" cy="889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12" w:lineRule="exact"/>
        <w:rPr>
          <w:sz w:val="20"/>
          <w:szCs w:val="20"/>
          <w:color w:val="auto"/>
        </w:rPr>
      </w:pPr>
    </w:p>
    <w:p>
      <w:pPr>
        <w:jc w:val="center"/>
        <w:ind w:left="6860"/>
        <w:spacing w:after="0"/>
        <w:rPr>
          <w:sz w:val="20"/>
          <w:szCs w:val="20"/>
          <w:color w:val="auto"/>
        </w:rPr>
      </w:pPr>
      <w:r>
        <w:rPr>
          <w:rFonts w:ascii="Arial" w:cs="Arial" w:eastAsia="Arial" w:hAnsi="Arial"/>
          <w:sz w:val="14"/>
          <w:szCs w:val="14"/>
          <w:b w:val="1"/>
          <w:bCs w:val="1"/>
          <w:color w:val="auto"/>
        </w:rPr>
        <w:t>Mark J. Hawkins</w:t>
      </w:r>
    </w:p>
    <w:p>
      <w:pPr>
        <w:jc w:val="center"/>
        <w:ind w:left="6860"/>
        <w:spacing w:after="0" w:line="223" w:lineRule="auto"/>
        <w:rPr>
          <w:sz w:val="20"/>
          <w:szCs w:val="20"/>
          <w:color w:val="auto"/>
        </w:rPr>
      </w:pPr>
      <w:r>
        <w:rPr>
          <w:rFonts w:ascii="Arial" w:cs="Arial" w:eastAsia="Arial" w:hAnsi="Arial"/>
          <w:sz w:val="14"/>
          <w:szCs w:val="14"/>
          <w:b w:val="1"/>
          <w:bCs w:val="1"/>
          <w:color w:val="auto"/>
        </w:rPr>
        <w:t>Executive Vice President and Chief Financial Officer</w:t>
      </w:r>
    </w:p>
    <w:p>
      <w:pPr>
        <w:jc w:val="center"/>
        <w:ind w:left="6860"/>
        <w:spacing w:after="0"/>
        <w:rPr>
          <w:sz w:val="20"/>
          <w:szCs w:val="20"/>
          <w:color w:val="auto"/>
        </w:rPr>
      </w:pPr>
      <w:r>
        <w:rPr>
          <w:rFonts w:ascii="Arial" w:cs="Arial" w:eastAsia="Arial" w:hAnsi="Arial"/>
          <w:sz w:val="14"/>
          <w:szCs w:val="14"/>
          <w:b w:val="1"/>
          <w:bCs w:val="1"/>
          <w:color w:val="auto"/>
        </w:rPr>
        <w:t>(Principal Financial Officer and Principal Accounting Officer)</w:t>
      </w:r>
    </w:p>
    <w:p>
      <w:pPr>
        <w:sectPr>
          <w:pgSz w:w="11900" w:h="16838" w:orient="portrait"/>
          <w:cols w:equalWidth="0" w:num="1">
            <w:col w:w="11420"/>
          </w:cols>
          <w:pgMar w:left="240" w:top="125" w:right="239" w:bottom="1440" w:gutter="0" w:footer="0" w:header="0"/>
        </w:sectPr>
      </w:pPr>
    </w:p>
    <w:bookmarkStart w:id="70" w:name="page71"/>
    <w:bookmarkEnd w:id="70"/>
    <w:p>
      <w:pPr>
        <w:jc w:val="right"/>
        <w:spacing w:after="0"/>
        <w:rPr>
          <w:sz w:val="20"/>
          <w:szCs w:val="20"/>
          <w:color w:val="auto"/>
        </w:rPr>
      </w:pPr>
      <w:r>
        <w:rPr>
          <w:rFonts w:ascii="Arial" w:cs="Arial" w:eastAsia="Arial" w:hAnsi="Arial"/>
          <w:sz w:val="18"/>
          <w:szCs w:val="18"/>
          <w:b w:val="1"/>
          <w:bCs w:val="1"/>
          <w:color w:val="auto"/>
        </w:rPr>
        <w:t>Exhibit 32.1</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CHIEF EXECUTIVE OFFICER AND CHIEF FINANCIAL OFFICER</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165" w:lineRule="exact"/>
        <w:rPr>
          <w:sz w:val="20"/>
          <w:szCs w:val="20"/>
          <w:color w:val="auto"/>
        </w:rPr>
      </w:pPr>
    </w:p>
    <w:p>
      <w:pPr>
        <w:jc w:val="both"/>
        <w:ind w:right="120" w:firstLine="456"/>
        <w:spacing w:after="0" w:line="256" w:lineRule="auto"/>
        <w:rPr>
          <w:sz w:val="20"/>
          <w:szCs w:val="20"/>
          <w:color w:val="auto"/>
        </w:rPr>
      </w:pPr>
      <w:r>
        <w:rPr>
          <w:rFonts w:ascii="Arial" w:cs="Arial" w:eastAsia="Arial" w:hAnsi="Arial"/>
          <w:sz w:val="18"/>
          <w:szCs w:val="18"/>
          <w:color w:val="auto"/>
        </w:rPr>
        <w:t>Based on my knowledge, I, Carl Bass, certify, pursuant to 18 U.S.C. Section 1350, as adopted pursuant to Section 906 of the Sarbanes-Oxley Act of 2002, that the Quarterly Report of Autodesk, Inc. on Form 10-Q for the quarterly period ended October 31, 2009 fully complies with the requirements of Section 13(a) or 15(d) of the Securities Exchange Act of 1934 and that information contained in such Form 10-Q fairly presents in all material respects the financial condition and results of operations of Autodesk, Inc.</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color w:val="auto"/>
        </w:rPr>
        <w:t>December 8, 2009</w:t>
      </w:r>
    </w:p>
    <w:p>
      <w:pPr>
        <w:spacing w:after="0" w:line="374" w:lineRule="exact"/>
        <w:rPr>
          <w:sz w:val="20"/>
          <w:szCs w:val="20"/>
          <w:color w:val="auto"/>
        </w:rPr>
      </w:pPr>
    </w:p>
    <w:p>
      <w:pPr>
        <w:jc w:val="center"/>
        <w:ind w:left="6860"/>
        <w:spacing w:after="0"/>
        <w:rPr>
          <w:sz w:val="20"/>
          <w:szCs w:val="20"/>
          <w:color w:val="auto"/>
        </w:rPr>
      </w:pPr>
      <w:r>
        <w:rPr>
          <w:rFonts w:ascii="Arial" w:cs="Arial" w:eastAsia="Arial" w:hAnsi="Arial"/>
          <w:sz w:val="18"/>
          <w:szCs w:val="18"/>
          <w:color w:val="auto"/>
        </w:rPr>
        <w:t>/s/ C</w:t>
      </w:r>
      <w:r>
        <w:rPr>
          <w:rFonts w:ascii="Arial" w:cs="Arial" w:eastAsia="Arial" w:hAnsi="Arial"/>
          <w:sz w:val="14"/>
          <w:szCs w:val="14"/>
          <w:color w:val="auto"/>
        </w:rPr>
        <w:t>ARL</w:t>
      </w:r>
      <w:r>
        <w:rPr>
          <w:rFonts w:ascii="Arial" w:cs="Arial" w:eastAsia="Arial" w:hAnsi="Arial"/>
          <w:sz w:val="18"/>
          <w:szCs w:val="18"/>
          <w:color w:val="auto"/>
        </w:rPr>
        <w:t xml:space="preserve"> B</w:t>
      </w:r>
      <w:r>
        <w:rPr>
          <w:rFonts w:ascii="Arial" w:cs="Arial" w:eastAsia="Arial" w:hAnsi="Arial"/>
          <w:sz w:val="14"/>
          <w:szCs w:val="14"/>
          <w:color w:val="auto"/>
        </w:rPr>
        <w:t>ASS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10795</wp:posOffset>
            </wp:positionV>
            <wp:extent cx="2898775" cy="889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12" w:lineRule="exact"/>
        <w:rPr>
          <w:sz w:val="20"/>
          <w:szCs w:val="20"/>
          <w:color w:val="auto"/>
        </w:rPr>
      </w:pPr>
    </w:p>
    <w:p>
      <w:pPr>
        <w:jc w:val="center"/>
        <w:ind w:left="6860"/>
        <w:spacing w:after="0"/>
        <w:rPr>
          <w:sz w:val="20"/>
          <w:szCs w:val="20"/>
          <w:color w:val="auto"/>
        </w:rPr>
      </w:pPr>
      <w:r>
        <w:rPr>
          <w:rFonts w:ascii="Arial" w:cs="Arial" w:eastAsia="Arial" w:hAnsi="Arial"/>
          <w:sz w:val="14"/>
          <w:szCs w:val="14"/>
          <w:b w:val="1"/>
          <w:bCs w:val="1"/>
          <w:color w:val="auto"/>
        </w:rPr>
        <w:t>Carl Bass</w:t>
      </w:r>
    </w:p>
    <w:p>
      <w:pPr>
        <w:jc w:val="center"/>
        <w:ind w:left="6860"/>
        <w:spacing w:after="0" w:line="223" w:lineRule="auto"/>
        <w:rPr>
          <w:sz w:val="20"/>
          <w:szCs w:val="20"/>
          <w:color w:val="auto"/>
        </w:rPr>
      </w:pPr>
      <w:r>
        <w:rPr>
          <w:rFonts w:ascii="Arial" w:cs="Arial" w:eastAsia="Arial" w:hAnsi="Arial"/>
          <w:sz w:val="14"/>
          <w:szCs w:val="14"/>
          <w:b w:val="1"/>
          <w:bCs w:val="1"/>
          <w:color w:val="auto"/>
        </w:rPr>
        <w:t>Chief Executive Officer and President</w:t>
      </w:r>
    </w:p>
    <w:p>
      <w:pPr>
        <w:jc w:val="center"/>
        <w:ind w:left="6860"/>
        <w:spacing w:after="0"/>
        <w:rPr>
          <w:sz w:val="20"/>
          <w:szCs w:val="20"/>
          <w:color w:val="auto"/>
        </w:rPr>
      </w:pPr>
      <w:r>
        <w:rPr>
          <w:rFonts w:ascii="Arial" w:cs="Arial" w:eastAsia="Arial" w:hAnsi="Arial"/>
          <w:sz w:val="14"/>
          <w:szCs w:val="14"/>
          <w:b w:val="1"/>
          <w:bCs w:val="1"/>
          <w:color w:val="auto"/>
        </w:rPr>
        <w:t>(Principal Executive Officer)</w:t>
      </w:r>
    </w:p>
    <w:p>
      <w:pPr>
        <w:spacing w:after="0" w:line="141" w:lineRule="exact"/>
        <w:rPr>
          <w:sz w:val="20"/>
          <w:szCs w:val="20"/>
          <w:color w:val="auto"/>
        </w:rPr>
      </w:pPr>
    </w:p>
    <w:p>
      <w:pPr>
        <w:ind w:right="40" w:firstLine="456"/>
        <w:spacing w:after="0" w:line="256" w:lineRule="auto"/>
        <w:rPr>
          <w:sz w:val="20"/>
          <w:szCs w:val="20"/>
          <w:color w:val="auto"/>
        </w:rPr>
      </w:pPr>
      <w:r>
        <w:rPr>
          <w:rFonts w:ascii="Arial" w:cs="Arial" w:eastAsia="Arial" w:hAnsi="Arial"/>
          <w:sz w:val="18"/>
          <w:szCs w:val="18"/>
          <w:color w:val="auto"/>
        </w:rPr>
        <w:t>Based on my knowledge, I, Mark J. Hawkins, certify, pursuant to 18 U.S.C. Section 1350, as adopted pursuant to Section 906 of the Sarbanes-Oxley Act of 2002, that the Quarterly Report of Autodesk, Inc. on Form 10-Q for the quarterly period ended October 31, 2009 fully complies with the requirements of Section 13(a) or 15(d) of the Securities Exchange Act of 1934 and that information contained in such Form 10-Q fairly presents in all material respects the financial condition and results of operations of Autodesk, Inc.</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color w:val="auto"/>
        </w:rPr>
        <w:t>December 8, 2009</w:t>
      </w:r>
    </w:p>
    <w:p>
      <w:pPr>
        <w:spacing w:after="0" w:line="374" w:lineRule="exact"/>
        <w:rPr>
          <w:sz w:val="20"/>
          <w:szCs w:val="20"/>
          <w:color w:val="auto"/>
        </w:rPr>
      </w:pPr>
    </w:p>
    <w:p>
      <w:pPr>
        <w:jc w:val="center"/>
        <w:ind w:left="6860"/>
        <w:spacing w:after="0"/>
        <w:rPr>
          <w:sz w:val="20"/>
          <w:szCs w:val="20"/>
          <w:color w:val="auto"/>
        </w:rPr>
      </w:pPr>
      <w:r>
        <w:rPr>
          <w:rFonts w:ascii="Arial" w:cs="Arial" w:eastAsia="Arial" w:hAnsi="Arial"/>
          <w:sz w:val="18"/>
          <w:szCs w:val="18"/>
          <w:color w:val="auto"/>
        </w:rPr>
        <w:t>/s/ M</w:t>
      </w:r>
      <w:r>
        <w:rPr>
          <w:rFonts w:ascii="Arial" w:cs="Arial" w:eastAsia="Arial" w:hAnsi="Arial"/>
          <w:sz w:val="14"/>
          <w:szCs w:val="14"/>
          <w:color w:val="auto"/>
        </w:rPr>
        <w:t>ARK</w:t>
      </w:r>
      <w:r>
        <w:rPr>
          <w:rFonts w:ascii="Arial" w:cs="Arial" w:eastAsia="Arial" w:hAnsi="Arial"/>
          <w:sz w:val="18"/>
          <w:szCs w:val="18"/>
          <w:color w:val="auto"/>
        </w:rPr>
        <w:t xml:space="preserve"> J. H</w:t>
      </w:r>
      <w:r>
        <w:rPr>
          <w:rFonts w:ascii="Arial" w:cs="Arial" w:eastAsia="Arial" w:hAnsi="Arial"/>
          <w:sz w:val="14"/>
          <w:szCs w:val="14"/>
          <w:color w:val="auto"/>
        </w:rPr>
        <w:t>AWKINS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10795</wp:posOffset>
            </wp:positionV>
            <wp:extent cx="2898775" cy="889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12" w:lineRule="exact"/>
        <w:rPr>
          <w:sz w:val="20"/>
          <w:szCs w:val="20"/>
          <w:color w:val="auto"/>
        </w:rPr>
      </w:pPr>
    </w:p>
    <w:p>
      <w:pPr>
        <w:jc w:val="center"/>
        <w:ind w:left="6860"/>
        <w:spacing w:after="0"/>
        <w:rPr>
          <w:sz w:val="20"/>
          <w:szCs w:val="20"/>
          <w:color w:val="auto"/>
        </w:rPr>
      </w:pPr>
      <w:r>
        <w:rPr>
          <w:rFonts w:ascii="Arial" w:cs="Arial" w:eastAsia="Arial" w:hAnsi="Arial"/>
          <w:sz w:val="14"/>
          <w:szCs w:val="14"/>
          <w:b w:val="1"/>
          <w:bCs w:val="1"/>
          <w:color w:val="auto"/>
        </w:rPr>
        <w:t>Mark J. Hawkins</w:t>
      </w:r>
    </w:p>
    <w:p>
      <w:pPr>
        <w:jc w:val="center"/>
        <w:ind w:left="6860"/>
        <w:spacing w:after="0" w:line="223" w:lineRule="auto"/>
        <w:rPr>
          <w:sz w:val="20"/>
          <w:szCs w:val="20"/>
          <w:color w:val="auto"/>
        </w:rPr>
      </w:pPr>
      <w:r>
        <w:rPr>
          <w:rFonts w:ascii="Arial" w:cs="Arial" w:eastAsia="Arial" w:hAnsi="Arial"/>
          <w:sz w:val="14"/>
          <w:szCs w:val="14"/>
          <w:b w:val="1"/>
          <w:bCs w:val="1"/>
          <w:color w:val="auto"/>
        </w:rPr>
        <w:t>Executive Vice President and Chief Financial Officer</w:t>
      </w:r>
    </w:p>
    <w:p>
      <w:pPr>
        <w:jc w:val="center"/>
        <w:ind w:left="6860"/>
        <w:spacing w:after="0"/>
        <w:rPr>
          <w:sz w:val="20"/>
          <w:szCs w:val="20"/>
          <w:color w:val="auto"/>
        </w:rPr>
      </w:pPr>
      <w:r>
        <w:rPr>
          <w:rFonts w:ascii="Arial" w:cs="Arial" w:eastAsia="Arial" w:hAnsi="Arial"/>
          <w:sz w:val="14"/>
          <w:szCs w:val="14"/>
          <w:b w:val="1"/>
          <w:bCs w:val="1"/>
          <w:color w:val="auto"/>
        </w:rPr>
        <w:t>(Principal Financial Officer and Principal Accounting Officer)</w:t>
      </w:r>
    </w:p>
    <w:sectPr>
      <w:pgSz w:w="11900" w:h="16838" w:orient="portrait"/>
      <w:cols w:equalWidth="0" w:num="1">
        <w:col w:w="11420"/>
      </w:cols>
      <w:pgMar w:left="240" w:top="125"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353D0CD"/>
    <w:multiLevelType w:val="hybridMultilevel"/>
    <w:lvl w:ilvl="0">
      <w:lvlJc w:val="left"/>
      <w:lvlText w:val="☒"/>
      <w:numFmt w:val="bullet"/>
      <w:start w:val="1"/>
    </w:lvl>
  </w:abstractNum>
  <w:abstractNum w:abstractNumId="1">
    <w:nsid w:val="B03E0C6"/>
    <w:multiLevelType w:val="hybridMultilevel"/>
    <w:lvl w:ilvl="0">
      <w:lvlJc w:val="left"/>
      <w:lvlText w:val="☐"/>
      <w:numFmt w:val="bullet"/>
      <w:start w:val="1"/>
    </w:lvl>
  </w:abstractNum>
  <w:abstractNum w:abstractNumId="2">
    <w:nsid w:val="189A769B"/>
    <w:multiLevelType w:val="hybridMultilevel"/>
    <w:lvl w:ilvl="0">
      <w:lvlJc w:val="left"/>
      <w:lvlText w:val="%1."/>
      <w:numFmt w:val="decimal"/>
      <w:start w:val="1"/>
    </w:lvl>
  </w:abstractNum>
  <w:abstractNum w:abstractNumId="3">
    <w:nsid w:val="54E49EB4"/>
    <w:multiLevelType w:val="hybridMultilevel"/>
    <w:lvl w:ilvl="0">
      <w:lvlJc w:val="left"/>
      <w:lvlText w:val="%1."/>
      <w:numFmt w:val="decimal"/>
      <w:start w:val="2"/>
    </w:lvl>
  </w:abstractNum>
  <w:abstractNum w:abstractNumId="4">
    <w:nsid w:val="71F32454"/>
    <w:multiLevelType w:val="hybridMultilevel"/>
    <w:lvl w:ilvl="0">
      <w:lvlJc w:val="left"/>
      <w:lvlText w:val="%1."/>
      <w:numFmt w:val="decimal"/>
      <w:start w:val="3"/>
    </w:lvl>
  </w:abstractNum>
  <w:abstractNum w:abstractNumId="5">
    <w:nsid w:val="2CA88611"/>
    <w:multiLevelType w:val="hybridMultilevel"/>
    <w:lvl w:ilvl="0">
      <w:lvlJc w:val="left"/>
      <w:lvlText w:val="%1."/>
      <w:numFmt w:val="decimal"/>
      <w:start w:val="4"/>
    </w:lvl>
  </w:abstractNum>
  <w:abstractNum w:abstractNumId="6">
    <w:nsid w:val="836C40E"/>
    <w:multiLevelType w:val="hybridMultilevel"/>
    <w:lvl w:ilvl="0">
      <w:lvlJc w:val="left"/>
      <w:lvlText w:val="(%1)"/>
      <w:numFmt w:val="decimal"/>
      <w:start w:val="1"/>
    </w:lvl>
  </w:abstractNum>
  <w:abstractNum w:abstractNumId="7">
    <w:nsid w:val="2901D82"/>
    <w:multiLevelType w:val="hybridMultilevel"/>
    <w:lvl w:ilvl="0">
      <w:lvlJc w:val="left"/>
      <w:lvlText w:val="%1."/>
      <w:numFmt w:val="decimal"/>
      <w:start w:val="5"/>
    </w:lvl>
  </w:abstractNum>
  <w:abstractNum w:abstractNumId="8">
    <w:nsid w:val="3A95F874"/>
    <w:multiLevelType w:val="hybridMultilevel"/>
    <w:lvl w:ilvl="0">
      <w:lvlJc w:val="left"/>
      <w:lvlText w:val="(%1)"/>
      <w:numFmt w:val="decimal"/>
      <w:start w:val="1"/>
    </w:lvl>
  </w:abstractNum>
  <w:abstractNum w:abstractNumId="9">
    <w:nsid w:val="8138641"/>
    <w:multiLevelType w:val="hybridMultilevel"/>
    <w:lvl w:ilvl="0">
      <w:lvlJc w:val="left"/>
      <w:lvlText w:val="(%1)"/>
      <w:numFmt w:val="decimal"/>
      <w:start w:val="1"/>
    </w:lvl>
  </w:abstractNum>
  <w:abstractNum w:abstractNumId="10">
    <w:nsid w:val="1E7FF521"/>
    <w:multiLevelType w:val="hybridMultilevel"/>
    <w:lvl w:ilvl="0">
      <w:lvlJc w:val="left"/>
      <w:lvlText w:val="(%1)"/>
      <w:numFmt w:val="decimal"/>
      <w:start w:val="1"/>
    </w:lvl>
  </w:abstractNum>
  <w:abstractNum w:abstractNumId="11">
    <w:nsid w:val="7C3DBD3D"/>
    <w:multiLevelType w:val="hybridMultilevel"/>
    <w:lvl w:ilvl="0">
      <w:lvlJc w:val="left"/>
      <w:lvlText w:val="%1."/>
      <w:numFmt w:val="decimal"/>
      <w:start w:val="6"/>
    </w:lvl>
  </w:abstractNum>
  <w:abstractNum w:abstractNumId="12">
    <w:nsid w:val="737B8DDC"/>
    <w:multiLevelType w:val="hybridMultilevel"/>
    <w:lvl w:ilvl="0">
      <w:lvlJc w:val="left"/>
      <w:lvlText w:val="(%1)"/>
      <w:numFmt w:val="decimal"/>
      <w:start w:val="1"/>
    </w:lvl>
  </w:abstractNum>
  <w:abstractNum w:abstractNumId="13">
    <w:nsid w:val="6CEAF087"/>
    <w:multiLevelType w:val="hybridMultilevel"/>
    <w:lvl w:ilvl="0">
      <w:lvlJc w:val="left"/>
      <w:lvlText w:val="%1."/>
      <w:numFmt w:val="decimal"/>
      <w:start w:val="7"/>
    </w:lvl>
  </w:abstractNum>
  <w:abstractNum w:abstractNumId="14">
    <w:nsid w:val="22221A70"/>
    <w:multiLevelType w:val="hybridMultilevel"/>
    <w:lvl w:ilvl="0">
      <w:lvlJc w:val="left"/>
      <w:lvlText w:val="%1."/>
      <w:numFmt w:val="decimal"/>
      <w:start w:val="8"/>
    </w:lvl>
  </w:abstractNum>
  <w:abstractNum w:abstractNumId="15">
    <w:nsid w:val="4516DDE9"/>
    <w:multiLevelType w:val="hybridMultilevel"/>
    <w:lvl w:ilvl="0">
      <w:lvlJc w:val="left"/>
      <w:lvlText w:val="(%1)"/>
      <w:numFmt w:val="decimal"/>
      <w:start w:val="1"/>
    </w:lvl>
  </w:abstractNum>
  <w:abstractNum w:abstractNumId="16">
    <w:nsid w:val="3006C83E"/>
    <w:multiLevelType w:val="hybridMultilevel"/>
    <w:lvl w:ilvl="0">
      <w:lvlJc w:val="left"/>
      <w:lvlText w:val="%1."/>
      <w:numFmt w:val="decimal"/>
      <w:start w:val="9"/>
    </w:lvl>
  </w:abstractNum>
  <w:abstractNum w:abstractNumId="17">
    <w:nsid w:val="614FD4A1"/>
    <w:multiLevelType w:val="hybridMultilevel"/>
    <w:lvl w:ilvl="0">
      <w:lvlJc w:val="left"/>
      <w:lvlText w:val="%1."/>
      <w:numFmt w:val="decimal"/>
      <w:start w:val="10"/>
    </w:lvl>
  </w:abstractNum>
  <w:abstractNum w:abstractNumId="18">
    <w:nsid w:val="419AC241"/>
    <w:multiLevelType w:val="hybridMultilevel"/>
    <w:lvl w:ilvl="0">
      <w:lvlJc w:val="left"/>
      <w:lvlText w:val="%1."/>
      <w:numFmt w:val="decimal"/>
      <w:start w:val="11"/>
    </w:lvl>
  </w:abstractNum>
  <w:abstractNum w:abstractNumId="19">
    <w:nsid w:val="5577F8E1"/>
    <w:multiLevelType w:val="hybridMultilevel"/>
    <w:lvl w:ilvl="0">
      <w:lvlJc w:val="left"/>
      <w:lvlText w:val="%1."/>
      <w:numFmt w:val="decimal"/>
      <w:start w:val="12"/>
    </w:lvl>
  </w:abstractNum>
  <w:abstractNum w:abstractNumId="20">
    <w:nsid w:val="440BADFC"/>
    <w:multiLevelType w:val="hybridMultilevel"/>
    <w:lvl w:ilvl="0">
      <w:lvlJc w:val="left"/>
      <w:lvlText w:val="%1."/>
      <w:numFmt w:val="decimal"/>
      <w:start w:val="13"/>
    </w:lvl>
  </w:abstractNum>
  <w:abstractNum w:abstractNumId="21">
    <w:nsid w:val="5072367"/>
    <w:multiLevelType w:val="hybridMultilevel"/>
    <w:lvl w:ilvl="0">
      <w:lvlJc w:val="left"/>
      <w:lvlText w:val="%1."/>
      <w:numFmt w:val="decimal"/>
      <w:start w:val="14"/>
    </w:lvl>
  </w:abstractNum>
  <w:abstractNum w:abstractNumId="22">
    <w:nsid w:val="3804823E"/>
    <w:multiLevelType w:val="hybridMultilevel"/>
    <w:lvl w:ilvl="0">
      <w:lvlJc w:val="left"/>
      <w:lvlText w:val="%1."/>
      <w:numFmt w:val="decimal"/>
      <w:start w:val="15"/>
    </w:lvl>
  </w:abstractNum>
  <w:abstractNum w:abstractNumId="23">
    <w:nsid w:val="77465F01"/>
    <w:multiLevelType w:val="hybridMultilevel"/>
    <w:lvl w:ilvl="0">
      <w:lvlJc w:val="left"/>
      <w:lvlText w:val="%1."/>
      <w:numFmt w:val="decimal"/>
      <w:start w:val="16"/>
    </w:lvl>
  </w:abstractNum>
  <w:abstractNum w:abstractNumId="24">
    <w:nsid w:val="7724C67E"/>
    <w:multiLevelType w:val="hybridMultilevel"/>
    <w:lvl w:ilvl="0">
      <w:lvlJc w:val="left"/>
      <w:lvlText w:val="%1."/>
      <w:numFmt w:val="decimal"/>
      <w:start w:val="17"/>
    </w:lvl>
  </w:abstractNum>
  <w:abstractNum w:abstractNumId="25">
    <w:nsid w:val="5C482A97"/>
    <w:multiLevelType w:val="hybridMultilevel"/>
    <w:lvl w:ilvl="0">
      <w:lvlJc w:val="left"/>
      <w:lvlText w:val="%1."/>
      <w:numFmt w:val="decimal"/>
      <w:start w:val="18"/>
    </w:lvl>
  </w:abstractNum>
  <w:abstractNum w:abstractNumId="26">
    <w:nsid w:val="2463B9EA"/>
    <w:multiLevelType w:val="hybridMultilevel"/>
    <w:lvl w:ilvl="0">
      <w:lvlJc w:val="left"/>
      <w:lvlText w:val="(%1)"/>
      <w:numFmt w:val="decimal"/>
      <w:start w:val="1"/>
    </w:lvl>
  </w:abstractNum>
  <w:abstractNum w:abstractNumId="27">
    <w:nsid w:val="5E884ADC"/>
    <w:multiLevelType w:val="hybridMultilevel"/>
    <w:lvl w:ilvl="0">
      <w:lvlJc w:val="left"/>
      <w:lvlText w:val="%1."/>
      <w:numFmt w:val="decimal"/>
      <w:start w:val="19"/>
    </w:lvl>
  </w:abstractNum>
  <w:abstractNum w:abstractNumId="28">
    <w:nsid w:val="51EAD36B"/>
    <w:multiLevelType w:val="hybridMultilevel"/>
    <w:lvl w:ilvl="0">
      <w:lvlJc w:val="left"/>
      <w:lvlText w:val="(%1)"/>
      <w:numFmt w:val="decimal"/>
      <w:start w:val="1"/>
    </w:lvl>
  </w:abstractNum>
  <w:abstractNum w:abstractNumId="29">
    <w:nsid w:val="2D517796"/>
    <w:multiLevelType w:val="hybridMultilevel"/>
    <w:lvl w:ilvl="0">
      <w:lvlJc w:val="left"/>
      <w:lvlText w:val="*"/>
      <w:numFmt w:val="bullet"/>
      <w:start w:val="1"/>
    </w:lvl>
  </w:abstractNum>
  <w:abstractNum w:abstractNumId="30">
    <w:nsid w:val="580BD78F"/>
    <w:multiLevelType w:val="hybridMultilevel"/>
    <w:lvl w:ilvl="0">
      <w:lvlJc w:val="left"/>
      <w:lvlText w:val="†"/>
      <w:numFmt w:val="bullet"/>
      <w:start w:val="1"/>
    </w:lvl>
  </w:abstractNum>
  <w:abstractNum w:abstractNumId="31">
    <w:nsid w:val="153EA438"/>
    <w:multiLevelType w:val="hybridMultilevel"/>
    <w:lvl w:ilvl="0">
      <w:lvlJc w:val="left"/>
      <w:lvlText w:val="††"/>
      <w:numFmt w:val="bullet"/>
      <w:start w:val="1"/>
    </w:lvl>
  </w:abstractNum>
  <w:abstractNum w:abstractNumId="32">
    <w:nsid w:val="3855585C"/>
    <w:multiLevelType w:val="hybridMultilevel"/>
    <w:lvl w:ilvl="0">
      <w:lvlJc w:val="left"/>
      <w:lvlText w:val="%1."/>
      <w:numFmt w:val="decimal"/>
      <w:start w:val="1"/>
    </w:lvl>
  </w:abstractNum>
  <w:abstractNum w:abstractNumId="33">
    <w:nsid w:val="70A64E2A"/>
    <w:multiLevelType w:val="hybridMultilevel"/>
    <w:lvl w:ilvl="0">
      <w:lvlJc w:val="left"/>
      <w:lvlText w:val="(%1)"/>
      <w:numFmt w:val="lowerLetter"/>
      <w:start w:val="1"/>
    </w:lvl>
  </w:abstractNum>
  <w:abstractNum w:abstractNumId="34">
    <w:nsid w:val="6A2342EC"/>
    <w:multiLevelType w:val="hybridMultilevel"/>
    <w:lvl w:ilvl="0">
      <w:lvlJc w:val="left"/>
      <w:lvlText w:val="(%1)"/>
      <w:numFmt w:val="lowerLetter"/>
      <w:start w:val="6"/>
    </w:lvl>
  </w:abstractNum>
  <w:abstractNum w:abstractNumId="35">
    <w:nsid w:val="2A487CB0"/>
    <w:multiLevelType w:val="hybridMultilevel"/>
    <w:lvl w:ilvl="0">
      <w:lvlJc w:val="left"/>
      <w:lvlText w:val="(%1)"/>
      <w:numFmt w:val="lowerLetter"/>
      <w:start w:val="16"/>
    </w:lvl>
  </w:abstractNum>
  <w:abstractNum w:abstractNumId="36">
    <w:nsid w:val="1D4ED43B"/>
    <w:multiLevelType w:val="hybridMultilevel"/>
    <w:lvl w:ilvl="0">
      <w:lvlJc w:val="left"/>
      <w:lvlText w:val="(%1)"/>
      <w:numFmt w:val="lowerLetter"/>
      <w:start w:val="27"/>
    </w:lvl>
  </w:abstractNum>
  <w:abstractNum w:abstractNumId="37">
    <w:nsid w:val="725A06FB"/>
    <w:multiLevelType w:val="hybridMultilevel"/>
    <w:lvl w:ilvl="0">
      <w:lvlJc w:val="left"/>
      <w:lvlText w:val="(%1)"/>
      <w:numFmt w:val="lowerLetter"/>
      <w:start w:val="29"/>
    </w:lvl>
  </w:abstractNum>
  <w:abstractNum w:abstractNumId="38">
    <w:nsid w:val="2CD89A32"/>
    <w:multiLevelType w:val="hybridMultilevel"/>
    <w:lvl w:ilvl="0">
      <w:lvlJc w:val="left"/>
      <w:lvlText w:val="(%1)"/>
      <w:numFmt w:val="lowerLetter"/>
      <w:start w:val="1"/>
    </w:lvl>
  </w:abstractNum>
  <w:abstractNum w:abstractNumId="39">
    <w:nsid w:val="57E4CCAF"/>
    <w:multiLevelType w:val="hybridMultilevel"/>
    <w:lvl w:ilvl="0">
      <w:lvlJc w:val="left"/>
      <w:lvlText w:val="(%1)"/>
      <w:numFmt w:val="lowerLetter"/>
      <w:start w:val="1"/>
    </w:lvl>
  </w:abstractNum>
  <w:abstractNum w:abstractNumId="40">
    <w:nsid w:val="7A6D8D3C"/>
    <w:multiLevelType w:val="hybridMultilevel"/>
    <w:lvl w:ilvl="0">
      <w:lvlJc w:val="left"/>
      <w:lvlText w:val="(%1)"/>
      <w:numFmt w:val="lowerLetter"/>
      <w:start w:val="1"/>
    </w:lvl>
  </w:abstractNum>
  <w:abstractNum w:abstractNumId="41">
    <w:nsid w:val="4B588F54"/>
    <w:multiLevelType w:val="hybridMultilevel"/>
    <w:lvl w:ilvl="0">
      <w:lvlJc w:val="left"/>
      <w:lvlText w:val="(%1)"/>
      <w:numFmt w:val="lowerLetter"/>
      <w:start w:val="1"/>
    </w:lvl>
    <w:lvl w:ilvl="1">
      <w:lvlJc w:val="left"/>
      <w:lvlText w:val="(%2)"/>
      <w:numFmt w:val="lowerRoman"/>
      <w:start w:val="1"/>
    </w:lvl>
  </w:abstractNum>
  <w:abstractNum w:abstractNumId="42">
    <w:nsid w:val="542289EC"/>
    <w:multiLevelType w:val="hybridMultilevel"/>
    <w:lvl w:ilvl="0">
      <w:lvlJc w:val="left"/>
      <w:lvlText w:val="(%1)"/>
      <w:numFmt w:val="lowerLetter"/>
      <w:start w:val="3"/>
    </w:lvl>
  </w:abstractNum>
  <w:abstractNum w:abstractNumId="43">
    <w:nsid w:val="6DE91B18"/>
    <w:multiLevelType w:val="hybridMultilevel"/>
    <w:lvl w:ilvl="0">
      <w:lvlJc w:val="left"/>
      <w:lvlText w:val="(%1)"/>
      <w:numFmt w:val="lowerLetter"/>
      <w:start w:val="4"/>
    </w:lvl>
  </w:abstractNum>
  <w:abstractNum w:abstractNumId="44">
    <w:nsid w:val="38437FDB"/>
    <w:multiLevelType w:val="hybridMultilevel"/>
    <w:lvl w:ilvl="0">
      <w:lvlJc w:val="left"/>
      <w:lvlText w:val="(%1)"/>
      <w:numFmt w:val="lowerLetter"/>
      <w:start w:val="1"/>
    </w:lvl>
  </w:abstractNum>
  <w:abstractNum w:abstractNumId="45">
    <w:nsid w:val="7644A45C"/>
    <w:multiLevelType w:val="hybridMultilevel"/>
    <w:lvl w:ilvl="0">
      <w:lvlJc w:val="left"/>
      <w:lvlText w:val="(%1)"/>
      <w:numFmt w:val="lowerLetter"/>
      <w:start w:val="1"/>
    </w:lvl>
    <w:lvl w:ilvl="1">
      <w:lvlJc w:val="left"/>
      <w:lvlText w:val="(%2)"/>
      <w:numFmt w:val="lowerRoman"/>
      <w:start w:val="1"/>
    </w:lvl>
  </w:abstractNum>
  <w:abstractNum w:abstractNumId="46">
    <w:nsid w:val="32FFF902"/>
    <w:multiLevelType w:val="hybridMultilevel"/>
    <w:lvl w:ilvl="0">
      <w:lvlJc w:val="left"/>
      <w:lvlText w:val="(%1)"/>
      <w:numFmt w:val="lowerRoman"/>
      <w:start w:val="4"/>
    </w:lvl>
  </w:abstractNum>
  <w:abstractNum w:abstractNumId="47">
    <w:nsid w:val="684A481A"/>
    <w:multiLevelType w:val="hybridMultilevel"/>
    <w:lvl w:ilvl="0">
      <w:lvlJc w:val="left"/>
      <w:lvlText w:val="(%1)"/>
      <w:numFmt w:val="lowerLetter"/>
      <w:start w:val="1"/>
    </w:lvl>
  </w:abstractNum>
  <w:abstractNum w:abstractNumId="48">
    <w:nsid w:val="579478FE"/>
    <w:multiLevelType w:val="hybridMultilevel"/>
    <w:lvl w:ilvl="0">
      <w:lvlJc w:val="left"/>
      <w:lvlText w:val="%1."/>
      <w:numFmt w:val="decimal"/>
      <w:start w:val="1"/>
    </w:lvl>
    <w:lvl w:ilvl="1">
      <w:lvlJc w:val="left"/>
      <w:lvlText w:val="%2)"/>
      <w:numFmt w:val="lowerLetter"/>
      <w:start w:val="1"/>
    </w:lvl>
  </w:abstractNum>
  <w:abstractNum w:abstractNumId="49">
    <w:nsid w:val="749ABB43"/>
    <w:multiLevelType w:val="hybridMultilevel"/>
    <w:lvl w:ilvl="0">
      <w:lvlJc w:val="left"/>
      <w:lvlText w:val="%1."/>
      <w:numFmt w:val="decimal"/>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2019-12-10T06:16:51Z</dcterms:created>
  <dcterms:modified xsi:type="dcterms:W3CDTF">2019-12-10T06:16:51Z</dcterms:modified>
</cp:coreProperties>
</file>