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351790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9" w:lineRule="exact"/>
        <w:rPr>
          <w:sz w:val="24"/>
          <w:szCs w:val="24"/>
          <w:color w:val="auto"/>
        </w:rPr>
      </w:pPr>
    </w:p>
    <w:p>
      <w:pPr>
        <w:ind w:left="660" w:hanging="406"/>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For the fiscal year ended January 31, 2024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0" w:lineRule="exact"/>
        <w:rPr>
          <w:sz w:val="24"/>
          <w:szCs w:val="24"/>
          <w:color w:val="auto"/>
        </w:rPr>
      </w:pPr>
    </w:p>
    <w:p>
      <w:pPr>
        <w:ind w:left="640" w:hanging="396"/>
        <w:spacing w:after="0"/>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7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w:t>
            </w:r>
          </w:p>
        </w:tc>
        <w:tc>
          <w:tcPr>
            <w:tcW w:w="41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Commission File Number: 0-14338</w:t>
            </w: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14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60" w:type="dxa"/>
            <w:vAlign w:val="bottom"/>
            <w:gridSpan w:val="4"/>
          </w:tcPr>
          <w:p>
            <w:pPr>
              <w:jc w:val="right"/>
              <w:ind w:right="809"/>
              <w:spacing w:after="0" w:line="90" w:lineRule="exact"/>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2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gridSpan w:val="5"/>
          </w:tcPr>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AUTODESK, INC.</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700" w:type="dxa"/>
            <w:vAlign w:val="bottom"/>
            <w:gridSpan w:val="2"/>
          </w:tcPr>
          <w:p>
            <w:pPr>
              <w:jc w:val="center"/>
              <w:ind w:left="157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94-2819853</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740" w:type="dxa"/>
            <w:vAlign w:val="bottom"/>
            <w:gridSpan w:val="4"/>
          </w:tcPr>
          <w:p>
            <w:pPr>
              <w:jc w:val="center"/>
              <w:ind w:left="538"/>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3"/>
          </w:tcPr>
          <w:p>
            <w:pPr>
              <w:jc w:val="center"/>
              <w:ind w:right="194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3740" w:type="dxa"/>
            <w:vAlign w:val="bottom"/>
            <w:gridSpan w:val="4"/>
          </w:tcPr>
          <w:p>
            <w:pPr>
              <w:jc w:val="center"/>
              <w:ind w:left="558"/>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2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25"/>
        </w:trPr>
        <w:tc>
          <w:tcPr>
            <w:tcW w:w="374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One Market Street, Ste. 400</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7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San Francisco,</w:t>
            </w: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94105</w:t>
            </w: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40" w:type="dxa"/>
            <w:vAlign w:val="bottom"/>
            <w:gridSpan w:val="4"/>
          </w:tcPr>
          <w:p>
            <w:pPr>
              <w:jc w:val="center"/>
              <w:ind w:left="538"/>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2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0" w:type="dxa"/>
            <w:vAlign w:val="bottom"/>
            <w:gridSpan w:val="6"/>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507-5000</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60" w:type="dxa"/>
            <w:vAlign w:val="bottom"/>
            <w:gridSpan w:val="4"/>
          </w:tcPr>
          <w:p>
            <w:pPr>
              <w:jc w:val="center"/>
              <w:ind w:right="189"/>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1520" w:type="dxa"/>
            <w:vAlign w:val="bottom"/>
            <w:gridSpan w:val="3"/>
          </w:tcPr>
          <w:p>
            <w:pPr>
              <w:jc w:val="center"/>
              <w:ind w:right="389"/>
              <w:spacing w:after="0" w:line="98"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1320" w:type="dxa"/>
            <w:vAlign w:val="bottom"/>
          </w:tcPr>
          <w:p>
            <w:pPr>
              <w:spacing w:after="0"/>
              <w:rPr>
                <w:sz w:val="10"/>
                <w:szCs w:val="10"/>
                <w:color w:val="auto"/>
              </w:rPr>
            </w:pPr>
          </w:p>
        </w:tc>
        <w:tc>
          <w:tcPr>
            <w:tcW w:w="2740" w:type="dxa"/>
            <w:vAlign w:val="bottom"/>
            <w:gridSpan w:val="3"/>
          </w:tcPr>
          <w:p>
            <w:pPr>
              <w:jc w:val="center"/>
              <w:ind w:right="1529"/>
              <w:spacing w:after="0" w:line="98" w:lineRule="exact"/>
              <w:rPr>
                <w:sz w:val="20"/>
                <w:szCs w:val="20"/>
                <w:color w:val="auto"/>
              </w:rPr>
            </w:pPr>
            <w:r>
              <w:rPr>
                <w:rFonts w:ascii="Times New Roman" w:cs="Times New Roman" w:eastAsia="Times New Roman" w:hAnsi="Times New Roman"/>
                <w:sz w:val="11"/>
                <w:szCs w:val="11"/>
                <w:b w:val="1"/>
                <w:bCs w:val="1"/>
                <w:color w:val="auto"/>
              </w:rPr>
              <w:t>Trading Symbol(s)</w:t>
            </w: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on which registered</w:t>
            </w: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40" w:type="dxa"/>
            <w:vAlign w:val="bottom"/>
            <w:gridSpan w:val="4"/>
          </w:tcPr>
          <w:p>
            <w:pPr>
              <w:jc w:val="center"/>
              <w:ind w:left="1718"/>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320" w:type="dxa"/>
            <w:vAlign w:val="bottom"/>
          </w:tcPr>
          <w:p>
            <w:pPr>
              <w:spacing w:after="0"/>
              <w:rPr>
                <w:sz w:val="17"/>
                <w:szCs w:val="17"/>
                <w:color w:val="auto"/>
              </w:rPr>
            </w:pPr>
          </w:p>
        </w:tc>
        <w:tc>
          <w:tcPr>
            <w:tcW w:w="98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7"/>
              </w:rPr>
              <w:t>ADSK</w:t>
            </w:r>
          </w:p>
        </w:tc>
        <w:tc>
          <w:tcPr>
            <w:tcW w:w="160" w:type="dxa"/>
            <w:vAlign w:val="bottom"/>
          </w:tcPr>
          <w:p>
            <w:pPr>
              <w:spacing w:after="0"/>
              <w:rPr>
                <w:sz w:val="17"/>
                <w:szCs w:val="17"/>
                <w:color w:val="auto"/>
              </w:rPr>
            </w:pPr>
          </w:p>
        </w:tc>
        <w:tc>
          <w:tcPr>
            <w:tcW w:w="4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254"/>
        </w:trPr>
        <w:tc>
          <w:tcPr>
            <w:tcW w:w="2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60" w:type="dxa"/>
            <w:vAlign w:val="bottom"/>
            <w:gridSpan w:val="4"/>
          </w:tcPr>
          <w:p>
            <w:pPr>
              <w:jc w:val="center"/>
              <w:ind w:right="209"/>
              <w:spacing w:after="0" w:line="86" w:lineRule="exact"/>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040" w:type="dxa"/>
            <w:vAlign w:val="bottom"/>
            <w:gridSpan w:val="6"/>
          </w:tcPr>
          <w:p>
            <w:pPr>
              <w:ind w:left="26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p>
        </w:tc>
        <w:tc>
          <w:tcPr>
            <w:tcW w:w="184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160" w:type="dxa"/>
            <w:vAlign w:val="bottom"/>
            <w:gridSpan w:val="4"/>
            <w:vMerge w:val="restart"/>
          </w:tcPr>
          <w:p>
            <w:pPr>
              <w:ind w:left="4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r>
        <w:trPr>
          <w:trHeight w:val="138"/>
        </w:trPr>
        <w:tc>
          <w:tcPr>
            <w:tcW w:w="7880" w:type="dxa"/>
            <w:vAlign w:val="bottom"/>
            <w:gridSpan w:val="9"/>
          </w:tcPr>
          <w:p>
            <w:pPr>
              <w:ind w:left="260"/>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Securities Exchange Act of 1934 (“Exchange Act”).</w:t>
            </w:r>
          </w:p>
        </w:tc>
        <w:tc>
          <w:tcPr>
            <w:tcW w:w="31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040" w:type="dxa"/>
            <w:vAlign w:val="bottom"/>
            <w:gridSpan w:val="13"/>
          </w:tcPr>
          <w:p>
            <w:pPr>
              <w:ind w:left="260"/>
              <w:spacing w:after="0" w:line="123" w:lineRule="exact"/>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Exchange Act during the preceding 12 months (or for such shorter period that the registrant was required to file such</w:t>
            </w:r>
          </w:p>
        </w:tc>
        <w:tc>
          <w:tcPr>
            <w:tcW w:w="0" w:type="dxa"/>
            <w:vAlign w:val="bottom"/>
          </w:tcPr>
          <w:p>
            <w:pPr>
              <w:spacing w:after="0"/>
              <w:rPr>
                <w:sz w:val="1"/>
                <w:szCs w:val="1"/>
                <w:color w:val="auto"/>
              </w:rPr>
            </w:pPr>
          </w:p>
        </w:tc>
      </w:tr>
      <w:tr>
        <w:trPr>
          <w:trHeight w:val="164"/>
        </w:trPr>
        <w:tc>
          <w:tcPr>
            <w:tcW w:w="3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reports), and (2) has been subject to such filing requirements for the past 90 days.</w:t>
            </w:r>
          </w:p>
        </w:tc>
        <w:tc>
          <w:tcPr>
            <w:tcW w:w="230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40" w:type="dxa"/>
            <w:vAlign w:val="bottom"/>
            <w:gridSpan w:val="13"/>
          </w:tcPr>
          <w:p>
            <w:pPr>
              <w:ind w:left="260"/>
              <w:spacing w:after="0" w:line="123" w:lineRule="exact"/>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(§232.405 of this chapter) during the preceding 12 months (or for such</w:t>
            </w:r>
          </w:p>
        </w:tc>
        <w:tc>
          <w:tcPr>
            <w:tcW w:w="0" w:type="dxa"/>
            <w:vAlign w:val="bottom"/>
          </w:tcPr>
          <w:p>
            <w:pPr>
              <w:spacing w:after="0"/>
              <w:rPr>
                <w:sz w:val="1"/>
                <w:szCs w:val="1"/>
                <w:color w:val="auto"/>
              </w:rPr>
            </w:pPr>
          </w:p>
        </w:tc>
      </w:tr>
      <w:tr>
        <w:trPr>
          <w:trHeight w:val="166"/>
        </w:trPr>
        <w:tc>
          <w:tcPr>
            <w:tcW w:w="6040" w:type="dxa"/>
            <w:vAlign w:val="bottom"/>
            <w:gridSpan w:val="6"/>
          </w:tcPr>
          <w:p>
            <w:pPr>
              <w:spacing w:after="0" w:line="127" w:lineRule="exact"/>
              <w:rPr>
                <w:sz w:val="20"/>
                <w:szCs w:val="20"/>
                <w:color w:val="auto"/>
              </w:rPr>
            </w:pPr>
            <w:r>
              <w:rPr>
                <w:rFonts w:ascii="Times New Roman" w:cs="Times New Roman" w:eastAsia="Times New Roman" w:hAnsi="Times New Roman"/>
                <w:sz w:val="11"/>
                <w:szCs w:val="11"/>
                <w:color w:val="auto"/>
              </w:rPr>
              <w:t xml:space="preserve">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right="200" w:firstLine="255"/>
        <w:spacing w:after="0" w:line="26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10" w:right="319" w:bottom="1440" w:gutter="0" w:footer="0" w:header="0"/>
        </w:sectPr>
      </w:pPr>
    </w:p>
    <w:p>
      <w:pPr>
        <w:spacing w:after="0" w:line="16"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138" w:lineRule="exact"/>
        <w:rPr>
          <w:sz w:val="24"/>
          <w:szCs w:val="24"/>
          <w:color w:val="auto"/>
        </w:rPr>
      </w:pPr>
    </w:p>
    <w:p>
      <w:pPr>
        <w:sectPr>
          <w:pgSz w:w="11900" w:h="16838" w:orient="portrait"/>
          <w:cols w:equalWidth="0" w:num="10">
            <w:col w:w="1940" w:space="160"/>
            <w:col w:w="140" w:space="720"/>
            <w:col w:w="760" w:space="80"/>
            <w:col w:w="100" w:space="680"/>
            <w:col w:w="960" w:space="460"/>
            <w:col w:w="100" w:space="680"/>
            <w:col w:w="1240" w:space="480"/>
            <w:col w:w="100" w:space="680"/>
            <w:col w:w="1220" w:space="560"/>
            <w:col w:w="220"/>
          </w:cols>
          <w:pgMar w:left="300" w:top="210" w:right="319" w:bottom="1440" w:gutter="0" w:footer="0" w:header="0"/>
          <w:type w:val="continuous"/>
        </w:sectPr>
      </w:pPr>
    </w:p>
    <w:p>
      <w:pPr>
        <w:ind w:right="300" w:firstLine="255"/>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right="160" w:firstLine="255"/>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left="260"/>
        <w:spacing w:after="0" w:line="133"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to §240.10D-1(b). </w:t>
      </w:r>
      <w:r>
        <w:rPr>
          <w:rFonts w:ascii="MS PGothic" w:cs="MS PGothic" w:eastAsia="MS PGothic" w:hAnsi="MS PGothic"/>
          <w:sz w:val="11"/>
          <w:szCs w:val="11"/>
          <w:color w:val="auto"/>
        </w:rPr>
        <w:t>☐</w:t>
      </w:r>
    </w:p>
    <w:p>
      <w:pPr>
        <w:spacing w:after="0" w:line="22" w:lineRule="exact"/>
        <w:rPr>
          <w:sz w:val="24"/>
          <w:szCs w:val="24"/>
          <w:color w:val="auto"/>
        </w:rPr>
      </w:pPr>
    </w:p>
    <w:p>
      <w:pPr>
        <w:ind w:left="260"/>
        <w:spacing w:after="0" w:line="127" w:lineRule="exact"/>
        <w:tabs>
          <w:tab w:leader="none" w:pos="5500" w:val="left"/>
          <w:tab w:leader="none" w:pos="5780" w:val="left"/>
          <w:tab w:leader="none" w:pos="604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by Rule 12b-2 of the Exchange Act).</w:t>
        <w:tab/>
        <w:t>Yes</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6" w:lineRule="exact"/>
        <w:rPr>
          <w:sz w:val="24"/>
          <w:szCs w:val="24"/>
          <w:color w:val="auto"/>
        </w:rPr>
      </w:pPr>
    </w:p>
    <w:p>
      <w:pPr>
        <w:ind w:right="180" w:firstLine="255"/>
        <w:spacing w:after="0" w:line="277" w:lineRule="auto"/>
        <w:rPr>
          <w:sz w:val="20"/>
          <w:szCs w:val="20"/>
          <w:color w:val="auto"/>
        </w:rPr>
      </w:pPr>
      <w:r>
        <w:rPr>
          <w:rFonts w:ascii="Times New Roman" w:cs="Times New Roman" w:eastAsia="Times New Roman" w:hAnsi="Times New Roman"/>
          <w:sz w:val="11"/>
          <w:szCs w:val="11"/>
          <w:color w:val="auto"/>
        </w:rPr>
        <w:t>As of July 31, 2023, the last business day of the registrant’s most recently completed second fiscal quarter, there were approximately 213.5 million shares of the registrant’s common stock outstanding that were held by non-affiliates, and the aggregate market value of such shares held by non-affiliates of the registrant (based on the closing sale price of such shares on the Nasdaq Global Select Market on July 31, 2023) was approximately $45.3 billion. Shares of the registrant’s</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common stock held by each executive officer and director have been excluded in that such persons may be deemed to be affiliates. This determination of affiliate status is not necessarily a conclusive determination for other purposes.</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As of March 31, 2024, the registrant had outstanding 215,446,979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300" w:top="125"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1" w:lineRule="exact"/>
        <w:rPr>
          <w:sz w:val="20"/>
          <w:szCs w:val="20"/>
          <w:color w:val="auto"/>
        </w:rPr>
      </w:pPr>
    </w:p>
    <w:p>
      <w:pPr>
        <w:ind w:right="340" w:firstLine="350"/>
        <w:spacing w:after="0" w:line="271" w:lineRule="auto"/>
        <w:rPr>
          <w:sz w:val="20"/>
          <w:szCs w:val="20"/>
          <w:color w:val="auto"/>
        </w:rPr>
      </w:pPr>
      <w:r>
        <w:rPr>
          <w:rFonts w:ascii="Times New Roman" w:cs="Times New Roman" w:eastAsia="Times New Roman" w:hAnsi="Times New Roman"/>
          <w:sz w:val="14"/>
          <w:szCs w:val="14"/>
          <w:color w:val="auto"/>
        </w:rPr>
        <w:t>As previously announced on April 1, 2024, the Audit Committee of the Board of Directors (the “Committee”), assisted by outside counsel and advisors, initiated an internal investigation regarding the Company’s free cash flow and non-GAAP operating margin practices (the “Investigation”). The Committee has completed its planned procedures with respect to the Investigation.</w:t>
      </w:r>
    </w:p>
    <w:p>
      <w:pPr>
        <w:spacing w:after="0" w:line="146" w:lineRule="exact"/>
        <w:rPr>
          <w:sz w:val="20"/>
          <w:szCs w:val="20"/>
          <w:color w:val="auto"/>
        </w:rPr>
      </w:pPr>
    </w:p>
    <w:p>
      <w:pPr>
        <w:ind w:right="520" w:firstLine="350"/>
        <w:spacing w:after="0" w:line="271" w:lineRule="auto"/>
        <w:rPr>
          <w:sz w:val="20"/>
          <w:szCs w:val="20"/>
          <w:color w:val="auto"/>
        </w:rPr>
      </w:pPr>
      <w:r>
        <w:rPr>
          <w:rFonts w:ascii="Times New Roman" w:cs="Times New Roman" w:eastAsia="Times New Roman" w:hAnsi="Times New Roman"/>
          <w:sz w:val="14"/>
          <w:szCs w:val="14"/>
          <w:color w:val="auto"/>
        </w:rPr>
        <w:t>The Company’s management has determined that there will be no restatement or adjustment of any audited or unaudited, filed or previously announced, GAAP or non-GAAP financial statements, or any change to the information in the Company’s earnings release on February 29, 2024 or the Company’s previously issued guidance.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relevant time period for the Investigation was fiscal years 2022, 2023, and 2024. A summary of the principal findings of the Committee are set forth below:</w:t>
      </w:r>
    </w:p>
    <w:p>
      <w:pPr>
        <w:spacing w:after="0" w:line="189" w:lineRule="exact"/>
        <w:rPr>
          <w:sz w:val="20"/>
          <w:szCs w:val="20"/>
          <w:color w:val="auto"/>
        </w:rPr>
      </w:pPr>
    </w:p>
    <w:p>
      <w:pPr>
        <w:ind w:right="100" w:firstLine="355"/>
        <w:spacing w:after="0" w:line="271"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historically relied on multiyear contracts with its enterprise and product subscription customers, billed upfront, to help meet its free cash flow targets. During the relevant period, the Company engaged in programs designed to incentivize customers to accept multiyear upfront billing, renew early, and/or pay before the end of the fiscal year.</w:t>
      </w:r>
    </w:p>
    <w:p>
      <w:pPr>
        <w:spacing w:after="0" w:line="135" w:lineRule="exact"/>
        <w:rPr>
          <w:rFonts w:ascii="Times New Roman" w:cs="Times New Roman" w:eastAsia="Times New Roman" w:hAnsi="Times New Roman"/>
          <w:sz w:val="14"/>
          <w:szCs w:val="14"/>
          <w:color w:val="auto"/>
        </w:rPr>
      </w:pPr>
    </w:p>
    <w:p>
      <w:pPr>
        <w:ind w:right="20" w:firstLine="355"/>
        <w:spacing w:after="0" w:line="254"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disclosed its practice of incentivizing customers to adopt multiyear upfront billing arrangements. It has also acknowledged that discounted multiyear upfront contracts reduce revenue and lower billings in out years. Though prior to fiscal year 2024, the Company did not quantify free cash flow attributable to multiyear upfront billings, it has noted the contribution of upfront collections to fluctuations in the Company’s quarterly reported long-term deferred revenue.</w:t>
      </w:r>
    </w:p>
    <w:p>
      <w:pPr>
        <w:spacing w:after="0" w:line="157" w:lineRule="exact"/>
        <w:rPr>
          <w:rFonts w:ascii="Times New Roman" w:cs="Times New Roman" w:eastAsia="Times New Roman" w:hAnsi="Times New Roman"/>
          <w:sz w:val="14"/>
          <w:szCs w:val="14"/>
          <w:color w:val="auto"/>
        </w:rPr>
      </w:pPr>
    </w:p>
    <w:p>
      <w:pPr>
        <w:ind w:firstLine="355"/>
        <w:spacing w:after="0" w:line="254"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fiscal year 2022, the Company announced that it had begun to shift enterprise customers to contracts billed annually, and that it had assumed fiscal 2023 enterprise contracts would be billed annually. The Company subsequently determined, however, to pursue multiyear upfront contracts with enterprise customers to help meet its fiscal year 2023 free cash flow goal. Upfront billings of enterprise customers in fiscal year 2023 substantially exceeded historical levels, helping the Company to meet its lowered annual free cash flow target.</w:t>
      </w:r>
    </w:p>
    <w:p>
      <w:pPr>
        <w:spacing w:after="0" w:line="157" w:lineRule="exact"/>
        <w:rPr>
          <w:rFonts w:ascii="Times New Roman" w:cs="Times New Roman" w:eastAsia="Times New Roman" w:hAnsi="Times New Roman"/>
          <w:sz w:val="14"/>
          <w:szCs w:val="14"/>
          <w:color w:val="auto"/>
        </w:rPr>
      </w:pPr>
    </w:p>
    <w:p>
      <w:pPr>
        <w:ind w:right="260" w:firstLine="355"/>
        <w:spacing w:after="0" w:line="254"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during the relevant period, certain decisions regarding discretionary spending, collections, and accounts payable were informed by their anticipated effects on the Company’s external free cash flow and/or non-GAAP operating margin targets. The resulting actions generally served to reduce reported free cash flow and/or lower reported margin in the current period. Though free cash flow was one factor in the Company’s executive compensation program, these decisions were not calculated to influence compensation outcomes.</w:t>
      </w:r>
    </w:p>
    <w:p>
      <w:pPr>
        <w:spacing w:after="0" w:line="157" w:lineRule="exact"/>
        <w:rPr>
          <w:sz w:val="20"/>
          <w:szCs w:val="20"/>
          <w:color w:val="auto"/>
        </w:rPr>
      </w:pPr>
    </w:p>
    <w:p>
      <w:pPr>
        <w:ind w:right="460" w:firstLine="350"/>
        <w:spacing w:after="0" w:line="271" w:lineRule="auto"/>
        <w:rPr>
          <w:sz w:val="20"/>
          <w:szCs w:val="20"/>
          <w:color w:val="auto"/>
        </w:rPr>
      </w:pPr>
      <w:r>
        <w:rPr>
          <w:rFonts w:ascii="Times New Roman" w:cs="Times New Roman" w:eastAsia="Times New Roman" w:hAnsi="Times New Roman"/>
          <w:sz w:val="14"/>
          <w:szCs w:val="14"/>
          <w:color w:val="auto"/>
        </w:rPr>
        <w:t>The Committee proposed certain remedial measures including: reviewing certain processes around financial communications and disclosures; assessing certain Company organizational functions and responsibilities; and adopting and enhancing policies, processes, and controls related to the matters investigated.</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separately notes that multiyear upfront billings of enterprise customers in fiscal year 2024 was substantially lower than fiscal years 2022 and 2023.</w:t>
      </w:r>
    </w:p>
    <w:p>
      <w:pPr>
        <w:spacing w:after="0" w:line="189" w:lineRule="exact"/>
        <w:rPr>
          <w:sz w:val="20"/>
          <w:szCs w:val="20"/>
          <w:color w:val="auto"/>
        </w:rPr>
      </w:pPr>
    </w:p>
    <w:p>
      <w:pPr>
        <w:ind w:right="20" w:firstLine="350"/>
        <w:spacing w:after="0" w:line="255" w:lineRule="auto"/>
        <w:rPr>
          <w:sz w:val="20"/>
          <w:szCs w:val="20"/>
          <w:color w:val="auto"/>
        </w:rPr>
      </w:pPr>
      <w:r>
        <w:rPr>
          <w:rFonts w:ascii="Times New Roman" w:cs="Times New Roman" w:eastAsia="Times New Roman" w:hAnsi="Times New Roman"/>
          <w:sz w:val="14"/>
          <w:szCs w:val="14"/>
          <w:color w:val="auto"/>
        </w:rPr>
        <w:t>Elizabeth (Betsy) Rafael has been appointed by the Board as Interim Chief Financial Officer (Principal Financial Officer), effective May 31, 2024. As Interim Chief Financial Officer, she is not currently an “independent director” for purposes of the Nasdaq Stock Market and has stepped down from the Committee. She remains a director of the Company.</w:t>
      </w:r>
    </w:p>
    <w:p>
      <w:pPr>
        <w:spacing w:after="0" w:line="157" w:lineRule="exact"/>
        <w:rPr>
          <w:sz w:val="20"/>
          <w:szCs w:val="20"/>
          <w:color w:val="auto"/>
        </w:rPr>
      </w:pPr>
    </w:p>
    <w:p>
      <w:pPr>
        <w:ind w:right="260" w:firstLine="350"/>
        <w:spacing w:after="0" w:line="271" w:lineRule="auto"/>
        <w:rPr>
          <w:sz w:val="20"/>
          <w:szCs w:val="20"/>
          <w:color w:val="auto"/>
        </w:rPr>
      </w:pPr>
      <w:r>
        <w:rPr>
          <w:rFonts w:ascii="Times New Roman" w:cs="Times New Roman" w:eastAsia="Times New Roman" w:hAnsi="Times New Roman"/>
          <w:sz w:val="14"/>
          <w:szCs w:val="14"/>
          <w:color w:val="auto"/>
        </w:rPr>
        <w:t>Deborah L. Clifford has been appointed as the Company’s Chief Strategy Officer, reporting to the Chief Executive Officer, effective May 31, 2024. Her responsibilities will include, among other things, corporate development, new vertical businesses that are outside our existing product groups, and the company’s Social Impact and Sustainability efforts.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60" w:type="dxa"/>
            <w:vAlign w:val="bottom"/>
            <w:gridSpan w:val="9"/>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AUTODESK, INC. FORM 10-K</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40" w:type="dxa"/>
            <w:vAlign w:val="bottom"/>
            <w:gridSpan w:val="7"/>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20"/>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8"/>
        </w:trPr>
        <w:tc>
          <w:tcPr>
            <w:tcW w:w="460" w:type="dxa"/>
            <w:vAlign w:val="bottom"/>
            <w:tcBorders>
              <w:bottom w:val="single" w:sz="8" w:color="0000FF"/>
            </w:tcBorders>
          </w:tcPr>
          <w:p>
            <w:pPr>
              <w:spacing w:after="0" w:line="138" w:lineRule="exact"/>
              <w:rPr>
                <w:sz w:val="20"/>
                <w:szCs w:val="20"/>
                <w:color w:val="auto"/>
              </w:rPr>
            </w:pPr>
            <w:r>
              <w:rPr>
                <w:rFonts w:ascii="Times New Roman" w:cs="Times New Roman" w:eastAsia="Times New Roman" w:hAnsi="Times New Roman"/>
                <w:sz w:val="14"/>
                <w:szCs w:val="14"/>
                <w:b w:val="1"/>
                <w:bCs w:val="1"/>
                <w:color w:val="0000FF"/>
                <w:w w:val="93"/>
              </w:rPr>
              <w:t>PART I</w:t>
            </w:r>
          </w:p>
        </w:tc>
        <w:tc>
          <w:tcPr>
            <w:tcW w:w="980" w:type="dxa"/>
            <w:vAlign w:val="bottom"/>
            <w:gridSpan w:val="4"/>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w:t>
            </w:r>
          </w:p>
        </w:tc>
        <w:tc>
          <w:tcPr>
            <w:tcW w:w="5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Business</w:t>
            </w:r>
          </w:p>
        </w:tc>
        <w:tc>
          <w:tcPr>
            <w:tcW w:w="7860" w:type="dxa"/>
            <w:vAlign w:val="bottom"/>
            <w:gridSpan w:val="22"/>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1A.</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16</w:t>
            </w:r>
          </w:p>
        </w:tc>
        <w:tc>
          <w:tcPr>
            <w:tcW w:w="20" w:type="dxa"/>
            <w:vAlign w:val="bottom"/>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1B.</w:t>
            </w: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Unresolved Staff Comments</w:t>
            </w:r>
          </w:p>
        </w:tc>
        <w:tc>
          <w:tcPr>
            <w:tcW w:w="676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1C.</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2.</w:t>
            </w:r>
          </w:p>
        </w:tc>
        <w:tc>
          <w:tcPr>
            <w:tcW w:w="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580" w:type="dxa"/>
            <w:vAlign w:val="bottom"/>
            <w:gridSpan w:val="18"/>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3.</w:t>
            </w:r>
          </w:p>
        </w:tc>
        <w:tc>
          <w:tcPr>
            <w:tcW w:w="1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Legal Proceedings</w:t>
            </w:r>
          </w:p>
        </w:tc>
        <w:tc>
          <w:tcPr>
            <w:tcW w:w="732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4.</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37</w:t>
            </w:r>
          </w:p>
        </w:tc>
        <w:tc>
          <w:tcPr>
            <w:tcW w:w="20" w:type="dxa"/>
            <w:vAlign w:val="bottom"/>
          </w:tcPr>
          <w:p>
            <w:pPr>
              <w:spacing w:after="0"/>
              <w:rPr>
                <w:sz w:val="17"/>
                <w:szCs w:val="17"/>
                <w:color w:val="auto"/>
              </w:rPr>
            </w:pPr>
          </w:p>
        </w:tc>
      </w:tr>
      <w:tr>
        <w:trPr>
          <w:trHeight w:val="203"/>
        </w:trPr>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920" w:type="dxa"/>
            <w:vAlign w:val="bottom"/>
            <w:gridSpan w:val="3"/>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5.</w:t>
            </w:r>
          </w:p>
        </w:tc>
        <w:tc>
          <w:tcPr>
            <w:tcW w:w="6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6.</w:t>
            </w: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[Reserved]</w:t>
            </w:r>
          </w:p>
        </w:tc>
        <w:tc>
          <w:tcPr>
            <w:tcW w:w="774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7A.</w:t>
            </w:r>
          </w:p>
        </w:tc>
        <w:tc>
          <w:tcPr>
            <w:tcW w:w="34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3"/>
          </w:tcPr>
          <w:p>
            <w:pPr>
              <w:spacing w:after="0"/>
              <w:rPr>
                <w:sz w:val="17"/>
                <w:szCs w:val="17"/>
                <w:color w:val="auto"/>
              </w:rPr>
            </w:pPr>
          </w:p>
        </w:tc>
        <w:tc>
          <w:tcPr>
            <w:tcW w:w="330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67</w:t>
            </w: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8.</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68</w:t>
            </w:r>
          </w:p>
        </w:tc>
        <w:tc>
          <w:tcPr>
            <w:tcW w:w="20" w:type="dxa"/>
            <w:vAlign w:val="bottom"/>
          </w:tcPr>
          <w:p>
            <w:pPr>
              <w:spacing w:after="0"/>
              <w:rPr>
                <w:sz w:val="17"/>
                <w:szCs w:val="17"/>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114</w:t>
            </w: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9A.</w:t>
            </w:r>
          </w:p>
        </w:tc>
        <w:tc>
          <w:tcPr>
            <w:tcW w:w="51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2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114</w:t>
            </w: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9B.</w:t>
            </w:r>
          </w:p>
        </w:tc>
        <w:tc>
          <w:tcPr>
            <w:tcW w:w="13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698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114</w:t>
            </w: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9C.</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115</w:t>
            </w:r>
          </w:p>
        </w:tc>
      </w:tr>
      <w:tr>
        <w:trPr>
          <w:trHeight w:val="203"/>
        </w:trPr>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86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10.</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116</w:t>
            </w:r>
          </w:p>
        </w:tc>
      </w:tr>
      <w:tr>
        <w:trPr>
          <w:trHeight w:val="20"/>
        </w:trPr>
        <w:tc>
          <w:tcPr>
            <w:tcW w:w="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11.</w:t>
            </w:r>
          </w:p>
        </w:tc>
        <w:tc>
          <w:tcPr>
            <w:tcW w:w="32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5160" w:type="dxa"/>
            <w:vAlign w:val="bottom"/>
            <w:gridSpan w:val="8"/>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125</w:t>
            </w:r>
          </w:p>
        </w:tc>
      </w:tr>
      <w:tr>
        <w:trPr>
          <w:trHeight w:val="20"/>
        </w:trPr>
        <w:tc>
          <w:tcPr>
            <w:tcW w:w="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12.</w:t>
            </w:r>
          </w:p>
        </w:tc>
        <w:tc>
          <w:tcPr>
            <w:tcW w:w="83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156</w:t>
            </w:r>
          </w:p>
        </w:tc>
      </w:tr>
      <w:tr>
        <w:trPr>
          <w:trHeight w:val="20"/>
        </w:trPr>
        <w:tc>
          <w:tcPr>
            <w:tcW w:w="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13.</w:t>
            </w:r>
          </w:p>
        </w:tc>
        <w:tc>
          <w:tcPr>
            <w:tcW w:w="4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gridSpan w:val="3"/>
          </w:tcPr>
          <w:p>
            <w:pPr>
              <w:spacing w:after="0"/>
              <w:rPr>
                <w:sz w:val="17"/>
                <w:szCs w:val="17"/>
                <w:color w:val="auto"/>
              </w:rPr>
            </w:pPr>
          </w:p>
        </w:tc>
        <w:tc>
          <w:tcPr>
            <w:tcW w:w="2640" w:type="dxa"/>
            <w:vAlign w:val="bottom"/>
            <w:gridSpan w:val="2"/>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157</w:t>
            </w:r>
          </w:p>
        </w:tc>
      </w:tr>
      <w:tr>
        <w:trPr>
          <w:trHeight w:val="20"/>
        </w:trPr>
        <w:tc>
          <w:tcPr>
            <w:tcW w:w="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4080" w:type="dxa"/>
            <w:vAlign w:val="bottom"/>
            <w:gridSpan w:val="5"/>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158</w:t>
            </w: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Item 15.</w:t>
            </w:r>
          </w:p>
        </w:tc>
        <w:tc>
          <w:tcPr>
            <w:tcW w:w="880" w:type="dxa"/>
            <w:vAlign w:val="bottom"/>
            <w:gridSpan w:val="2"/>
          </w:tcPr>
          <w:p>
            <w:pPr>
              <w:spacing w:after="0"/>
              <w:rPr>
                <w:sz w:val="17"/>
                <w:szCs w:val="17"/>
                <w:color w:val="auto"/>
              </w:rPr>
            </w:pPr>
          </w:p>
        </w:tc>
        <w:tc>
          <w:tcPr>
            <w:tcW w:w="24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880" w:type="dxa"/>
            <w:vAlign w:val="bottom"/>
            <w:gridSpan w:val="10"/>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160</w:t>
            </w:r>
          </w:p>
        </w:tc>
      </w:tr>
      <w:tr>
        <w:trPr>
          <w:trHeight w:val="20"/>
        </w:trPr>
        <w:tc>
          <w:tcPr>
            <w:tcW w:w="1440" w:type="dxa"/>
            <w:vAlign w:val="bottom"/>
            <w:gridSpan w:val="5"/>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16.</w:t>
            </w:r>
          </w:p>
        </w:tc>
        <w:tc>
          <w:tcPr>
            <w:tcW w:w="24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880" w:type="dxa"/>
            <w:vAlign w:val="bottom"/>
            <w:gridSpan w:val="10"/>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160</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7160" w:type="dxa"/>
            <w:vAlign w:val="bottom"/>
            <w:gridSpan w:val="15"/>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160" w:type="dxa"/>
            <w:vAlign w:val="bottom"/>
            <w:gridSpan w:val="15"/>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163</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FORWARD-LOOKING INFORMATION</w:t>
      </w:r>
    </w:p>
    <w:p>
      <w:pPr>
        <w:spacing w:after="0" w:line="391" w:lineRule="exact"/>
        <w:rPr>
          <w:sz w:val="20"/>
          <w:szCs w:val="20"/>
          <w:color w:val="auto"/>
        </w:rPr>
      </w:pPr>
    </w:p>
    <w:p>
      <w:pPr>
        <w:ind w:firstLine="350"/>
        <w:spacing w:after="0" w:line="255" w:lineRule="auto"/>
        <w:rPr>
          <w:sz w:val="20"/>
          <w:szCs w:val="20"/>
          <w:color w:val="auto"/>
        </w:rPr>
      </w:pPr>
      <w:r>
        <w:rPr>
          <w:rFonts w:ascii="Times New Roman" w:cs="Times New Roman" w:eastAsia="Times New Roman" w:hAnsi="Times New Roman"/>
          <w:sz w:val="14"/>
          <w:szCs w:val="14"/>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may appear throughout this Annual Report on Form 10-K, including the following sections: “Business” (Part I, Item 1), “Risk Factors” (Part I, Item 1A), and “Management’s Discussion and Analysis of Financial Condition and Results of Operations” (Part II, Item 7). Forward-looking statements are any statements that look to future events and consist of, among other things, our business strategies; future financial results (by product type and geography), operational and key metrics and subscriptions; the effects of global economic and political conditions, including the impact of economic volatility and geopolitical activities in certain countries such as the Russian invasion of Ukraine; the impact of past and planned acquisitions and investment activities; expected market trends and market opportunities; our ability to successfully expand adoption of our products; our ability to gain market acceptance of new businesses and sales initiatives; cybersecurity and privacy issues or incidents; the effect of competition; the effect of unemployment; the availability of credit; the effects of revenue recognition; the effects of newly recently issued accounting standards; expected trends in certain financial metrics, including expenses; expectations regarding our cash needs and expenditures;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 glossary of terms used in this Form 10-K appears at the end of this Item 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91" w:lineRule="exact"/>
        <w:rPr>
          <w:sz w:val="20"/>
          <w:szCs w:val="20"/>
          <w:color w:val="auto"/>
        </w:rPr>
      </w:pPr>
    </w:p>
    <w:p>
      <w:pPr>
        <w:ind w:firstLine="350"/>
        <w:spacing w:after="0" w:line="248" w:lineRule="auto"/>
        <w:rPr>
          <w:sz w:val="20"/>
          <w:szCs w:val="20"/>
          <w:color w:val="auto"/>
        </w:rPr>
      </w:pPr>
      <w:r>
        <w:rPr>
          <w:rFonts w:ascii="Times New Roman" w:cs="Times New Roman" w:eastAsia="Times New Roman" w:hAnsi="Times New Roman"/>
          <w:sz w:val="14"/>
          <w:szCs w:val="14"/>
          <w:color w:val="auto"/>
        </w:rPr>
        <w:t>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Corporate Information</w:t>
      </w:r>
    </w:p>
    <w:p>
      <w:pPr>
        <w:spacing w:after="0" w:line="202" w:lineRule="exact"/>
        <w:rPr>
          <w:sz w:val="20"/>
          <w:szCs w:val="20"/>
          <w:color w:val="auto"/>
        </w:rPr>
      </w:pPr>
    </w:p>
    <w:p>
      <w:pPr>
        <w:jc w:val="both"/>
        <w:ind w:right="260" w:firstLine="350"/>
        <w:spacing w:after="0" w:line="264" w:lineRule="auto"/>
        <w:rPr>
          <w:sz w:val="20"/>
          <w:szCs w:val="20"/>
          <w:color w:val="auto"/>
        </w:rPr>
      </w:pPr>
      <w:r>
        <w:rPr>
          <w:rFonts w:ascii="Times New Roman" w:cs="Times New Roman" w:eastAsia="Times New Roman" w:hAnsi="Times New Roman"/>
          <w:sz w:val="14"/>
          <w:szCs w:val="14"/>
          <w:color w:val="auto"/>
        </w:rPr>
        <w:t>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202" w:lineRule="exact"/>
        <w:rPr>
          <w:sz w:val="20"/>
          <w:szCs w:val="20"/>
          <w:color w:val="auto"/>
        </w:rPr>
      </w:pPr>
    </w:p>
    <w:p>
      <w:pPr>
        <w:ind w:right="140" w:firstLine="350"/>
        <w:spacing w:after="0" w:line="257" w:lineRule="auto"/>
        <w:rPr>
          <w:sz w:val="20"/>
          <w:szCs w:val="20"/>
          <w:color w:val="auto"/>
        </w:rPr>
      </w:pPr>
      <w:r>
        <w:rPr>
          <w:rFonts w:ascii="Times New Roman" w:cs="Times New Roman" w:eastAsia="Times New Roman" w:hAnsi="Times New Roman"/>
          <w:sz w:val="14"/>
          <w:szCs w:val="14"/>
          <w:color w:val="auto"/>
        </w:rPr>
        <w:t>Our architecture, engineering, and construction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games production, and enables connection of workflows and data from pre-production to post-production. Our portfolio of products and services enables our customers to foster innovation, optimize and improve their designs, save time and money, improve quality, communicate plans, and collaborate with others. A summary of our revenue by geographic area and product family is found in Part II, Item 8, Note 2, “Revenue Recognition,” in the Notes to Consolidated Financial Statements.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Autodesk’s product offerings include: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Architecture, Engineering and Construction (“AEC”)</w:t>
      </w:r>
    </w:p>
    <w:p>
      <w:pPr>
        <w:spacing w:after="0" w:line="200"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Architecture, Engineering &amp; Construction Collection</w:t>
      </w:r>
    </w:p>
    <w:p>
      <w:pPr>
        <w:spacing w:after="0" w:line="202" w:lineRule="exact"/>
        <w:rPr>
          <w:sz w:val="20"/>
          <w:szCs w:val="20"/>
          <w:color w:val="auto"/>
        </w:rPr>
      </w:pPr>
    </w:p>
    <w:p>
      <w:pPr>
        <w:ind w:right="500" w:firstLine="350"/>
        <w:spacing w:after="0" w:line="287" w:lineRule="auto"/>
        <w:rPr>
          <w:sz w:val="20"/>
          <w:szCs w:val="20"/>
          <w:color w:val="auto"/>
        </w:rPr>
      </w:pPr>
      <w:r>
        <w:rPr>
          <w:rFonts w:ascii="Times New Roman" w:cs="Times New Roman" w:eastAsia="Times New Roman" w:hAnsi="Times New Roman"/>
          <w:sz w:val="14"/>
          <w:szCs w:val="14"/>
          <w:color w:val="auto"/>
        </w:rPr>
        <w:t>The AEC Collection, including AutoCAD, AutoCAD Civil3D, and Revit, aims to help our customers design, engineer, and construct higher quality, more predictable building and civil infrastructure projects, commonly used by AEC industry experts.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AutoCAD Civil 3D</w:t>
      </w:r>
    </w:p>
    <w:p>
      <w:pPr>
        <w:spacing w:after="0" w:line="202"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16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Autodesk Build</w:t>
      </w:r>
    </w:p>
    <w:p>
      <w:pPr>
        <w:spacing w:after="0" w:line="191" w:lineRule="exact"/>
        <w:rPr>
          <w:sz w:val="20"/>
          <w:szCs w:val="20"/>
          <w:color w:val="auto"/>
        </w:rPr>
      </w:pPr>
    </w:p>
    <w:p>
      <w:pPr>
        <w:ind w:right="40" w:firstLine="350"/>
        <w:spacing w:after="0" w:line="245" w:lineRule="auto"/>
        <w:rPr>
          <w:sz w:val="20"/>
          <w:szCs w:val="20"/>
          <w:color w:val="auto"/>
        </w:rPr>
      </w:pPr>
      <w:r>
        <w:rPr>
          <w:rFonts w:ascii="Times New Roman" w:cs="Times New Roman" w:eastAsia="Times New Roman" w:hAnsi="Times New Roman"/>
          <w:sz w:val="14"/>
          <w:szCs w:val="14"/>
          <w:color w:val="auto"/>
        </w:rPr>
        <w:t>Autodesk Build delivers a connected set of project management and collaboration tools for the construction industry. Autodesk Build provides a toolset for managing, sharing, and accessing project documents that results in streamlined workflows between the office, trailer, and jobsite. In addition, Autodesk Build can be used to track the quality and safety of the project with issues and forms. Team members can use Autodesk Build for requests for information (RFIs), submittals, and meetings to manage the flow of information and track project progress across the construction timeline. The PlanGrid Build mobile app delivers field critical project information and collaboration from Autodesk Build to the jobsite. As part of Autodesk Construction Cloud, Build connects data originating in design and preconstruction to the construction and operations phase, allowing users to identify, manage and de-risk project decisions.</w:t>
      </w:r>
    </w:p>
    <w:p>
      <w:pPr>
        <w:spacing w:after="0" w:line="174"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BIM Collaborate Pro</w:t>
      </w:r>
    </w:p>
    <w:p>
      <w:pPr>
        <w:spacing w:after="0" w:line="191" w:lineRule="exact"/>
        <w:rPr>
          <w:sz w:val="20"/>
          <w:szCs w:val="20"/>
          <w:color w:val="auto"/>
        </w:rPr>
      </w:pPr>
    </w:p>
    <w:p>
      <w:pPr>
        <w:ind w:right="240" w:firstLine="350"/>
        <w:spacing w:after="0" w:line="271" w:lineRule="auto"/>
        <w:rPr>
          <w:sz w:val="20"/>
          <w:szCs w:val="20"/>
          <w:color w:val="auto"/>
        </w:rPr>
      </w:pPr>
      <w:r>
        <w:rPr>
          <w:rFonts w:ascii="Times New Roman" w:cs="Times New Roman" w:eastAsia="Times New Roman" w:hAnsi="Times New Roman"/>
          <w:sz w:val="14"/>
          <w:szCs w:val="14"/>
          <w:color w:val="auto"/>
        </w:rPr>
        <w:t>Autodesk BIM Collaborate Pro is cloud-based design collaboration and design management software that enables teams to: organize project data, democratize access, and connect; improve project visibility to deliver on time; and work together on increasingly complex projects.</w:t>
      </w:r>
    </w:p>
    <w:p>
      <w:pPr>
        <w:spacing w:after="0" w:line="14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Building Connected</w:t>
      </w:r>
    </w:p>
    <w:p>
      <w:pPr>
        <w:spacing w:after="0" w:line="191"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BuildingConnected is a SaaS preconstruction solution that combines the largest real-time, construction network with an easy-to-use tool that helps general contractors and owners streamline subcontractor qualification, and the bid and risk management process.</w:t>
      </w:r>
    </w:p>
    <w:p>
      <w:pPr>
        <w:spacing w:after="0" w:line="15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Revit</w:t>
      </w:r>
    </w:p>
    <w:p>
      <w:pPr>
        <w:spacing w:after="0" w:line="20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AutoCAD and AutoCAD LT</w:t>
      </w:r>
    </w:p>
    <w:p>
      <w:pPr>
        <w:spacing w:after="0" w:line="200"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AutoCAD</w:t>
      </w:r>
    </w:p>
    <w:p>
      <w:pPr>
        <w:spacing w:after="0" w:line="202"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143"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AutoCAD LT</w:t>
      </w:r>
    </w:p>
    <w:p>
      <w:pPr>
        <w:spacing w:after="0" w:line="202" w:lineRule="exact"/>
        <w:rPr>
          <w:sz w:val="20"/>
          <w:szCs w:val="20"/>
          <w:color w:val="auto"/>
        </w:rPr>
      </w:pPr>
    </w:p>
    <w:p>
      <w:pPr>
        <w:ind w:right="420" w:firstLine="350"/>
        <w:spacing w:after="0" w:line="287" w:lineRule="auto"/>
        <w:rPr>
          <w:sz w:val="20"/>
          <w:szCs w:val="20"/>
          <w:color w:val="auto"/>
        </w:rPr>
      </w:pPr>
      <w:r>
        <w:rPr>
          <w:rFonts w:ascii="Times New Roman" w:cs="Times New Roman" w:eastAsia="Times New Roman" w:hAnsi="Times New Roman"/>
          <w:sz w:val="14"/>
          <w:szCs w:val="14"/>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Manufacturing (“MFG”)</w:t>
      </w:r>
    </w:p>
    <w:p>
      <w:pPr>
        <w:spacing w:after="0" w:line="200"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Fusion (Formerly Fusion 360)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Fusion is the first 3D CAD, CAM, and computer-aided engineering (“CAE”) tool of its kind. It connects the entire product development process on a single cloud-based platform.</w:t>
      </w:r>
    </w:p>
    <w:p>
      <w:pPr>
        <w:spacing w:after="0" w:line="198"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Inventor</w:t>
      </w:r>
    </w:p>
    <w:p>
      <w:pPr>
        <w:spacing w:after="0" w:line="202"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55"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Product Design &amp; Manufacturing Collection</w:t>
      </w:r>
    </w:p>
    <w:p>
      <w:pPr>
        <w:spacing w:after="0" w:line="202" w:lineRule="exact"/>
        <w:rPr>
          <w:sz w:val="20"/>
          <w:szCs w:val="20"/>
          <w:color w:val="auto"/>
        </w:rPr>
      </w:pPr>
    </w:p>
    <w:p>
      <w:pPr>
        <w:ind w:right="320" w:firstLine="350"/>
        <w:spacing w:after="0" w:line="287" w:lineRule="auto"/>
        <w:rPr>
          <w:sz w:val="20"/>
          <w:szCs w:val="20"/>
          <w:color w:val="auto"/>
        </w:rPr>
      </w:pPr>
      <w:r>
        <w:rPr>
          <w:rFonts w:ascii="Times New Roman" w:cs="Times New Roman" w:eastAsia="Times New Roman" w:hAnsi="Times New Roman"/>
          <w:sz w:val="14"/>
          <w:szCs w:val="14"/>
          <w:color w:val="auto"/>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Fusion, Vault, and Inventor.</w:t>
      </w:r>
    </w:p>
    <w:p>
      <w:pPr>
        <w:spacing w:after="0" w:line="143"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Vault</w:t>
      </w:r>
    </w:p>
    <w:p>
      <w:pPr>
        <w:spacing w:after="0" w:line="202"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Vault data management software makes it easier to manage data in one central location, accelerate design processes, and streamline internal/external collaboration. Vault integrates with more than 30 Autodesk design applications, provides powerful revisioning and access control capabilities, and enables customers to share product data securely to improve engineering cycle time and reduce manufacturing errors.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Media and Entertainment (“M&amp;E”)</w:t>
      </w:r>
    </w:p>
    <w:p>
      <w:pPr>
        <w:spacing w:after="0" w:line="200"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Flow Production Tracking (currently ShotGrid)</w:t>
      </w:r>
    </w:p>
    <w:p>
      <w:pPr>
        <w:spacing w:after="0" w:line="202"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Flow Production Tracking is cloud-based software for review and production tracking in the M&amp;E industry. Creative companies use the Flow Production Tracking platform to provide essential business tools for managers and visual collaboration tools for artists and supervisors, who often work globally with distributed teams.</w:t>
      </w:r>
    </w:p>
    <w:p>
      <w:pPr>
        <w:spacing w:after="0" w:line="143"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Maya</w:t>
      </w:r>
    </w:p>
    <w:p>
      <w:pPr>
        <w:spacing w:after="0" w:line="202"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full-length animated feature films.</w:t>
      </w:r>
    </w:p>
    <w:p>
      <w:pPr>
        <w:spacing w:after="0" w:line="14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Media &amp; Entertainment Collection</w:t>
      </w:r>
    </w:p>
    <w:p>
      <w:pPr>
        <w:spacing w:after="0" w:line="20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M&amp;E Collection provides end-to-end creative tools for entertainment creation. This collection enables animators, modelers, and visual effects artists to access the tools they need, including Maya and 3ds Max, to create compelling effects, 3D characters, and digital worlds.</w:t>
      </w:r>
    </w:p>
    <w:p>
      <w:pPr>
        <w:spacing w:after="0" w:line="143"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3ds Max</w:t>
      </w:r>
    </w:p>
    <w:p>
      <w:pPr>
        <w:spacing w:after="0" w:line="20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DEVELOPMENT AND INTRODUCTION</w:t>
      </w:r>
    </w:p>
    <w:p>
      <w:pPr>
        <w:spacing w:after="0" w:line="202" w:lineRule="exact"/>
        <w:rPr>
          <w:sz w:val="20"/>
          <w:szCs w:val="20"/>
          <w:color w:val="auto"/>
        </w:rPr>
      </w:pPr>
    </w:p>
    <w:p>
      <w:pPr>
        <w:ind w:right="220" w:firstLine="350"/>
        <w:spacing w:after="0" w:line="270" w:lineRule="auto"/>
        <w:rPr>
          <w:sz w:val="20"/>
          <w:szCs w:val="20"/>
          <w:color w:val="auto"/>
        </w:rPr>
      </w:pPr>
      <w:r>
        <w:rPr>
          <w:rFonts w:ascii="Times New Roman" w:cs="Times New Roman" w:eastAsia="Times New Roman" w:hAnsi="Times New Roman"/>
          <w:sz w:val="14"/>
          <w:szCs w:val="14"/>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 such as enabling more flexibility and sustainable outcomes.</w:t>
      </w:r>
    </w:p>
    <w:p>
      <w:pPr>
        <w:spacing w:after="0" w:line="146"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4"/>
          <w:szCs w:val="14"/>
          <w:color w:val="auto"/>
        </w:rPr>
        <w:t>With the new transaction model, we are approaching the final phase of modernizing our go-to-market motion, which includes building more durable and direct relationships with our customers, updating our data infrastructure, and retiring old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information systems and business models. We are undertaking a multi-year process to develop lifecycle solutions within and between our industry clouds, powered by shared platform services, and with our data model at its core. Together, these will help enable Autodesk, its customers, and partners, to create more valuable, data-driven, and connected products and services.</w:t>
      </w:r>
    </w:p>
    <w:p>
      <w:pPr>
        <w:spacing w:after="0" w:line="146" w:lineRule="exact"/>
        <w:rPr>
          <w:sz w:val="20"/>
          <w:szCs w:val="20"/>
          <w:color w:val="auto"/>
        </w:rPr>
      </w:pPr>
    </w:p>
    <w:p>
      <w:pPr>
        <w:jc w:val="both"/>
        <w:ind w:right="260" w:firstLine="318"/>
        <w:spacing w:after="0" w:line="254" w:lineRule="auto"/>
        <w:rPr>
          <w:sz w:val="20"/>
          <w:szCs w:val="20"/>
          <w:color w:val="auto"/>
        </w:rPr>
      </w:pPr>
      <w:r>
        <w:rPr>
          <w:rFonts w:ascii="Times New Roman" w:cs="Times New Roman" w:eastAsia="Times New Roman" w:hAnsi="Times New Roman"/>
          <w:sz w:val="14"/>
          <w:szCs w:val="14"/>
          <w:color w:val="auto"/>
        </w:rPr>
        <w:t>Subscription plan offerings are designed to give our customers increased flexibility with how they use our products and service offerings and to attract a broader range of customers such as project-based users and small businesses. Subscription plans represent a combined hybrid offering of desktop software and cloud functionality which provides a device-independent, collaborative design workflow for designers and their stakeholders.</w:t>
      </w:r>
    </w:p>
    <w:p>
      <w:pPr>
        <w:spacing w:after="0" w:line="168" w:lineRule="exact"/>
        <w:rPr>
          <w:sz w:val="20"/>
          <w:szCs w:val="20"/>
          <w:color w:val="auto"/>
        </w:rPr>
      </w:pPr>
    </w:p>
    <w:p>
      <w:pPr>
        <w:ind w:right="140" w:firstLine="350"/>
        <w:spacing w:after="0" w:line="253" w:lineRule="auto"/>
        <w:rPr>
          <w:sz w:val="20"/>
          <w:szCs w:val="20"/>
          <w:color w:val="auto"/>
        </w:rPr>
      </w:pPr>
      <w:r>
        <w:rPr>
          <w:rFonts w:ascii="Times New Roman" w:cs="Times New Roman" w:eastAsia="Times New Roman" w:hAnsi="Times New Roman"/>
          <w:sz w:val="14"/>
          <w:szCs w:val="14"/>
          <w:color w:val="auto"/>
        </w:rPr>
        <w:t>We dedicate considerable technical and financial resources to research and development to deliver additional automation and insights to our customers through artificial intelligence (“AI”), machine learning, and generative design, which increase efficiency and sustainability and reduce waste. These investments further enhance our existing products and create new solutions and technologies which connect the workflows and data of our customers across the ecosystem of their projects and expand our market opportunity. Our tools connect and automate the phases of design and creation, enabling greater collaboration and the seamless flow of data for individuals and teams across all phases.</w:t>
      </w:r>
    </w:p>
    <w:p>
      <w:pPr>
        <w:spacing w:after="0" w:line="159" w:lineRule="exact"/>
        <w:rPr>
          <w:sz w:val="20"/>
          <w:szCs w:val="20"/>
          <w:color w:val="auto"/>
        </w:rPr>
      </w:pPr>
    </w:p>
    <w:p>
      <w:pPr>
        <w:ind w:right="20" w:firstLine="350"/>
        <w:spacing w:after="0" w:line="250" w:lineRule="auto"/>
        <w:rPr>
          <w:sz w:val="20"/>
          <w:szCs w:val="20"/>
          <w:color w:val="auto"/>
        </w:rPr>
      </w:pPr>
      <w:r>
        <w:rPr>
          <w:rFonts w:ascii="Times New Roman" w:cs="Times New Roman" w:eastAsia="Times New Roman" w:hAnsi="Times New Roman"/>
          <w:sz w:val="14"/>
          <w:szCs w:val="14"/>
          <w:color w:val="auto"/>
        </w:rPr>
        <w:t>Our software is primarily developed internally; however, we also use independent firms and contractors to perform some of our product development activities. Additionally, we acquire or license products and technologies developed by third parties. We continually review these investments to ensure that we are generating sufficient revenue or gaining a competitive advantage to justify their costs.</w:t>
      </w:r>
    </w:p>
    <w:p>
      <w:pPr>
        <w:spacing w:after="0" w:line="1"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The majority of our research and product development is performed in the United States, Canada, China, India, Singapore, and the United Kingdom. However, we employ experienced software developers in many of our other locations. Translation and localization of our products are performed in several local markets, principally Singapore and Ireland. We generally localize and translate our products into German, French, Italian, Spanish, Japanese, Korean, and simplified and traditional Chinese.</w:t>
      </w:r>
    </w:p>
    <w:p>
      <w:pPr>
        <w:spacing w:after="0" w:line="165"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We plan to continue managing significant product development operations internationally over the next several years. We believe that our ability to conduct research and development at various locations throughout the world allows us to tap into a diverse global talent pool, optimize costs, and integrate local market knowledge into our development activities. We continually assess costs, hiring challenges, and intellectual property protection, against the benefits of our international development activities.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further discussion regarding risks from our product development and introduction efforts, see Item 1A,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AND SALES</w:t>
      </w:r>
    </w:p>
    <w:p>
      <w:pPr>
        <w:spacing w:after="0" w:line="2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sell our products and services globally, through a combination of direct and indirect channels. We transact directly with our enterprise and named account customers, with customers through our online Autodesk branded store, and with certain customers through our new transaction model whereby channel partners provide a quote to customers but the actual transaction occurs directly between Autodesk and the customer. We introduced this new transaction model for our token-based Flex offering in certain countries globally, and for most of our subscription offerings in Australia during fiscal 2024. Dependent upon successful implementation in Australia, we intend to transition our indirect business to the new transaction model more broadly for most of our subscription offerings in North America and certain countries in Europe, Middle East, and Africa (“EMEA”) and Asia Pacific (“APAC”) during fiscal 2025 and fiscal 2026. The new transaction model is anticipated to help customers with enhanced control and time savings through self-service, consistent pricing, and a more personalized buying experience. Also, it will give partners and Autodesk access to essential data to improve our offerings and the customers’ buying experience. Our indirect channel model includes both a two-tiered distribution structure, where distributors sell to resellers, and a one-tiered structure, where Autodesk sells directly to resellers. We have a network of approximately 1,450 resellers and distributors worldwide. For fiscal 2024, approximately 63% of our revenue was derived from indirect channel sales through distributors and resellers. We employ a variety of incentive programs and promotions to align our direct and indirect channels with our business strategies.</w:t>
      </w:r>
    </w:p>
    <w:p>
      <w:pPr>
        <w:spacing w:after="0" w:line="316"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We anticipate that our channel mix will continue to change as we scale our business. With the continued growth of our online Autodesk branded store, the transition to annual billings for multi-year contracts and the introduction of our new transaction model, we will be decreasing our sales through value-added resellers and distributors and transacting directly with more end customers without substantial disruption to our revenue. We expect our indirect channel will continue to transact and support a considerable portion of our customers, particularly in emerging regions and with federal governments. Our ability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effectively distribute our products depends in part upon the financial and business condition of our distributor, reseller and Solution Provider networks. The loss of, or a significant reduction in, business with any one of our major distributors, large resellers or Solution Providers could harm our business. See Item 1A, “Risk Factors,” for further discussion. The transition to annual billings for multi-year contracts impacted the timing of our billings and cash collections in fiscal year 2024 and we expect this impact to continue into fiscal year 2025. See Part II, Item 7, “Management's Discussion and Analysis of Financial Condition and Results of Operations,” for further discussion.</w:t>
      </w:r>
    </w:p>
    <w:p>
      <w:pPr>
        <w:spacing w:after="0" w:line="16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Revenue through our largest distributor, TD Synnex Corporation and its global affiliates (collectively, “TD Synnex”), accounted for 39%, 37%, and 36% of our net revenue for the fiscal years ended January 31, 2024, 2023 and 2022, respectively. Ingram Micro Inc. (“Ingram Micro”), our second-largest distributor, accounted for 7%, 9%, and 9% of Autodesk's total net revenue for the fiscal years ended January 31, 2024, 2023 and 2022, respectively. During fiscal 2023, we entered into transition agreements with certain of our distributors, including TD Synnex and Ingram Micro, to provide transition distribution activities for a one-to-two-year period, with potential extensions. In connection with the transition agreements, we intend to increase our selling efforts with value-added resellers and Solution Providers in connection with our new transaction model. Consequently, we believe our business is not substantially dependent on TD Synnex or Ingram Micro. No other distributor, reseller, or direct customer accounted for 10% or more of our revenue.</w:t>
      </w:r>
    </w:p>
    <w:p>
      <w:pPr>
        <w:spacing w:after="0" w:line="167"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customer-related operations are divided into three geographic regions: the Americas; EMEA; and APAC. Each geographic region is supported by global marketing and sales organizations. These organizations develop and manage overall marketing and sales programs and work closely with a network of domestic and international sales offices.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Our international operations and sales subject us to a variety of risks. See Item 1A, “Risk Factors,” for further discussion.</w:t>
      </w:r>
    </w:p>
    <w:p>
      <w:pPr>
        <w:spacing w:after="0" w:line="164"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We also work directly with reseller, distributor, and Solution Provider partner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62"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We generate revenue primarily through various offerings that provide recurring revenue. Under our subscription plan, customers can use our software anytime, anywhere, and get access to the latest updates to previous versions through term-based product subscriptions, cloud service offerings, and enterprise business agreements (“EBA”). Historically, we have had increased EBA sale activity in our fourth fiscal quarter. This seasonality may not have an immediate impact on our revenue as we recognize subscription revenue over the term of the contract. This seasonality may also affect the relative value of our billings, Remaining Performance Obligations (“RPO”), and collections in the fourth and first fiscal quarters.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AND RESELLER SUPPORT</w:t>
      </w:r>
    </w:p>
    <w:p>
      <w:pPr>
        <w:spacing w:after="0" w:line="202"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second-tier support to the resellers and distributors. Other customers are supported directly via self-service using the Autodesk Knowledge Network, which guides customers to answers in our online support assets, support forums, or webinars, or to support representatives using different modalities such as social media, phone, email, and webchat. We also support our resellers and distributors through technical product training, sales training classes, webinars, and other knowledge-sharing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PROGRAMS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Impact at Autodesk</w:t>
      </w:r>
    </w:p>
    <w:p>
      <w:pPr>
        <w:spacing w:after="0" w:line="202"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Autodesk is committed to advancing a more sustainable, resilient, and equitable world. We don’t believe in waiting for progress, we believe in making it. We take action as a business to support our employees, customers, and communities in our collective opportunity to design and make a better world for all.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spacing w:after="0" w:line="146" w:lineRule="exact"/>
        <w:rPr>
          <w:sz w:val="20"/>
          <w:szCs w:val="20"/>
          <w:color w:val="auto"/>
        </w:rPr>
      </w:pPr>
    </w:p>
    <w:p>
      <w:pPr>
        <w:ind w:right="40" w:firstLine="318"/>
        <w:spacing w:after="0" w:line="245" w:lineRule="auto"/>
        <w:rPr>
          <w:sz w:val="20"/>
          <w:szCs w:val="20"/>
          <w:color w:val="auto"/>
        </w:rPr>
      </w:pPr>
      <w:r>
        <w:rPr>
          <w:rFonts w:ascii="Times New Roman" w:cs="Times New Roman" w:eastAsia="Times New Roman" w:hAnsi="Times New Roman"/>
          <w:sz w:val="14"/>
          <w:szCs w:val="14"/>
          <w:color w:val="auto"/>
        </w:rPr>
        <w:t>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Education</w:t>
      </w:r>
    </w:p>
    <w:p>
      <w:pPr>
        <w:spacing w:after="0" w:line="202"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Autodesk is committed to helping students gain the in-demand skills and certifications needed to demonstrate they are prepared for current and emerging roles in the industries we serve. We offer free educational licenses of Autodesk’s complete portfolio of professional software to verified students, educators, and accredited educational institutions worldwide. Additionally, we offer self-paced, modular learning and curriculum for K-12, post-secondary students, and educators. Our intention is to make Autodesk software the preferred choice for those poised to become the next generation of design, engineering, and construction professionals.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Sustainability</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Climate Change</w:t>
      </w:r>
    </w:p>
    <w:p>
      <w:pPr>
        <w:spacing w:after="0" w:line="202"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4"/>
          <w:szCs w:val="14"/>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 in hand with our values and reputation in the marketplace.</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Climate Change Management Actions</w:t>
      </w:r>
    </w:p>
    <w:p>
      <w:pPr>
        <w:spacing w:after="0" w:line="202" w:lineRule="exact"/>
        <w:rPr>
          <w:sz w:val="20"/>
          <w:szCs w:val="20"/>
          <w:color w:val="auto"/>
        </w:rPr>
      </w:pPr>
    </w:p>
    <w:p>
      <w:pPr>
        <w:ind w:right="220" w:firstLine="318"/>
        <w:spacing w:after="0" w:line="264" w:lineRule="auto"/>
        <w:rPr>
          <w:sz w:val="20"/>
          <w:szCs w:val="20"/>
          <w:color w:val="auto"/>
        </w:rPr>
      </w:pPr>
      <w:r>
        <w:rPr>
          <w:rFonts w:ascii="Times New Roman" w:cs="Times New Roman" w:eastAsia="Times New Roman" w:hAnsi="Times New Roman"/>
          <w:sz w:val="14"/>
          <w:szCs w:val="14"/>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invest in our tools to meet customer’s demand as well as provide software and support to early-stage entrepreneurs, nonprofit organizations, and start-up companies who are designing clean technologies. We are expanding these offerings based upon demand and opportunity in response to challenges posed by climate change.</w:t>
      </w:r>
    </w:p>
    <w:p>
      <w:pPr>
        <w:spacing w:after="0" w:line="15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4"/>
          <w:szCs w:val="14"/>
          <w:color w:val="auto"/>
        </w:rPr>
        <w:t>Internally, we are investing in best practices to mitigate our greenhouse gas emissions (“GHGs”) and climate change risk through investments in renewable energy, energy efficiency, and disaster management and recovery strategies. Our Enterprise Risk Management process considered how climate impacts could affect and potentially amplify the overall significance of each identified risk and opportunity. We regularly assess the evolving issues around climate and inequality and respond accordingly. In fiscal year 2022, we deployed a new sustainability financing framework to accelerate new and existing efforts in these areas, including issuing a $1 billion sustainability bond to support eligible projects and initiatives.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Emissions Performance &amp; Other Key Performance Indicators</w:t>
      </w:r>
    </w:p>
    <w:p>
      <w:pPr>
        <w:spacing w:after="0" w:line="191" w:lineRule="exact"/>
        <w:rPr>
          <w:sz w:val="20"/>
          <w:szCs w:val="20"/>
          <w:color w:val="auto"/>
        </w:rPr>
      </w:pPr>
    </w:p>
    <w:p>
      <w:pPr>
        <w:ind w:right="120" w:firstLine="318"/>
        <w:spacing w:after="0" w:line="248" w:lineRule="auto"/>
        <w:rPr>
          <w:sz w:val="20"/>
          <w:szCs w:val="20"/>
          <w:color w:val="auto"/>
        </w:rPr>
      </w:pPr>
      <w:r>
        <w:rPr>
          <w:rFonts w:ascii="Times New Roman" w:cs="Times New Roman" w:eastAsia="Times New Roman" w:hAnsi="Times New Roman"/>
          <w:sz w:val="14"/>
          <w:szCs w:val="14"/>
          <w:color w:val="auto"/>
        </w:rPr>
        <w:t>In fiscal year 2023, we made progress on our science-based GHG reduction target, to reduce Scope 1 and Scope 2 GHGs 50%, and reduce Scope 3 GHGs per dollar of gross profit 55%, by fiscal year 2031, compared to fiscal year 2020. Additionally, in fiscal 2023, we were responsible for 115,000 metric tons of carbon dioxide equivalent emissions across our market-based operational boundary. This represents a 50% reduction compared to our fiscal year 2020 base line. In addition, our residual 115,000 metric tons of CO2e emissions were neutralized through the procurement of high quality carbon offsets and removals.</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Impact Reports</w:t>
      </w:r>
    </w:p>
    <w:p>
      <w:pPr>
        <w:spacing w:after="0" w:line="191" w:lineRule="exact"/>
        <w:rPr>
          <w:sz w:val="20"/>
          <w:szCs w:val="20"/>
          <w:color w:val="auto"/>
        </w:rPr>
      </w:pPr>
    </w:p>
    <w:p>
      <w:pPr>
        <w:ind w:right="180" w:firstLine="318"/>
        <w:spacing w:after="0" w:line="271" w:lineRule="auto"/>
        <w:rPr>
          <w:sz w:val="20"/>
          <w:szCs w:val="20"/>
          <w:color w:val="auto"/>
        </w:rPr>
      </w:pPr>
      <w:r>
        <w:rPr>
          <w:rFonts w:ascii="Times New Roman" w:cs="Times New Roman" w:eastAsia="Times New Roman" w:hAnsi="Times New Roman"/>
          <w:sz w:val="14"/>
          <w:szCs w:val="14"/>
          <w:color w:val="auto"/>
        </w:rPr>
        <w:t>More information about our sustainability financing and commitment can be found in our annual Impact Reports, which we have published on our website since 2008. Our fiscal 2024 Impact Report will be published in the second quarter of fiscal 2025. Information contained on or accessible through our website is not part of or incorporated by reference into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Philanthropy</w:t>
      </w:r>
    </w:p>
    <w:p>
      <w:pPr>
        <w:spacing w:after="0" w:line="191" w:lineRule="exact"/>
        <w:rPr>
          <w:sz w:val="20"/>
          <w:szCs w:val="20"/>
          <w:color w:val="auto"/>
        </w:rPr>
      </w:pPr>
    </w:p>
    <w:p>
      <w:pPr>
        <w:ind w:right="80" w:firstLine="350"/>
        <w:spacing w:after="0" w:line="244" w:lineRule="auto"/>
        <w:rPr>
          <w:sz w:val="20"/>
          <w:szCs w:val="20"/>
          <w:color w:val="auto"/>
        </w:rPr>
      </w:pPr>
      <w:r>
        <w:rPr>
          <w:rFonts w:ascii="Times New Roman" w:cs="Times New Roman" w:eastAsia="Times New Roman" w:hAnsi="Times New Roman"/>
          <w:sz w:val="14"/>
          <w:szCs w:val="14"/>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social and environmental impact. In the latter case, we use philanthropic capital, software donations, and training to accomplish this goal, selecting the most impactful and innovative organizations around the world who are innovating to create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DEVELOPER PROGRAMS</w:t>
      </w:r>
    </w:p>
    <w:p>
      <w:pPr>
        <w:spacing w:after="0" w:line="202"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 Autodesk Platform Services facilitates the development of a single connected ecosystem for integrating Autodesk applications with other enterprise, web, and mobile solutions.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57"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Our competitors include large, global, publicly traded companies; small, geographically focused firms; startup firms; and solutions produced in-house by their users. Our primary global competitors include Adobe Systems Incorporated,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and Trimble Navigation Limited, among others.</w:t>
      </w:r>
    </w:p>
    <w:p>
      <w:pPr>
        <w:spacing w:after="0" w:line="16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software industry has limited barriers to entry, and the availability of computing power with continually expanding performance at progressively lower prices contributes to the ease of market entry. The industry continues to undergo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62" w:lineRule="exact"/>
        <w:rPr>
          <w:sz w:val="20"/>
          <w:szCs w:val="20"/>
          <w:color w:val="auto"/>
        </w:rPr>
      </w:pPr>
    </w:p>
    <w:p>
      <w:pPr>
        <w:jc w:val="both"/>
        <w:ind w:right="360" w:firstLine="350"/>
        <w:spacing w:after="0" w:line="270" w:lineRule="auto"/>
        <w:rPr>
          <w:sz w:val="20"/>
          <w:szCs w:val="20"/>
          <w:color w:val="auto"/>
        </w:rPr>
      </w:pPr>
      <w:r>
        <w:rPr>
          <w:rFonts w:ascii="Times New Roman" w:cs="Times New Roman" w:eastAsia="Times New Roman" w:hAnsi="Times New Roman"/>
          <w:sz w:val="14"/>
          <w:szCs w:val="14"/>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AND LICENSES</w:t>
      </w:r>
    </w:p>
    <w:p>
      <w:pPr>
        <w:spacing w:after="0" w:line="20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62"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5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45"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57"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45"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While we have recovered some revenue resulting from the unauthorized use of our software solutions, we are unable to measure the full extent to which unauthorized use of our software products exists. We believe, however, that unauthorized use of our software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used without authorization.</w:t>
      </w:r>
    </w:p>
    <w:p>
      <w:pPr>
        <w:spacing w:after="0" w:line="162"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Item 1A, “Risk Factors,” for further discussion of risks related to protecting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PRODUCTION AND SUPPLIERS</w:t>
      </w:r>
    </w:p>
    <w:p>
      <w:pPr>
        <w:spacing w:after="0" w:line="20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TALENT AND HUMAN CAPITAL MANAGEMENT</w:t>
      </w:r>
    </w:p>
    <w:p>
      <w:pPr>
        <w:spacing w:after="0" w:line="202" w:lineRule="exact"/>
        <w:rPr>
          <w:sz w:val="20"/>
          <w:szCs w:val="20"/>
          <w:color w:val="auto"/>
        </w:rPr>
      </w:pPr>
    </w:p>
    <w:p>
      <w:pPr>
        <w:ind w:right="120" w:firstLine="382"/>
        <w:spacing w:after="0" w:line="249" w:lineRule="auto"/>
        <w:rPr>
          <w:sz w:val="20"/>
          <w:szCs w:val="20"/>
          <w:color w:val="auto"/>
        </w:rPr>
      </w:pPr>
      <w:r>
        <w:rPr>
          <w:rFonts w:ascii="Times New Roman" w:cs="Times New Roman" w:eastAsia="Times New Roman" w:hAnsi="Times New Roman"/>
          <w:sz w:val="14"/>
          <w:szCs w:val="14"/>
          <w:color w:val="auto"/>
        </w:rPr>
        <w:t>Our employees play a central role in the success of our long-term strategy. Autodesk’s Culture Code defines values and behaviors that support our commitment to being a customer company, where each employee takes responsibility for understanding our customers’ needs, expectations, and experiences. As of January 31, 2024, we employed approximately 14,100 people, an increase from approximately 13,700 employees as of the end of fiscal year 2023. None of our employees in the United States are represented by a labor union. In certain foreign countries, our employees are represented by trade unions or works councils. We have never experienced any work stoppages and believe our employee relations are strong.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Diversity and Belonging</w:t>
      </w:r>
    </w:p>
    <w:p>
      <w:pPr>
        <w:spacing w:after="0" w:line="202"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4"/>
          <w:szCs w:val="14"/>
          <w:color w:val="auto"/>
        </w:rPr>
        <w:t>Autodesk is committed to building and maintaining a diverse workforce and a culture of belonging where all employees have equitable opportunities to succeed and contribute. We have developed and embedded a holistic global Diversity and Belonging (“D&amp;B”) strategy into all that we do. Our D&amp;B strategy includes a variety of activities, such as inclusive leadership training for all people managers and senior employees, and hiring manager and interview classes that include training on mitigating bias and inclusive practices.</w:t>
      </w:r>
    </w:p>
    <w:p>
      <w:pPr>
        <w:spacing w:after="0" w:line="168" w:lineRule="exact"/>
        <w:rPr>
          <w:sz w:val="20"/>
          <w:szCs w:val="20"/>
          <w:color w:val="auto"/>
        </w:rPr>
      </w:pPr>
    </w:p>
    <w:p>
      <w:pPr>
        <w:ind w:right="300" w:firstLine="318"/>
        <w:spacing w:after="0" w:line="254" w:lineRule="auto"/>
        <w:rPr>
          <w:sz w:val="20"/>
          <w:szCs w:val="20"/>
          <w:color w:val="auto"/>
        </w:rPr>
      </w:pPr>
      <w:r>
        <w:rPr>
          <w:rFonts w:ascii="Times New Roman" w:cs="Times New Roman" w:eastAsia="Times New Roman" w:hAnsi="Times New Roman"/>
          <w:sz w:val="14"/>
          <w:szCs w:val="14"/>
          <w:color w:val="auto"/>
        </w:rPr>
        <w:t>To help us build a more diverse workforce, we have continued to invest in our diversity partnerships. We partner with educational institutions such as Hispanic-Serving Institutions and Historically Black Colleges and Universities, and professional organizations around the globe supporting underrepresented groups in technology. We provide a variety of scholarships, internship programs, sponsorship agreements, mentoring and development partnerships, and program support to organizations focused on women and underrepresented groups.</w:t>
      </w:r>
    </w:p>
    <w:p>
      <w:pPr>
        <w:spacing w:after="0" w:line="168"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color w:val="auto"/>
        </w:rPr>
        <w:t>We provide ongoing development opportunities, such as the Autodesk Mentorship Program, which provides one-on-one mentorship relationships. Autodesk has nine employee resource groups (“ERGs”), which are volunteer-led groups that bring employees together based on common interests, backgrounds or diversity characteristics, to foster a sense of belonging and connection.</w:t>
      </w:r>
    </w:p>
    <w:p>
      <w:pPr>
        <w:spacing w:after="0" w:line="135" w:lineRule="exact"/>
        <w:rPr>
          <w:sz w:val="20"/>
          <w:szCs w:val="20"/>
          <w:color w:val="auto"/>
        </w:rPr>
      </w:pPr>
    </w:p>
    <w:p>
      <w:pPr>
        <w:ind w:right="80" w:firstLine="382"/>
        <w:spacing w:after="0" w:line="271" w:lineRule="auto"/>
        <w:rPr>
          <w:sz w:val="20"/>
          <w:szCs w:val="20"/>
          <w:color w:val="auto"/>
        </w:rPr>
      </w:pPr>
      <w:r>
        <w:rPr>
          <w:rFonts w:ascii="Times New Roman" w:cs="Times New Roman" w:eastAsia="Times New Roman" w:hAnsi="Times New Roman"/>
          <w:sz w:val="14"/>
          <w:szCs w:val="14"/>
          <w:color w:val="auto"/>
        </w:rPr>
        <w:t>Additional information on our D&amp;B program, initiatives, and metrics can be found on our website at https://www.autodesk.com/company/diversity-and-inclusion. Information contained on or accessible through our website is not part of or incorporated by reference into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Professional Development and Employee Impact</w:t>
      </w:r>
    </w:p>
    <w:p>
      <w:pPr>
        <w:spacing w:after="0" w:line="191" w:lineRule="exact"/>
        <w:rPr>
          <w:sz w:val="20"/>
          <w:szCs w:val="20"/>
          <w:color w:val="auto"/>
        </w:rPr>
      </w:pPr>
    </w:p>
    <w:p>
      <w:pPr>
        <w:ind w:right="140" w:firstLine="382"/>
        <w:spacing w:after="0" w:line="262" w:lineRule="auto"/>
        <w:rPr>
          <w:sz w:val="20"/>
          <w:szCs w:val="20"/>
          <w:color w:val="auto"/>
        </w:rPr>
      </w:pPr>
      <w:r>
        <w:rPr>
          <w:rFonts w:ascii="Times New Roman" w:cs="Times New Roman" w:eastAsia="Times New Roman" w:hAnsi="Times New Roman"/>
          <w:sz w:val="14"/>
          <w:szCs w:val="14"/>
          <w:color w:val="auto"/>
        </w:rPr>
        <w:t>We believe career development plays an important role in keeping our employees engaged and in providing additional opportunities for them to grow and build their careers. Autodesk offers extensive professional and technical development opportunities for our employees. These include self-service online modules and personalized learning paths, professional and management development programs, and a tuition reimbursement program.</w:t>
      </w:r>
    </w:p>
    <w:p>
      <w:pPr>
        <w:spacing w:after="0" w:line="152"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We also encourage our employees to advance our vision for a better world and support their professional development by participating in our pro bono consulting program, using paid time to volunteer, and have their charitable giving matched by the Autodesk Foundation.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Total Rewards</w:t>
      </w:r>
    </w:p>
    <w:p>
      <w:pPr>
        <w:spacing w:after="0" w:line="191"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To attract, retain, and support our employees, we offer competitive compensation and benefits programs, several of which include an element of choice to meet the needs of our diverse and global population. In addition to competitive base pay</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and opportunities to receive short-term incentives, all our employees are eligible to participate in our long-term plans. We also have comprehensive health and wellness benefits, a generous time off program, an employee stock purchase plan, sabbaticals, retirement plans, financial support programs, financial tools and education, and an employee assistance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w:t>
      </w:r>
    </w:p>
    <w:p>
      <w:pPr>
        <w:spacing w:after="0" w:line="191" w:lineRule="exact"/>
        <w:rPr>
          <w:sz w:val="20"/>
          <w:szCs w:val="20"/>
          <w:color w:val="auto"/>
        </w:rPr>
      </w:pPr>
    </w:p>
    <w:p>
      <w:pPr>
        <w:jc w:val="both"/>
        <w:ind w:right="40" w:firstLine="318"/>
        <w:spacing w:after="0" w:line="270" w:lineRule="auto"/>
        <w:rPr>
          <w:sz w:val="20"/>
          <w:szCs w:val="20"/>
          <w:color w:val="auto"/>
        </w:rPr>
      </w:pPr>
      <w:r>
        <w:rPr>
          <w:rFonts w:ascii="Times New Roman" w:cs="Times New Roman" w:eastAsia="Times New Roman" w:hAnsi="Times New Roman"/>
          <w:sz w:val="14"/>
          <w:szCs w:val="14"/>
          <w:color w:val="auto"/>
        </w:rPr>
        <w:t>We acquired new technology or supplemented our existing technology by purchasing businesses or technology related assets focused in specific markets or industries. For the fiscal years ended January 31, 2024, 2023 and 2022, we acquired companies accounted for as business combinations. The acquisitions during fiscal 2024 and 2023 were not individually significant. The following were significant acquisitions for fiscal year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gridSpan w:val="3"/>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Date of closing</w:t>
            </w:r>
          </w:p>
        </w:tc>
        <w:tc>
          <w:tcPr>
            <w:tcW w:w="1140" w:type="dxa"/>
            <w:vAlign w:val="bottom"/>
          </w:tcPr>
          <w:p>
            <w:pPr>
              <w:spacing w:after="0"/>
              <w:rPr>
                <w:sz w:val="11"/>
                <w:szCs w:val="11"/>
                <w:color w:val="auto"/>
              </w:rPr>
            </w:pPr>
          </w:p>
        </w:tc>
        <w:tc>
          <w:tcPr>
            <w:tcW w:w="1420" w:type="dxa"/>
            <w:vAlign w:val="bottom"/>
            <w:gridSpan w:val="2"/>
          </w:tcPr>
          <w:p>
            <w:pPr>
              <w:jc w:val="center"/>
              <w:ind w:right="94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71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Details</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3"/>
                <w:szCs w:val="13"/>
                <w:color w:val="auto"/>
                <w:w w:val="97"/>
              </w:rPr>
              <w:t>May 2021</w:t>
            </w:r>
          </w:p>
        </w:tc>
        <w:tc>
          <w:tcPr>
            <w:tcW w:w="2560" w:type="dxa"/>
            <w:vAlign w:val="bottom"/>
            <w:gridSpan w:val="3"/>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8"/>
              </w:rPr>
              <w:t>Upchain Inc. (“Upchain”)</w:t>
            </w:r>
          </w:p>
        </w:tc>
        <w:tc>
          <w:tcPr>
            <w:tcW w:w="7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Autodesk integrated Upchain’s unified cloud platform in Autodesk solutions to centralize data management and process management.</w:t>
            </w:r>
          </w:p>
        </w:tc>
        <w:tc>
          <w:tcPr>
            <w:tcW w:w="0" w:type="dxa"/>
            <w:vAlign w:val="bottom"/>
          </w:tcPr>
          <w:p>
            <w:pPr>
              <w:spacing w:after="0"/>
              <w:rPr>
                <w:sz w:val="1"/>
                <w:szCs w:val="1"/>
                <w:color w:val="auto"/>
              </w:rPr>
            </w:pPr>
          </w:p>
        </w:tc>
      </w:tr>
      <w:tr>
        <w:trPr>
          <w:trHeight w:val="127"/>
        </w:trPr>
        <w:tc>
          <w:tcPr>
            <w:tcW w:w="52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color w:val="auto"/>
                <w:w w:val="94"/>
              </w:rPr>
              <w:t>March 2021</w:t>
            </w:r>
          </w:p>
        </w:tc>
        <w:tc>
          <w:tcPr>
            <w:tcW w:w="2560" w:type="dxa"/>
            <w:vAlign w:val="bottom"/>
            <w:gridSpan w:val="3"/>
          </w:tcPr>
          <w:p>
            <w:pPr>
              <w:jc w:val="center"/>
              <w:ind w:left="136"/>
              <w:spacing w:after="0" w:line="128" w:lineRule="exact"/>
              <w:rPr>
                <w:sz w:val="20"/>
                <w:szCs w:val="20"/>
                <w:color w:val="auto"/>
              </w:rPr>
            </w:pPr>
            <w:r>
              <w:rPr>
                <w:rFonts w:ascii="Times New Roman" w:cs="Times New Roman" w:eastAsia="Times New Roman" w:hAnsi="Times New Roman"/>
                <w:sz w:val="13"/>
                <w:szCs w:val="13"/>
                <w:color w:val="auto"/>
                <w:w w:val="98"/>
              </w:rPr>
              <w:t>Storm UK Holdco Limited, the parent of</w:t>
            </w:r>
          </w:p>
        </w:tc>
        <w:tc>
          <w:tcPr>
            <w:tcW w:w="71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3"/>
                <w:szCs w:val="13"/>
                <w:color w:val="auto"/>
                <w:w w:val="99"/>
              </w:rPr>
              <w:t>Innovyze provided comprehensive water modeling solutions that augment Autodesk’s BIM offerings in civil engineering, and extended</w:t>
            </w:r>
          </w:p>
        </w:tc>
        <w:tc>
          <w:tcPr>
            <w:tcW w:w="0" w:type="dxa"/>
            <w:vAlign w:val="bottom"/>
          </w:tcPr>
          <w:p>
            <w:pPr>
              <w:spacing w:after="0"/>
              <w:rPr>
                <w:sz w:val="1"/>
                <w:szCs w:val="1"/>
                <w:color w:val="auto"/>
              </w:rPr>
            </w:pPr>
          </w:p>
        </w:tc>
      </w:tr>
      <w:tr>
        <w:trPr>
          <w:trHeight w:val="102"/>
        </w:trPr>
        <w:tc>
          <w:tcPr>
            <w:tcW w:w="5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560" w:type="dxa"/>
            <w:vAlign w:val="bottom"/>
            <w:gridSpan w:val="3"/>
            <w:vMerge w:val="restart"/>
          </w:tcPr>
          <w:p>
            <w:pPr>
              <w:jc w:val="center"/>
              <w:ind w:left="136"/>
              <w:spacing w:after="0"/>
              <w:rPr>
                <w:sz w:val="20"/>
                <w:szCs w:val="20"/>
                <w:color w:val="auto"/>
              </w:rPr>
            </w:pPr>
            <w:r>
              <w:rPr>
                <w:rFonts w:ascii="Times New Roman" w:cs="Times New Roman" w:eastAsia="Times New Roman" w:hAnsi="Times New Roman"/>
                <w:sz w:val="13"/>
                <w:szCs w:val="13"/>
                <w:color w:val="auto"/>
                <w:w w:val="98"/>
              </w:rPr>
              <w:t>Innovyze, Inc. (“Innovyze”)</w:t>
            </w:r>
          </w:p>
        </w:tc>
        <w:tc>
          <w:tcPr>
            <w:tcW w:w="7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Autodesk’s presence into operations and maintenance of water infrastructure assets.</w:t>
            </w:r>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560" w:type="dxa"/>
            <w:vAlign w:val="bottom"/>
            <w:gridSpan w:val="3"/>
            <w:vMerge w:val="continue"/>
          </w:tcPr>
          <w:p>
            <w:pPr>
              <w:spacing w:after="0"/>
              <w:rPr>
                <w:sz w:val="5"/>
                <w:szCs w:val="5"/>
                <w:color w:val="auto"/>
              </w:rPr>
            </w:pPr>
          </w:p>
        </w:tc>
        <w:tc>
          <w:tcPr>
            <w:tcW w:w="7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We acquire technology-related assets that are complementary to or otherwise enhance our existing technologies. We also make investments in privately held companies that develop technology that is complementary to or provide strategic value and expand opportunities for our technologies.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202" w:lineRule="exact"/>
        <w:rPr>
          <w:sz w:val="20"/>
          <w:szCs w:val="20"/>
          <w:color w:val="auto"/>
        </w:rPr>
      </w:pPr>
    </w:p>
    <w:p>
      <w:pPr>
        <w:ind w:right="480" w:firstLine="318"/>
        <w:spacing w:after="0" w:line="287" w:lineRule="auto"/>
        <w:rPr>
          <w:sz w:val="20"/>
          <w:szCs w:val="20"/>
          <w:color w:val="auto"/>
        </w:rPr>
      </w:pPr>
      <w:r>
        <w:rPr>
          <w:rFonts w:ascii="Times New Roman" w:cs="Times New Roman" w:eastAsia="Times New Roman" w:hAnsi="Times New Roman"/>
          <w:sz w:val="14"/>
          <w:szCs w:val="14"/>
          <w:color w:val="auto"/>
        </w:rPr>
        <w:t>We are subject to various regulations, particularly those involving privacy and import/export controls. See Item 1A, “Risk Factors—Risks Relating to Laws and Regulations,” for further discussion.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GLOSSARY OF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Billings: </w:t>
      </w:r>
      <w:r>
        <w:rPr>
          <w:rFonts w:ascii="Times New Roman" w:cs="Times New Roman" w:eastAsia="Times New Roman" w:hAnsi="Times New Roman"/>
          <w:sz w:val="14"/>
          <w:szCs w:val="14"/>
          <w:color w:val="auto"/>
        </w:rPr>
        <w:t>Total revenue plus the net change in deferred revenue from the beginning to the end of the period.</w:t>
      </w:r>
    </w:p>
    <w:p>
      <w:pPr>
        <w:spacing w:after="0" w:line="20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Cloud Service Offerings: </w:t>
      </w:r>
      <w:r>
        <w:rPr>
          <w:rFonts w:ascii="Times New Roman" w:cs="Times New Roman" w:eastAsia="Times New Roman" w:hAnsi="Times New Roman"/>
          <w:sz w:val="14"/>
          <w:szCs w:val="14"/>
          <w:color w:val="auto"/>
        </w:rPr>
        <w:t>Represents individual term-based offerings deployed through web browser technologies or in a hybrid software and cloud configuration. Cloud service offerings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bundled with other product offerings are not captured as a separate cloud service offering.</w:t>
      </w:r>
    </w:p>
    <w:p>
      <w:pPr>
        <w:spacing w:after="0" w:line="1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Constant Currency (CC) Growth Rates: </w:t>
      </w:r>
      <w:r>
        <w:rPr>
          <w:rFonts w:ascii="Times New Roman" w:cs="Times New Roman" w:eastAsia="Times New Roman" w:hAnsi="Times New Roman"/>
          <w:sz w:val="14"/>
          <w:szCs w:val="14"/>
          <w:color w:val="auto"/>
        </w:rPr>
        <w:t>We attempt to represent the changes in the underlying business operations by eliminating fluctuations caused by changes in foreign currency exchange rates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55"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Design Business: </w:t>
      </w:r>
      <w:r>
        <w:rPr>
          <w:rFonts w:ascii="Times New Roman" w:cs="Times New Roman" w:eastAsia="Times New Roman" w:hAnsi="Times New Roman"/>
          <w:sz w:val="14"/>
          <w:szCs w:val="14"/>
          <w:color w:val="auto"/>
        </w:rPr>
        <w:t>Represents the combination of maintenance, product subscriptions, and all EBAs. Main products include, but are not limited to, AutoCAD, AutoCAD LT, Industry Collections,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Revit, Inventor, Maya, and 3ds Max. Certain products, such as our computer aided manufacturing solutions, incorporate both Design and Make functionality and are classified as Design.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Enterprise Business Agreements (EBAs): </w:t>
      </w:r>
      <w:r>
        <w:rPr>
          <w:rFonts w:ascii="Times New Roman" w:cs="Times New Roman" w:eastAsia="Times New Roman" w:hAnsi="Times New Roman"/>
          <w:sz w:val="14"/>
          <w:szCs w:val="14"/>
          <w:color w:val="auto"/>
        </w:rPr>
        <w:t>Represents programs providing enterprise customers with token-based access to a broad pool of Autodesk products over a defined contract term.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Flex: </w:t>
      </w:r>
      <w:r>
        <w:rPr>
          <w:rFonts w:ascii="Times New Roman" w:cs="Times New Roman" w:eastAsia="Times New Roman" w:hAnsi="Times New Roman"/>
          <w:sz w:val="14"/>
          <w:szCs w:val="14"/>
          <w:color w:val="auto"/>
        </w:rPr>
        <w:t>A pay-as-you-go consumption option to pre-purchase tokens to access any product available with Flex for a daily 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Free Cash Flow: </w:t>
      </w:r>
      <w:r>
        <w:rPr>
          <w:rFonts w:ascii="Times New Roman" w:cs="Times New Roman" w:eastAsia="Times New Roman" w:hAnsi="Times New Roman"/>
          <w:sz w:val="14"/>
          <w:szCs w:val="14"/>
          <w:color w:val="auto"/>
        </w:rPr>
        <w:t>Cash flow from operating activities minus capital expenditures.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Industry Collections: </w:t>
      </w:r>
      <w:r>
        <w:rPr>
          <w:rFonts w:ascii="Times New Roman" w:cs="Times New Roman" w:eastAsia="Times New Roman" w:hAnsi="Times New Roman"/>
          <w:sz w:val="14"/>
          <w:szCs w:val="14"/>
          <w:color w:val="auto"/>
        </w:rPr>
        <w:t>Autodesk Industry Collections are a combination of products and services that target a specific user objective and support a set of workflows for that objective. Our Industry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Collections consist of: Autodesk Architecture, Engineering and Construction Collection, Autodesk Product Design and Manufacturing Collection, and Autodesk Media and Entertainment Collection.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Maintenance Plan: </w:t>
      </w:r>
      <w:r>
        <w:rPr>
          <w:rFonts w:ascii="Times New Roman" w:cs="Times New Roman" w:eastAsia="Times New Roman" w:hAnsi="Times New Roman"/>
          <w:sz w:val="14"/>
          <w:szCs w:val="14"/>
          <w:color w:val="auto"/>
        </w:rPr>
        <w:t>Our maintenance plans provide our customers with a cost effective and predictable budgetary option to obtain the productivity benefits of our new releases and enhancements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5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Make Business: </w:t>
      </w:r>
      <w:r>
        <w:rPr>
          <w:rFonts w:ascii="Times New Roman" w:cs="Times New Roman" w:eastAsia="Times New Roman" w:hAnsi="Times New Roman"/>
          <w:sz w:val="14"/>
          <w:szCs w:val="14"/>
          <w:color w:val="auto"/>
        </w:rPr>
        <w:t>Represents certain cloud-based product subscriptions. Main products include, but are not limited to, Assemble, Autodesk Build, BIM Collaborate Pro, BuildingConnected, Fusion,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Flow Production Tracking. Certain products, such as Fusion, incorporate both Design and Make functionality and are classified as Make.</w:t>
      </w:r>
    </w:p>
    <w:p>
      <w:pPr>
        <w:spacing w:after="0" w:line="14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Net Revenue Retention Rate (NR3): </w:t>
      </w:r>
      <w:r>
        <w:rPr>
          <w:rFonts w:ascii="Times New Roman" w:cs="Times New Roman" w:eastAsia="Times New Roman" w:hAnsi="Times New Roman"/>
          <w:sz w:val="14"/>
          <w:szCs w:val="14"/>
          <w:color w:val="auto"/>
        </w:rPr>
        <w:t>Measures the year-over-year change in Recurring Revenue for the population of customers that existed one year ago (“base customers”). Net revenue retention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Other Revenue: </w:t>
      </w:r>
      <w:r>
        <w:rPr>
          <w:rFonts w:ascii="Times New Roman" w:cs="Times New Roman" w:eastAsia="Times New Roman" w:hAnsi="Times New Roman"/>
          <w:sz w:val="14"/>
          <w:szCs w:val="14"/>
          <w:color w:val="auto"/>
        </w:rPr>
        <w:t>Consists of revenue from consulting and other products and services, and is recognized as the products are delivered and services are performed.</w:t>
      </w:r>
    </w:p>
    <w:p>
      <w:pPr>
        <w:spacing w:after="0" w:line="20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Product Subscription: </w:t>
      </w:r>
      <w:r>
        <w:rPr>
          <w:rFonts w:ascii="Times New Roman" w:cs="Times New Roman" w:eastAsia="Times New Roman" w:hAnsi="Times New Roman"/>
          <w:sz w:val="14"/>
          <w:szCs w:val="14"/>
          <w:color w:val="auto"/>
        </w:rPr>
        <w:t>Provides customers a flexible, cost-effective way to access and manage 3D design, engineering, and entertainment software tools. Our product subscriptions currently represent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hybrid of desktop and cloud functionality, which provides a device-independent, collaborative design workflow for designers and their stakeholders.</w:t>
      </w:r>
    </w:p>
    <w:p>
      <w:pPr>
        <w:spacing w:after="0" w:line="141"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Recurring Revenue: </w:t>
      </w:r>
      <w:r>
        <w:rPr>
          <w:rFonts w:ascii="Times New Roman" w:cs="Times New Roman" w:eastAsia="Times New Roman" w:hAnsi="Times New Roman"/>
          <w:sz w:val="14"/>
          <w:szCs w:val="14"/>
          <w:color w:val="auto"/>
        </w:rPr>
        <w:t>Consists of the revenue for the period from our traditional maintenance plans, our subscription plan offerings, and certain Other revenue. It excludes subscription revenue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third-party products. Recurring revenue acquired with the acquisition of a business is captured when total subscriptions are captured in our systems and may cause variability in the comparison of this calculation.</w:t>
      </w:r>
    </w:p>
    <w:p>
      <w:pPr>
        <w:spacing w:after="0" w:line="15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Remaining Performance Obligations (RPO): </w:t>
      </w:r>
      <w:r>
        <w:rPr>
          <w:rFonts w:ascii="Times New Roman" w:cs="Times New Roman" w:eastAsia="Times New Roman" w:hAnsi="Times New Roman"/>
          <w:sz w:val="14"/>
          <w:szCs w:val="14"/>
          <w:color w:val="auto"/>
        </w:rPr>
        <w:t>The sum of total short-term, long-term, and unbilled deferred revenue. Current remaining performance obligations is the amount of revenue we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recognize in the next twelve months.</w:t>
      </w:r>
    </w:p>
    <w:p>
      <w:pPr>
        <w:spacing w:after="0" w:line="14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i w:val="1"/>
          <w:iCs w:val="1"/>
          <w:color w:val="auto"/>
        </w:rPr>
        <w:t>Solution Provider</w:t>
      </w:r>
      <w:r>
        <w:rPr>
          <w:rFonts w:ascii="Times New Roman" w:cs="Times New Roman" w:eastAsia="Times New Roman" w:hAnsi="Times New Roman"/>
          <w:sz w:val="14"/>
          <w:szCs w:val="14"/>
          <w:color w:val="auto"/>
        </w:rPr>
        <w:t>: Solution Provider is the name of our channel partners who primarily serve our new transaction model customers worldwide. Solution Providers may also be resellers in relation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Autodesk solutions.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Spend</w:t>
      </w:r>
      <w:r>
        <w:rPr>
          <w:rFonts w:ascii="Times New Roman" w:cs="Times New Roman" w:eastAsia="Times New Roman" w:hAnsi="Times New Roman"/>
          <w:sz w:val="14"/>
          <w:szCs w:val="14"/>
          <w:color w:val="auto"/>
        </w:rPr>
        <w:t>: The sum of cost of revenue and operating expenses.</w:t>
      </w:r>
    </w:p>
    <w:p>
      <w:pPr>
        <w:spacing w:after="0" w:line="20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Subscription Plan: </w:t>
      </w:r>
      <w:r>
        <w:rPr>
          <w:rFonts w:ascii="Times New Roman" w:cs="Times New Roman" w:eastAsia="Times New Roman" w:hAnsi="Times New Roman"/>
          <w:sz w:val="14"/>
          <w:szCs w:val="14"/>
          <w:color w:val="auto"/>
        </w:rPr>
        <w:t>Comprises our term-based product subscriptions, cloud service offerings, and EBAs. Subscriptions represent a combined hybrid offering of desktop software and cloud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functionality which provides a device-independent, collaborative design workflow for designers and their stakeholders. With subscription, customers can use our software anytime, anywhere, and get access to the latest updates to previous versions.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Includes our cloud-enabled term-based product subscriptions, cloud service offerings, and flexible EBAs.</w:t>
      </w:r>
    </w:p>
    <w:p>
      <w:pPr>
        <w:spacing w:after="0" w:line="20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Unbilled Deferred Revenue: </w:t>
      </w:r>
      <w:r>
        <w:rPr>
          <w:rFonts w:ascii="Times New Roman" w:cs="Times New Roman" w:eastAsia="Times New Roman" w:hAnsi="Times New Roman"/>
          <w:sz w:val="14"/>
          <w:szCs w:val="14"/>
          <w:color w:val="auto"/>
        </w:rPr>
        <w:t>Unbilled deferred revenue represents contractually stated or committed orders under early renewal and multi-year billing plans for subscription, services,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maintenance for which the associated deferred revenue has not been recognized. Under FASB Accounting Standards Codification ("ASC") Topic 606, unbilled deferred revenue is not included as a receivable or deferred revenue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25" w:lineRule="exact"/>
        <w:rPr>
          <w:sz w:val="20"/>
          <w:szCs w:val="20"/>
          <w:color w:val="auto"/>
        </w:rPr>
      </w:pPr>
    </w:p>
    <w:p>
      <w:pPr>
        <w:ind w:right="60" w:firstLine="318"/>
        <w:spacing w:after="0" w:line="256" w:lineRule="auto"/>
        <w:rPr>
          <w:sz w:val="20"/>
          <w:szCs w:val="20"/>
          <w:color w:val="auto"/>
        </w:rPr>
      </w:pPr>
      <w:r>
        <w:rPr>
          <w:rFonts w:ascii="Times New Roman" w:cs="Times New Roman" w:eastAsia="Times New Roman" w:hAnsi="Times New Roman"/>
          <w:sz w:val="14"/>
          <w:szCs w:val="14"/>
          <w:color w:val="auto"/>
        </w:rPr>
        <w:t>We operate in a rapidly changing environment that involves significant risks, a number of which are beyond our control. In addition to the other information contained in this Annual Report on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Annual Report on Form 10-K and in the documents incorporated herein by reference. They could affect our actual results of operations, causing them to differ materially from those expressed in forward-looking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Summary of Risk Factors</w:t>
      </w:r>
    </w:p>
    <w:p>
      <w:pPr>
        <w:spacing w:after="0" w:line="2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9" w:lineRule="exact"/>
        <w:rPr>
          <w:sz w:val="20"/>
          <w:szCs w:val="20"/>
          <w:color w:val="auto"/>
        </w:rPr>
      </w:pPr>
    </w:p>
    <w:p>
      <w:pPr>
        <w:ind w:left="520" w:right="120" w:hanging="260"/>
        <w:spacing w:after="0" w:line="238" w:lineRule="auto"/>
        <w:tabs>
          <w:tab w:leader="none" w:pos="51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Our strategy to develop and introduce new products and services, exposing us to risks such as limited customer acceptance (both with new and existing customers), costs related to product defects, and large expenditures.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Global economic and political conditions.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Costs and challenges associated with strategic acquisitions and investments.</w:t>
      </w:r>
    </w:p>
    <w:p>
      <w:pPr>
        <w:spacing w:after="0" w:line="28" w:lineRule="exact"/>
        <w:rPr>
          <w:rFonts w:ascii="Arial" w:cs="Arial" w:eastAsia="Arial" w:hAnsi="Arial"/>
          <w:sz w:val="17"/>
          <w:szCs w:val="17"/>
          <w:color w:val="auto"/>
        </w:rPr>
      </w:pPr>
    </w:p>
    <w:p>
      <w:pPr>
        <w:ind w:left="520" w:right="420" w:hanging="260"/>
        <w:spacing w:after="0" w:line="238" w:lineRule="auto"/>
        <w:tabs>
          <w:tab w:leader="none" w:pos="51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Dependency on international revenue and operations, exposing us to significant international regulatory, economic, intellectual property, collections, currency exchange rate, taxation, political, and other risks.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Inability to predict subscription renewal rates and their impact on our future revenue and operating results.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Existing and increased competition and rapidly evolving technological changes.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 of our financial results, key metrics and other operating metrics.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Deriving a substantial portion of our net revenue from a small number of solutions, including our AutoCAD-based software products and collections.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Any failure to successfully execute and manage initiatives to realign or introduce new business and sales initiatives.</w:t>
      </w:r>
    </w:p>
    <w:p>
      <w:pPr>
        <w:spacing w:after="0" w:line="12" w:lineRule="exact"/>
        <w:rPr>
          <w:rFonts w:ascii="Arial" w:cs="Arial" w:eastAsia="Arial" w:hAnsi="Arial"/>
          <w:sz w:val="17"/>
          <w:szCs w:val="17"/>
          <w:color w:val="auto"/>
        </w:rPr>
      </w:pPr>
    </w:p>
    <w:p>
      <w:pPr>
        <w:ind w:left="500" w:hanging="240"/>
        <w:spacing w:after="0" w:line="221"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Net revenue, billings, earnings, cash flow, or subscriptions shortfalls or volatility of the market causing the market price of our stock to decline.</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relating to the proper management and governance of our use of AI in our offerings.</w:t>
      </w:r>
    </w:p>
    <w:p>
      <w:pPr>
        <w:spacing w:after="0" w:line="1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Security incidents compromising the integrity of our or our customers’ offerings, services, data, or intellectual property.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Reliance on third parties to provide us with a number of operational and technical services as well as software.</w:t>
      </w:r>
    </w:p>
    <w:p>
      <w:pPr>
        <w:spacing w:after="0" w:line="12" w:lineRule="exact"/>
        <w:rPr>
          <w:rFonts w:ascii="Arial" w:cs="Arial" w:eastAsia="Arial" w:hAnsi="Arial"/>
          <w:sz w:val="17"/>
          <w:szCs w:val="17"/>
          <w:color w:val="auto"/>
        </w:rPr>
      </w:pPr>
    </w:p>
    <w:p>
      <w:pPr>
        <w:ind w:left="500" w:hanging="240"/>
        <w:spacing w:after="0" w:line="221"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Our highly complex software, which may contain undetected errors, defects, or vulnerabilities, and is subject to service disruptions, degradations, outages or other performance problems.</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regulatory focus on privacy, data protection, and information security issues and expanding laws.</w:t>
      </w:r>
    </w:p>
    <w:p>
      <w:pPr>
        <w:spacing w:after="0" w:line="1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Governmental export and import controls that could impair our ability to compete in international markets or subject us to liability if we violate the controls.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Protection of our intellectual property rights and intellectual property infringement claims from others.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The government procurement process.</w:t>
      </w:r>
    </w:p>
    <w:p>
      <w:pPr>
        <w:spacing w:after="0" w:line="11"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Fluctuations in currency exchange rates.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Our debt service obligations.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Our investment portfolio consisting of a variety of investment vehicles that are subject to interest rate trends, market volatility, and other economic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Risks Relating to Our Business and Strategy</w:t>
      </w:r>
    </w:p>
    <w:p>
      <w:pPr>
        <w:spacing w:after="0" w:line="18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20" w:firstLine="318"/>
        <w:spacing w:after="0" w:line="242" w:lineRule="auto"/>
        <w:rPr>
          <w:sz w:val="20"/>
          <w:szCs w:val="20"/>
          <w:color w:val="auto"/>
        </w:rPr>
      </w:pPr>
      <w:r>
        <w:rPr>
          <w:rFonts w:ascii="Times New Roman" w:cs="Times New Roman" w:eastAsia="Times New Roman" w:hAnsi="Times New Roman"/>
          <w:sz w:val="14"/>
          <w:szCs w:val="14"/>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169"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68"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62"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economic and political conditions may further impact our industries, business, and financial results.</w:t>
      </w:r>
    </w:p>
    <w:p>
      <w:pPr>
        <w:spacing w:after="0" w:line="191" w:lineRule="exact"/>
        <w:rPr>
          <w:sz w:val="20"/>
          <w:szCs w:val="20"/>
          <w:color w:val="auto"/>
        </w:rPr>
      </w:pPr>
    </w:p>
    <w:p>
      <w:pPr>
        <w:ind w:right="40" w:firstLine="318"/>
        <w:spacing w:after="0"/>
        <w:rPr>
          <w:sz w:val="20"/>
          <w:szCs w:val="20"/>
          <w:color w:val="auto"/>
        </w:rPr>
      </w:pPr>
      <w:r>
        <w:rPr>
          <w:rFonts w:ascii="Times New Roman" w:cs="Times New Roman" w:eastAsia="Times New Roman" w:hAnsi="Times New Roman"/>
          <w:sz w:val="14"/>
          <w:szCs w:val="14"/>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the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which we have seen recently in certain countries including China. Our customers include government entities, including the U.S. federal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government, and if spending cuts impede the ability of governments to purchase our products and services, our revenue could decline. In addition, a number of our customers rely, directly and indirectly, on government spending.</w:t>
      </w:r>
    </w:p>
    <w:p>
      <w:pPr>
        <w:spacing w:after="0" w:line="146" w:lineRule="exact"/>
        <w:rPr>
          <w:sz w:val="20"/>
          <w:szCs w:val="20"/>
          <w:color w:val="auto"/>
        </w:rPr>
      </w:pPr>
    </w:p>
    <w:p>
      <w:pPr>
        <w:ind w:right="100" w:firstLine="318"/>
        <w:spacing w:after="0" w:line="239" w:lineRule="auto"/>
        <w:rPr>
          <w:sz w:val="20"/>
          <w:szCs w:val="20"/>
          <w:color w:val="auto"/>
        </w:rPr>
      </w:pPr>
      <w:r>
        <w:rPr>
          <w:rFonts w:ascii="Times New Roman" w:cs="Times New Roman" w:eastAsia="Times New Roman" w:hAnsi="Times New Roman"/>
          <w:sz w:val="14"/>
          <w:szCs w:val="14"/>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including the ongoing wars between the Ukraine and Russia and between Israel and Hamas,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business could be adversely impacted by the costs and challenges associated with strategic acquisitions and investments.</w:t>
      </w:r>
    </w:p>
    <w:p>
      <w:pPr>
        <w:spacing w:after="0" w:line="191"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4"/>
          <w:szCs w:val="14"/>
          <w:color w:val="auto"/>
        </w:rPr>
        <w:t>We regularly acquire or invest in businesses, software solutions, and technologies that are complementary to our business through acquisitions, strategic alliances, or equity or debt investments, including several transactions in fiscal 2023 and 2024.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196"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the inability to retain customers, key employees, vendors, distributors, business partners, and other entities associated with the acquired business;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the potential that due diligence of the acquired business or solution does not identify significant problems;</w:t>
      </w:r>
    </w:p>
    <w:p>
      <w:pPr>
        <w:spacing w:after="0" w:line="18" w:lineRule="exact"/>
        <w:rPr>
          <w:rFonts w:ascii="Arial" w:cs="Arial" w:eastAsia="Arial" w:hAnsi="Arial"/>
          <w:sz w:val="17"/>
          <w:szCs w:val="17"/>
          <w:color w:val="auto"/>
        </w:rPr>
      </w:pPr>
    </w:p>
    <w:p>
      <w:pPr>
        <w:ind w:left="520" w:right="180" w:hanging="260"/>
        <w:spacing w:after="0" w:line="238" w:lineRule="auto"/>
        <w:tabs>
          <w:tab w:leader="none" w:pos="516"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exposure to litigation or other claims in connection with, or inheritance of claims or litigation risk as a result of, an acquisition, including claims from terminated employees, customers, or other third parties;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the potential for incompatible business cultures;</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significantly higher than anticipated transaction or integration-related costs;</w:t>
      </w:r>
    </w:p>
    <w:p>
      <w:pPr>
        <w:spacing w:after="0" w:line="1" w:lineRule="exact"/>
        <w:rPr>
          <w:rFonts w:ascii="Arial" w:cs="Arial" w:eastAsia="Arial" w:hAnsi="Arial"/>
          <w:sz w:val="17"/>
          <w:szCs w:val="17"/>
          <w:color w:val="auto"/>
        </w:rPr>
      </w:pPr>
    </w:p>
    <w:p>
      <w:pPr>
        <w:ind w:left="520" w:right="200" w:hanging="260"/>
        <w:spacing w:after="0" w:line="25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potential additional exposure to economic, tax, currency, political, legal, and regulatory risks and liabilities, including risks associated with specific countries; and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the potential impact on relationships with existing customers, vendors, and distributors as business partners as a result of acquiring another business.</w:t>
      </w:r>
    </w:p>
    <w:p>
      <w:pPr>
        <w:spacing w:after="0" w:line="177"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33" w:lineRule="exact"/>
        <w:rPr>
          <w:sz w:val="20"/>
          <w:szCs w:val="20"/>
          <w:color w:val="auto"/>
        </w:rPr>
      </w:pPr>
    </w:p>
    <w:p>
      <w:pPr>
        <w:ind w:right="280" w:firstLine="318"/>
        <w:spacing w:after="0" w:line="271" w:lineRule="auto"/>
        <w:rPr>
          <w:sz w:val="20"/>
          <w:szCs w:val="20"/>
          <w:color w:val="auto"/>
        </w:rPr>
      </w:pPr>
      <w:r>
        <w:rPr>
          <w:rFonts w:ascii="Times New Roman" w:cs="Times New Roman" w:eastAsia="Times New Roman" w:hAnsi="Times New Roman"/>
          <w:sz w:val="14"/>
          <w:szCs w:val="14"/>
          <w:color w:val="auto"/>
        </w:rPr>
        <w:t>International net revenue represented 64% and 66% of our net revenue for fiscal 2024 and 2023, respectively. Our international revenue, some of which comes from emerging economies, is subject to economic and political conditions in foreign markets, including those resulting from economic and political conditions in the United States. For example, we have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recently seen a deceleration in growth in certain geographies including China.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168" w:lineRule="exact"/>
        <w:rPr>
          <w:sz w:val="20"/>
          <w:szCs w:val="20"/>
          <w:color w:val="auto"/>
        </w:rPr>
      </w:pPr>
    </w:p>
    <w:p>
      <w:pPr>
        <w:ind w:right="440" w:firstLine="318"/>
        <w:spacing w:after="0" w:line="263" w:lineRule="auto"/>
        <w:rPr>
          <w:sz w:val="20"/>
          <w:szCs w:val="20"/>
          <w:color w:val="auto"/>
        </w:rPr>
      </w:pPr>
      <w:r>
        <w:rPr>
          <w:rFonts w:ascii="Times New Roman" w:cs="Times New Roman" w:eastAsia="Times New Roman" w:hAnsi="Times New Roman"/>
          <w:sz w:val="14"/>
          <w:szCs w:val="14"/>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7"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economic volatility;</w:t>
      </w:r>
    </w:p>
    <w:p>
      <w:pPr>
        <w:spacing w:after="0" w:line="17" w:lineRule="exact"/>
        <w:rPr>
          <w:rFonts w:ascii="Arial" w:cs="Arial" w:eastAsia="Arial" w:hAnsi="Arial"/>
          <w:sz w:val="17"/>
          <w:szCs w:val="17"/>
          <w:color w:val="auto"/>
        </w:rPr>
      </w:pPr>
    </w:p>
    <w:p>
      <w:pPr>
        <w:ind w:left="520" w:right="440" w:hanging="260"/>
        <w:spacing w:after="0" w:line="238" w:lineRule="auto"/>
        <w:tabs>
          <w:tab w:leader="none" w:pos="5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tariffs, quotas, and other trade barriers and restrictions, including any political or economic responses and counter-responses or otherwise by various global actors to the ongoing wars between the Ukraine and Russia and between Israel and Hamas;</w:t>
      </w:r>
    </w:p>
    <w:p>
      <w:pPr>
        <w:spacing w:after="0" w:line="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fluctuating currency exchange rates, including devaluations, currency controls, and inflation, and risks related to any hedging activities we undertake;</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regulatory requirements and practices;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delays resulting from difficulty in obtaining export licenses for certain technology;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different purchase patterns as compared to the developed world;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operating in locations with a higher incidence of corruption and fraudulent business practices, particularly in emerging economies;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compliance with the U.S. Foreign Corrupt Practices Act, the U.K. Bribery Act, and other anti-corruption laws;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difficulties in staffing and managing foreign sales and development operations;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local competition;</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longer collection cycles for accounts receivable;</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U.S. and foreign tax law changes and the complexities of tax reporting;</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laws regarding the free flow of data across international borders and management of and access to data and public networks;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possible future limitations upon foreign-owned businesses;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increased financial accounting and reporting burdens and complexities;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inadequate local infrastructure;</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greater difficulty in protecting intellectual property;</w:t>
      </w:r>
    </w:p>
    <w:p>
      <w:pPr>
        <w:spacing w:after="0" w:line="12" w:lineRule="exact"/>
        <w:rPr>
          <w:rFonts w:ascii="Arial" w:cs="Arial" w:eastAsia="Arial" w:hAnsi="Arial"/>
          <w:sz w:val="17"/>
          <w:szCs w:val="17"/>
          <w:color w:val="auto"/>
        </w:rPr>
      </w:pPr>
    </w:p>
    <w:p>
      <w:pPr>
        <w:ind w:left="500" w:hanging="240"/>
        <w:spacing w:after="0" w:line="221"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software piracy; and</w:t>
      </w:r>
    </w:p>
    <w:p>
      <w:pPr>
        <w:ind w:left="520" w:right="20" w:hanging="260"/>
        <w:spacing w:after="0" w:line="24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beyond our control, including popular uprisings, terrorism, war (including the ongoing wars between the Ukraine and Russia and between Israel and Hamas, and any related political or economic responses and counter-responses or otherwise by various global actors or the general effect on the global economy), natural disasters, and diseases and pandemics, such as COVID-19.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of our business partners also have international operations and are subject to the risks described above.</w:t>
      </w:r>
    </w:p>
    <w:p>
      <w:pPr>
        <w:spacing w:after="0" w:line="175" w:lineRule="exact"/>
        <w:rPr>
          <w:sz w:val="20"/>
          <w:szCs w:val="20"/>
          <w:color w:val="auto"/>
        </w:rPr>
      </w:pPr>
    </w:p>
    <w:p>
      <w:pPr>
        <w:ind w:right="80" w:firstLine="350"/>
        <w:spacing w:after="0" w:line="245" w:lineRule="auto"/>
        <w:rPr>
          <w:sz w:val="20"/>
          <w:szCs w:val="20"/>
          <w:color w:val="auto"/>
        </w:rPr>
      </w:pPr>
      <w:r>
        <w:rPr>
          <w:rFonts w:ascii="Times New Roman" w:cs="Times New Roman" w:eastAsia="Times New Roman" w:hAnsi="Times New Roman"/>
          <w:sz w:val="14"/>
          <w:szCs w:val="14"/>
          <w:color w:val="auto"/>
        </w:rPr>
        <w:t>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165" w:lineRule="exact"/>
        <w:rPr>
          <w:sz w:val="20"/>
          <w:szCs w:val="20"/>
          <w:color w:val="auto"/>
        </w:rPr>
      </w:pPr>
    </w:p>
    <w:p>
      <w:pPr>
        <w:ind w:firstLine="382"/>
        <w:spacing w:after="0"/>
        <w:rPr>
          <w:sz w:val="20"/>
          <w:szCs w:val="20"/>
          <w:color w:val="auto"/>
        </w:rPr>
      </w:pPr>
      <w:r>
        <w:rPr>
          <w:rFonts w:ascii="Times New Roman" w:cs="Times New Roman" w:eastAsia="Times New Roman" w:hAnsi="Times New Roman"/>
          <w:sz w:val="14"/>
          <w:szCs w:val="14"/>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More recently, the United States and other global actors have imposed sanctions as a result of the war against Ukraine launched by Russia, and the ongoing war between Israel and Hamas. New or increased tariffs and other changes in U.S. trade policy, including new sanctions, could trigger retaliatory actions by affected countries, including Russia. In addition,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announcing sanctions, a change in tariff</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structures, export compliance, or other trade policies, may increase the cost of, or otherwise interfere with, the conduct of our business, and could have a material adverse effect on our operations and business outlook.</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Even if we are able to successfully manage the risks of international operations, our business may be adversely affected if our business partners are not able to successfully manage these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may not be able to predict subscription renewal rates and their impact on our future revenue and operating results.</w:t>
      </w:r>
    </w:p>
    <w:p>
      <w:pPr>
        <w:spacing w:after="0" w:line="202"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Existing and increased competition and rapidly evolving technological changes may reduce our revenue and profits.</w:t>
      </w:r>
    </w:p>
    <w:p>
      <w:pPr>
        <w:spacing w:after="0" w:line="202" w:lineRule="exact"/>
        <w:rPr>
          <w:sz w:val="20"/>
          <w:szCs w:val="20"/>
          <w:color w:val="auto"/>
        </w:rPr>
      </w:pPr>
    </w:p>
    <w:p>
      <w:pPr>
        <w:ind w:right="20" w:firstLine="318"/>
        <w:spacing w:after="0" w:line="245" w:lineRule="auto"/>
        <w:rPr>
          <w:sz w:val="20"/>
          <w:szCs w:val="20"/>
          <w:color w:val="auto"/>
        </w:rPr>
      </w:pPr>
      <w:r>
        <w:rPr>
          <w:rFonts w:ascii="Times New Roman" w:cs="Times New Roman" w:eastAsia="Times New Roman" w:hAnsi="Times New Roman"/>
          <w:sz w:val="14"/>
          <w:szCs w:val="14"/>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 w:cs="Times New Roman" w:eastAsia="Times New Roman" w:hAnsi="Times New Roman"/>
          <w:sz w:val="14"/>
          <w:szCs w:val="14"/>
          <w:color w:val="212529"/>
        </w:rPr>
        <w:t>subscriptions and cloud-enabled technologies</w:t>
      </w:r>
      <w:r>
        <w:rPr>
          <w:rFonts w:ascii="Times New Roman" w:cs="Times New Roman" w:eastAsia="Times New Roman" w:hAnsi="Times New Roman"/>
          <w:sz w:val="14"/>
          <w:szCs w:val="14"/>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financial results, key metrics, and other operating metrics fluctuate within each quarter and from quarter to quarter, making our future revenue and financial results difficult to predict.</w:t>
      </w:r>
    </w:p>
    <w:p>
      <w:pPr>
        <w:spacing w:after="0" w:line="202"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4"/>
          <w:szCs w:val="14"/>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18" w:lineRule="exact"/>
        <w:rPr>
          <w:sz w:val="20"/>
          <w:szCs w:val="20"/>
          <w:color w:val="auto"/>
        </w:rPr>
      </w:pPr>
    </w:p>
    <w:p>
      <w:pPr>
        <w:ind w:left="520" w:right="200" w:hanging="260"/>
        <w:spacing w:after="0" w:line="238" w:lineRule="auto"/>
        <w:tabs>
          <w:tab w:leader="none" w:pos="516"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general market, economic, business, and political conditions in Europe, APAC, and emerging economies, including from an economic downturn or recession in the United States or other countries;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produce sufficient revenue, billings, subscription, profitability, and cash flow growth;</w:t>
      </w:r>
    </w:p>
    <w:p>
      <w:pPr>
        <w:spacing w:after="0" w:line="17" w:lineRule="exact"/>
        <w:rPr>
          <w:rFonts w:ascii="Arial" w:cs="Arial" w:eastAsia="Arial" w:hAnsi="Arial"/>
          <w:sz w:val="17"/>
          <w:szCs w:val="17"/>
          <w:color w:val="auto"/>
        </w:rPr>
      </w:pPr>
    </w:p>
    <w:p>
      <w:pPr>
        <w:ind w:left="520" w:right="360" w:hanging="260"/>
        <w:spacing w:after="0" w:line="232" w:lineRule="auto"/>
        <w:tabs>
          <w:tab w:leader="none" w:pos="516"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accurately predict the impact of acquired businesses or to identify and realize the anticipated benefits of acquisitions, and successfully integrate such acquired businesses and technologies;</w:t>
      </w:r>
    </w:p>
    <w:p>
      <w:pPr>
        <w:ind w:left="520" w:right="20" w:hanging="260"/>
        <w:spacing w:after="0" w:line="24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 to named-user plans and annual billing of multi-year contracts, which impacted the timing of our billings and cash collections in fiscal year 2024 and which is expected to continue into fiscal year 2025;</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successfully introduce and expand new transaction models such as FLEX;</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potential goodwill impairment charges related to prior acquisitions;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manage spend;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billings linearity;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subscription mix, pricing pressure, or changes in subscription pricing;</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weak or negative growth in one or more of the industries we serve, including AEC, manufacturing, and digital media and entertainment markets;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success of new business or sales initiatives;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security breaches, related reputational harm, and potential financial penalties to customers and government entities;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restructuring or other accounting charges and unexpected costs or other operating expenses;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timing of additional investments in our technologies or deployment of our services;</w:t>
      </w:r>
    </w:p>
    <w:p>
      <w:pPr>
        <w:spacing w:after="0" w:line="17" w:lineRule="exact"/>
        <w:rPr>
          <w:rFonts w:ascii="Arial" w:cs="Arial" w:eastAsia="Arial" w:hAnsi="Arial"/>
          <w:sz w:val="17"/>
          <w:szCs w:val="17"/>
          <w:color w:val="auto"/>
        </w:rPr>
      </w:pPr>
    </w:p>
    <w:p>
      <w:pPr>
        <w:ind w:left="520" w:right="180" w:hanging="260"/>
        <w:spacing w:after="0" w:line="238"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revenue recognition or other accounting guidelines employed by us and/or established by the Financial Accounting Standards Board, Securities and Exchange Commission, or other rulemaking bodies;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fluctuations in foreign currency exchange rates and the effectiveness of our hedging activity;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dependence on and timing of large transactions;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adjustments arising from ongoing or future tax examinations;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ability of governments around the world to adopt fiscal policies, meet their financial and debt obligations, and finance infrastructure projects;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expand our AutoCAD and AutoCAD LT customer base to related design products and services;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rapidly adapt to technological and customer preference changes, including those related to cloud computing, mobile devices, and new computing platforms;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timing of the introduction of new products by us or our competitors;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financial and business condition of our reseller and distribution channels;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perceived or actual technical or other problems with a product or combination of subscriptions;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unexpected or negative outcomes of matters and expenses relating to litigation or regulatory inquiries;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increases in cloud functionality-related expenses;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timing of releases and retirements of offerings;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tax laws or tax or accounting rules and regulations, such as increased use of fair value measures;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sales compensation practices;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effectively implement and maintain our copyright legalization programs, especially in developing countries;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renegotiation or termination of royalty or intellectual property arrangements;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interruptions or terminations in the business of our consultants or third-party developers;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timing and degree of expected investments in growth and efficiency opportunities;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achieve continued success in technology advancements;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catastrophic events, natural disasters, or public health events, such as pandemics and epidemics, including COVID-19;</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regulatory compliance costs; and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appropriately estimate the scope of services under consulting arrangements.</w:t>
      </w:r>
    </w:p>
    <w:p>
      <w:pPr>
        <w:spacing w:after="0" w:line="16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4"/>
          <w:szCs w:val="14"/>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including the ongoing wars between the Ukraine and Russia and between Israel and Hamas, and any related political or economic responses and counter-responses or otherwise by various global actors or the general effect on the global economy, could also affect our business.</w:t>
      </w:r>
    </w:p>
    <w:p>
      <w:pPr>
        <w:spacing w:after="0" w:line="173"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5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43"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fiscal 2024 and 2023, combined revenue from our AutoCAD and AutoCAD LT family products, not including collections having AutoCAD or AutoCAD LT as a component, represented 27% and 28% of our total net revenue,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From time to time we realign or introduce new business and sales initiatives; if we fail to successfully execute and manage these initiatives, our results of operations could be negatively impacted.</w:t>
      </w:r>
    </w:p>
    <w:p>
      <w:pPr>
        <w:spacing w:after="0" w:line="191" w:lineRule="exact"/>
        <w:rPr>
          <w:sz w:val="20"/>
          <w:szCs w:val="20"/>
          <w:color w:val="auto"/>
        </w:rPr>
      </w:pPr>
    </w:p>
    <w:p>
      <w:pPr>
        <w:ind w:right="20" w:firstLine="318"/>
        <w:spacing w:after="0" w:line="242" w:lineRule="auto"/>
        <w:rPr>
          <w:sz w:val="20"/>
          <w:szCs w:val="20"/>
          <w:color w:val="auto"/>
        </w:rPr>
      </w:pPr>
      <w:r>
        <w:rPr>
          <w:rFonts w:ascii="Times New Roman" w:cs="Times New Roman" w:eastAsia="Times New Roman" w:hAnsi="Times New Roman"/>
          <w:sz w:val="14"/>
          <w:szCs w:val="14"/>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revenue, billings, earnings, cash flow, or subscriptions shortfalls or volatility of the market generally may cause the market price of our stock to decline.</w:t>
      </w:r>
    </w:p>
    <w:p>
      <w:pPr>
        <w:spacing w:after="0" w:line="202" w:lineRule="exact"/>
        <w:rPr>
          <w:sz w:val="20"/>
          <w:szCs w:val="20"/>
          <w:color w:val="auto"/>
        </w:rPr>
      </w:pPr>
    </w:p>
    <w:p>
      <w:pPr>
        <w:ind w:right="420" w:firstLine="318"/>
        <w:spacing w:after="0" w:line="263" w:lineRule="auto"/>
        <w:rPr>
          <w:sz w:val="20"/>
          <w:szCs w:val="20"/>
          <w:color w:val="auto"/>
        </w:rPr>
      </w:pPr>
      <w:r>
        <w:rPr>
          <w:rFonts w:ascii="Times New Roman" w:cs="Times New Roman" w:eastAsia="Times New Roman" w:hAnsi="Times New Roman"/>
          <w:sz w:val="14"/>
          <w:szCs w:val="14"/>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19" w:lineRule="exact"/>
        <w:rPr>
          <w:sz w:val="20"/>
          <w:szCs w:val="20"/>
          <w:color w:val="auto"/>
        </w:rPr>
      </w:pPr>
    </w:p>
    <w:p>
      <w:pPr>
        <w:ind w:left="520" w:right="360" w:hanging="260"/>
        <w:spacing w:after="0" w:line="245" w:lineRule="auto"/>
        <w:tabs>
          <w:tab w:leader="none" w:pos="51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quarterly variations in our or our competitors’ results of operations;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general socioeconomic, political, or market conditions, including from an economic downturn or recession in the United States or in other countries;</w:t>
      </w:r>
    </w:p>
    <w:p>
      <w:pPr>
        <w:spacing w:after="0" w:line="18" w:lineRule="exact"/>
        <w:rPr>
          <w:rFonts w:ascii="Arial" w:cs="Arial" w:eastAsia="Arial" w:hAnsi="Arial"/>
          <w:sz w:val="17"/>
          <w:szCs w:val="17"/>
          <w:color w:val="auto"/>
        </w:rPr>
      </w:pPr>
    </w:p>
    <w:p>
      <w:pPr>
        <w:ind w:left="520" w:right="180" w:hanging="260"/>
        <w:spacing w:after="0" w:line="238" w:lineRule="auto"/>
        <w:tabs>
          <w:tab w:leader="none" w:pos="51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uncertainty about certain governments’ abilities to repay debt or effect fiscal policy;</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announcements of new offerings or enhancements by us or our competitors;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unusual events such as significant acquisitions, divestitures, regulatory actions, and litigation;</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laws, rules, or regulations applicable to our business;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outstanding debt service obligations; and</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other factors, including factors unrelated to our operating performance, such as instability affecting the economy or the operating performance of our competitors.</w:t>
      </w:r>
    </w:p>
    <w:p>
      <w:pPr>
        <w:spacing w:after="0" w:line="2"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60"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4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incorporate AI into our offerings, and challenges with properly managing its use could result in competitive harm, reputational harm, or liability, and adversely affect our results of operations.</w:t>
      </w:r>
    </w:p>
    <w:p>
      <w:pPr>
        <w:spacing w:after="0" w:line="20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16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Audit Committee internal investigation has been time-consuming and expensive, has resulted in the filing of a class action lawsuit, and may result in additional expense and/or litigation.</w:t>
      </w:r>
    </w:p>
    <w:p>
      <w:pPr>
        <w:spacing w:after="0" w:line="202"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spacing w:after="0" w:line="145"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We have incurred significant expenses, including audit, legal, consulting and other professional fees, in connection with the investigation, and we could be forced to incur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spacing w:after="0" w:line="157" w:lineRule="exact"/>
        <w:rPr>
          <w:sz w:val="20"/>
          <w:szCs w:val="20"/>
          <w:color w:val="auto"/>
        </w:rPr>
      </w:pPr>
    </w:p>
    <w:p>
      <w:pPr>
        <w:ind w:right="80" w:firstLine="318"/>
        <w:spacing w:after="0" w:line="300" w:lineRule="auto"/>
        <w:rPr>
          <w:sz w:val="20"/>
          <w:szCs w:val="20"/>
          <w:color w:val="auto"/>
        </w:rPr>
      </w:pPr>
      <w:r>
        <w:rPr>
          <w:rFonts w:ascii="Times New Roman" w:cs="Times New Roman" w:eastAsia="Times New Roman" w:hAnsi="Times New Roman"/>
          <w:sz w:val="14"/>
          <w:szCs w:val="14"/>
          <w:color w:val="auto"/>
        </w:rPr>
        <w:t>Autodesk voluntarily contacted the Securities and Exchange Commission (the “SEC”) to advise it that an internal investigation was ongoing. The Company intends to cooperate with the SEC’s investigation. Furthermore, if the SEC commences legal action, we could be required to pay significant penalties and become subject to injunctions, a cease and desist order and other equitable</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remedies. The completion of the Audit Committee investigation and filing of any delinquent periodic reports will not automatically resolve the SEC investigation. In addition, the United States Attorney’s Office for the Northern District of California contacted us regarding the Audit Committee investigation.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 We can provide no assurances as to the outcome of any governmental investigation.</w:t>
      </w:r>
    </w:p>
    <w:p>
      <w:pPr>
        <w:spacing w:after="0" w:line="164"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In addition, we and certain of our officers and directors have been named in a purported shareholder class action arising out of our announcement of the investigation. For additional discussion, see Item 3. Legal Proceedings and Note 11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Risks Relating to Our Operations</w:t>
      </w:r>
    </w:p>
    <w:p>
      <w:pPr>
        <w:spacing w:after="0" w:line="20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33" w:lineRule="exact"/>
        <w:rPr>
          <w:sz w:val="20"/>
          <w:szCs w:val="20"/>
          <w:color w:val="auto"/>
        </w:rPr>
      </w:pPr>
    </w:p>
    <w:p>
      <w:pPr>
        <w:ind w:right="40" w:firstLine="318"/>
        <w:spacing w:after="0" w:line="244" w:lineRule="auto"/>
        <w:rPr>
          <w:sz w:val="20"/>
          <w:szCs w:val="20"/>
          <w:color w:val="auto"/>
        </w:rPr>
      </w:pPr>
      <w:r>
        <w:rPr>
          <w:rFonts w:ascii="Times New Roman" w:cs="Times New Roman" w:eastAsia="Times New Roman" w:hAnsi="Times New Roman"/>
          <w:sz w:val="14"/>
          <w:szCs w:val="14"/>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may not prevent security breaches or incidents, and we may face delays or other difficulties in identifying, responding to, or remediating security breaches or incidents.</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Hackers regularly have targeted our systems, offerings, services, and applications, and we expect them to do so in the future. To date, such identified security events have not been material or significant to us or our customers, including to our reputation or business operations, or had a material financial impact, but there can be no assurance that future cyberattacks will not be material or significant. Security breaches or incidents could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 between Ukraine and Russia as we and our third-party technology providers and vendors are vulnerable to a heightened risk of cyberattacks from or affiliated with nation-state actors, including retaliatory attacks from Russian actors against U.S.-based companies.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162" w:lineRule="exact"/>
        <w:rPr>
          <w:sz w:val="20"/>
          <w:szCs w:val="20"/>
          <w:color w:val="auto"/>
        </w:rPr>
      </w:pPr>
    </w:p>
    <w:p>
      <w:pPr>
        <w:ind w:firstLine="318"/>
        <w:spacing w:after="0"/>
        <w:rPr>
          <w:sz w:val="20"/>
          <w:szCs w:val="20"/>
          <w:color w:val="auto"/>
        </w:rPr>
      </w:pPr>
      <w:r>
        <w:rPr>
          <w:rFonts w:ascii="Times New Roman" w:cs="Times New Roman" w:eastAsia="Times New Roman" w:hAnsi="Times New Roman"/>
          <w:sz w:val="14"/>
          <w:szCs w:val="14"/>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and lawsuits, and other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use of third-party open source software could negatively affect our ability to sell subscriptions to access our products and subject us to possible litigation and greater security risks.</w:t>
      </w:r>
    </w:p>
    <w:p>
      <w:pPr>
        <w:spacing w:after="0" w:line="20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34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160" w:lineRule="exact"/>
        <w:rPr>
          <w:sz w:val="20"/>
          <w:szCs w:val="20"/>
          <w:color w:val="auto"/>
        </w:rPr>
      </w:pPr>
    </w:p>
    <w:p>
      <w:pPr>
        <w:jc w:val="both"/>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22" w:lineRule="exact"/>
        <w:rPr>
          <w:sz w:val="20"/>
          <w:szCs w:val="20"/>
          <w:color w:val="auto"/>
        </w:rPr>
      </w:pPr>
    </w:p>
    <w:p>
      <w:pPr>
        <w:jc w:val="both"/>
        <w:ind w:right="160" w:firstLine="350"/>
        <w:spacing w:after="0" w:line="248" w:lineRule="auto"/>
        <w:rPr>
          <w:sz w:val="20"/>
          <w:szCs w:val="20"/>
          <w:color w:val="auto"/>
        </w:rPr>
      </w:pPr>
      <w:r>
        <w:rPr>
          <w:rFonts w:ascii="Times New Roman" w:cs="Times New Roman" w:eastAsia="Times New Roman" w:hAnsi="Times New Roman"/>
          <w:sz w:val="14"/>
          <w:szCs w:val="14"/>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w:t>
      </w:r>
    </w:p>
    <w:p>
      <w:pPr>
        <w:spacing w:after="0" w:line="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Delays in service from third-party service providers could expose us to liability, harm our reputation, damage our competitiveness, and adversely impact our financial results.</w:t>
      </w:r>
    </w:p>
    <w:p>
      <w:pPr>
        <w:spacing w:after="0" w:line="191" w:lineRule="exact"/>
        <w:rPr>
          <w:sz w:val="20"/>
          <w:szCs w:val="20"/>
          <w:color w:val="auto"/>
        </w:rPr>
      </w:pPr>
    </w:p>
    <w:p>
      <w:pPr>
        <w:ind w:right="60" w:firstLine="350"/>
        <w:spacing w:after="0" w:line="248" w:lineRule="auto"/>
        <w:rPr>
          <w:sz w:val="20"/>
          <w:szCs w:val="20"/>
          <w:color w:val="auto"/>
        </w:rPr>
      </w:pPr>
      <w:r>
        <w:rPr>
          <w:rFonts w:ascii="Times New Roman" w:cs="Times New Roman" w:eastAsia="Times New Roman" w:hAnsi="Times New Roman"/>
          <w:sz w:val="14"/>
          <w:szCs w:val="14"/>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spacing w:after="0" w:line="17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3"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65"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43"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157"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155"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143"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We sell our software products both directly to end users and through a network of distributors and resellers. For fiscal 2024 and 2023, approximately 63% and 65%,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68"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We rely significantly upon major distributors and resellers in both the U.S. and international regions. Of our distributors, TD Synnex accounted for 39% and 37% of our total net revenue for fiscal 2024 and 2023, respectively, and Ingram Micro accounted for 7% and 9% of our total net revenue for fiscal 2024 and 2023, respectively. During October 2022, we entered into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 transition agreements with each of TD Synnex and Ingram Micro to provide transition distribution activities for a one-to-two-year period, with potential extensions. In connection with such transition agreements, we intend to increase our selling efforts with value-added resellers and agents. During the transition period, we believe the resellers and end users who currently purchase our products through TD Synnex and Ingram Micro will be able to continue to do so, and following the transition period, we believe such end users will be able to continue to purchase our products from certain value-added resellers or directly from Autodesk, in each case under substantially the same terms and without substantial disruption to our revenue. However, if during the transition period, TD Synnex or Ingram Micro were to experience a significant business disruption or if our relationship with either were to significantly deteriorate, it is possible that our ability to sell to end users would, at least temporarily, be negatively impacted. Also, if any of our assumptions about our end users, value added resellers, distributors, or agents or our direct selling capabilities proves incorrect, these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could harm our business. This could, in turn, negatively impact our financial results.</w:t>
      </w:r>
    </w:p>
    <w:p>
      <w:pPr>
        <w:spacing w:after="0" w:line="20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rely on software from third parties, and a failure to properly manage our use of third-party software could result in increased costs or loss of revenue.</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164"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business could be adversely affected if we are unable to attract and retain key personnel.</w:t>
      </w:r>
    </w:p>
    <w:p>
      <w:pPr>
        <w:spacing w:after="0" w:line="2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rely on third-party technologies and if we are unable to use or integrate these technologies, our solutions and service development may be delayed and our financial results negatively impacted.</w:t>
      </w:r>
    </w:p>
    <w:p>
      <w:pPr>
        <w:spacing w:after="0" w:line="202"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increased costs or delays until equivalent software can be developed, identified, licensed, and integrated, which would likely harm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Disruptions in licensing relationships and with third-party developers could adversely impact our business.</w:t>
      </w:r>
    </w:p>
    <w:p>
      <w:pPr>
        <w:spacing w:after="0" w:line="202"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64"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Risks Relating to Laws and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Increasing regulatory focus on privacy, data protection, and information security issues and new and expanding laws may impact our business and expose us to increased liability.</w:t>
      </w:r>
    </w:p>
    <w:p>
      <w:pPr>
        <w:spacing w:after="0" w:line="191" w:lineRule="exact"/>
        <w:rPr>
          <w:sz w:val="20"/>
          <w:szCs w:val="20"/>
          <w:color w:val="auto"/>
        </w:rPr>
      </w:pPr>
    </w:p>
    <w:p>
      <w:pPr>
        <w:ind w:firstLine="318"/>
        <w:spacing w:after="0" w:line="238" w:lineRule="auto"/>
        <w:rPr>
          <w:sz w:val="20"/>
          <w:szCs w:val="20"/>
          <w:color w:val="auto"/>
        </w:rPr>
      </w:pPr>
      <w:r>
        <w:rPr>
          <w:rFonts w:ascii="Times New Roman" w:cs="Times New Roman" w:eastAsia="Times New Roman" w:hAnsi="Times New Roman"/>
          <w:sz w:val="14"/>
          <w:szCs w:val="14"/>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1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In addition, there is continued instability of international personal data transfer legal mechanisms that are complex, uncertain, and subject to active litigation and enforcement actions in a</w:t>
      </w:r>
    </w:p>
    <w:p>
      <w:pPr>
        <w:spacing w:after="0" w:line="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number of jurisdictions around the world. For example, on June 4, 2021, the European Commission published a new set of modular standard contractual clause (“SCCs”), providing for an 18-month implementation period, which became effective on June 29, 2021, and imposes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18"/>
        <w:spacing w:after="0"/>
        <w:rPr>
          <w:sz w:val="20"/>
          <w:szCs w:val="20"/>
          <w:color w:val="auto"/>
        </w:rPr>
      </w:pPr>
      <w:r>
        <w:rPr>
          <w:rFonts w:ascii="Times New Roman" w:cs="Times New Roman" w:eastAsia="Times New Roman" w:hAnsi="Times New Roman"/>
          <w:sz w:val="14"/>
          <w:szCs w:val="14"/>
          <w:color w:val="auto"/>
        </w:rPr>
        <w:t>In addition, the United Kingdom’s (“UK”) exit from the EU, and ongoing developments in the UK, have created uncertainty with regard to data protection regulation in the UK. Data processing in the UK is now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We may, in addition to other impacts, experience additional costs associated with increased compliance burdens and be required to engage in new contract negotiations with third parties that aid in processing personal data on our behalf or localize certain personal data. On March 25, 2022, the United States and EU announced an “agreement in principle” to replace the EU-U.S. Privacy Shield transfer framework with the Trans-Atlantic Data Privacy Framework (“EU-U.S. DPF”). On July 10, 2023, the European Commission adopted an adequacy decision in relation to the EU-U.S. DPF, allowing the EU-U.S. DPF to be utilized as a means of legitimizing EU-U.S. personal data transfers for participating entities. We are evaluating whether the EU-U.S. DPF will be appropriate for us to utilize. The EU-U.S. DPF may be subject to legal challenges from privacy advocacy groups or others, and the European Commission’s adequacy decision regarding the EU-U.S. DPF provides that the EU-U.S. DPF will be subject to future reviews and may be subject to suspension, amendment, repeal, or limitations to its scope by the European Commission.</w:t>
      </w:r>
    </w:p>
    <w:p>
      <w:pPr>
        <w:spacing w:after="0" w:line="317" w:lineRule="exact"/>
        <w:rPr>
          <w:sz w:val="20"/>
          <w:szCs w:val="20"/>
          <w:color w:val="auto"/>
        </w:rPr>
      </w:pPr>
    </w:p>
    <w:p>
      <w:pPr>
        <w:ind w:right="280" w:firstLine="318"/>
        <w:spacing w:after="0" w:line="254" w:lineRule="auto"/>
        <w:rPr>
          <w:sz w:val="20"/>
          <w:szCs w:val="20"/>
          <w:color w:val="auto"/>
        </w:rPr>
      </w:pPr>
      <w:r>
        <w:rPr>
          <w:rFonts w:ascii="Times New Roman" w:cs="Times New Roman" w:eastAsia="Times New Roman" w:hAnsi="Times New Roman"/>
          <w:sz w:val="14"/>
          <w:szCs w:val="14"/>
          <w:color w:val="auto"/>
        </w:rPr>
        <w:t>Further, several European data protection authorities recently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157" w:lineRule="exact"/>
        <w:rPr>
          <w:sz w:val="20"/>
          <w:szCs w:val="20"/>
          <w:color w:val="auto"/>
        </w:rPr>
      </w:pPr>
    </w:p>
    <w:p>
      <w:pPr>
        <w:ind w:right="80" w:firstLine="318"/>
        <w:spacing w:after="0" w:line="241" w:lineRule="auto"/>
        <w:rPr>
          <w:sz w:val="20"/>
          <w:szCs w:val="20"/>
          <w:color w:val="auto"/>
        </w:rPr>
      </w:pPr>
      <w:r>
        <w:rPr>
          <w:rFonts w:ascii="Times New Roman" w:cs="Times New Roman" w:eastAsia="Times New Roman" w:hAnsi="Times New Roman"/>
          <w:sz w:val="14"/>
          <w:szCs w:val="14"/>
          <w:color w:val="auto"/>
        </w:rPr>
        <w:t>Several other countries, including China, Australia, New Zealand, Brazil, and Japan, have also established specific legal requirements for cross-border data transfers. There is also an increasing trend towards data localization policies. For example, in 2021, China introduced localization requirements for certain data. Other countries, such as India, also are considering data localization requirements. If this trend continues, and countries implement more restrictive regulations for cross-border personal 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spacing w:after="0" w:line="1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In addition, the CPRA and many of the other new state laws addressing privacy and information security, including those that have become or will become effective in 2023, provide for</w:t>
      </w:r>
    </w:p>
    <w:p>
      <w:pPr>
        <w:spacing w:after="0" w:line="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additional obligations such as data minimization and storage limitations, granting additional rights to consumers such as correction of personal information and additional opt-out rights. The CPRA</w:t>
      </w:r>
    </w:p>
    <w:p>
      <w:pPr>
        <w:spacing w:after="0" w:line="3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also created a new agency to implement and enforce the law. These new state laws have required us to modify our data processing practices and 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17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4"/>
          <w:szCs w:val="14"/>
          <w:color w:val="auto"/>
        </w:rPr>
        <w:t>In the EU and the UK, regulators are increasingly focusing on compliance with requirements in the online behavioral advertising ecosystem, and current national laws that implement the ePrivacy Directive are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318"/>
        <w:spacing w:after="0" w:line="239" w:lineRule="auto"/>
        <w:rPr>
          <w:sz w:val="20"/>
          <w:szCs w:val="20"/>
          <w:color w:val="auto"/>
        </w:rPr>
      </w:pPr>
      <w:r>
        <w:rPr>
          <w:rFonts w:ascii="Times New Roman" w:cs="Times New Roman" w:eastAsia="Times New Roman" w:hAnsi="Times New Roman"/>
          <w:sz w:val="14"/>
          <w:szCs w:val="14"/>
          <w:color w:val="auto"/>
        </w:rPr>
        <w:t>Governments, regulators, plaintiffs’ attorneys, privacy advocates have increased their focus on how companies collect, process, use, store, share, and transmit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increased liability. Moreover, because the interpretation and application of many laws, regulations, and other actual and asserted obligations relating to privacy, data protection, and information security are uncertain, it is possible that these laws, regulations, and obligations may be interpreted and applied in a manner that is inconsistent with our existing data management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are subject to governmental export and import controls that could impair our ability to compete in international markets or subject us to liability if we violate the controls.</w:t>
      </w:r>
    </w:p>
    <w:p>
      <w:pPr>
        <w:spacing w:after="0" w:line="202" w:lineRule="exact"/>
        <w:rPr>
          <w:sz w:val="20"/>
          <w:szCs w:val="20"/>
          <w:color w:val="auto"/>
        </w:rPr>
      </w:pPr>
    </w:p>
    <w:p>
      <w:pPr>
        <w:jc w:val="both"/>
        <w:ind w:right="80" w:firstLine="318"/>
        <w:spacing w:after="0" w:line="264" w:lineRule="auto"/>
        <w:rPr>
          <w:sz w:val="20"/>
          <w:szCs w:val="20"/>
          <w:color w:val="auto"/>
        </w:rPr>
      </w:pPr>
      <w:r>
        <w:rPr>
          <w:rFonts w:ascii="Times New Roman" w:cs="Times New Roman" w:eastAsia="Times New Roman" w:hAnsi="Times New Roman"/>
          <w:sz w:val="14"/>
          <w:szCs w:val="14"/>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6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applicable sanctions or export control laws can result in fines or penalties.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additional risks regarding sanctions and trade protectionism, please see the risk factor entitled “We are dependent on international revenue and operations . . .” earlier in this section.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If we are not able to adequately protect our proprietary rights, our business could be harmed.</w:t>
      </w:r>
    </w:p>
    <w:p>
      <w:pPr>
        <w:spacing w:after="0" w:line="202"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68" w:lineRule="exact"/>
        <w:rPr>
          <w:sz w:val="20"/>
          <w:szCs w:val="20"/>
          <w:color w:val="auto"/>
        </w:rPr>
      </w:pPr>
    </w:p>
    <w:p>
      <w:pPr>
        <w:ind w:right="200" w:firstLine="318"/>
        <w:spacing w:after="0" w:line="261" w:lineRule="auto"/>
        <w:rPr>
          <w:sz w:val="20"/>
          <w:szCs w:val="20"/>
          <w:color w:val="auto"/>
        </w:rPr>
      </w:pPr>
      <w:r>
        <w:rPr>
          <w:rFonts w:ascii="Times New Roman" w:cs="Times New Roman" w:eastAsia="Times New Roman" w:hAnsi="Times New Roman"/>
          <w:sz w:val="14"/>
          <w:szCs w:val="14"/>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may face intellectual property infringement claims that could be costly to defend and result in the loss of significant rights.</w:t>
      </w:r>
    </w:p>
    <w:p>
      <w:pPr>
        <w:spacing w:after="0" w:line="202" w:lineRule="exact"/>
        <w:rPr>
          <w:sz w:val="20"/>
          <w:szCs w:val="20"/>
          <w:color w:val="auto"/>
        </w:rPr>
      </w:pPr>
    </w:p>
    <w:p>
      <w:pPr>
        <w:ind w:right="120" w:firstLine="318"/>
        <w:spacing w:after="0" w:line="261" w:lineRule="auto"/>
        <w:rPr>
          <w:sz w:val="20"/>
          <w:szCs w:val="20"/>
          <w:color w:val="auto"/>
        </w:rPr>
      </w:pPr>
      <w:r>
        <w:rPr>
          <w:rFonts w:ascii="Times New Roman" w:cs="Times New Roman" w:eastAsia="Times New Roman" w:hAnsi="Times New Roman"/>
          <w:sz w:val="14"/>
          <w:szCs w:val="14"/>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16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Contracting with government entities exposes us to additional risks inherent in the government procurement process.</w:t>
      </w:r>
    </w:p>
    <w:p>
      <w:pPr>
        <w:spacing w:after="0" w:line="202"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Risks Relating to Financial Developments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are exposed to fluctuations in currency exchange rates that could negatively impact our financial results and cash flows.</w:t>
      </w:r>
    </w:p>
    <w:p>
      <w:pPr>
        <w:spacing w:after="0" w:line="202"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167" w:lineRule="exact"/>
        <w:rPr>
          <w:sz w:val="20"/>
          <w:szCs w:val="20"/>
          <w:color w:val="auto"/>
        </w:rPr>
      </w:pPr>
    </w:p>
    <w:p>
      <w:pPr>
        <w:ind w:right="280" w:firstLine="318"/>
        <w:spacing w:after="0" w:line="264" w:lineRule="auto"/>
        <w:rPr>
          <w:sz w:val="20"/>
          <w:szCs w:val="20"/>
          <w:color w:val="auto"/>
        </w:rPr>
      </w:pPr>
      <w:r>
        <w:rPr>
          <w:rFonts w:ascii="Times New Roman" w:cs="Times New Roman" w:eastAsia="Times New Roman" w:hAnsi="Times New Roman"/>
          <w:sz w:val="14"/>
          <w:szCs w:val="14"/>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1" w:lineRule="exact"/>
        <w:rPr>
          <w:sz w:val="20"/>
          <w:szCs w:val="20"/>
          <w:color w:val="auto"/>
        </w:rPr>
      </w:pPr>
    </w:p>
    <w:p>
      <w:pPr>
        <w:jc w:val="both"/>
        <w:ind w:right="180" w:firstLine="318"/>
        <w:spacing w:after="0" w:line="248" w:lineRule="auto"/>
        <w:rPr>
          <w:sz w:val="20"/>
          <w:szCs w:val="20"/>
          <w:color w:val="auto"/>
        </w:rPr>
      </w:pPr>
      <w:r>
        <w:rPr>
          <w:rFonts w:ascii="Times New Roman" w:cs="Times New Roman" w:eastAsia="Times New Roman" w:hAnsi="Times New Roman"/>
          <w:sz w:val="14"/>
          <w:szCs w:val="14"/>
          <w:color w:val="auto"/>
        </w:rPr>
        <w:t>In addition, global events, including the sudden and unexpected effects of the COVID-19 pandemic as well as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debt service obligations may adversely affect our financial condition and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4"/>
          <w:szCs w:val="14"/>
          <w:color w:val="auto"/>
        </w:rPr>
        <w:t>We have $2.30 billion of principal debt, consisting of notes due at various times from June 2025 to December 2031, as of January 31, 2024, as described in Part II, Item 8. We also entered into a credit agreement that provides for an unsecured revolving loan facility in the aggregate principal amount of $1.5 billion, with an option to be increased up to $2.0 billion, as described in Part II, Item</w:t>
      </w:r>
    </w:p>
    <w:p>
      <w:pPr>
        <w:ind w:left="140" w:hanging="135"/>
        <w:spacing w:after="0"/>
        <w:tabs>
          <w:tab w:leader="none" w:pos="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indebtedness, contractual restrictions, and additional issuances of indebtedness could:</w:t>
      </w:r>
    </w:p>
    <w:p>
      <w:pPr>
        <w:spacing w:after="0" w:line="18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cause us to dedicate a substantial portion of our cash flows from operations towards debt service obligations and principal repayments;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1"/>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increase our vulnerability to adverse changes in general economic, industry, and competitive conditions;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1"/>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limit our flexibility in planning for, or reacting to, changes in our business and our industry;</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1"/>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impair our ability to obtain future financing for working capital, capital expenditures, acquisitions, general corporate, or other purposes; and</w:t>
      </w:r>
    </w:p>
    <w:p>
      <w:pPr>
        <w:spacing w:after="0" w:line="12" w:lineRule="exact"/>
        <w:rPr>
          <w:rFonts w:ascii="Arial" w:cs="Arial" w:eastAsia="Arial" w:hAnsi="Arial"/>
          <w:sz w:val="17"/>
          <w:szCs w:val="17"/>
          <w:color w:val="auto"/>
        </w:rPr>
      </w:pPr>
    </w:p>
    <w:p>
      <w:pPr>
        <w:ind w:left="520" w:right="380" w:hanging="260"/>
        <w:spacing w:after="0" w:line="234" w:lineRule="auto"/>
        <w:tabs>
          <w:tab w:leader="none" w:pos="516" w:val="left"/>
        </w:tabs>
        <w:numPr>
          <w:ilvl w:val="1"/>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78"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II, Item 8,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57" w:lineRule="exact"/>
        <w:rPr>
          <w:sz w:val="20"/>
          <w:szCs w:val="20"/>
          <w:color w:val="auto"/>
        </w:rPr>
      </w:pPr>
    </w:p>
    <w:p>
      <w:pPr>
        <w:jc w:val="both"/>
        <w:ind w:right="160" w:firstLine="318"/>
        <w:spacing w:after="0" w:line="264" w:lineRule="auto"/>
        <w:rPr>
          <w:sz w:val="20"/>
          <w:szCs w:val="20"/>
          <w:color w:val="auto"/>
        </w:rPr>
      </w:pPr>
      <w:r>
        <w:rPr>
          <w:rFonts w:ascii="Times New Roman" w:cs="Times New Roman" w:eastAsia="Times New Roman" w:hAnsi="Times New Roman"/>
          <w:sz w:val="14"/>
          <w:szCs w:val="14"/>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6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6" w:lineRule="exact"/>
        <w:rPr>
          <w:sz w:val="20"/>
          <w:szCs w:val="20"/>
          <w:color w:val="auto"/>
        </w:rPr>
      </w:pPr>
    </w:p>
    <w:p>
      <w:pPr>
        <w:ind w:right="140" w:firstLine="318"/>
        <w:spacing w:after="0" w:line="278" w:lineRule="auto"/>
        <w:rPr>
          <w:sz w:val="20"/>
          <w:szCs w:val="20"/>
          <w:color w:val="auto"/>
        </w:rPr>
      </w:pPr>
      <w:r>
        <w:rPr>
          <w:rFonts w:ascii="Times New Roman" w:cs="Times New Roman" w:eastAsia="Times New Roman" w:hAnsi="Times New Roman"/>
          <w:sz w:val="14"/>
          <w:szCs w:val="14"/>
          <w:color w:val="auto"/>
        </w:rPr>
        <w:t>A loss on any of our investments may cause us to record an other-than-temporary impairment charge. The effect of this charge could impact our overall net income and earnings per share</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tax rules and regulations, and uncertainties in interpretation and application, could materially affect our tax obligations and effective tax rate.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may have a significant impact on our effective tax rate and cash taxes.</w:t>
      </w:r>
    </w:p>
    <w:p>
      <w:pPr>
        <w:spacing w:after="0" w:line="154"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4"/>
          <w:szCs w:val="14"/>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Tax Act and the CARES Act, the U.S. Department of Treasury and other standard-setting bodies have been issuing and will continue to issue regulations and interpretative guidance that could significantly impact</w:t>
      </w:r>
    </w:p>
    <w:p>
      <w:pPr>
        <w:spacing w:after="0" w:line="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how we will apply the law and the ultimate effect on our results of operations from both the Tax Act and the CARES Act, including for our prior tax years. In addition, increases in corporate tax rates, could increase our effective tax rate, cash taxes and have an adverse effect on our results from operations.</w:t>
      </w:r>
    </w:p>
    <w:p>
      <w:pPr>
        <w:spacing w:after="0" w:line="156"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Signed into law on August 16, 2022, the Inflation Reduction Act contains many provisions that may impact Autodesk, including the corporate alternative minimum tax and excise tax on stock buybacks. We are monitoring these impacts on our consolidated financial statements.</w:t>
      </w:r>
    </w:p>
    <w:p>
      <w:pPr>
        <w:spacing w:after="0" w:line="145"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For tax years beginning after December 31, 2021, the Tax Act required taxpayers to capitalize and amortize research and development costs pursuant to Internal Revenue Code Section 174. Section 174 required taxpayers to capitalize research and development costs and amortize them over 5 years for expenditures attributed to domestic research and 15 years for expenditures attributed to foreign research. Although Congress is considering legislation that would reinstate and extend Section 174 expensing for certain research and experimental expenditures, the possibility that this will happen is uncertain.</w:t>
      </w:r>
    </w:p>
    <w:p>
      <w:pPr>
        <w:spacing w:after="0" w:line="162"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162"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43" w:lineRule="exact"/>
        <w:rPr>
          <w:sz w:val="20"/>
          <w:szCs w:val="20"/>
          <w:color w:val="auto"/>
        </w:rPr>
      </w:pPr>
    </w:p>
    <w:p>
      <w:pPr>
        <w:jc w:val="both"/>
        <w:ind w:right="20" w:firstLine="318"/>
        <w:spacing w:after="0" w:line="268" w:lineRule="auto"/>
        <w:rPr>
          <w:sz w:val="20"/>
          <w:szCs w:val="20"/>
          <w:color w:val="auto"/>
        </w:rPr>
      </w:pPr>
      <w:r>
        <w:rPr>
          <w:rFonts w:ascii="Times New Roman" w:cs="Times New Roman" w:eastAsia="Times New Roman" w:hAnsi="Times New Roman"/>
          <w:sz w:val="14"/>
          <w:szCs w:val="14"/>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w:t>
      </w:r>
    </w:p>
    <w:p>
      <w:pPr>
        <w:spacing w:after="0" w:line="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need for a valuation allowance, 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business may be significantly disrupted upon the occurrence of a catastrophic event.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4"/>
          <w:szCs w:val="14"/>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(including the ongoing wars between the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178"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57"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4"/>
          <w:szCs w:val="14"/>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existing financial accounting standards or practices, or taxation rules or practices may adversely affect our results of operations.</w:t>
      </w:r>
    </w:p>
    <w:p>
      <w:pPr>
        <w:spacing w:after="0" w:line="202"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15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43"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65"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Risk Management and Strategy</w:t>
      </w:r>
    </w:p>
    <w:p>
      <w:pPr>
        <w:spacing w:after="0" w:line="202" w:lineRule="exact"/>
        <w:rPr>
          <w:sz w:val="20"/>
          <w:szCs w:val="20"/>
          <w:color w:val="auto"/>
        </w:rPr>
      </w:pPr>
    </w:p>
    <w:p>
      <w:pPr>
        <w:jc w:val="both"/>
        <w:ind w:right="20" w:firstLine="350"/>
        <w:spacing w:after="0" w:line="264" w:lineRule="auto"/>
        <w:rPr>
          <w:sz w:val="20"/>
          <w:szCs w:val="20"/>
          <w:color w:val="auto"/>
        </w:rPr>
      </w:pPr>
      <w:r>
        <w:rPr>
          <w:rFonts w:ascii="Times New Roman" w:cs="Times New Roman" w:eastAsia="Times New Roman" w:hAnsi="Times New Roman"/>
          <w:sz w:val="14"/>
          <w:szCs w:val="14"/>
          <w:color w:val="auto"/>
        </w:rPr>
        <w:t>Autodesk has established policies and processes for assessing, treating, and managing material risk from cybersecurity threats based on relevant industry standards. These policies and processes are reviewed and updated at least annually. We have integrated these processes into our overall risk management systems and processes. We routinely assess material risks from cybersecurity threats, including any potential unauthorized occurrence on or conducted through our information systems that may adversely affect the confidentiality, integrity, or availability of our information systems or any information residing therein.</w:t>
      </w:r>
    </w:p>
    <w:p>
      <w:pPr>
        <w:spacing w:after="0" w:line="162"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We conduct risk assessments, penetration tests, and other security assessments to identify cybersecurity threats regularly, and in the event of a material change in our business practices that may affect information systems potentially vulnerable to such cybersecurity threats. These assessments include the identification of reasonably foreseeable internal and external risks, the likelihood and potential damage that could result from such risks, and the sufficiency of existing policies, procedures, systems, and safeguards in place to manage such risks. Risks are then assigned to the appropriate owners for tracking and mitigation.</w:t>
      </w:r>
    </w:p>
    <w:p>
      <w:pPr>
        <w:spacing w:after="0" w:line="1" w:lineRule="exact"/>
        <w:rPr>
          <w:sz w:val="20"/>
          <w:szCs w:val="20"/>
          <w:color w:val="auto"/>
        </w:rPr>
      </w:pPr>
    </w:p>
    <w:p>
      <w:pPr>
        <w:ind w:right="160" w:firstLine="350"/>
        <w:spacing w:after="0" w:line="259" w:lineRule="auto"/>
        <w:rPr>
          <w:sz w:val="20"/>
          <w:szCs w:val="20"/>
          <w:color w:val="auto"/>
        </w:rPr>
      </w:pPr>
      <w:r>
        <w:rPr>
          <w:rFonts w:ascii="Times New Roman" w:cs="Times New Roman" w:eastAsia="Times New Roman" w:hAnsi="Times New Roman"/>
          <w:sz w:val="14"/>
          <w:szCs w:val="14"/>
          <w:color w:val="auto"/>
        </w:rPr>
        <w:t>Following these assessments, we re-design, implement, and maintain reasonable safeguards, when appropriate, to minimize identified risks; reasonably address any identified gaps in existing safeguards; and continually monitor the effectiveness of our safeguards. We devote significant resources and designate high-level personnel, including our Chief Trust Officer, who reports to our Chief Technology Officer, to manage the risk assessment and mitigation processes.</w:t>
      </w:r>
    </w:p>
    <w:p>
      <w:pPr>
        <w:spacing w:after="0" w:line="165"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As part of our overall risk management system, we monitor and test our safeguards. We train our workforce on these safeguards. Personnel at all levels and departments are made aware of our cybersecurity policies through required trainings. Cybersecurity tabletop exercises are regularly conducted for our executives and for incident response professionals. Improvements identified at these tabletop exercises are implemented into our processes.</w:t>
      </w:r>
    </w:p>
    <w:p>
      <w:pPr>
        <w:spacing w:after="0" w:line="157" w:lineRule="exact"/>
        <w:rPr>
          <w:sz w:val="20"/>
          <w:szCs w:val="20"/>
          <w:color w:val="auto"/>
        </w:rPr>
      </w:pPr>
    </w:p>
    <w:p>
      <w:pPr>
        <w:ind w:right="460" w:firstLine="350"/>
        <w:spacing w:after="0" w:line="263" w:lineRule="auto"/>
        <w:rPr>
          <w:sz w:val="20"/>
          <w:szCs w:val="20"/>
          <w:color w:val="auto"/>
        </w:rPr>
      </w:pPr>
      <w:r>
        <w:rPr>
          <w:rFonts w:ascii="Times New Roman" w:cs="Times New Roman" w:eastAsia="Times New Roman" w:hAnsi="Times New Roman"/>
          <w:sz w:val="14"/>
          <w:szCs w:val="14"/>
          <w:color w:val="auto"/>
        </w:rPr>
        <w:t>We engage assessors, consultants, and auditors in connection with our risk assessment processes. These outside advisors assist us to design and implement our cybersecurity policies and procedures, as well as to monitor and test our safeguards.</w:t>
      </w:r>
    </w:p>
    <w:p>
      <w:pPr>
        <w:spacing w:after="0" w:line="1" w:lineRule="exact"/>
        <w:rPr>
          <w:sz w:val="20"/>
          <w:szCs w:val="20"/>
          <w:color w:val="auto"/>
        </w:rPr>
      </w:pPr>
    </w:p>
    <w:p>
      <w:pPr>
        <w:ind w:right="120" w:firstLine="350"/>
        <w:spacing w:after="0" w:line="266" w:lineRule="auto"/>
        <w:rPr>
          <w:sz w:val="20"/>
          <w:szCs w:val="20"/>
          <w:color w:val="auto"/>
        </w:rPr>
      </w:pPr>
      <w:r>
        <w:rPr>
          <w:rFonts w:ascii="Times New Roman" w:cs="Times New Roman" w:eastAsia="Times New Roman" w:hAnsi="Times New Roman"/>
          <w:sz w:val="14"/>
          <w:szCs w:val="14"/>
          <w:color w:val="auto"/>
        </w:rPr>
        <w:t>We require Autodesk’s third-party service providers and suppliers to implement and maintain appropriate security measures consistent with applicable laws in connection with their work with us and to promptly report any suspected breach of their security measures that may affect our Company.</w:t>
      </w:r>
    </w:p>
    <w:p>
      <w:pPr>
        <w:spacing w:after="0" w:line="159" w:lineRule="exact"/>
        <w:rPr>
          <w:sz w:val="20"/>
          <w:szCs w:val="20"/>
          <w:color w:val="auto"/>
        </w:rPr>
      </w:pPr>
    </w:p>
    <w:p>
      <w:pPr>
        <w:jc w:val="both"/>
        <w:ind w:right="40" w:firstLine="350"/>
        <w:spacing w:after="0" w:line="270" w:lineRule="auto"/>
        <w:rPr>
          <w:sz w:val="20"/>
          <w:szCs w:val="20"/>
          <w:color w:val="auto"/>
        </w:rPr>
      </w:pPr>
      <w:r>
        <w:rPr>
          <w:rFonts w:ascii="Times New Roman" w:cs="Times New Roman" w:eastAsia="Times New Roman" w:hAnsi="Times New Roman"/>
          <w:sz w:val="14"/>
          <w:szCs w:val="14"/>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“Risks Relating to Our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Governance</w:t>
      </w:r>
    </w:p>
    <w:p>
      <w:pPr>
        <w:spacing w:after="0" w:line="202"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One of the key functions of our board of directors is informed oversight of our risk management process, including risks from cybersecurity threats. Our board of directors is responsible for monitoring and assessing strategic risk exposure. The board’s Audit Committee oversees the management of cybersecurity risks relating to financial, accounting, and internal control matters. The full board receives regular updates from our senior management and outside advisors regarding cybersecurity risks Autodesk faces. Our Enterprise Risk Management function is responsible for identifying, prioritizing, and mitigating risks that could limit Autodesk's achievement of its strategic and operational priorities. Our executive officers are responsible for the day-to-day assessment and management of these risks.</w:t>
      </w:r>
    </w:p>
    <w:p>
      <w:pPr>
        <w:spacing w:after="0" w:line="164"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Our Chief Trust Officer is responsible for assessing and managing material risks from cybersecurity threats. Our Chief Trust Officer has more than twenty years of cybersecurity leadership experience, including serving in similar roles leading cybersecurity programs at other public companies.</w:t>
      </w:r>
    </w:p>
    <w:p>
      <w:pPr>
        <w:spacing w:after="0" w:line="145"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Chief Trust Officer oversees our cybersecurity policies and processes, including those described in “Risk Management and Strategy” above. The processes by which our Chief Trust Officer is informed about and monitors the prevention, detection, mitigation, and remediation of cybersecurity incidents include the following: leading Autodesk’s Trust program which implements data protection measures and processes across the organization; strategic planning of the company’s cybersecurity initiatives and objectives; cybersecurity risk mitigation efforts; managing tools and processes that support security incident monitoring and alerting; overseeing security incident response planning; managing exercises that test management’s response plans and procedures; and managing our response to suspected or actual security incidents.</w:t>
      </w:r>
    </w:p>
    <w:p>
      <w:pPr>
        <w:spacing w:after="0" w:line="164"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Our Chief Trust Officer provides quarterly briefings to the Audit Committee regarding our cybersecurity risks and state of our Trust program, including recent cybersecurity incidents and related responses, cybersecurity systems testing, and data protection initiatives and metrics. Our Audit Committee regularly updates the board of directors on such reports. In addition, our Chief Trust Officer provides briefings on cybersecurity risks and activities to the board of directors at least annually. Our Chief Trust Officer may also brief the board of directors regarding significant cybersecurity incidents.</w:t>
      </w:r>
    </w:p>
    <w:p>
      <w:pPr>
        <w:spacing w:after="0" w:line="16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202"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We lease approximately 1,400,000 square feet of office space in 88 locations in the United States and internationally through our foreign subsidiaries. Our executive offices and corporate headquarters are in leased office space in San Francisco, California. Our San Francisco facilities consist of approximately 211,000 square feet under leases that have expiration dates ranging from June 2026 to December 2028. We and our foreign subsidiaries lease additional space in various locations throughout the world for local sales, product development, and technical support personnel.</w:t>
      </w:r>
    </w:p>
    <w:p>
      <w:pPr>
        <w:spacing w:after="0" w:line="157"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All facilities are in good condition. We believe that our existing facilities and offices are adequate to meet our requirements for the foreseeable future. See Part II, Item 8, Note 9, “Leases,” in the Notes to Consolidated Financial Statements for more information.</w:t>
      </w:r>
    </w:p>
    <w:p>
      <w:pPr>
        <w:spacing w:after="0" w:line="14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202" w:lineRule="exact"/>
        <w:rPr>
          <w:sz w:val="20"/>
          <w:szCs w:val="20"/>
          <w:color w:val="auto"/>
        </w:rPr>
      </w:pPr>
    </w:p>
    <w:p>
      <w:pPr>
        <w:ind w:right="120" w:firstLine="350"/>
        <w:spacing w:after="0" w:line="259" w:lineRule="auto"/>
        <w:rPr>
          <w:sz w:val="20"/>
          <w:szCs w:val="20"/>
          <w:color w:val="auto"/>
        </w:rPr>
      </w:pPr>
      <w:r>
        <w:rPr>
          <w:rFonts w:ascii="Times New Roman" w:cs="Times New Roman" w:eastAsia="Times New Roman" w:hAnsi="Times New Roman"/>
          <w:sz w:val="14"/>
          <w:szCs w:val="14"/>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57" w:lineRule="exact"/>
        <w:rPr>
          <w:sz w:val="20"/>
          <w:szCs w:val="20"/>
          <w:color w:val="auto"/>
        </w:rPr>
      </w:pPr>
    </w:p>
    <w:p>
      <w:pPr>
        <w:ind w:right="100" w:firstLine="350"/>
        <w:spacing w:after="0" w:line="248" w:lineRule="auto"/>
        <w:rPr>
          <w:sz w:val="20"/>
          <w:szCs w:val="20"/>
          <w:color w:val="auto"/>
        </w:rPr>
      </w:pPr>
      <w:r>
        <w:rPr>
          <w:rFonts w:ascii="Times New Roman" w:cs="Times New Roman" w:eastAsia="Times New Roman" w:hAnsi="Times New Roman"/>
          <w:sz w:val="14"/>
          <w:szCs w:val="14"/>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cooperate with the SEC and USAO. At this stage, the Company cannot reasonably estimate the amount of any possible financial loss that could result from this matter.</w:t>
      </w:r>
    </w:p>
    <w:p>
      <w:pPr>
        <w:spacing w:after="0" w:line="200"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On April 24, 2024, plaintiff Michael Barkasi filed a purported federal securities class action complaint in the Northern District of California against the Company, our Chief Executive Officer Andrew Anagnost, and our former Chief Financial Officer, Deborah L. Clifford. The action is captioned Michael Barkasi v. Autodesk, Inc. et al., 3:24-cv-02431. The complaint, which was filed shortly after the Company’s announcement of the Audit Committee of the Board of Directors’ internal investigation regarding the Company’s free cash flow and non-GAAP operating margin practices, generally alleges that the defendants made false and misleading statements in violation of Sections 10(b) and 20(a) of the Securities Exchange Act of 1934, and Rule 10b-5 promulgated thereunder. The action purports to be brought on behalf of those who purchased or otherwise acquired the Company’s publicly traded securities between June 1, 2023 and April 16, 2024, and seeks unspecified damages and other relief. The case is in its early stages and a lead plaintiff has yet to be appointed. At this stage, the Company cannot reasonably estimate the amount of any possible financial loss that could result from this matter.</w:t>
      </w:r>
    </w:p>
    <w:p>
      <w:pPr>
        <w:spacing w:after="0" w:line="157" w:lineRule="exact"/>
        <w:rPr>
          <w:sz w:val="20"/>
          <w:szCs w:val="20"/>
          <w:color w:val="auto"/>
        </w:rPr>
      </w:pPr>
    </w:p>
    <w:p>
      <w:pPr>
        <w:ind w:firstLine="350"/>
        <w:spacing w:after="0" w:line="248" w:lineRule="auto"/>
        <w:rPr>
          <w:sz w:val="20"/>
          <w:szCs w:val="20"/>
          <w:color w:val="auto"/>
        </w:rPr>
      </w:pPr>
      <w:r>
        <w:rPr>
          <w:rFonts w:ascii="Times New Roman" w:cs="Times New Roman" w:eastAsia="Times New Roman" w:hAnsi="Times New Roman"/>
          <w:sz w:val="14"/>
          <w:szCs w:val="14"/>
          <w:color w:val="auto"/>
        </w:rPr>
        <w:t>In addition, on June 7, 2024, a purported stockholder derivative complaint was filed in the United States District Court for the Northern District of California, naming our current directors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ADSK.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anticipate that, for the foreseeable future, we will not pay any cash or stock dividends.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202" w:lineRule="exact"/>
        <w:rPr>
          <w:sz w:val="20"/>
          <w:szCs w:val="20"/>
          <w:color w:val="auto"/>
        </w:rPr>
      </w:pPr>
    </w:p>
    <w:p>
      <w:pPr>
        <w:ind w:right="760" w:firstLine="350"/>
        <w:spacing w:after="0" w:line="287" w:lineRule="auto"/>
        <w:rPr>
          <w:sz w:val="20"/>
          <w:szCs w:val="20"/>
          <w:color w:val="auto"/>
        </w:rPr>
      </w:pPr>
      <w:r>
        <w:rPr>
          <w:rFonts w:ascii="Times New Roman" w:cs="Times New Roman" w:eastAsia="Times New Roman" w:hAnsi="Times New Roman"/>
          <w:sz w:val="14"/>
          <w:szCs w:val="14"/>
          <w:color w:val="auto"/>
        </w:rPr>
        <w:t>As of January 31, 2024, the number of common stockholders of record was 286.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information about the repurchase of common stock in open-market transactions during the quarter ended January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0" w:type="dxa"/>
            <w:vAlign w:val="bottom"/>
          </w:tcPr>
          <w:p>
            <w:pPr>
              <w:spacing w:after="0"/>
              <w:rPr>
                <w:sz w:val="11"/>
                <w:szCs w:val="11"/>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 Value of Shares that</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520" w:type="dxa"/>
            <w:vAlign w:val="bottom"/>
            <w:vMerge w:val="restart"/>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00" w:type="dxa"/>
            <w:vAlign w:val="bottom"/>
          </w:tcPr>
          <w:p>
            <w:pPr>
              <w:spacing w:after="0"/>
              <w:rPr>
                <w:sz w:val="10"/>
                <w:szCs w:val="10"/>
                <w:color w:val="auto"/>
              </w:rPr>
            </w:pP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 Announced</w:t>
            </w:r>
          </w:p>
        </w:tc>
        <w:tc>
          <w:tcPr>
            <w:tcW w:w="100" w:type="dxa"/>
            <w:vAlign w:val="bottom"/>
          </w:tcPr>
          <w:p>
            <w:pPr>
              <w:spacing w:after="0"/>
              <w:rPr>
                <w:sz w:val="9"/>
                <w:szCs w:val="9"/>
                <w:color w:val="auto"/>
              </w:rPr>
            </w:pPr>
          </w:p>
        </w:tc>
        <w:tc>
          <w:tcPr>
            <w:tcW w:w="20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May Yet Be Purchased Under the Plans</w:t>
            </w:r>
          </w:p>
        </w:tc>
        <w:tc>
          <w:tcPr>
            <w:tcW w:w="0" w:type="dxa"/>
            <w:vAlign w:val="bottom"/>
          </w:tcPr>
          <w:p>
            <w:pPr>
              <w:spacing w:after="0"/>
              <w:rPr>
                <w:sz w:val="1"/>
                <w:szCs w:val="1"/>
                <w:color w:val="auto"/>
              </w:rPr>
            </w:pPr>
          </w:p>
        </w:tc>
      </w:tr>
      <w:tr>
        <w:trPr>
          <w:trHeight w:val="155"/>
        </w:trPr>
        <w:tc>
          <w:tcPr>
            <w:tcW w:w="4340" w:type="dxa"/>
            <w:vAlign w:val="bottom"/>
            <w:vMerge w:val="continue"/>
          </w:tcPr>
          <w:p>
            <w:pPr>
              <w:spacing w:after="0"/>
              <w:rPr>
                <w:sz w:val="13"/>
                <w:szCs w:val="13"/>
                <w:color w:val="auto"/>
              </w:rPr>
            </w:pPr>
          </w:p>
        </w:tc>
        <w:tc>
          <w:tcPr>
            <w:tcW w:w="1520" w:type="dxa"/>
            <w:vAlign w:val="bottom"/>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8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Plans or Programs(1)</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 Program (</w:t>
            </w:r>
            <w:r>
              <w:rPr>
                <w:rFonts w:ascii="Times New Roman" w:cs="Times New Roman" w:eastAsia="Times New Roman" w:hAnsi="Times New Roman"/>
                <w:sz w:val="11"/>
                <w:szCs w:val="11"/>
                <w:b w:val="1"/>
                <w:bCs w:val="1"/>
                <w:i w:val="1"/>
                <w:iCs w:val="1"/>
                <w:color w:val="auto"/>
              </w:rPr>
              <w:t>in millions</w:t>
            </w:r>
            <w:r>
              <w:rPr>
                <w:rFonts w:ascii="Times New Roman" w:cs="Times New Roman" w:eastAsia="Times New Roman" w:hAnsi="Times New Roman"/>
                <w:sz w:val="11"/>
                <w:szCs w:val="11"/>
                <w:b w:val="1"/>
                <w:bCs w:val="1"/>
                <w:color w:val="auto"/>
              </w:rPr>
              <w:t>) (2)</w:t>
            </w:r>
          </w:p>
        </w:tc>
        <w:tc>
          <w:tcPr>
            <w:tcW w:w="0" w:type="dxa"/>
            <w:vAlign w:val="bottom"/>
          </w:tcPr>
          <w:p>
            <w:pPr>
              <w:spacing w:after="0"/>
              <w:rPr>
                <w:sz w:val="1"/>
                <w:szCs w:val="1"/>
                <w:color w:val="auto"/>
              </w:rPr>
            </w:pPr>
          </w:p>
        </w:tc>
      </w:tr>
      <w:tr>
        <w:trPr>
          <w:trHeight w:val="16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1 - November 30</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205.50</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center"/>
              <w:ind w:left="1602"/>
              <w:spacing w:after="0"/>
              <w:rPr>
                <w:sz w:val="20"/>
                <w:szCs w:val="20"/>
                <w:color w:val="auto"/>
              </w:rPr>
            </w:pPr>
            <w:r>
              <w:rPr>
                <w:rFonts w:ascii="Times New Roman" w:cs="Times New Roman" w:eastAsia="Times New Roman" w:hAnsi="Times New Roman"/>
                <w:sz w:val="13"/>
                <w:szCs w:val="13"/>
                <w:color w:val="auto"/>
                <w:w w:val="94"/>
              </w:rPr>
              <w:t>$4,769</w:t>
            </w:r>
          </w:p>
        </w:tc>
        <w:tc>
          <w:tcPr>
            <w:tcW w:w="0" w:type="dxa"/>
            <w:vAlign w:val="bottom"/>
          </w:tcPr>
          <w:p>
            <w:pPr>
              <w:spacing w:after="0"/>
              <w:rPr>
                <w:sz w:val="1"/>
                <w:szCs w:val="1"/>
                <w:color w:val="auto"/>
              </w:rPr>
            </w:pPr>
          </w:p>
        </w:tc>
      </w:tr>
      <w:tr>
        <w:trPr>
          <w:trHeight w:val="16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1 - December 31</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224.39</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14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auto"/>
              </w:rPr>
              <w:t>4,758</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 January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232.59</w:t>
            </w: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140" w:type="dxa"/>
            <w:vAlign w:val="bottom"/>
            <w:gridSpan w:val="2"/>
            <w:shd w:val="clear" w:color="auto" w:fill="CCEEFF"/>
          </w:tcPr>
          <w:p>
            <w:pPr>
              <w:jc w:val="center"/>
              <w:ind w:left="1696"/>
              <w:spacing w:after="0"/>
              <w:rPr>
                <w:sz w:val="20"/>
                <w:szCs w:val="20"/>
                <w:color w:val="auto"/>
              </w:rPr>
            </w:pPr>
            <w:r>
              <w:rPr>
                <w:rFonts w:ascii="Times New Roman" w:cs="Times New Roman" w:eastAsia="Times New Roman" w:hAnsi="Times New Roman"/>
                <w:sz w:val="13"/>
                <w:szCs w:val="13"/>
                <w:color w:val="auto"/>
              </w:rPr>
              <w:t>4,739</w:t>
            </w: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216.55</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purchased in open-market transactions under the stock repurchase program approved by the Board of Directors in November 2022.</w:t>
      </w:r>
    </w:p>
    <w:p>
      <w:pPr>
        <w:spacing w:after="0" w:line="2" w:lineRule="exact"/>
        <w:rPr>
          <w:rFonts w:ascii="Times New Roman" w:cs="Times New Roman" w:eastAsia="Times New Roman" w:hAnsi="Times New Roman"/>
          <w:sz w:val="13"/>
          <w:szCs w:val="13"/>
          <w:color w:val="auto"/>
        </w:rPr>
      </w:pPr>
    </w:p>
    <w:p>
      <w:pPr>
        <w:ind w:left="320" w:right="400" w:hanging="315"/>
        <w:spacing w:after="0" w:line="258" w:lineRule="auto"/>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correspond to the plan publicly announced and approved by the Board of Directors in November 2022 that authorized the repurchase of $5 billion. At January 31, 2024, $4.74 billion remained available for repurchase under the November 2022 repurchase program. The plan does not have a fixed expiration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UNREGISTERED SECURITIES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were no sales of unregistered securities during the three months ended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STOCK PERFORMANCE</w:t>
      </w:r>
    </w:p>
    <w:p>
      <w:pPr>
        <w:spacing w:after="0" w:line="20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following graph shows a five-year comparison of cumulative total return (equal to dividends plus stock appreciation) for our common stock, the Standard &amp; Poor’s 500 Stock Index, the Standard &amp; Poor’s North American Technology Software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90925" cy="2694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90925"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3" w:lineRule="exact"/>
        <w:rPr>
          <w:sz w:val="20"/>
          <w:szCs w:val="20"/>
          <w:color w:val="auto"/>
        </w:rPr>
      </w:pPr>
    </w:p>
    <w:p>
      <w:pPr>
        <w:ind w:left="320" w:right="120" w:hanging="315"/>
        <w:spacing w:after="0" w:line="264" w:lineRule="auto"/>
        <w:tabs>
          <w:tab w:leader="none" w:pos="3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$100 invested on January 31, 2019, in Autodesk’s stock, the Standard &amp; Poor’s 500 Stock Index, Standard &amp; Poor’s North American Technology Software Index, and the Dow Jones U.S. Software Index with reinvestment of all dividends. Total stockholder returns for prior periods are not an indication of future investment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200" w:lineRule="exact"/>
        <w:rPr>
          <w:sz w:val="20"/>
          <w:szCs w:val="20"/>
          <w:color w:val="auto"/>
        </w:rPr>
      </w:pPr>
    </w:p>
    <w:p>
      <w:pPr>
        <w:ind w:right="6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This discussion contains forward-looking statements based upon current expectations that involve risks and uncertainties. Our actual results may differ materially from those anticipated in these forward-looking statements as a result of several factors, including those set forth above in Part I, Item 1A, "Risk Factors," and elsewhere in this report. See “Forward-Looking Information” immediately preceding Part 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2"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157"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Our strategy is to deliver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spacing w:after="0" w:line="157"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Product Evolution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offer subscriptions for individual products and Industry Collections, enterprise business arrangements (“EBAs”), and cloud service offerings (collectively referred to as “subscription plans”).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plans are designed to give our customers more flexibility with how they use our offerings and to attract a broader range of customers, such as project-based users and small businesses.</w:t>
      </w:r>
    </w:p>
    <w:p>
      <w:pPr>
        <w:spacing w:after="0" w:line="185"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Our subscription plans represent a hybrid of desktop software and cloud functionality, which provides a device-independent, collaborative design workflow for designers and their stakeholders. Our cloud offerings, for example, Autodesk Construction Cloud, Autodesk Build, Fusion, Flow Production Tracking,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162"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Industry Collections provide our customers with access to a broader selection of Autodesk solutions and services, simplifying the customers’ ability to benefit from a complete set of tools for their industry.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To support our strategic priority of digital transformation in Architecture, Engineering, and Construction (“AEC”), we are strengthening our AEC solutions’ foundation with both organic and inorganic investments.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AI-powered insights that simplify the exploration of design concepts, offload repetitive tasks, and help evaluate environmental qualities surrounding a building site. In fiscal 2023, we acquired a cloud-connected, extended reality (XR) platform enabling AEC professionals to present, collaborate and review projects in immersive and interactive experiences, from anywhere and at any time. This acquisition enables Autodesk to meet increasing needs for augmented reality (AR) and virtual reality (VR) technology advancements within the AEC industry and further support AEC customers throughout the project delivery lifecycle. In fiscal 2022, we acquired Storm UK Holdco Limited, the parent of Innovyze, Inc. (“Innovyze”), which provides water infrastructure software. Combining Innovyze’s hydraulic modeling, simulation, asset performance management and operational analytics solutions with Autodesk’s design and analysis solutions (including Autodesk Civil 3D, Autodesk InfraWorks, and the Autodesk Construction Cloud) enables us to deliver end-to-end, cloud-based solutions for our water infrastructure customers that drive efficiency and sustainability. Other acquisitions in fiscal 2022 include a cloud-based estimating solution that enables construction teams to create estimates, perform digital takeoffs, generate detailed reports and proposals and manage bid-day processes. Additionally, in fiscal 2022, we launched Autodesk Tandem, a cloud-based digital twin technology platform that extends digital project delivery by providing owner/operators with an easy to use, accurate, digital as-built model of a newly built or renovated facility. This accelerates operational readiness and extends the value of BIM downstream into the owner/operator segment.</w:t>
      </w:r>
    </w:p>
    <w:p>
      <w:pPr>
        <w:spacing w:after="0" w:line="157" w:lineRule="exact"/>
        <w:rPr>
          <w:sz w:val="20"/>
          <w:szCs w:val="20"/>
          <w:color w:val="auto"/>
        </w:rPr>
      </w:pPr>
    </w:p>
    <w:p>
      <w:pPr>
        <w:ind w:right="20" w:firstLine="318"/>
        <w:spacing w:after="0" w:line="244" w:lineRule="auto"/>
        <w:rPr>
          <w:sz w:val="20"/>
          <w:szCs w:val="20"/>
          <w:color w:val="auto"/>
        </w:rPr>
      </w:pPr>
      <w:r>
        <w:rPr>
          <w:rFonts w:ascii="Times New Roman" w:cs="Times New Roman" w:eastAsia="Times New Roman" w:hAnsi="Times New Roman"/>
          <w:sz w:val="14"/>
          <w:szCs w:val="14"/>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In fiscal 2023, we acquired a maker of software for optimizing manufacturing processes with automation and digitization from the shop floor upward that provides a real-time system of record for data collection, management, and analysis. In fiscal 2022, we acquired Upchain, an instant-on, cloud-based data management technology that allows product design and manufacturing customers to collaborate in the cloud across their value chains and bring products to market faster.</w:t>
      </w:r>
    </w:p>
    <w:p>
      <w:pPr>
        <w:spacing w:after="0" w:line="174" w:lineRule="exact"/>
        <w:rPr>
          <w:sz w:val="20"/>
          <w:szCs w:val="20"/>
          <w:color w:val="auto"/>
        </w:rPr>
      </w:pPr>
    </w:p>
    <w:p>
      <w:pPr>
        <w:ind w:right="220" w:firstLine="318"/>
        <w:spacing w:after="0" w:line="264" w:lineRule="auto"/>
        <w:rPr>
          <w:sz w:val="20"/>
          <w:szCs w:val="20"/>
          <w:color w:val="auto"/>
        </w:rPr>
      </w:pPr>
      <w:r>
        <w:rPr>
          <w:rFonts w:ascii="Times New Roman" w:cs="Times New Roman" w:eastAsia="Times New Roman" w:hAnsi="Times New Roman"/>
          <w:sz w:val="14"/>
          <w:szCs w:val="14"/>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Global Reach</w:t>
      </w:r>
    </w:p>
    <w:p>
      <w:pPr>
        <w:spacing w:after="0" w:line="202"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4"/>
          <w:szCs w:val="14"/>
          <w:color w:val="auto"/>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value added distributors, value added resellers, direct market resellers, volume channel partners, and product-specific resellers. During fiscal 2023, we entered into transition agreements with certain of our distributors, including TD Synnex and Ingram Micro, to provide transition distribution activities for a one-to-two-year period, with potential extensions. In connection with the transition agreements, Autodesk intends to increase its selling efforts with value-added resellers and Solution Providers. We introduced a new transaction model for our token-based Flex offering in North America, and certain countries in EMEA and APAC, and for most of our subscription offerings in Australia during fiscal 2024, whereby channel partners provide a quote to customers but the actual transaction occurs directly between Autodesk and the customer. Dependent upon successful implementation in Australia, we intend to transition our indirect business to the new transaction model in our major markets globally in fiscal 2025 and fiscal 2026. We expect the change in accounting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 See Part II, Item 8, Note 2, "Revenue Recognition" in the Notes to the Consolidated Financial Statements for further detail on the results of our indirect and direct channel sales for the fiscal years ended January 31, 2024, 2023, and 2022.</w:t>
      </w:r>
    </w:p>
    <w:p>
      <w:pPr>
        <w:spacing w:after="0" w:line="159" w:lineRule="exact"/>
        <w:rPr>
          <w:sz w:val="20"/>
          <w:szCs w:val="20"/>
          <w:color w:val="auto"/>
        </w:rPr>
      </w:pPr>
    </w:p>
    <w:p>
      <w:pPr>
        <w:ind w:right="20" w:firstLine="318"/>
        <w:spacing w:after="0" w:line="245" w:lineRule="auto"/>
        <w:rPr>
          <w:sz w:val="20"/>
          <w:szCs w:val="20"/>
          <w:color w:val="auto"/>
        </w:rPr>
      </w:pPr>
      <w:r>
        <w:rPr>
          <w:rFonts w:ascii="Times New Roman" w:cs="Times New Roman" w:eastAsia="Times New Roman" w:hAnsi="Times New Roman"/>
          <w:sz w:val="14"/>
          <w:szCs w:val="14"/>
          <w:color w:val="auto"/>
        </w:rPr>
        <w:t>We anticipate that our channel mix will continue to change as we scale our business. With the continued growth of our online Autodesk branded store, the transition to annual billings for multi-year contracts and our new token-based Flex model, and the introduction of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Platform Capabilities</w:t>
      </w:r>
    </w:p>
    <w:p>
      <w:pPr>
        <w:spacing w:after="0" w:line="191" w:lineRule="exact"/>
        <w:rPr>
          <w:sz w:val="20"/>
          <w:szCs w:val="20"/>
          <w:color w:val="auto"/>
        </w:rPr>
      </w:pPr>
    </w:p>
    <w:p>
      <w:pPr>
        <w:ind w:right="360" w:firstLine="318"/>
        <w:spacing w:after="0" w:line="255" w:lineRule="auto"/>
        <w:rPr>
          <w:sz w:val="20"/>
          <w:szCs w:val="20"/>
          <w:color w:val="auto"/>
        </w:rPr>
      </w:pPr>
      <w:r>
        <w:rPr>
          <w:rFonts w:ascii="Times New Roman" w:cs="Times New Roman" w:eastAsia="Times New Roman" w:hAnsi="Times New Roman"/>
          <w:sz w:val="14"/>
          <w:szCs w:val="14"/>
          <w:color w:val="auto"/>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spacing w:after="0" w:line="157"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4"/>
          <w:szCs w:val="14"/>
          <w:color w:val="auto"/>
        </w:rPr>
        <w:t>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w:t>
      </w:r>
    </w:p>
    <w:p>
      <w:pPr>
        <w:spacing w:after="0" w:line="146"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4"/>
          <w:szCs w:val="14"/>
          <w:color w:val="auto"/>
        </w:rPr>
        <w:t>One example of these shared capabilities is Autodesk AI. We have been investing in AI for over a decade. Our focus is on building AI capabilities that add value to our customers’ workloads through augmentation, automation and analysis.</w:t>
      </w:r>
    </w:p>
    <w:p>
      <w:pPr>
        <w:spacing w:after="0" w:line="156" w:lineRule="exact"/>
        <w:rPr>
          <w:sz w:val="20"/>
          <w:szCs w:val="20"/>
          <w:color w:val="auto"/>
        </w:rPr>
      </w:pPr>
    </w:p>
    <w:p>
      <w:pPr>
        <w:ind w:right="200" w:firstLine="318"/>
        <w:spacing w:after="0" w:line="264" w:lineRule="auto"/>
        <w:rPr>
          <w:sz w:val="20"/>
          <w:szCs w:val="20"/>
          <w:color w:val="auto"/>
        </w:rPr>
      </w:pPr>
      <w:r>
        <w:rPr>
          <w:rFonts w:ascii="Times New Roman" w:cs="Times New Roman" w:eastAsia="Times New Roman" w:hAnsi="Times New Roman"/>
          <w:sz w:val="14"/>
          <w:szCs w:val="14"/>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spacing w:after="0" w:line="16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Impact at Autodesk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Autodesk is committed to advancing a more sustainable, resilient, and equitable world. We don’t believe in waiting for progress, we believe in making it. We take action as a business and support our employees, customers, and communities in our collective opportunity to design and make a better world for all.</w:t>
      </w:r>
    </w:p>
    <w:p>
      <w:pPr>
        <w:spacing w:after="0" w:line="145"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57"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These opportunities manifest as outcomes through how our customers leverage our technology to design and make net-zero carbon buildings, resilient infrastructure, more sustainable products, and a thriving workforce. We realize these opportunities through powering our business with 100% renewable energy, neutralizing greenhouse gas emissions and developing an inclusive culture. We advance these opportunities with industry innovators through collaboration, philanthropic capital, software donations, and training.</w:t>
      </w:r>
    </w:p>
    <w:p>
      <w:pPr>
        <w:spacing w:after="0" w:line="157"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social and environmental impact. On our behalf, the Foundation also administers a discounted software donation program to nonprofit organizations, social and environmental entrepreneurs, and others who are developing design solutions that will transform industries and help shape a better world for all.</w:t>
      </w:r>
    </w:p>
    <w:p>
      <w:pPr>
        <w:spacing w:after="0" w:line="162"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Assumptions Behind Our Strategy</w:t>
      </w:r>
    </w:p>
    <w:p>
      <w:pPr>
        <w:spacing w:after="0" w:line="202"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Our strategy depends upon many assumptions, including: making our technology available to mainstream markets; leveraging our large global network of distributors, resellers, agents,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 Developments</w:t>
      </w:r>
    </w:p>
    <w:p>
      <w:pPr>
        <w:spacing w:after="0" w:line="191"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4"/>
          <w:szCs w:val="14"/>
          <w:color w:val="auto"/>
        </w:rPr>
        <w:t>On February 20, 2024, Autodesk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p>
      <w:pPr>
        <w:spacing w:after="0" w:line="157" w:lineRule="exact"/>
        <w:rPr>
          <w:sz w:val="20"/>
          <w:szCs w:val="20"/>
          <w:color w:val="auto"/>
        </w:rPr>
      </w:pPr>
    </w:p>
    <w:p>
      <w:pPr>
        <w:ind w:right="140" w:firstLine="318"/>
        <w:spacing w:after="0" w:line="239" w:lineRule="auto"/>
        <w:rPr>
          <w:sz w:val="20"/>
          <w:szCs w:val="20"/>
          <w:color w:val="auto"/>
        </w:rPr>
      </w:pPr>
      <w:r>
        <w:rPr>
          <w:rFonts w:ascii="Times New Roman" w:cs="Times New Roman" w:eastAsia="Times New Roman" w:hAnsi="Times New Roman"/>
          <w:sz w:val="14"/>
          <w:szCs w:val="14"/>
          <w:color w:val="auto"/>
        </w:rPr>
        <w:t>On March 15, 2024, Autodesk acquired the PIX business of X2X, LLC (“PIX”), a production management solution for secure review and content collaboration in the media and entertainment industry. The acquisition will help foster broader collaboration and communication, as well as help drive greater efficiencies in the production process</w:t>
      </w:r>
      <w:r>
        <w:rPr>
          <w:rFonts w:ascii="Calibri" w:cs="Calibri" w:eastAsia="Calibri" w:hAnsi="Calibri"/>
          <w:sz w:val="15"/>
          <w:szCs w:val="15"/>
          <w:color w:val="auto"/>
        </w:rPr>
        <w:t>.</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See Part II, Item 8, Note 17, “Subsequent Events,” in the Notes to Consolidated Financial Statements for further discussion.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220" w:firstLine="350"/>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Our significant accounting policies are described in Part II, Item 8, “Financial Statements and Supplementary Data,” Note 1, “Business and Summary of Significant Accounting Policies,” in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 are the accounting policies we believe are the most critical to aid in fully understanding and evaluating our financial condition and results of operations.</w:t>
      </w:r>
    </w:p>
    <w:p>
      <w:pPr>
        <w:spacing w:after="0" w:line="162" w:lineRule="exact"/>
        <w:rPr>
          <w:sz w:val="20"/>
          <w:szCs w:val="20"/>
          <w:color w:val="auto"/>
        </w:rPr>
      </w:pPr>
    </w:p>
    <w:p>
      <w:pPr>
        <w:ind w:right="2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Revenue Recognition - Judgments with Multiple Performance Obligations. </w:t>
      </w:r>
      <w:r>
        <w:rPr>
          <w:rFonts w:ascii="Times New Roman" w:cs="Times New Roman" w:eastAsia="Times New Roman" w:hAnsi="Times New Roman"/>
          <w:sz w:val="14"/>
          <w:szCs w:val="14"/>
          <w:color w:val="auto"/>
        </w:rPr>
        <w:t>Our contracts with customers may include promises to transfer multiple products and services to a customer.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obligation is a promise in a contract with a customer to transfer products or services that are distinct. Determining whether products and services are distinct performance obligations that should be accounted for separately or combined as a single performance obligation may require significant judgment that requires us to assess the nature of the promise and value delivered to the customer and the interaction of the desktop applications and cloud functionalities.</w:t>
      </w:r>
    </w:p>
    <w:p>
      <w:pPr>
        <w:spacing w:after="0" w:line="16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For our product subscriptions, cloud service offerings, and flexible enterprise business arrangements, the functional nature of the promise, as well as the customers’ value expectations, led us to conclude desktop applications and cloud functionalities are not distinct in the context of the contract and should be accounted for as a single performance obligation. There is a high degree of interaction of the desktop applications and cloud functionalities, which is not available with the desktop applications alone or in conjunction with third-party cloud service providers. Furthermore, customers are not able to use the desktop applications for its intended purpose without our cloud functionalities.</w:t>
      </w:r>
    </w:p>
    <w:p>
      <w:pPr>
        <w:spacing w:after="0" w:line="162" w:lineRule="exact"/>
        <w:rPr>
          <w:sz w:val="20"/>
          <w:szCs w:val="20"/>
          <w:color w:val="auto"/>
        </w:rPr>
      </w:pPr>
    </w:p>
    <w:p>
      <w:pPr>
        <w:jc w:val="both"/>
        <w:ind w:right="260" w:firstLine="350"/>
        <w:spacing w:after="0" w:line="270" w:lineRule="auto"/>
        <w:rPr>
          <w:sz w:val="20"/>
          <w:szCs w:val="20"/>
          <w:color w:val="auto"/>
        </w:rPr>
      </w:pPr>
      <w:r>
        <w:rPr>
          <w:rFonts w:ascii="Times New Roman" w:cs="Times New Roman" w:eastAsia="Times New Roman" w:hAnsi="Times New Roman"/>
          <w:sz w:val="14"/>
          <w:szCs w:val="14"/>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57"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We establish SSP for most of our products and services based on observable prices when sold separately in similar circumstances to similar customers. 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product type or sales channel to determine the SSP.</w:t>
      </w:r>
    </w:p>
    <w:p>
      <w:pPr>
        <w:spacing w:after="0" w:line="160" w:lineRule="exact"/>
        <w:rPr>
          <w:sz w:val="20"/>
          <w:szCs w:val="20"/>
          <w:color w:val="auto"/>
        </w:rPr>
      </w:pPr>
    </w:p>
    <w:p>
      <w:pPr>
        <w:ind w:right="4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Strategic Investments. </w:t>
      </w:r>
      <w:r>
        <w:rPr>
          <w:rFonts w:ascii="Times New Roman" w:cs="Times New Roman" w:eastAsia="Times New Roman" w:hAnsi="Times New Roman"/>
          <w:sz w:val="14"/>
          <w:szCs w:val="14"/>
          <w:color w:val="auto"/>
        </w:rPr>
        <w:t>Strategic investment debt and equity securities are valued using significant unobservable inputs or data in an inactive market and the valuation requires our judgment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absence of market prices and inherent lack of liquidity. The carrying value is adjusted for our strategic investment equity securities if there are observable price changes in a same or similar security from the same issuer or if there are identified events or changes in circumstances that may indicate impairment, as discussed below. The determination of whether an orderly transaction is for a same or similar investment requires significant management judgment including the nature of rights and obligations of the investments, the extent to which differences in those rights and obligations would affect the fair values of those investments, and the impact of any differences based on the stage of operational development of the investee.</w:t>
      </w:r>
    </w:p>
    <w:p>
      <w:pPr>
        <w:spacing w:after="0" w:line="163"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45"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We assess our strategic investment debt and equity securities portfolio quarterly for impairment. Strategic investment equity securities are assessed based on available information such as current cash positions,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other expense, net” on the Company’s Consolidated Statements of Operations. Any impairment that is not credit-related is recognized in “Accumulated other comprehensive loss” on the Consolidated Balance Sheets.</w:t>
      </w:r>
    </w:p>
    <w:p>
      <w:pPr>
        <w:spacing w:after="0" w:line="145"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For our quarterly impairment assessment of privately held debt and equity securities,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w:t>
      </w:r>
    </w:p>
    <w:p>
      <w:pPr>
        <w:spacing w:after="0" w:line="160"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Business Combinations. </w:t>
      </w:r>
      <w:r>
        <w:rPr>
          <w:rFonts w:ascii="Times New Roman" w:cs="Times New Roman" w:eastAsia="Times New Roman" w:hAnsi="Times New Roman"/>
          <w:sz w:val="14"/>
          <w:szCs w:val="14"/>
          <w:color w:val="auto"/>
        </w:rPr>
        <w:t>The assets acquired and liabilities assumed in a business combination are recorded based on their estimated fair values at the acquisition date, with the exception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assets and contract liabilities (i.e., deferred revenue) which are recognized and measured on the acquisition date in accordance with Autodesk’s “Revenue Recognition” policy in Part II, Item 8, “Financial Statements and Supplementary Data,” Note 1 “Business and Summary of Significant Accounting Policies”. Any residual purchase price is recorded as goodwill. Accounting for business combinations requires us to make significant estimates and assumptions, especially at the acquisition date with respect to intangible assets.</w:t>
      </w:r>
    </w:p>
    <w:p>
      <w:pPr>
        <w:spacing w:after="0" w:line="161"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Although we believe the assumptions and estimates we have made are reasonable, they are based in part on historical experience and information obtained from the management of the acquired companies and are inherently uncertain and unpredictable. Unanticipated events and circumstances may occur which may affect the accuracy or validity of such assumptions, estimates, or actual results. Examples of critical estimates used in valuing certain of the intangible assets and in determining the assets’ useful lives for the assets we have acquired or may acquire in the future include but are not limited to:</w:t>
      </w:r>
    </w:p>
    <w:p>
      <w:pPr>
        <w:spacing w:after="0" w:line="56"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expected cash flows from subscriptions and maintenance agreements, sales, and acquired developed technologies;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company's trade name and patents, as well as assumptions about the period of time the acquired trade name and patents will continue to be used in our product portfolio;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growth in revenue from the acquired company’s existing customer relationships;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costs to develop the in-process research and development into commercially viable products and estimated cash flows from the projects when completed;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tax positions and tax related valuation allowances assumed;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 rates used to determine the present value of estimated future cash flows.</w:t>
      </w:r>
    </w:p>
    <w:p>
      <w:pPr>
        <w:spacing w:after="0" w:line="198" w:lineRule="exact"/>
        <w:rPr>
          <w:sz w:val="20"/>
          <w:szCs w:val="20"/>
          <w:color w:val="auto"/>
        </w:rPr>
      </w:pPr>
    </w:p>
    <w:p>
      <w:pPr>
        <w:ind w:right="12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Realizability of Intangible Assets. </w:t>
      </w:r>
      <w:r>
        <w:rPr>
          <w:rFonts w:ascii="Times New Roman" w:cs="Times New Roman" w:eastAsia="Times New Roman" w:hAnsi="Times New Roman"/>
          <w:sz w:val="14"/>
          <w:szCs w:val="14"/>
          <w:color w:val="auto"/>
        </w:rPr>
        <w:t>We assess the realizability of our intangible assets, other than goodwill, quarterly, or sooner should events or changes in circumstances indicate the carrying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61" w:lineRule="exact"/>
        <w:rPr>
          <w:sz w:val="20"/>
          <w:szCs w:val="20"/>
          <w:color w:val="auto"/>
        </w:rPr>
      </w:pPr>
    </w:p>
    <w:p>
      <w:pPr>
        <w:jc w:val="both"/>
        <w:ind w:right="320" w:firstLine="350"/>
        <w:spacing w:after="0" w:line="270" w:lineRule="auto"/>
        <w:rPr>
          <w:sz w:val="20"/>
          <w:szCs w:val="20"/>
          <w:color w:val="auto"/>
        </w:rPr>
      </w:pPr>
      <w:r>
        <w:rPr>
          <w:rFonts w:ascii="Times New Roman" w:cs="Times New Roman" w:eastAsia="Times New Roman" w:hAnsi="Times New Roman"/>
          <w:sz w:val="14"/>
          <w:szCs w:val="14"/>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intangible assets.</w:t>
      </w:r>
    </w:p>
    <w:p>
      <w:pPr>
        <w:spacing w:after="0" w:line="157"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The key assumptions that we use in our discounted cash flow model include the amount and timing of estimated future cash flows to be generated by the asset group over an extended period of time and a rate of return that considers the relative risk of achieving the cash flows and the time value of money. Significant judgment is required to estimate the amount and timing of future cash flows and the relative risk of achieving those cash flows. We also make judgments about the remaining useful lives of acquired intangible assets and other intangible assets that have finite lives.</w:t>
      </w:r>
    </w:p>
    <w:p>
      <w:pPr>
        <w:spacing w:after="0" w:line="157"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43" w:lineRule="exact"/>
        <w:rPr>
          <w:sz w:val="20"/>
          <w:szCs w:val="20"/>
          <w:color w:val="auto"/>
        </w:rPr>
      </w:pPr>
    </w:p>
    <w:p>
      <w:pPr>
        <w:ind w:right="340"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We account for income taxes under the asset and liability approach. Under this method, deferred tax assets, including those related to tax loss carryforwards and credits,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deferred tax liabilities are determined based on the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differences between the financial statement and tax bases of assets and liabilities using enacted tax rates in effect for the year in which the differences are expected to reverse. We recognize the tax benefit for an uncertain tax position when it meets the more likely than not threshold for recognition. We recognize potential accrued interest and penalties related to unrecognized tax benefits as income tax expense.</w:t>
      </w:r>
    </w:p>
    <w:p>
      <w:pPr>
        <w:spacing w:after="0" w:line="157"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or release of a valuation allowance, we consider all available evidence including past operating results and estimates of future taxable income.</w:t>
      </w:r>
    </w:p>
    <w:p>
      <w:pPr>
        <w:spacing w:after="0" w:line="162"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As we continually strive to optimize our overall business model, tax planning strategies may become feasible and prudent whereby management may determine that it is more likely than not that the Portugal, New Zealand, California, Massachusetts, Michigan and Australia capital loss and U.S. capital loss deferred tax assets will be realized. Each quarter we will continue to evaluate the positive and negative evidence of our ability to utilize our global deferred tax assets.</w:t>
      </w:r>
    </w:p>
    <w:p>
      <w:pPr>
        <w:spacing w:after="0" w:line="155"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As described in Part I, Item 3, “Legal Proceedings” and Part II, Item 8, “Financial Statements and Supplementary Data, Note 11, “Commitments and Contingencies,”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Significant judgment is required to determine both the likelihood of there being, and the estimated amount of, a loss related to such matters. Due to inherent uncertainties related to these matters, we base our loss accruals on the best information available at the time. Until the final resolution of such matters, there may be an exposure to loss in excess of the amount recorded. As additional information becomes available, we reassess our potential liability and may revise our estimates. Such revisions could have a material impact on future quarterly or annual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w:t>
      </w:r>
    </w:p>
    <w:p>
      <w:pPr>
        <w:spacing w:after="0" w:line="20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See Part II, Item 8, “Financial Statements and Supplementary Data,”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FISCAL 2024</w:t>
      </w:r>
    </w:p>
    <w:p>
      <w:pPr>
        <w:spacing w:after="0" w:line="202"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net revenue was $5.50 billion during fiscal 2024, an increase of 10% compared to the prior fiscal year.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Recurring revenue as a percentage of net revenue was 98% for both fiscal years ending January 31, 2024 and 2023.</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 retention rate (“NR3”) was within the range of 100% and 110%, on a constant currency basis, as of both January 31, 2024 and 2023.</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revenue was $4.26 billion, a decrease of 7% compared to the prior fiscal year.</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Remaining performance obligations (short-term and long-term deferred revenue plus unbilled deferred revenue) (“RPO”) was $6.11 billion, an increase of 9% compared to the fourth quarter in the prior fiscal year.</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remaining performance obligations were $3.98 billion, an increase of 13% compared to the prior fiscal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Analysis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fiscal 2024, net revenue increased 10%, as compared to the prior fiscal year, primarily due to a 10% increase in subscription revenue.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Further discussion of the drivers of these results are discussed below under the heading “Results of Operations.”</w:t>
      </w:r>
    </w:p>
    <w:p>
      <w:pPr>
        <w:spacing w:after="0" w:line="200" w:lineRule="exact"/>
        <w:rPr>
          <w:sz w:val="20"/>
          <w:szCs w:val="20"/>
          <w:color w:val="auto"/>
        </w:rPr>
      </w:pPr>
    </w:p>
    <w:p>
      <w:pPr>
        <w:ind w:right="380" w:firstLine="318"/>
        <w:spacing w:after="0" w:line="270" w:lineRule="auto"/>
        <w:rPr>
          <w:sz w:val="20"/>
          <w:szCs w:val="20"/>
          <w:color w:val="auto"/>
        </w:rPr>
      </w:pPr>
      <w:r>
        <w:rPr>
          <w:rFonts w:ascii="Times New Roman" w:cs="Times New Roman" w:eastAsia="Times New Roman" w:hAnsi="Times New Roman"/>
          <w:sz w:val="14"/>
          <w:szCs w:val="14"/>
          <w:color w:val="auto"/>
        </w:rPr>
        <w:t>We rely significantly upon major distributors and resellers in both the United States and international regions, including TD Synnex Corporation and its global affiliates (collectively, “TD Synnex”) and Ingram Micro Inc. (“Ingram Micro”). Total revenue from TD Synnex accounted for 39%, 37%, and 36% of Autodesk’s total net revenue during fiscal 2024, 2023 and 2022, respectively. Ingram Micro accounted for 7%, 9%, and 9% of Autodesk's total net revenue during fiscal 2024, 2023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2022, respectively. Our customers through TD Synnex and Ingram Micro are the resellers and end users who purchase our software subscriptions and services. During fiscal 2023, we entered into transition agreements with certain of our distributors, including TD Synnex and Ingram Micro, to provide transition distribution activities for a one-to-two-year period, with potential extensions. In connection with the transition agreements, we intend to increase our selling efforts with value-added resellers and Solution Providers in connection with our new transaction model. Consequently, we believe our business is not substantially dependent on TD Synnex or Ingram Micro.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Recurring Revenue and Net Revenue Retention Rate</w:t>
      </w:r>
    </w:p>
    <w:p>
      <w:pPr>
        <w:spacing w:after="0" w:line="202"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 in Part I, Item 1, “Business”.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outlines our recurring revenue metric for the fiscal years ended January 31, 2024, 2023, and 2022:</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Change compared to</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Change compared to</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prior fiscal year end</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prior fiscal year end</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9"/>
              </w:rPr>
              <w:t>Fiscal Year Ended</w:t>
            </w:r>
          </w:p>
        </w:tc>
        <w:tc>
          <w:tcPr>
            <w:tcW w:w="0" w:type="dxa"/>
            <w:vAlign w:val="bottom"/>
          </w:tcPr>
          <w:p>
            <w:pPr>
              <w:spacing w:after="0"/>
              <w:rPr>
                <w:sz w:val="1"/>
                <w:szCs w:val="1"/>
                <w:color w:val="auto"/>
              </w:rPr>
            </w:pPr>
          </w:p>
        </w:tc>
      </w:tr>
      <w:tr>
        <w:trPr>
          <w:trHeight w:val="70"/>
        </w:trPr>
        <w:tc>
          <w:tcPr>
            <w:tcW w:w="3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26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January 31, 2022</w:t>
            </w:r>
          </w:p>
        </w:tc>
        <w:tc>
          <w:tcPr>
            <w:tcW w:w="0" w:type="dxa"/>
            <w:vAlign w:val="bottom"/>
          </w:tcPr>
          <w:p>
            <w:pPr>
              <w:spacing w:after="0"/>
              <w:rPr>
                <w:sz w:val="1"/>
                <w:szCs w:val="1"/>
                <w:color w:val="auto"/>
              </w:rPr>
            </w:pPr>
          </w:p>
        </w:tc>
      </w:tr>
      <w:tr>
        <w:trPr>
          <w:trHeight w:val="16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Recurring Revenue </w:t>
            </w:r>
            <w:r>
              <w:rPr>
                <w:rFonts w:ascii="Times New Roman" w:cs="Times New Roman" w:eastAsia="Times New Roman" w:hAnsi="Times New Roman"/>
                <w:sz w:val="13"/>
                <w:szCs w:val="13"/>
                <w:i w:val="1"/>
                <w:iCs w:val="1"/>
                <w:color w:val="auto"/>
              </w:rPr>
              <w:t>(in millions)</w:t>
            </w:r>
            <w:r>
              <w:rPr>
                <w:rFonts w:ascii="Times New Roman" w:cs="Times New Roman" w:eastAsia="Times New Roman" w:hAnsi="Times New Roman"/>
                <w:sz w:val="13"/>
                <w:szCs w:val="13"/>
                <w:color w:val="auto"/>
              </w:rPr>
              <w:t xml:space="preserv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5,377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4,907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4,295</w:t>
            </w:r>
          </w:p>
        </w:tc>
        <w:tc>
          <w:tcPr>
            <w:tcW w:w="0" w:type="dxa"/>
            <w:vAlign w:val="bottom"/>
          </w:tcPr>
          <w:p>
            <w:pPr>
              <w:spacing w:after="0"/>
              <w:rPr>
                <w:sz w:val="1"/>
                <w:szCs w:val="1"/>
                <w:color w:val="auto"/>
              </w:rPr>
            </w:pPr>
          </w:p>
        </w:tc>
      </w:tr>
      <w:tr>
        <w:trPr>
          <w:trHeight w:val="165"/>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net revenue</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N/A</w:t>
            </w:r>
          </w:p>
        </w:tc>
        <w:tc>
          <w:tcPr>
            <w:tcW w:w="580" w:type="dxa"/>
            <w:vAlign w:val="bottom"/>
            <w:gridSpan w:val="3"/>
          </w:tcPr>
          <w:p>
            <w:pPr>
              <w:jc w:val="right"/>
              <w:ind w:right="156"/>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N/A</w:t>
            </w:r>
          </w:p>
        </w:tc>
        <w:tc>
          <w:tcPr>
            <w:tcW w:w="60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0" w:type="dxa"/>
            <w:vAlign w:val="bottom"/>
          </w:tcPr>
          <w:p>
            <w:pPr>
              <w:spacing w:after="0"/>
              <w:rPr>
                <w:sz w:val="1"/>
                <w:szCs w:val="1"/>
                <w:color w:val="auto"/>
              </w:rPr>
            </w:pPr>
          </w:p>
        </w:tc>
      </w:tr>
      <w:tr>
        <w:trPr>
          <w:trHeight w:val="237"/>
        </w:trPr>
        <w:tc>
          <w:tcPr>
            <w:tcW w:w="3520" w:type="dxa"/>
            <w:vAlign w:val="bottom"/>
          </w:tcPr>
          <w:p>
            <w:pPr>
              <w:jc w:val="right"/>
              <w:ind w:right="2274"/>
              <w:spacing w:after="0"/>
              <w:rPr>
                <w:sz w:val="20"/>
                <w:szCs w:val="20"/>
                <w:color w:val="auto"/>
              </w:rPr>
            </w:pPr>
            <w:r>
              <w:rPr>
                <w:rFonts w:ascii="Times New Roman" w:cs="Times New Roman" w:eastAsia="Times New Roman" w:hAnsi="Times New Roman"/>
                <w:sz w:val="14"/>
                <w:szCs w:val="14"/>
                <w:color w:val="auto"/>
              </w:rPr>
              <w:t>________________</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of a business may cause variability in the comparison of recurring revenue in this table above and recurring revenue derived from the revenue reported in the Consolidated Statements of Operations.</w:t>
      </w:r>
    </w:p>
    <w:p>
      <w:pPr>
        <w:spacing w:after="0" w:line="17" w:lineRule="exact"/>
        <w:rPr>
          <w:rFonts w:ascii="Times New Roman" w:cs="Times New Roman" w:eastAsia="Times New Roman" w:hAnsi="Times New Roman"/>
          <w:sz w:val="12"/>
          <w:szCs w:val="12"/>
          <w:color w:val="auto"/>
        </w:rPr>
      </w:pPr>
    </w:p>
    <w:p>
      <w:pPr>
        <w:ind w:left="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NR3 was within the range of 100% and 110%, on a constant currency basis, as of both January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Foreign Currency Analysis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generate a significant amount of our revenue in the United States, Japan, Germany, the United Kingdom, and Canada.</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shows the impact of foreign exchange rate changes on our net revenue and total spend: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80" w:type="dxa"/>
            <w:vAlign w:val="bottom"/>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Fiscal Year Ended January 31, 2024</w:t>
            </w:r>
          </w:p>
        </w:tc>
        <w:tc>
          <w:tcPr>
            <w:tcW w:w="1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880" w:type="dxa"/>
            <w:vAlign w:val="bottom"/>
          </w:tcPr>
          <w:p>
            <w:pPr>
              <w:spacing w:after="0"/>
              <w:rPr>
                <w:sz w:val="9"/>
                <w:szCs w:val="9"/>
                <w:color w:val="auto"/>
              </w:rPr>
            </w:pPr>
          </w:p>
        </w:tc>
        <w:tc>
          <w:tcPr>
            <w:tcW w:w="1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Percent change compared to</w:t>
            </w:r>
          </w:p>
        </w:tc>
        <w:tc>
          <w:tcPr>
            <w:tcW w:w="80" w:type="dxa"/>
            <w:vAlign w:val="bottom"/>
          </w:tcPr>
          <w:p>
            <w:pPr>
              <w:spacing w:after="0"/>
              <w:rPr>
                <w:sz w:val="9"/>
                <w:szCs w:val="9"/>
                <w:color w:val="auto"/>
              </w:rPr>
            </w:pPr>
          </w:p>
        </w:tc>
        <w:tc>
          <w:tcPr>
            <w:tcW w:w="186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Constant currency percent</w:t>
            </w:r>
          </w:p>
        </w:tc>
        <w:tc>
          <w:tcPr>
            <w:tcW w:w="16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Positive/negative/neutral impact</w:t>
            </w: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change compared to</w:t>
            </w:r>
          </w:p>
        </w:tc>
        <w:tc>
          <w:tcPr>
            <w:tcW w:w="16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from foreign exchange rate</w:t>
            </w:r>
          </w:p>
        </w:tc>
        <w:tc>
          <w:tcPr>
            <w:tcW w:w="0" w:type="dxa"/>
            <w:vAlign w:val="bottom"/>
          </w:tcPr>
          <w:p>
            <w:pPr>
              <w:spacing w:after="0"/>
              <w:rPr>
                <w:sz w:val="1"/>
                <w:szCs w:val="1"/>
                <w:color w:val="auto"/>
              </w:rPr>
            </w:pPr>
          </w:p>
        </w:tc>
      </w:tr>
      <w:tr>
        <w:trPr>
          <w:trHeight w:val="154"/>
        </w:trPr>
        <w:tc>
          <w:tcPr>
            <w:tcW w:w="5880" w:type="dxa"/>
            <w:vAlign w:val="bottom"/>
          </w:tcPr>
          <w:p>
            <w:pPr>
              <w:spacing w:after="0"/>
              <w:rPr>
                <w:sz w:val="13"/>
                <w:szCs w:val="13"/>
                <w:color w:val="auto"/>
              </w:rPr>
            </w:pPr>
          </w:p>
        </w:tc>
        <w:tc>
          <w:tcPr>
            <w:tcW w:w="1760" w:type="dxa"/>
            <w:vAlign w:val="bottom"/>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prior fiscal year (as reported)</w:t>
            </w:r>
          </w:p>
        </w:tc>
        <w:tc>
          <w:tcPr>
            <w:tcW w:w="80" w:type="dxa"/>
            <w:vAlign w:val="bottom"/>
          </w:tcPr>
          <w:p>
            <w:pPr>
              <w:spacing w:after="0"/>
              <w:rPr>
                <w:sz w:val="13"/>
                <w:szCs w:val="13"/>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prior fiscal year (1)</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changes</w:t>
            </w:r>
          </w:p>
        </w:tc>
        <w:tc>
          <w:tcPr>
            <w:tcW w:w="0" w:type="dxa"/>
            <w:vAlign w:val="bottom"/>
          </w:tcPr>
          <w:p>
            <w:pPr>
              <w:spacing w:after="0"/>
              <w:rPr>
                <w:sz w:val="1"/>
                <w:szCs w:val="1"/>
                <w:color w:val="auto"/>
              </w:rPr>
            </w:pPr>
          </w:p>
        </w:tc>
      </w:tr>
      <w:tr>
        <w:trPr>
          <w:trHeight w:val="166"/>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c>
          <w:tcPr>
            <w:tcW w:w="0" w:type="dxa"/>
            <w:vAlign w:val="bottom"/>
          </w:tcPr>
          <w:p>
            <w:pPr>
              <w:spacing w:after="0"/>
              <w:rPr>
                <w:sz w:val="1"/>
                <w:szCs w:val="1"/>
                <w:color w:val="auto"/>
              </w:rPr>
            </w:pPr>
          </w:p>
        </w:tc>
      </w:tr>
      <w:tr>
        <w:trPr>
          <w:trHeight w:val="165"/>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spend</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Positive</w:t>
            </w:r>
          </w:p>
        </w:tc>
        <w:tc>
          <w:tcPr>
            <w:tcW w:w="0" w:type="dxa"/>
            <w:vAlign w:val="bottom"/>
          </w:tcPr>
          <w:p>
            <w:pPr>
              <w:spacing w:after="0"/>
              <w:rPr>
                <w:sz w:val="1"/>
                <w:szCs w:val="1"/>
                <w:color w:val="auto"/>
              </w:rPr>
            </w:pPr>
          </w:p>
        </w:tc>
      </w:tr>
      <w:tr>
        <w:trPr>
          <w:trHeight w:val="237"/>
        </w:trPr>
        <w:tc>
          <w:tcPr>
            <w:tcW w:w="5880" w:type="dxa"/>
            <w:vAlign w:val="bottom"/>
          </w:tcPr>
          <w:p>
            <w:pPr>
              <w:jc w:val="right"/>
              <w:ind w:right="4634"/>
              <w:spacing w:after="0"/>
              <w:rPr>
                <w:sz w:val="20"/>
                <w:szCs w:val="20"/>
                <w:color w:val="auto"/>
              </w:rPr>
            </w:pPr>
            <w:r>
              <w:rPr>
                <w:rFonts w:ascii="Times New Roman" w:cs="Times New Roman" w:eastAsia="Times New Roman" w:hAnsi="Times New Roman"/>
                <w:sz w:val="14"/>
                <w:szCs w:val="14"/>
                <w:color w:val="auto"/>
              </w:rPr>
              <w:t>________________</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“Glossary of Terms” in Part I, Item 1, “Business” for the definitions of our constant currency growth rates.</w:t>
      </w:r>
    </w:p>
    <w:p>
      <w:pPr>
        <w:spacing w:after="0" w:line="186"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Changes in the value of the U.S. dollar may have a significant effect on net revenue, total spend, income from operations, and cash flow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Remaining Performance Obligations</w:t>
      </w:r>
    </w:p>
    <w:p>
      <w:pPr>
        <w:spacing w:after="0" w:line="202"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RPO represents deferred revenue and contractually stated or committed orders under early renewal and multi-year billing plans for subscription, services, license, and maintenance for which the associated deferred revenue has not yet been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recognized. Unbilled deferred revenue is not included as a receivable or deferred revenue on our Consolidated Balance Sheets. See Part II, Item 8, Note 2, “Revenue Recognition” for more details on Autodesk's performance obligations.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ind w:left="1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3"/>
                <w:szCs w:val="13"/>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20" w:type="dxa"/>
            <w:vAlign w:val="bottom"/>
          </w:tcPr>
          <w:p>
            <w:pPr>
              <w:spacing w:after="0"/>
              <w:rPr>
                <w:sz w:val="13"/>
                <w:szCs w:val="13"/>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January 31, 2023</w:t>
            </w:r>
          </w:p>
        </w:tc>
      </w:tr>
      <w:tr>
        <w:trPr>
          <w:trHeight w:val="170"/>
        </w:trPr>
        <w:tc>
          <w:tcPr>
            <w:tcW w:w="8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4,580</w:t>
            </w:r>
          </w:p>
        </w:tc>
      </w:tr>
      <w:tr>
        <w:trPr>
          <w:trHeight w:val="168"/>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Unbilled deferred revenue</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1,043</w:t>
            </w:r>
          </w:p>
        </w:tc>
      </w:tr>
      <w:tr>
        <w:trPr>
          <w:trHeight w:val="188"/>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RPO</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RPO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ind w:left="1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60" w:type="dxa"/>
            <w:vAlign w:val="bottom"/>
          </w:tcPr>
          <w:p>
            <w:pPr>
              <w:spacing w:after="0"/>
              <w:rPr>
                <w:sz w:val="13"/>
                <w:szCs w:val="13"/>
                <w:color w:val="auto"/>
              </w:rPr>
            </w:pPr>
          </w:p>
        </w:tc>
        <w:tc>
          <w:tcPr>
            <w:tcW w:w="144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January 31, 2023</w:t>
            </w:r>
          </w:p>
        </w:tc>
      </w:tr>
      <w:tr>
        <w:trPr>
          <w:trHeight w:val="170"/>
        </w:trPr>
        <w:tc>
          <w:tcPr>
            <w:tcW w:w="80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RPO</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w:t>
            </w:r>
          </w:p>
        </w:tc>
      </w:tr>
      <w:tr>
        <w:trPr>
          <w:trHeight w:val="168"/>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Non-current RPO</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2,105</w:t>
            </w:r>
          </w:p>
        </w:tc>
      </w:tr>
      <w:tr>
        <w:trPr>
          <w:trHeight w:val="188"/>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RPO</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cash collections in the fourth and first fiscal quarters. As customers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Balance Sheet and Cash Flow Items</w:t>
      </w:r>
    </w:p>
    <w:p>
      <w:pPr>
        <w:spacing w:after="0" w:line="20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At January 31, 2024, we had $2.48 billion in cash, cash equivalents, and marketable securities. Our cash flow from operations decreased to $1.31 billion for the fiscal year ended January 31, 2024, from $2.07 billion for the fiscal year ended January 31, 2023. We repurchased 4 million shares of our common stock for $795 million during fiscal 2024. Comparatively, we repurchased 5 million shares of our common stock for $1.08 billion during fiscal 2023.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Overview</w:t>
      </w:r>
    </w:p>
    <w:p>
      <w:pPr>
        <w:spacing w:after="0" w:line="191" w:lineRule="exact"/>
        <w:rPr>
          <w:sz w:val="20"/>
          <w:szCs w:val="20"/>
          <w:color w:val="auto"/>
        </w:rPr>
      </w:pPr>
    </w:p>
    <w:p>
      <w:pPr>
        <w:ind w:right="60" w:firstLine="318"/>
        <w:spacing w:after="0" w:line="245" w:lineRule="auto"/>
        <w:rPr>
          <w:sz w:val="20"/>
          <w:szCs w:val="20"/>
          <w:color w:val="auto"/>
        </w:rPr>
      </w:pPr>
      <w:r>
        <w:rPr>
          <w:rFonts w:ascii="Times New Roman" w:cs="Times New Roman" w:eastAsia="Times New Roman" w:hAnsi="Times New Roman"/>
          <w:sz w:val="14"/>
          <w:szCs w:val="14"/>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the war in Ukraine, and foreign exchange rate fluctuations, may impact our outlook. We also expect our transition to annual billings for multi-year contracts to impact the timing of our billings and cash collections. The extent of the impact of these risks on our business in the remainder of fiscal 2024 and beyond will depend on several factors, some of which are out of our control. Further discussion of the potential impacts of these risks on our business can be found in Part I, Item 1A, “Risk Factors.”</w:t>
      </w:r>
    </w:p>
    <w:p>
      <w:pPr>
        <w:spacing w:after="0" w:line="165" w:lineRule="exact"/>
        <w:rPr>
          <w:sz w:val="20"/>
          <w:szCs w:val="20"/>
          <w:color w:val="auto"/>
        </w:rPr>
      </w:pPr>
    </w:p>
    <w:p>
      <w:pPr>
        <w:jc w:val="both"/>
        <w:ind w:right="120" w:firstLine="318"/>
        <w:spacing w:after="0" w:line="246" w:lineRule="auto"/>
        <w:rPr>
          <w:sz w:val="20"/>
          <w:szCs w:val="20"/>
          <w:color w:val="auto"/>
        </w:rPr>
      </w:pPr>
      <w:r>
        <w:rPr>
          <w:rFonts w:ascii="Times New Roman" w:cs="Times New Roman" w:eastAsia="Times New Roman" w:hAnsi="Times New Roman"/>
          <w:sz w:val="14"/>
          <w:szCs w:val="14"/>
          <w:color w:val="auto"/>
        </w:rPr>
        <w:t>We introduced a new transaction model for our token-based Flex offering in North America, and certain countries in EMEA, and APAC, and for most of our subscription offerings in Australia during fiscal 2024. In this new transaction model, solution providers provide customers with a quote, however, the actual transaction occurs directly between Autodesk and the customer. Dependent upon successful implementation in Australia, we intend to transition our indirect business to the new transaction model in our major markets globally in fiscal 2025 and fiscal 2026.</w:t>
      </w:r>
    </w:p>
    <w:p>
      <w:pPr>
        <w:spacing w:after="0" w:line="163"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4"/>
          <w:szCs w:val="14"/>
          <w:color w:val="auto"/>
        </w:rPr>
        <w:t>Our sales incentives to Solution Providers will be recorded as operating expense under the new transaction model as we will contract directly with end customers. Accordingly, we expect sales incentives paid to resellers recorded as a reduction of transaction price and subsequently recognized as a reduction to subscription revenue over the contract period will decrease as we transition to the new transaction model. Most of the sales incentives payments to Solution Providers in our new transaction model, will be considered incremental and recoverable costs of obtaining a contract with a customer and will be capitalized and included in “Prepaid expenses and other current assets” and “Long-term other assets” on the Consolidated Balance Sheets. The deferred costs will then be amortized over the period of benefit and recorded to “Sales and Marketing” on the Consolidated Statement of Operations. The sales incentives not qualifying for capitalization will be recorded to “Sales and Marketing” on the Consolidated Statement of Operations as the costs are incurred under the incentive program requirements. We expect the change in accounting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Revenue by Income Statement Presentation</w:t>
      </w:r>
    </w:p>
    <w:p>
      <w:pPr>
        <w:spacing w:after="0" w:line="202"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145"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revenue consists of revenue from consulting, training, and other products and services, and is recognized as the products are delivered and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2000" w:type="dxa"/>
            <w:vAlign w:val="bottom"/>
            <w:gridSpan w:val="9"/>
          </w:tcPr>
          <w:p>
            <w:pPr>
              <w:ind w:left="40"/>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960" w:type="dxa"/>
            <w:vAlign w:val="bottom"/>
            <w:gridSpan w:val="5"/>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Ended January</w:t>
            </w: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Ended January</w:t>
            </w:r>
          </w:p>
        </w:tc>
        <w:tc>
          <w:tcPr>
            <w:tcW w:w="1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31, 2023</w:t>
            </w:r>
          </w:p>
        </w:tc>
        <w:tc>
          <w:tcPr>
            <w:tcW w:w="100" w:type="dxa"/>
            <w:vAlign w:val="bottom"/>
            <w:tcBorders>
              <w:bottom w:val="single" w:sz="8" w:color="CCEEFF"/>
            </w:tcBorders>
          </w:tcPr>
          <w:p>
            <w:pPr>
              <w:spacing w:after="0"/>
              <w:rPr>
                <w:sz w:val="14"/>
                <w:szCs w:val="14"/>
                <w:color w:val="auto"/>
              </w:rPr>
            </w:pPr>
          </w:p>
        </w:tc>
        <w:tc>
          <w:tcPr>
            <w:tcW w:w="31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52"/>
        </w:trPr>
        <w:tc>
          <w:tcPr>
            <w:tcW w:w="42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revenue: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2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auto"/>
              </w:rPr>
              <w:t>Subscription</w:t>
            </w:r>
          </w:p>
        </w:tc>
        <w:tc>
          <w:tcPr>
            <w:tcW w:w="1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5,116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940" w:type="dxa"/>
            <w:vAlign w:val="bottom"/>
            <w:gridSpan w:val="3"/>
          </w:tcPr>
          <w:p>
            <w:pPr>
              <w:ind w:left="380"/>
              <w:spacing w:after="0" w:line="128" w:lineRule="exact"/>
              <w:rPr>
                <w:sz w:val="20"/>
                <w:szCs w:val="20"/>
                <w:color w:val="auto"/>
              </w:rPr>
            </w:pPr>
            <w:r>
              <w:rPr>
                <w:rFonts w:ascii="Times New Roman" w:cs="Times New Roman" w:eastAsia="Times New Roman" w:hAnsi="Times New Roman"/>
                <w:sz w:val="13"/>
                <w:szCs w:val="13"/>
                <w:color w:val="auto"/>
              </w:rPr>
              <w:t>4,651   Increase due to growth in the subscriber base across</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subscription types, led by subscription renewal revenue</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with current-year subscription renewals reflecting new</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subscriptions sold in prior periods. Also contributing to the</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growth was an increase in revenue from EBA offerings and</w:t>
            </w: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Cloud Service Offerings.</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Maintenance</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60" w:type="dxa"/>
            <w:vAlign w:val="bottom"/>
          </w:tcPr>
          <w:p>
            <w:pPr>
              <w:ind w:left="380"/>
              <w:spacing w:after="0" w:line="146" w:lineRule="exact"/>
              <w:rPr>
                <w:sz w:val="20"/>
                <w:szCs w:val="20"/>
                <w:color w:val="auto"/>
              </w:rPr>
            </w:pPr>
            <w:r>
              <w:rPr>
                <w:rFonts w:ascii="Times New Roman" w:cs="Times New Roman" w:eastAsia="Times New Roman" w:hAnsi="Times New Roman"/>
                <w:sz w:val="13"/>
                <w:szCs w:val="13"/>
                <w:color w:val="auto"/>
              </w:rPr>
              <w:t>Total subscription and maintenance revenue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w:t>
            </w: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80" w:type="dxa"/>
            <w:vAlign w:val="bottom"/>
          </w:tcPr>
          <w:p>
            <w:pPr>
              <w:spacing w:after="0"/>
              <w:rPr>
                <w:sz w:val="24"/>
                <w:szCs w:val="24"/>
                <w:color w:val="auto"/>
              </w:rPr>
            </w:pPr>
          </w:p>
        </w:tc>
        <w:tc>
          <w:tcPr>
            <w:tcW w:w="1920" w:type="dxa"/>
            <w:vAlign w:val="bottom"/>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100" w:type="dxa"/>
            <w:vAlign w:val="bottom"/>
          </w:tcPr>
          <w:p>
            <w:pPr>
              <w:spacing w:after="0"/>
              <w:rPr>
                <w:sz w:val="24"/>
                <w:szCs w:val="2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Fiscal Year</w:t>
            </w: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80" w:type="dxa"/>
            <w:vAlign w:val="bottom"/>
          </w:tcPr>
          <w:p>
            <w:pPr>
              <w:spacing w:after="0"/>
              <w:rPr>
                <w:sz w:val="10"/>
                <w:szCs w:val="10"/>
                <w:color w:val="auto"/>
              </w:rPr>
            </w:pPr>
          </w:p>
        </w:tc>
        <w:tc>
          <w:tcPr>
            <w:tcW w:w="880" w:type="dxa"/>
            <w:vAlign w:val="bottom"/>
            <w:gridSpan w:val="4"/>
          </w:tcPr>
          <w:p>
            <w:pPr>
              <w:jc w:val="center"/>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Ended January</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Ended January</w:t>
            </w:r>
          </w:p>
        </w:tc>
        <w:tc>
          <w:tcPr>
            <w:tcW w:w="100" w:type="dxa"/>
            <w:vAlign w:val="bottom"/>
          </w:tcPr>
          <w:p>
            <w:pPr>
              <w:spacing w:after="0"/>
              <w:rPr>
                <w:sz w:val="10"/>
                <w:szCs w:val="10"/>
                <w:color w:val="auto"/>
              </w:rPr>
            </w:pPr>
          </w:p>
        </w:tc>
        <w:tc>
          <w:tcPr>
            <w:tcW w:w="3120" w:type="dxa"/>
            <w:vAlign w:val="bottom"/>
            <w:vMerge w:val="restart"/>
          </w:tcPr>
          <w:p>
            <w:pPr>
              <w:ind w:left="96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57"/>
        </w:trPr>
        <w:tc>
          <w:tcPr>
            <w:tcW w:w="4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31, 2023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10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6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revenue:</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2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auto"/>
              </w:rPr>
              <w:t>Subscription</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3"/>
                <w:szCs w:val="13"/>
                <w:color w:val="auto"/>
              </w:rPr>
              <w:t>4,651</w:t>
            </w:r>
          </w:p>
        </w:tc>
        <w:tc>
          <w:tcPr>
            <w:tcW w:w="20" w:type="dxa"/>
            <w:vAlign w:val="bottom"/>
          </w:tcPr>
          <w:p>
            <w:pPr>
              <w:spacing w:after="0"/>
              <w:rPr>
                <w:sz w:val="11"/>
                <w:szCs w:val="11"/>
                <w:color w:val="auto"/>
              </w:rPr>
            </w:pPr>
          </w:p>
        </w:tc>
        <w:tc>
          <w:tcPr>
            <w:tcW w:w="2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3"/>
                <w:szCs w:val="13"/>
                <w:color w:val="auto"/>
              </w:rPr>
              <w:t>591</w:t>
            </w:r>
          </w:p>
        </w:tc>
        <w:tc>
          <w:tcPr>
            <w:tcW w:w="20" w:type="dxa"/>
            <w:vAlign w:val="bottom"/>
          </w:tcPr>
          <w:p>
            <w:pPr>
              <w:spacing w:after="0"/>
              <w:rPr>
                <w:sz w:val="11"/>
                <w:szCs w:val="11"/>
                <w:color w:val="auto"/>
              </w:rPr>
            </w:pPr>
          </w:p>
        </w:tc>
        <w:tc>
          <w:tcPr>
            <w:tcW w:w="1100" w:type="dxa"/>
            <w:vAlign w:val="bottom"/>
            <w:gridSpan w:val="5"/>
          </w:tcPr>
          <w:p>
            <w:pPr>
              <w:jc w:val="right"/>
              <w:spacing w:after="0" w:line="128" w:lineRule="exact"/>
              <w:rPr>
                <w:sz w:val="20"/>
                <w:szCs w:val="20"/>
                <w:color w:val="auto"/>
              </w:rPr>
            </w:pPr>
            <w:r>
              <w:rPr>
                <w:rFonts w:ascii="Times New Roman" w:cs="Times New Roman" w:eastAsia="Times New Roman" w:hAnsi="Times New Roman"/>
                <w:sz w:val="13"/>
                <w:szCs w:val="13"/>
                <w:color w:val="auto"/>
              </w:rPr>
              <w:t>15 % $</w:t>
            </w:r>
          </w:p>
        </w:tc>
        <w:tc>
          <w:tcPr>
            <w:tcW w:w="3940" w:type="dxa"/>
            <w:vAlign w:val="bottom"/>
            <w:gridSpan w:val="3"/>
          </w:tcPr>
          <w:p>
            <w:pPr>
              <w:ind w:left="380"/>
              <w:spacing w:after="0" w:line="128" w:lineRule="exact"/>
              <w:rPr>
                <w:sz w:val="20"/>
                <w:szCs w:val="20"/>
                <w:color w:val="auto"/>
              </w:rPr>
            </w:pPr>
            <w:r>
              <w:rPr>
                <w:rFonts w:ascii="Times New Roman" w:cs="Times New Roman" w:eastAsia="Times New Roman" w:hAnsi="Times New Roman"/>
                <w:sz w:val="13"/>
                <w:szCs w:val="13"/>
                <w:color w:val="auto"/>
              </w:rPr>
              <w:t>4,060   Increase due to growth in the subscriber base across</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98"/>
              </w:rPr>
              <w:t>subscription types, led by subscription renewal revenue with</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current-year subscription renewals reflecting new</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subscriptions sold in prior periods. Also contributing to the</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growth was an increase in revenue from new subscriptions</w:t>
            </w: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and EBA offerings.</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Maintenance</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60" w:type="dxa"/>
            <w:vAlign w:val="bottom"/>
          </w:tcPr>
          <w:p>
            <w:pPr>
              <w:ind w:left="380"/>
              <w:spacing w:after="0" w:line="146" w:lineRule="exact"/>
              <w:rPr>
                <w:sz w:val="20"/>
                <w:szCs w:val="20"/>
                <w:color w:val="auto"/>
              </w:rPr>
            </w:pPr>
            <w:r>
              <w:rPr>
                <w:rFonts w:ascii="Times New Roman" w:cs="Times New Roman" w:eastAsia="Times New Roman" w:hAnsi="Times New Roman"/>
                <w:sz w:val="13"/>
                <w:szCs w:val="13"/>
                <w:color w:val="auto"/>
              </w:rPr>
              <w:t>Total subscription and maintenance revenue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580</w:t>
            </w:r>
          </w:p>
        </w:tc>
        <w:tc>
          <w:tcPr>
            <w:tcW w:w="20" w:type="dxa"/>
            <w:vAlign w:val="bottom"/>
          </w:tcPr>
          <w:p>
            <w:pPr>
              <w:spacing w:after="0"/>
              <w:rPr>
                <w:sz w:val="13"/>
                <w:szCs w:val="13"/>
                <w:color w:val="auto"/>
              </w:rPr>
            </w:pPr>
          </w:p>
        </w:tc>
        <w:tc>
          <w:tcPr>
            <w:tcW w:w="9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rPr>
              <w:t>14 %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16 %</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619</w:t>
            </w:r>
          </w:p>
        </w:tc>
        <w:tc>
          <w:tcPr>
            <w:tcW w:w="20" w:type="dxa"/>
            <w:vAlign w:val="bottom"/>
          </w:tcPr>
          <w:p>
            <w:pPr>
              <w:spacing w:after="0"/>
              <w:rPr>
                <w:sz w:val="13"/>
                <w:szCs w:val="13"/>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Revenue by Product Family</w:t>
      </w:r>
    </w:p>
    <w:p>
      <w:pPr>
        <w:spacing w:after="0" w:line="20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Our product offerings are focused in four primary product families: Architecture, Engineering and Construction (“AEC”), AutoCAD and AutoCAD LT, Manufacturing (“MFG”), and Media and Entertainment (“M&amp;E”).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9"/>
          </w:tcPr>
          <w:p>
            <w:pPr>
              <w:ind w:left="20"/>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tcPr>
          <w:p>
            <w:pPr>
              <w:jc w:val="center"/>
              <w:ind w:right="200"/>
              <w:spacing w:after="0" w:line="96" w:lineRule="exact"/>
              <w:rPr>
                <w:sz w:val="20"/>
                <w:szCs w:val="20"/>
                <w:color w:val="auto"/>
              </w:rPr>
            </w:pPr>
            <w:r>
              <w:rPr>
                <w:rFonts w:ascii="Times New Roman" w:cs="Times New Roman" w:eastAsia="Times New Roman" w:hAnsi="Times New Roman"/>
                <w:sz w:val="11"/>
                <w:szCs w:val="11"/>
                <w:b w:val="1"/>
                <w:bCs w:val="1"/>
                <w:color w:val="auto"/>
                <w:w w:val="97"/>
              </w:rPr>
              <w:t>Fiscal Year</w:t>
            </w: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20"/>
              <w:spacing w:after="0" w:line="96" w:lineRule="exact"/>
              <w:rPr>
                <w:sz w:val="20"/>
                <w:szCs w:val="20"/>
                <w:color w:val="auto"/>
              </w:rPr>
            </w:pPr>
            <w:r>
              <w:rPr>
                <w:rFonts w:ascii="Times New Roman" w:cs="Times New Roman" w:eastAsia="Times New Roman" w:hAnsi="Times New Roman"/>
                <w:sz w:val="11"/>
                <w:szCs w:val="11"/>
                <w:b w:val="1"/>
                <w:bCs w:val="1"/>
                <w:color w:val="auto"/>
                <w:w w:val="97"/>
              </w:rPr>
              <w:t>Fiscal Year</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920" w:type="dxa"/>
            <w:vAlign w:val="bottom"/>
            <w:gridSpan w:val="4"/>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Ended January</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720" w:type="dxa"/>
            <w:vAlign w:val="bottom"/>
            <w:gridSpan w:val="6"/>
          </w:tcPr>
          <w:p>
            <w:pPr>
              <w:jc w:val="center"/>
              <w:ind w:right="3819"/>
              <w:spacing w:after="0" w:line="108" w:lineRule="exact"/>
              <w:rPr>
                <w:sz w:val="20"/>
                <w:szCs w:val="20"/>
                <w:color w:val="auto"/>
              </w:rPr>
            </w:pPr>
            <w:r>
              <w:rPr>
                <w:rFonts w:ascii="Times New Roman" w:cs="Times New Roman" w:eastAsia="Times New Roman" w:hAnsi="Times New Roman"/>
                <w:sz w:val="11"/>
                <w:szCs w:val="11"/>
                <w:b w:val="1"/>
                <w:bCs w:val="1"/>
                <w:color w:val="auto"/>
              </w:rPr>
              <w:t>Ended January</w:t>
            </w:r>
          </w:p>
        </w:tc>
        <w:tc>
          <w:tcPr>
            <w:tcW w:w="0" w:type="dxa"/>
            <w:vAlign w:val="bottom"/>
          </w:tcPr>
          <w:p>
            <w:pPr>
              <w:spacing w:after="0"/>
              <w:rPr>
                <w:sz w:val="1"/>
                <w:szCs w:val="1"/>
                <w:color w:val="auto"/>
              </w:rPr>
            </w:pPr>
          </w:p>
        </w:tc>
      </w:tr>
      <w:tr>
        <w:trPr>
          <w:trHeight w:val="16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tcPr>
          <w:p>
            <w:pPr>
              <w:ind w:left="130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5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revenue by product family:</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780" w:type="dxa"/>
            <w:vAlign w:val="bottom"/>
            <w:gridSpan w:val="2"/>
            <w:shd w:val="clear" w:color="auto" w:fill="CCEEFF"/>
          </w:tcPr>
          <w:p>
            <w:pPr>
              <w:ind w:left="36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2,580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302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0" w:type="dxa"/>
            <w:vAlign w:val="bottom"/>
            <w:gridSpan w:val="5"/>
            <w:shd w:val="clear" w:color="auto" w:fill="CCEEFF"/>
          </w:tcPr>
          <w:p>
            <w:pPr>
              <w:ind w:left="380"/>
              <w:spacing w:after="0" w:line="129" w:lineRule="exact"/>
              <w:rPr>
                <w:sz w:val="20"/>
                <w:szCs w:val="20"/>
                <w:color w:val="auto"/>
              </w:rPr>
            </w:pPr>
            <w:r>
              <w:rPr>
                <w:rFonts w:ascii="Times New Roman" w:cs="Times New Roman" w:eastAsia="Times New Roman" w:hAnsi="Times New Roman"/>
                <w:sz w:val="13"/>
                <w:szCs w:val="13"/>
                <w:color w:val="auto"/>
              </w:rPr>
              <w:t>2,278   Increase due to growth in revenue from AEC Collections, EBAs,</w:t>
            </w:r>
          </w:p>
        </w:tc>
        <w:tc>
          <w:tcPr>
            <w:tcW w:w="0" w:type="dxa"/>
            <w:vAlign w:val="bottom"/>
          </w:tcPr>
          <w:p>
            <w:pPr>
              <w:spacing w:after="0"/>
              <w:rPr>
                <w:sz w:val="1"/>
                <w:szCs w:val="1"/>
                <w:color w:val="auto"/>
              </w:rPr>
            </w:pPr>
          </w:p>
        </w:tc>
      </w:tr>
      <w:tr>
        <w:trPr>
          <w:trHeight w:val="170"/>
        </w:trPr>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AEC</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Autodesk Build, and Revit.</w:t>
            </w:r>
          </w:p>
        </w:tc>
        <w:tc>
          <w:tcPr>
            <w:tcW w:w="0" w:type="dxa"/>
            <w:vAlign w:val="bottom"/>
          </w:tcPr>
          <w:p>
            <w:pPr>
              <w:spacing w:after="0"/>
              <w:rPr>
                <w:sz w:val="1"/>
                <w:szCs w:val="1"/>
                <w:color w:val="auto"/>
              </w:rPr>
            </w:pPr>
          </w:p>
        </w:tc>
      </w:tr>
      <w:tr>
        <w:trPr>
          <w:trHeight w:val="127"/>
        </w:trPr>
        <w:tc>
          <w:tcPr>
            <w:tcW w:w="3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AutoCAD and AutoCAD LT</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1,462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3"/>
                <w:szCs w:val="13"/>
                <w:color w:val="auto"/>
              </w:rPr>
              <w:t>75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gridSpan w:val="5"/>
          </w:tcPr>
          <w:p>
            <w:pPr>
              <w:ind w:left="380"/>
              <w:spacing w:after="0" w:line="128" w:lineRule="exact"/>
              <w:rPr>
                <w:sz w:val="20"/>
                <w:szCs w:val="20"/>
                <w:color w:val="auto"/>
              </w:rPr>
            </w:pPr>
            <w:r>
              <w:rPr>
                <w:rFonts w:ascii="Times New Roman" w:cs="Times New Roman" w:eastAsia="Times New Roman" w:hAnsi="Times New Roman"/>
                <w:sz w:val="13"/>
                <w:szCs w:val="13"/>
                <w:color w:val="auto"/>
              </w:rPr>
              <w:t>1,387   Increase due to growth in revenue from both AutoCAD and AutoCAD</w:t>
            </w:r>
          </w:p>
        </w:tc>
        <w:tc>
          <w:tcPr>
            <w:tcW w:w="0" w:type="dxa"/>
            <w:vAlign w:val="bottom"/>
          </w:tcPr>
          <w:p>
            <w:pPr>
              <w:spacing w:after="0"/>
              <w:rPr>
                <w:sz w:val="1"/>
                <w:szCs w:val="1"/>
                <w:color w:val="auto"/>
              </w:rPr>
            </w:pPr>
          </w:p>
        </w:tc>
      </w:tr>
      <w:tr>
        <w:trPr>
          <w:trHeight w:val="170"/>
        </w:trPr>
        <w:tc>
          <w:tcPr>
            <w:tcW w:w="37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LT.</w:t>
            </w:r>
          </w:p>
        </w:tc>
        <w:tc>
          <w:tcPr>
            <w:tcW w:w="0" w:type="dxa"/>
            <w:vAlign w:val="bottom"/>
          </w:tcPr>
          <w:p>
            <w:pPr>
              <w:spacing w:after="0"/>
              <w:rPr>
                <w:sz w:val="1"/>
                <w:szCs w:val="1"/>
                <w:color w:val="auto"/>
              </w:rPr>
            </w:pPr>
          </w:p>
        </w:tc>
      </w:tr>
      <w:tr>
        <w:trPr>
          <w:trHeight w:val="128"/>
        </w:trPr>
        <w:tc>
          <w:tcPr>
            <w:tcW w:w="37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MFG</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1,063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3"/>
                <w:szCs w:val="13"/>
                <w:color w:val="auto"/>
              </w:rPr>
              <w:t>85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0" w:type="dxa"/>
            <w:vAlign w:val="bottom"/>
            <w:gridSpan w:val="5"/>
            <w:shd w:val="clear" w:color="auto" w:fill="CCEEFF"/>
          </w:tcPr>
          <w:p>
            <w:pPr>
              <w:ind w:left="480"/>
              <w:spacing w:after="0" w:line="128" w:lineRule="exact"/>
              <w:rPr>
                <w:sz w:val="20"/>
                <w:szCs w:val="20"/>
                <w:color w:val="auto"/>
              </w:rPr>
            </w:pPr>
            <w:r>
              <w:rPr>
                <w:rFonts w:ascii="Times New Roman" w:cs="Times New Roman" w:eastAsia="Times New Roman" w:hAnsi="Times New Roman"/>
                <w:sz w:val="13"/>
                <w:szCs w:val="13"/>
                <w:color w:val="auto"/>
              </w:rPr>
              <w:t>978   Increase due to growth in revenue from Product Design &amp; MFG</w:t>
            </w:r>
          </w:p>
        </w:tc>
        <w:tc>
          <w:tcPr>
            <w:tcW w:w="0" w:type="dxa"/>
            <w:vAlign w:val="bottom"/>
          </w:tcPr>
          <w:p>
            <w:pPr>
              <w:spacing w:after="0"/>
              <w:rPr>
                <w:sz w:val="1"/>
                <w:szCs w:val="1"/>
                <w:color w:val="auto"/>
              </w:rPr>
            </w:pPr>
          </w:p>
        </w:tc>
      </w:tr>
      <w:tr>
        <w:trPr>
          <w:trHeight w:val="170"/>
        </w:trPr>
        <w:tc>
          <w:tcPr>
            <w:tcW w:w="378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Collections, EBAs, Fusion, and Inventor.</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M&amp;E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0" w:type="dxa"/>
            <w:vAlign w:val="bottom"/>
            <w:gridSpan w:val="5"/>
          </w:tcPr>
          <w:p>
            <w:pPr>
              <w:ind w:left="480"/>
              <w:spacing w:after="0"/>
              <w:rPr>
                <w:sz w:val="20"/>
                <w:szCs w:val="20"/>
                <w:color w:val="auto"/>
              </w:rPr>
            </w:pPr>
            <w:r>
              <w:rPr>
                <w:rFonts w:ascii="Times New Roman" w:cs="Times New Roman" w:eastAsia="Times New Roman" w:hAnsi="Times New Roman"/>
                <w:sz w:val="13"/>
                <w:szCs w:val="13"/>
                <w:color w:val="auto"/>
              </w:rPr>
              <w:t>291   Increase primarily due to growth in revenue from EBAs.</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Change compared to prior fiscal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center"/>
              <w:ind w:left="417"/>
              <w:spacing w:after="0"/>
              <w:rPr>
                <w:sz w:val="20"/>
                <w:szCs w:val="20"/>
                <w:color w:val="auto"/>
              </w:rPr>
            </w:pPr>
            <w:r>
              <w:rPr>
                <w:rFonts w:ascii="Times New Roman" w:cs="Times New Roman" w:eastAsia="Times New Roman" w:hAnsi="Times New Roman"/>
                <w:sz w:val="11"/>
                <w:szCs w:val="11"/>
                <w:b w:val="1"/>
                <w:bCs w:val="1"/>
                <w:color w:val="auto"/>
              </w:rPr>
              <w:t>year</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660" w:type="dxa"/>
            <w:vAlign w:val="bottom"/>
          </w:tcPr>
          <w:p>
            <w:pPr>
              <w:spacing w:after="0"/>
              <w:rPr>
                <w:sz w:val="7"/>
                <w:szCs w:val="7"/>
                <w:color w:val="auto"/>
              </w:rPr>
            </w:pPr>
          </w:p>
        </w:tc>
        <w:tc>
          <w:tcPr>
            <w:tcW w:w="920" w:type="dxa"/>
            <w:vAlign w:val="bottom"/>
            <w:gridSpan w:val="4"/>
          </w:tcPr>
          <w:p>
            <w:pPr>
              <w:jc w:val="center"/>
              <w:ind w:right="60"/>
              <w:spacing w:after="0" w:line="85" w:lineRule="exact"/>
              <w:rPr>
                <w:sz w:val="20"/>
                <w:szCs w:val="20"/>
                <w:color w:val="auto"/>
              </w:rPr>
            </w:pPr>
            <w:r>
              <w:rPr>
                <w:rFonts w:ascii="Times New Roman" w:cs="Times New Roman" w:eastAsia="Times New Roman" w:hAnsi="Times New Roman"/>
                <w:sz w:val="9"/>
                <w:szCs w:val="9"/>
                <w:b w:val="1"/>
                <w:bCs w:val="1"/>
                <w:color w:val="auto"/>
              </w:rPr>
              <w:t>Ended January</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7"/>
                <w:szCs w:val="7"/>
                <w:color w:val="auto"/>
              </w:rPr>
            </w:pPr>
          </w:p>
        </w:tc>
        <w:tc>
          <w:tcPr>
            <w:tcW w:w="980" w:type="dxa"/>
            <w:vAlign w:val="bottom"/>
            <w:gridSpan w:val="5"/>
          </w:tcPr>
          <w:p>
            <w:pPr>
              <w:ind w:left="20"/>
              <w:spacing w:after="0" w:line="85" w:lineRule="exact"/>
              <w:rPr>
                <w:sz w:val="20"/>
                <w:szCs w:val="20"/>
                <w:color w:val="auto"/>
              </w:rPr>
            </w:pPr>
            <w:r>
              <w:rPr>
                <w:rFonts w:ascii="Times New Roman" w:cs="Times New Roman" w:eastAsia="Times New Roman" w:hAnsi="Times New Roman"/>
                <w:sz w:val="9"/>
                <w:szCs w:val="9"/>
                <w:b w:val="1"/>
                <w:bCs w:val="1"/>
                <w:color w:val="auto"/>
              </w:rPr>
              <w:t>Fiscal Year Ended</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vMerge w:val="restart"/>
          </w:tcPr>
          <w:p>
            <w:pPr>
              <w:ind w:left="126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5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31, 2023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January 31, 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revenue by product family:</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780" w:type="dxa"/>
            <w:vAlign w:val="bottom"/>
            <w:gridSpan w:val="2"/>
            <w:shd w:val="clear" w:color="auto" w:fill="CCEEFF"/>
          </w:tcPr>
          <w:p>
            <w:pPr>
              <w:ind w:left="36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2,278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Increase due to growth in revenue from AEC Collections, EBAs, Revit,</w:t>
            </w:r>
          </w:p>
        </w:tc>
        <w:tc>
          <w:tcPr>
            <w:tcW w:w="0" w:type="dxa"/>
            <w:vAlign w:val="bottom"/>
          </w:tcPr>
          <w:p>
            <w:pPr>
              <w:spacing w:after="0"/>
              <w:rPr>
                <w:sz w:val="1"/>
                <w:szCs w:val="1"/>
                <w:color w:val="auto"/>
              </w:rPr>
            </w:pPr>
          </w:p>
        </w:tc>
      </w:tr>
      <w:tr>
        <w:trPr>
          <w:trHeight w:val="170"/>
        </w:trPr>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AEC</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Autodesk Build.</w:t>
            </w:r>
          </w:p>
        </w:tc>
        <w:tc>
          <w:tcPr>
            <w:tcW w:w="0" w:type="dxa"/>
            <w:vAlign w:val="bottom"/>
          </w:tcPr>
          <w:p>
            <w:pPr>
              <w:spacing w:after="0"/>
              <w:rPr>
                <w:sz w:val="1"/>
                <w:szCs w:val="1"/>
                <w:color w:val="auto"/>
              </w:rPr>
            </w:pPr>
          </w:p>
        </w:tc>
      </w:tr>
      <w:tr>
        <w:trPr>
          <w:trHeight w:val="180"/>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AutoCAD and AutoCAD LT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Increase due to growth in revenue from both AutoCAD and AutoCAD LT.</w:t>
            </w:r>
          </w:p>
        </w:tc>
        <w:tc>
          <w:tcPr>
            <w:tcW w:w="0" w:type="dxa"/>
            <w:vAlign w:val="bottom"/>
          </w:tcPr>
          <w:p>
            <w:pPr>
              <w:spacing w:after="0"/>
              <w:rPr>
                <w:sz w:val="1"/>
                <w:szCs w:val="1"/>
                <w:color w:val="auto"/>
              </w:rPr>
            </w:pPr>
          </w:p>
        </w:tc>
      </w:tr>
      <w:tr>
        <w:trPr>
          <w:trHeight w:val="127"/>
        </w:trPr>
        <w:tc>
          <w:tcPr>
            <w:tcW w:w="37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MFG</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978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4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Increase due to growth in revenue from Product Design &amp; MFG</w:t>
            </w:r>
          </w:p>
        </w:tc>
        <w:tc>
          <w:tcPr>
            <w:tcW w:w="0" w:type="dxa"/>
            <w:vAlign w:val="bottom"/>
          </w:tcPr>
          <w:p>
            <w:pPr>
              <w:spacing w:after="0"/>
              <w:rPr>
                <w:sz w:val="1"/>
                <w:szCs w:val="1"/>
                <w:color w:val="auto"/>
              </w:rPr>
            </w:pPr>
          </w:p>
        </w:tc>
      </w:tr>
      <w:tr>
        <w:trPr>
          <w:trHeight w:val="170"/>
        </w:trPr>
        <w:tc>
          <w:tcPr>
            <w:tcW w:w="378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Collections, Fusion, Vault, and EBAs.</w:t>
            </w:r>
          </w:p>
        </w:tc>
        <w:tc>
          <w:tcPr>
            <w:tcW w:w="0" w:type="dxa"/>
            <w:vAlign w:val="bottom"/>
          </w:tcPr>
          <w:p>
            <w:pPr>
              <w:spacing w:after="0"/>
              <w:rPr>
                <w:sz w:val="1"/>
                <w:szCs w:val="1"/>
                <w:color w:val="auto"/>
              </w:rPr>
            </w:pPr>
          </w:p>
        </w:tc>
      </w:tr>
      <w:tr>
        <w:trPr>
          <w:trHeight w:val="127"/>
        </w:trPr>
        <w:tc>
          <w:tcPr>
            <w:tcW w:w="3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auto"/>
              </w:rPr>
              <w:t>M&amp;E</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291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259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Increase due to growth in revenue from Maya, 3DS Max, and M&amp;E</w:t>
            </w:r>
          </w:p>
        </w:tc>
        <w:tc>
          <w:tcPr>
            <w:tcW w:w="0" w:type="dxa"/>
            <w:vAlign w:val="bottom"/>
          </w:tcPr>
          <w:p>
            <w:pPr>
              <w:spacing w:after="0"/>
              <w:rPr>
                <w:sz w:val="1"/>
                <w:szCs w:val="1"/>
                <w:color w:val="auto"/>
              </w:rPr>
            </w:pPr>
          </w:p>
        </w:tc>
      </w:tr>
      <w:tr>
        <w:trPr>
          <w:trHeight w:val="168"/>
        </w:trPr>
        <w:tc>
          <w:tcPr>
            <w:tcW w:w="37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Collections.</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tcPr>
          <w:p>
            <w:pPr>
              <w:spacing w:after="0"/>
              <w:rPr>
                <w:sz w:val="11"/>
                <w:szCs w:val="11"/>
                <w:color w:val="auto"/>
              </w:rPr>
            </w:pP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0" w:type="dxa"/>
            <w:vAlign w:val="bottom"/>
          </w:tcPr>
          <w:p>
            <w:pPr>
              <w:spacing w:after="0"/>
              <w:rPr>
                <w:sz w:val="11"/>
                <w:szCs w:val="11"/>
                <w:color w:val="auto"/>
              </w:rPr>
            </w:pPr>
          </w:p>
        </w:tc>
        <w:tc>
          <w:tcPr>
            <w:tcW w:w="17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Change compared to prior fiscal</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Constant currency</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7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Change compared to prior fiscal</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Constant currency</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0" w:type="dxa"/>
            <w:vAlign w:val="bottom"/>
          </w:tcPr>
          <w:p>
            <w:pPr>
              <w:spacing w:after="0"/>
              <w:rPr>
                <w:sz w:val="1"/>
                <w:szCs w:val="1"/>
                <w:color w:val="auto"/>
              </w:rPr>
            </w:pPr>
          </w:p>
        </w:tc>
      </w:tr>
      <w:tr>
        <w:trPr>
          <w:trHeight w:val="117"/>
        </w:trPr>
        <w:tc>
          <w:tcPr>
            <w:tcW w:w="23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11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change compared</w:t>
            </w:r>
          </w:p>
        </w:tc>
        <w:tc>
          <w:tcPr>
            <w:tcW w:w="1060" w:type="dxa"/>
            <w:vAlign w:val="bottom"/>
            <w:gridSpan w:val="3"/>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1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change compared to</w:t>
            </w: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34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gridSpan w:val="3"/>
          </w:tcPr>
          <w:p>
            <w:pPr>
              <w:jc w:val="center"/>
              <w:ind w:right="880"/>
              <w:spacing w:after="0"/>
              <w:rPr>
                <w:sz w:val="20"/>
                <w:szCs w:val="20"/>
                <w:color w:val="auto"/>
              </w:rPr>
            </w:pPr>
            <w:r>
              <w:rPr>
                <w:rFonts w:ascii="Times New Roman" w:cs="Times New Roman" w:eastAsia="Times New Roman" w:hAnsi="Times New Roman"/>
                <w:sz w:val="11"/>
                <w:szCs w:val="11"/>
                <w:b w:val="1"/>
                <w:bCs w:val="1"/>
                <w:color w:val="auto"/>
                <w:w w:val="96"/>
              </w:rPr>
              <w:t>year</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 prior fiscal year</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gridSpan w:val="3"/>
          </w:tcPr>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prior fiscal year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2022</w:t>
            </w: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3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top w:val="single" w:sz="8" w:color="auto"/>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gridSpan w:val="2"/>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Americas</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0" w:type="dxa"/>
            <w:vAlign w:val="bottom"/>
          </w:tcPr>
          <w:p>
            <w:pPr>
              <w:spacing w:after="0"/>
              <w:rPr>
                <w:sz w:val="1"/>
                <w:szCs w:val="1"/>
                <w:color w:val="auto"/>
              </w:rPr>
            </w:pPr>
          </w:p>
        </w:tc>
      </w:tr>
      <w:tr>
        <w:trPr>
          <w:trHeight w:val="168"/>
        </w:trPr>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Americas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0" w:type="dxa"/>
            <w:vAlign w:val="bottom"/>
          </w:tcPr>
          <w:p>
            <w:pPr>
              <w:spacing w:after="0"/>
              <w:rPr>
                <w:sz w:val="1"/>
                <w:szCs w:val="1"/>
                <w:color w:val="auto"/>
              </w:rPr>
            </w:pPr>
          </w:p>
        </w:tc>
      </w:tr>
      <w:tr>
        <w:trPr>
          <w:trHeight w:val="163"/>
        </w:trPr>
        <w:tc>
          <w:tcPr>
            <w:tcW w:w="2340" w:type="dxa"/>
            <w:vAlign w:val="bottom"/>
            <w:tcBorders>
              <w:top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Americas</w:t>
            </w:r>
          </w:p>
        </w:tc>
        <w:tc>
          <w:tcPr>
            <w:tcW w:w="3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0" w:type="dxa"/>
            <w:vAlign w:val="bottom"/>
          </w:tcPr>
          <w:p>
            <w:pPr>
              <w:spacing w:after="0"/>
              <w:rPr>
                <w:sz w:val="1"/>
                <w:szCs w:val="1"/>
                <w:color w:val="auto"/>
              </w:rPr>
            </w:pPr>
          </w:p>
        </w:tc>
      </w:tr>
      <w:tr>
        <w:trPr>
          <w:trHeight w:val="168"/>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EMEA</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APAC</w:t>
            </w: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Borders>
              <w:bottom w:val="single" w:sz="8" w:color="auto"/>
            </w:tcBorders>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tcBorders>
              <w:bottom w:val="single" w:sz="8" w:color="auto"/>
            </w:tcBorders>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Constant currency data not provided at this level.</w:t>
      </w:r>
    </w:p>
    <w:p>
      <w:pPr>
        <w:spacing w:after="0" w:line="180"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We believe that international revenue will continue to comprise a majority of our net revenue. Unfavorable economic conditions, including in connection with the significant military action against Ukraine launched by Russia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Revenue by Sales Channel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80" w:type="dxa"/>
            <w:vAlign w:val="bottom"/>
          </w:tcPr>
          <w:p>
            <w:pPr>
              <w:spacing w:after="0"/>
              <w:rPr>
                <w:sz w:val="11"/>
                <w:szCs w:val="11"/>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top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0" w:type="dxa"/>
            <w:vAlign w:val="bottom"/>
          </w:tcPr>
          <w:p>
            <w:pPr>
              <w:spacing w:after="0"/>
              <w:rPr>
                <w:sz w:val="1"/>
                <w:szCs w:val="1"/>
                <w:color w:val="auto"/>
              </w:rPr>
            </w:pPr>
          </w:p>
        </w:tc>
      </w:tr>
      <w:tr>
        <w:trPr>
          <w:trHeight w:val="153"/>
        </w:trPr>
        <w:tc>
          <w:tcPr>
            <w:tcW w:w="5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8"/>
              </w:rPr>
              <w:t>31, 2024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center"/>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4"/>
        </w:trPr>
        <w:tc>
          <w:tcPr>
            <w:tcW w:w="59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revenue by sales channel:</w:t>
            </w:r>
          </w:p>
        </w:tc>
        <w:tc>
          <w:tcPr>
            <w:tcW w:w="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Indirect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0" w:type="dxa"/>
            <w:vAlign w:val="bottom"/>
          </w:tcPr>
          <w:p>
            <w:pPr>
              <w:spacing w:after="0"/>
              <w:rPr>
                <w:sz w:val="1"/>
                <w:szCs w:val="1"/>
                <w:color w:val="auto"/>
              </w:rPr>
            </w:pPr>
          </w:p>
        </w:tc>
      </w:tr>
      <w:tr>
        <w:trPr>
          <w:trHeight w:val="17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Direct</w:t>
            </w: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0" w:type="dxa"/>
            <w:vAlign w:val="bottom"/>
          </w:tcPr>
          <w:p>
            <w:pPr>
              <w:spacing w:after="0"/>
              <w:rPr>
                <w:sz w:val="1"/>
                <w:szCs w:val="1"/>
                <w:color w:val="auto"/>
              </w:rPr>
            </w:pPr>
          </w:p>
        </w:tc>
      </w:tr>
      <w:tr>
        <w:trPr>
          <w:trHeight w:val="160"/>
        </w:trPr>
        <w:tc>
          <w:tcPr>
            <w:tcW w:w="59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80" w:type="dxa"/>
            <w:vAlign w:val="bottom"/>
          </w:tcPr>
          <w:p>
            <w:pPr>
              <w:spacing w:after="0"/>
              <w:rPr>
                <w:sz w:val="11"/>
                <w:szCs w:val="11"/>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top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0" w:type="dxa"/>
            <w:vAlign w:val="bottom"/>
          </w:tcPr>
          <w:p>
            <w:pPr>
              <w:spacing w:after="0"/>
              <w:rPr>
                <w:sz w:val="1"/>
                <w:szCs w:val="1"/>
                <w:color w:val="auto"/>
              </w:rPr>
            </w:pPr>
          </w:p>
        </w:tc>
      </w:tr>
      <w:tr>
        <w:trPr>
          <w:trHeight w:val="154"/>
        </w:trPr>
        <w:tc>
          <w:tcPr>
            <w:tcW w:w="5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8"/>
              </w:rPr>
              <w:t>31, 2023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center"/>
              <w:ind w:right="298"/>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5"/>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by sales channel:</w:t>
            </w:r>
          </w:p>
        </w:tc>
        <w:tc>
          <w:tcPr>
            <w:tcW w:w="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Indirect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w:t>
            </w:r>
          </w:p>
        </w:tc>
        <w:tc>
          <w:tcPr>
            <w:tcW w:w="0" w:type="dxa"/>
            <w:vAlign w:val="bottom"/>
          </w:tcPr>
          <w:p>
            <w:pPr>
              <w:spacing w:after="0"/>
              <w:rPr>
                <w:sz w:val="1"/>
                <w:szCs w:val="1"/>
                <w:color w:val="auto"/>
              </w:rPr>
            </w:pPr>
          </w:p>
        </w:tc>
      </w:tr>
      <w:tr>
        <w:trPr>
          <w:trHeight w:val="17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Direct</w:t>
            </w: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0" w:type="dxa"/>
            <w:vAlign w:val="bottom"/>
          </w:tcPr>
          <w:p>
            <w:pPr>
              <w:spacing w:after="0"/>
              <w:rPr>
                <w:sz w:val="1"/>
                <w:szCs w:val="1"/>
                <w:color w:val="auto"/>
              </w:rPr>
            </w:pPr>
          </w:p>
        </w:tc>
      </w:tr>
      <w:tr>
        <w:trPr>
          <w:trHeight w:val="160"/>
        </w:trPr>
        <w:tc>
          <w:tcPr>
            <w:tcW w:w="59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We anticipate that our revenue by direct sales channel will continue to increase as a percentage of total net revenue. With the continued growth of our online Autodesk branded store and the introduction of our new transaction model, we will be decreasing our sales through value-added resellers and distributors and transacting directly with more end customers. We expect our indirect channel will continue to transact and support a considerable portion of our customers, particularly in emerging regions. See further discussion regarding our new transaction model in the Overview to Results of Operations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Revenue by Product Type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Change compared to</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prior fiscal year</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vMerge w:val="restart"/>
          </w:tcPr>
          <w:p>
            <w:pPr>
              <w:ind w:left="104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line="20" w:lineRule="exact"/>
              <w:rPr>
                <w:sz w:val="1"/>
                <w:szCs w:val="1"/>
                <w:color w:val="auto"/>
              </w:rPr>
            </w:pPr>
          </w:p>
        </w:tc>
      </w:tr>
      <w:tr>
        <w:trPr>
          <w:trHeight w:val="153"/>
        </w:trPr>
        <w:tc>
          <w:tcPr>
            <w:tcW w:w="3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by Product Type:</w:t>
            </w: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auto"/>
              </w:rPr>
              <w:t>Design</w:t>
            </w:r>
          </w:p>
        </w:tc>
        <w:tc>
          <w:tcPr>
            <w:tcW w:w="280" w:type="dxa"/>
            <w:vAlign w:val="bottom"/>
          </w:tcPr>
          <w:p>
            <w:pPr>
              <w:jc w:val="right"/>
              <w:ind w:right="139"/>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4,647</w:t>
            </w:r>
          </w:p>
        </w:tc>
        <w:tc>
          <w:tcPr>
            <w:tcW w:w="100" w:type="dxa"/>
            <w:vAlign w:val="bottom"/>
          </w:tcPr>
          <w:p>
            <w:pPr>
              <w:spacing w:after="0"/>
              <w:rPr>
                <w:sz w:val="11"/>
                <w:szCs w:val="11"/>
                <w:color w:val="auto"/>
              </w:rPr>
            </w:pPr>
          </w:p>
        </w:tc>
        <w:tc>
          <w:tcPr>
            <w:tcW w:w="22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383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1"/>
                <w:szCs w:val="11"/>
                <w:color w:val="auto"/>
              </w:rPr>
            </w:pPr>
          </w:p>
        </w:tc>
        <w:tc>
          <w:tcPr>
            <w:tcW w:w="9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4,264</w:t>
            </w:r>
          </w:p>
        </w:tc>
        <w:tc>
          <w:tcPr>
            <w:tcW w:w="80" w:type="dxa"/>
            <w:vAlign w:val="bottom"/>
          </w:tcPr>
          <w:p>
            <w:pPr>
              <w:spacing w:after="0"/>
              <w:rPr>
                <w:sz w:val="11"/>
                <w:szCs w:val="11"/>
                <w:color w:val="auto"/>
              </w:rPr>
            </w:pPr>
          </w:p>
        </w:tc>
        <w:tc>
          <w:tcPr>
            <w:tcW w:w="32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Increase primarily due to growth in AEC collections, EBA</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offerings, and AutoCAD Family.</w:t>
            </w: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Make</w:t>
            </w: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452</w:t>
            </w:r>
          </w:p>
        </w:tc>
        <w:tc>
          <w:tcPr>
            <w:tcW w:w="8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Increase primarily due to growth in revenue from Autodesk</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Cloud and Fusion.</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Net Revenue</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80" w:type="dxa"/>
            <w:vAlign w:val="bottom"/>
            <w:tcBorders>
              <w:bottom w:val="single" w:sz="8" w:color="CCEEFF"/>
            </w:tcBorders>
            <w:shd w:val="clear" w:color="auto" w:fill="CCEEFF"/>
          </w:tcPr>
          <w:p>
            <w:pPr>
              <w:spacing w:after="0"/>
              <w:rPr>
                <w:sz w:val="15"/>
                <w:szCs w:val="15"/>
                <w:color w:val="auto"/>
              </w:rPr>
            </w:pPr>
          </w:p>
        </w:tc>
        <w:tc>
          <w:tcPr>
            <w:tcW w:w="3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prior fiscal year</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vMerge w:val="restart"/>
          </w:tcPr>
          <w:p>
            <w:pPr>
              <w:ind w:left="104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line="20" w:lineRule="exact"/>
              <w:rPr>
                <w:sz w:val="1"/>
                <w:szCs w:val="1"/>
                <w:color w:val="auto"/>
              </w:rPr>
            </w:pPr>
          </w:p>
        </w:tc>
      </w:tr>
      <w:tr>
        <w:trPr>
          <w:trHeight w:val="155"/>
        </w:trPr>
        <w:tc>
          <w:tcPr>
            <w:tcW w:w="3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Net Revenue by Product Type:</w:t>
            </w: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auto"/>
              </w:rPr>
              <w:t>Design</w:t>
            </w:r>
          </w:p>
        </w:tc>
        <w:tc>
          <w:tcPr>
            <w:tcW w:w="280" w:type="dxa"/>
            <w:vAlign w:val="bottom"/>
          </w:tcPr>
          <w:p>
            <w:pPr>
              <w:jc w:val="right"/>
              <w:ind w:right="139"/>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4,264</w:t>
            </w:r>
          </w:p>
        </w:tc>
        <w:tc>
          <w:tcPr>
            <w:tcW w:w="100" w:type="dxa"/>
            <w:vAlign w:val="bottom"/>
          </w:tcPr>
          <w:p>
            <w:pPr>
              <w:spacing w:after="0"/>
              <w:rPr>
                <w:sz w:val="11"/>
                <w:szCs w:val="11"/>
                <w:color w:val="auto"/>
              </w:rPr>
            </w:pPr>
          </w:p>
        </w:tc>
        <w:tc>
          <w:tcPr>
            <w:tcW w:w="22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492</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1"/>
                <w:szCs w:val="11"/>
                <w:color w:val="auto"/>
              </w:rPr>
            </w:pPr>
          </w:p>
        </w:tc>
        <w:tc>
          <w:tcPr>
            <w:tcW w:w="9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3,772</w:t>
            </w:r>
          </w:p>
        </w:tc>
        <w:tc>
          <w:tcPr>
            <w:tcW w:w="80" w:type="dxa"/>
            <w:vAlign w:val="bottom"/>
          </w:tcPr>
          <w:p>
            <w:pPr>
              <w:spacing w:after="0"/>
              <w:rPr>
                <w:sz w:val="11"/>
                <w:szCs w:val="11"/>
                <w:color w:val="auto"/>
              </w:rPr>
            </w:pPr>
          </w:p>
        </w:tc>
        <w:tc>
          <w:tcPr>
            <w:tcW w:w="32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Increase due to growth in AEC &amp; MFG collections, EBA</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offerings, AutoCAD LT and AutoCAD Family.</w:t>
            </w: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Make</w:t>
            </w: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364</w:t>
            </w:r>
          </w:p>
        </w:tc>
        <w:tc>
          <w:tcPr>
            <w:tcW w:w="8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Increase primarily due to growth in revenue from Autodesk</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Cloud and Fusion.</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Net Revenue</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80" w:type="dxa"/>
            <w:vAlign w:val="bottom"/>
            <w:tcBorders>
              <w:bottom w:val="single" w:sz="8" w:color="CCEEFF"/>
            </w:tcBorders>
            <w:shd w:val="clear" w:color="auto" w:fill="CCEEFF"/>
          </w:tcPr>
          <w:p>
            <w:pPr>
              <w:spacing w:after="0"/>
              <w:rPr>
                <w:sz w:val="15"/>
                <w:szCs w:val="15"/>
                <w:color w:val="auto"/>
              </w:rPr>
            </w:pPr>
          </w:p>
        </w:tc>
        <w:tc>
          <w:tcPr>
            <w:tcW w:w="3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Cost of Revenue and Operating Expenses</w:t>
      </w:r>
    </w:p>
    <w:p>
      <w:pPr>
        <w:spacing w:after="0" w:line="202"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spacing w:after="0" w:line="157"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157"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5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157"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80" w:type="dxa"/>
            <w:vAlign w:val="bottom"/>
          </w:tcPr>
          <w:p>
            <w:pPr>
              <w:spacing w:after="0"/>
              <w:rPr>
                <w:sz w:val="13"/>
                <w:szCs w:val="13"/>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060" w:type="dxa"/>
            <w:vAlign w:val="bottom"/>
            <w:gridSpan w:val="3"/>
            <w:vMerge w:val="continue"/>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460" w:type="dxa"/>
            <w:vAlign w:val="bottom"/>
            <w:vMerge w:val="restart"/>
          </w:tcPr>
          <w:p>
            <w:pPr>
              <w:ind w:left="164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50"/>
        </w:trPr>
        <w:tc>
          <w:tcPr>
            <w:tcW w:w="2640" w:type="dxa"/>
            <w:vAlign w:val="bottom"/>
            <w:vMerge w:val="continue"/>
          </w:tcPr>
          <w:p>
            <w:pPr>
              <w:spacing w:after="0"/>
              <w:rPr>
                <w:sz w:val="13"/>
                <w:szCs w:val="13"/>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10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Subscription and maintenance</w:t>
            </w:r>
          </w:p>
        </w:tc>
        <w:tc>
          <w:tcPr>
            <w:tcW w:w="360" w:type="dxa"/>
            <w:vAlign w:val="bottom"/>
            <w:shd w:val="clear" w:color="auto" w:fill="CCEEFF"/>
          </w:tcPr>
          <w:p>
            <w:pPr>
              <w:jc w:val="right"/>
              <w:ind w:right="219"/>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10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199"/>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Increase primarily due to employee-related costs, including stock-based compensation</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expense, driven by higher headcount and merit increases, as well as an increase in</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cloud hosting costs and professional fees.</w:t>
            </w:r>
          </w:p>
        </w:tc>
        <w:tc>
          <w:tcPr>
            <w:tcW w:w="0" w:type="dxa"/>
            <w:vAlign w:val="bottom"/>
          </w:tcPr>
          <w:p>
            <w:pPr>
              <w:spacing w:after="0"/>
              <w:rPr>
                <w:sz w:val="1"/>
                <w:szCs w:val="1"/>
                <w:color w:val="auto"/>
              </w:rPr>
            </w:pPr>
          </w:p>
        </w:tc>
      </w:tr>
      <w:tr>
        <w:trPr>
          <w:trHeight w:val="127"/>
        </w:trPr>
        <w:tc>
          <w:tcPr>
            <w:tcW w:w="26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36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w:t>
            </w:r>
          </w:p>
        </w:tc>
        <w:tc>
          <w:tcPr>
            <w:tcW w:w="10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auto"/>
              </w:rPr>
              <w:t>4 %</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Increase primarily due to employee-related costs, including stock-based compensation</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 driven by higher headcount and merit increases.</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300"/>
              <w:spacing w:after="0" w:line="129" w:lineRule="exact"/>
              <w:rPr>
                <w:sz w:val="20"/>
                <w:szCs w:val="20"/>
                <w:color w:val="auto"/>
              </w:rPr>
            </w:pPr>
            <w:r>
              <w:rPr>
                <w:rFonts w:ascii="Times New Roman" w:cs="Times New Roman" w:eastAsia="Times New Roman" w:hAnsi="Times New Roman"/>
                <w:sz w:val="13"/>
                <w:szCs w:val="13"/>
                <w:color w:val="auto"/>
              </w:rPr>
              <w:t>Amortization of developed technologies</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0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The decrease is primarily due to previously acquired assets that continue to become</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fully amortized offset by amortization of acquired developed technologies as a result</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acquisitions in fiscal 2024.</w:t>
            </w:r>
          </w:p>
        </w:tc>
        <w:tc>
          <w:tcPr>
            <w:tcW w:w="0" w:type="dxa"/>
            <w:vAlign w:val="bottom"/>
          </w:tcPr>
          <w:p>
            <w:pPr>
              <w:spacing w:after="0"/>
              <w:rPr>
                <w:sz w:val="1"/>
                <w:szCs w:val="1"/>
                <w:color w:val="auto"/>
              </w:rPr>
            </w:pPr>
          </w:p>
        </w:tc>
      </w:tr>
      <w:tr>
        <w:trPr>
          <w:trHeight w:val="158"/>
        </w:trPr>
        <w:tc>
          <w:tcPr>
            <w:tcW w:w="26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cost of revenue</w:t>
            </w: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rPr>
              <w:t>6 %</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Marketing and sales</w:t>
            </w:r>
          </w:p>
        </w:tc>
        <w:tc>
          <w:tcPr>
            <w:tcW w:w="360" w:type="dxa"/>
            <w:vAlign w:val="bottom"/>
            <w:shd w:val="clear" w:color="auto" w:fill="CCEEFF"/>
          </w:tcPr>
          <w:p>
            <w:pPr>
              <w:jc w:val="right"/>
              <w:ind w:right="219"/>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10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199"/>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1,745</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Increase primarily due to employee-related costs driven by merit and benefit increases</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and an increase in cloud hosting costs partially offset by higher capitalized software</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costs.</w:t>
            </w:r>
          </w:p>
        </w:tc>
        <w:tc>
          <w:tcPr>
            <w:tcW w:w="0" w:type="dxa"/>
            <w:vAlign w:val="bottom"/>
          </w:tcPr>
          <w:p>
            <w:pPr>
              <w:spacing w:after="0"/>
              <w:rPr>
                <w:sz w:val="1"/>
                <w:szCs w:val="1"/>
                <w:color w:val="auto"/>
              </w:rPr>
            </w:pPr>
          </w:p>
        </w:tc>
      </w:tr>
      <w:tr>
        <w:trPr>
          <w:trHeight w:val="127"/>
        </w:trPr>
        <w:tc>
          <w:tcPr>
            <w:tcW w:w="26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Research and development</w:t>
            </w:r>
          </w:p>
        </w:tc>
        <w:tc>
          <w:tcPr>
            <w:tcW w:w="36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1,373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154</w:t>
            </w:r>
          </w:p>
        </w:tc>
        <w:tc>
          <w:tcPr>
            <w:tcW w:w="10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Increase primarily due to employee-related costs, including stock-based compensation,</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driven by higher headcount and merit increases, as well as an increase in cloud hosting</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partially offset by lower professional fees.</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General and administrative</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10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532</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Increase primarily due to an increase in employee-related costs, including stock-based</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compensation expense, driven by higher headcount and merit increases, as well as an</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in cloud hosting costs and lower capitalized software costs.</w:t>
            </w:r>
          </w:p>
        </w:tc>
        <w:tc>
          <w:tcPr>
            <w:tcW w:w="0" w:type="dxa"/>
            <w:vAlign w:val="bottom"/>
          </w:tcPr>
          <w:p>
            <w:pPr>
              <w:spacing w:after="0"/>
              <w:rPr>
                <w:sz w:val="1"/>
                <w:szCs w:val="1"/>
                <w:color w:val="auto"/>
              </w:rPr>
            </w:pPr>
          </w:p>
        </w:tc>
      </w:tr>
      <w:tr>
        <w:trPr>
          <w:trHeight w:val="127"/>
        </w:trPr>
        <w:tc>
          <w:tcPr>
            <w:tcW w:w="26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Amortization of purchased intangibles</w:t>
            </w:r>
          </w:p>
        </w:tc>
        <w:tc>
          <w:tcPr>
            <w:tcW w:w="36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w:t>
            </w:r>
          </w:p>
        </w:tc>
        <w:tc>
          <w:tcPr>
            <w:tcW w:w="10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The increase is primarily due to amortization of acquired intangibles as a result of</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acquisitions in fiscal 2024 offset by previously acquired assets that continue to become</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fully amortized.</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c>
          <w:tcPr>
            <w:tcW w:w="10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80" w:type="dxa"/>
            <w:vAlign w:val="bottom"/>
          </w:tcPr>
          <w:p>
            <w:pPr>
              <w:spacing w:after="0"/>
              <w:rPr>
                <w:sz w:val="13"/>
                <w:szCs w:val="13"/>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Change compared to prior fiscal year</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060" w:type="dxa"/>
            <w:vAlign w:val="bottom"/>
            <w:gridSpan w:val="3"/>
            <w:vMerge w:val="continue"/>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vMerge w:val="restart"/>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top w:val="single" w:sz="8" w:color="auto"/>
            </w:tcBorders>
            <w:gridSpan w:val="2"/>
            <w:vMerge w:val="restart"/>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460" w:type="dxa"/>
            <w:vAlign w:val="bottom"/>
            <w:vMerge w:val="restart"/>
          </w:tcPr>
          <w:p>
            <w:pPr>
              <w:ind w:left="166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49"/>
        </w:trPr>
        <w:tc>
          <w:tcPr>
            <w:tcW w:w="2640" w:type="dxa"/>
            <w:vAlign w:val="bottom"/>
            <w:vMerge w:val="continue"/>
          </w:tcPr>
          <w:p>
            <w:pPr>
              <w:spacing w:after="0"/>
              <w:rPr>
                <w:sz w:val="12"/>
                <w:szCs w:val="1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2022</w:t>
            </w:r>
          </w:p>
        </w:tc>
        <w:tc>
          <w:tcPr>
            <w:tcW w:w="10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Subscription and maintenance</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Increase primarily due to cloud hosting costs, employee-related costs, including stock-</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based compensation expense, driven by higher headcount, and increase in travel and</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entertainment expense.</w:t>
            </w:r>
          </w:p>
        </w:tc>
        <w:tc>
          <w:tcPr>
            <w:tcW w:w="0" w:type="dxa"/>
            <w:vAlign w:val="bottom"/>
          </w:tcPr>
          <w:p>
            <w:pPr>
              <w:spacing w:after="0"/>
              <w:rPr>
                <w:sz w:val="1"/>
                <w:szCs w:val="1"/>
                <w:color w:val="auto"/>
              </w:rPr>
            </w:pPr>
          </w:p>
        </w:tc>
      </w:tr>
      <w:tr>
        <w:trPr>
          <w:trHeight w:val="127"/>
        </w:trPr>
        <w:tc>
          <w:tcPr>
            <w:tcW w:w="26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3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Increase due to employee-related costs, including stock-based compensation expense,</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driven by higher headcount.</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300"/>
              <w:spacing w:after="0" w:line="129" w:lineRule="exact"/>
              <w:rPr>
                <w:sz w:val="20"/>
                <w:szCs w:val="20"/>
                <w:color w:val="auto"/>
              </w:rPr>
            </w:pPr>
            <w:r>
              <w:rPr>
                <w:rFonts w:ascii="Times New Roman" w:cs="Times New Roman" w:eastAsia="Times New Roman" w:hAnsi="Times New Roman"/>
                <w:sz w:val="13"/>
                <w:szCs w:val="13"/>
                <w:color w:val="auto"/>
              </w:rPr>
              <w:t>Amortization of developed technologies</w:t>
            </w:r>
          </w:p>
        </w:tc>
        <w:tc>
          <w:tcPr>
            <w:tcW w:w="3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Increase due to growth in amortization expense from acquired developed technologies</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a result of our acquisitions in the fourth quarter of fiscal 2022 and in fiscal 2023.</w:t>
            </w:r>
          </w:p>
        </w:tc>
        <w:tc>
          <w:tcPr>
            <w:tcW w:w="0" w:type="dxa"/>
            <w:vAlign w:val="bottom"/>
          </w:tcPr>
          <w:p>
            <w:pPr>
              <w:spacing w:after="0"/>
              <w:rPr>
                <w:sz w:val="1"/>
                <w:szCs w:val="1"/>
                <w:color w:val="auto"/>
              </w:rPr>
            </w:pPr>
          </w:p>
        </w:tc>
      </w:tr>
      <w:tr>
        <w:trPr>
          <w:trHeight w:val="160"/>
        </w:trPr>
        <w:tc>
          <w:tcPr>
            <w:tcW w:w="26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cost of revenue</w:t>
            </w: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Marketing and sales</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Increase primarily due to employee-related costs, including stock-based compensation</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expense, driven by higher headcount, an increase in travel and entertainment expense,</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sales commission expense, and advertisement and promotion costs.</w:t>
            </w:r>
          </w:p>
        </w:tc>
        <w:tc>
          <w:tcPr>
            <w:tcW w:w="0" w:type="dxa"/>
            <w:vAlign w:val="bottom"/>
          </w:tcPr>
          <w:p>
            <w:pPr>
              <w:spacing w:after="0"/>
              <w:rPr>
                <w:sz w:val="1"/>
                <w:szCs w:val="1"/>
                <w:color w:val="auto"/>
              </w:rPr>
            </w:pPr>
          </w:p>
        </w:tc>
      </w:tr>
      <w:tr>
        <w:trPr>
          <w:trHeight w:val="127"/>
        </w:trPr>
        <w:tc>
          <w:tcPr>
            <w:tcW w:w="26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Research and development</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Increase primarily due to employee-related costs, including stock-based compensation</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expense, driven by higher headcount, and increase in travel and entertainment</w:t>
            </w: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00" w:type="dxa"/>
            <w:vAlign w:val="bottom"/>
          </w:tcPr>
          <w:p>
            <w:pPr>
              <w:spacing w:after="0"/>
              <w:rPr>
                <w:sz w:val="11"/>
                <w:szCs w:val="11"/>
                <w:color w:val="auto"/>
              </w:rPr>
            </w:pPr>
          </w:p>
        </w:tc>
        <w:tc>
          <w:tcPr>
            <w:tcW w:w="4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expense, as well as an increase in cloud hosting costs, professional fees and lower</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software costs.</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General and administrative</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Decrease primarily due to lease-related asset impairment and other charges and</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acquisition-related costs partially offset by an increase in employee related costs,</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1"/>
                <w:szCs w:val="11"/>
                <w:color w:val="auto"/>
              </w:rPr>
            </w:pPr>
          </w:p>
        </w:tc>
        <w:tc>
          <w:tcPr>
            <w:tcW w:w="4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including stock-based compensation expense, driven by higher headcount, cloud</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hosting costs and lower capitalized software costs.</w:t>
            </w: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10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highlights our expectation for the absolute dollar change and percent of revenue change for fiscal 2025 as compared to fiscal 2024:</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Absolute dollar impact</w:t>
            </w: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 of net revenue impact</w:t>
            </w:r>
          </w:p>
        </w:tc>
      </w:tr>
      <w:tr>
        <w:trPr>
          <w:trHeight w:val="17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Increase</w:t>
            </w:r>
          </w:p>
        </w:tc>
        <w:tc>
          <w:tcPr>
            <w:tcW w:w="12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Flat</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Marketing and sales</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Increase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Flat</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Increase</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Flat</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Decrease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Flat</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Decrease</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Flat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Interest and Other Expense, Net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components of interest and other expense, net: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60" w:type="dxa"/>
            <w:vAlign w:val="bottom"/>
          </w:tcPr>
          <w:p>
            <w:pPr>
              <w:spacing w:after="0"/>
              <w:rPr>
                <w:sz w:val="13"/>
                <w:szCs w:val="13"/>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investment income (expense), net</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Gain on foreign currency</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gain on strategic investments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5"/>
        </w:trPr>
        <w:tc>
          <w:tcPr>
            <w:tcW w:w="676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and other income (expense), net</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Interest and other income (expense), net, positively changed by $51 million during fiscal 2024, as compared to fiscal 2023. The positive change in interest and other income(expense), net, was primarily due to an increase in interest income due to higher interest rates in the current period as compared to the prior period and gains in the current year for investments in debt and equity securities that are held in a rabbi trust under non-qualified deferred compensation plans compared to losses in the prior period. The increase in interest and other income (expense), net, was partially offset by an increase in losses on strategic investment equity securities in the current period compared to the prior period.</w:t>
      </w:r>
    </w:p>
    <w:p>
      <w:pPr>
        <w:spacing w:after="0" w:line="162"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Interest and other expense, net, decreased by $10 million during fiscal 2023, as compared to fiscal 2022. The decrease was primarily due to an increase in gains on foreign currency in the current period compared to the prior fiscal year due to foreign currency exchange rate fluctuations and an increase in interest income, partially offset by an increase in interest expense as a result of the issuance of debt in fiscal year 2022 and losses in the current period as compared to gains in the prior year for investments in debt and equity securities that are held in a rabbi trust under non-qualified deferred compensation plans.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and investment income fluctuates based on average cash, marketable securities, debt balances, average maturities, and interest rates.</w:t>
      </w:r>
    </w:p>
    <w:p>
      <w:pPr>
        <w:spacing w:after="0" w:line="200"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Provision for Income Taxes</w:t>
      </w:r>
    </w:p>
    <w:p>
      <w:pPr>
        <w:spacing w:after="0" w:line="202"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 Furthermore, on January 22, 2018, the FASB released guidance on the accounting for tax on the global intangible low-taxed income (“GILTI”) provisions of the Tax Act. The GILTI provisions impose a tax on foreign income in excess of a deemed return on tangible assets of foreign corporations. The Company has elected to recognize any potential GILTI obligations as an expense in the period it is incurred.</w:t>
      </w:r>
    </w:p>
    <w:p>
      <w:pPr>
        <w:spacing w:after="0" w:line="162"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Income tax expense was $230 million and $123 million for fiscal 2024 and 2023, relative to pre-tax income of $1,136 million and $946 million, respectively, for the same periods. The tax expense for fiscal 2024 consists primarily of the U.S. and foreign tax expense, including withholding tax, an increase in tax expense relating to stock-based compensation, reduced by non-recurring integration net tax benefit and an income tax benefit arising from temporary relief provided by the Internal Revenue Service relating to U.S. foreign tax credit regulations. Tax expense for fiscal 2023 consisted primarily of the U.S. and foreign tax expense, including withholding tax, an increase in tax expense relating to stock-based compensation, final U.S. foreign tax credit regulations enacted in fiscal 2023, offset by the benefit from the Canada valuation allowance release and a U.S. foreign derived intangible income benefit driven by capitalization of research and development expenditures starting in fiscal 2023 as required by the Tax Act.</w:t>
      </w:r>
    </w:p>
    <w:p>
      <w:pPr>
        <w:spacing w:after="0" w:line="167"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should be recorded against deferred tax assets. In assessing the need for a valuation allowance, we consider all available evidence including past operating results and estimates of future taxable income.</w:t>
      </w:r>
    </w:p>
    <w:p>
      <w:pPr>
        <w:spacing w:after="0" w:line="145"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We released our Canada valuation allowance in fiscal 2023 due to positive evidence supporting the utilization of the R&amp;D credits before they expire, resulting in a $38 million non-cash benefit to earnings.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Due to a cross-border merger effected in fiscal year 2024 resulting in the elimination of our deferred tax assets, we no longer require a valuation allowance in Netherlands.</w:t>
      </w:r>
    </w:p>
    <w:p>
      <w:pPr>
        <w:spacing w:after="0" w:line="200"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We continue to retain a valuation allowance against California and Michigan deferred tax assets, as well as deferred tax assets that will convert into a capital loss upon reversal as we do not have sufficient income of the appropriate character to benefit these deferred tax assets. Also, the Company continues to retain a valuation allowance against foreign deferred tax assets in Portugal and New Zealand and capital losses in Australia. We have established a valuation allowance in Massachusetts in fiscal 2024 as it is more likely than not that we would not realize the deferred tax assets in this jurisdiction.</w:t>
      </w:r>
    </w:p>
    <w:p>
      <w:pPr>
        <w:spacing w:after="0" w:line="162" w:lineRule="exact"/>
        <w:rPr>
          <w:sz w:val="20"/>
          <w:szCs w:val="20"/>
          <w:color w:val="auto"/>
        </w:rPr>
      </w:pPr>
    </w:p>
    <w:p>
      <w:pPr>
        <w:jc w:val="both"/>
        <w:ind w:right="440" w:firstLine="350"/>
        <w:spacing w:after="0" w:line="270" w:lineRule="auto"/>
        <w:rPr>
          <w:sz w:val="20"/>
          <w:szCs w:val="20"/>
          <w:color w:val="auto"/>
        </w:rPr>
      </w:pPr>
      <w:r>
        <w:rPr>
          <w:rFonts w:ascii="Times New Roman" w:cs="Times New Roman" w:eastAsia="Times New Roman" w:hAnsi="Times New Roman"/>
          <w:sz w:val="14"/>
          <w:szCs w:val="14"/>
          <w:color w:val="auto"/>
        </w:rPr>
        <w:t>As we continually strive to optimize our overall business model, tax planning strategies may become feasible whereby management may determine, based on all available evidence, both positive and negative, that it is more likely than not that the Portugal, New Zealand, California, Massachusetts, Michigan, Australia capital loss and U.S. capital loss deferred tax assets will be realized.</w:t>
      </w:r>
    </w:p>
    <w:p>
      <w:pPr>
        <w:spacing w:after="0" w:line="157"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As of January 31, 2024, we had $261 million of gross unrecognized tax benefits, of which $43 million would reduce our valuation allowance, if recognized. The remaining $218 million would impact the effective tax rate. The amount of unrecognized tax benefits will decrease in the next twelve months for statute lapse is nil.</w:t>
      </w:r>
    </w:p>
    <w:p>
      <w:pPr>
        <w:spacing w:after="0" w:line="145"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16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Signed into law on August 16, 2022, the Inflation Reduction Act contains many revisions to the Internal Revenue Code effective in taxable years beginning after December 31, 2022, including a 15% corporate alternative minimum tax. We continue to monitor the impact the Inflation Reduction 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p>
      <w:pPr>
        <w:spacing w:after="0" w:line="202" w:lineRule="exact"/>
        <w:rPr>
          <w:sz w:val="20"/>
          <w:szCs w:val="20"/>
          <w:color w:val="auto"/>
        </w:rPr>
      </w:pPr>
    </w:p>
    <w:p>
      <w:pPr>
        <w:jc w:val="both"/>
        <w:ind w:right="140" w:firstLine="350"/>
        <w:spacing w:after="0" w:line="266" w:lineRule="auto"/>
        <w:rPr>
          <w:sz w:val="20"/>
          <w:szCs w:val="20"/>
          <w:color w:val="auto"/>
        </w:rPr>
      </w:pPr>
      <w:r>
        <w:rPr>
          <w:rFonts w:ascii="Times New Roman" w:cs="Times New Roman" w:eastAsia="Times New Roman" w:hAnsi="Times New Roman"/>
          <w:sz w:val="14"/>
          <w:szCs w:val="14"/>
          <w:color w:val="auto"/>
        </w:rPr>
        <w:t>In addition to our results determined under U.S. generally accepted accounting principles (“GAAP”) discussed above, we believe the following non-GAAP measures are useful to investors in evaluating our operating performance. For the fiscal years ended January 31, 2024, 2023, and 2022, our gross profit, income from operations, operating margin, net income, and diluted net income per share on a GAAP and non-GAAP basis were as follows (in millions except for operating margin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65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4,986</w:t>
            </w:r>
          </w:p>
        </w:tc>
        <w:tc>
          <w:tcPr>
            <w:tcW w:w="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4,525</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3,968</w:t>
            </w: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gross profit</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5,080</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4,624</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4,054</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1,128</w:t>
            </w:r>
          </w:p>
        </w:tc>
        <w:tc>
          <w:tcPr>
            <w:tcW w:w="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989</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618</w:t>
            </w: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income from operations</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1,962</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1,785</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1,397</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margin</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operating margin</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906</w:t>
            </w:r>
          </w:p>
        </w:tc>
        <w:tc>
          <w:tcPr>
            <w:tcW w:w="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823</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497</w:t>
            </w: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net income</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1,642</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1,445</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1,126</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income per share</w:t>
            </w: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4.19</w:t>
            </w:r>
          </w:p>
        </w:tc>
        <w:tc>
          <w:tcPr>
            <w:tcW w:w="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3.78</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2.24</w:t>
            </w: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diluted net income per share</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7.60</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6.63</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5.07</w:t>
            </w:r>
          </w:p>
        </w:tc>
      </w:tr>
    </w:tbl>
    <w:p>
      <w:pPr>
        <w:spacing w:after="0" w:line="22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right="4980"/>
        <w:spacing w:after="0" w:line="472" w:lineRule="auto"/>
        <w:rPr>
          <w:sz w:val="20"/>
          <w:szCs w:val="20"/>
          <w:color w:val="auto"/>
        </w:rPr>
      </w:pPr>
      <w:r>
        <w:rPr>
          <w:rFonts w:ascii="Times New Roman" w:cs="Times New Roman" w:eastAsia="Times New Roman" w:hAnsi="Times New Roman"/>
          <w:sz w:val="14"/>
          <w:szCs w:val="14"/>
          <w:b w:val="1"/>
          <w:bCs w:val="1"/>
          <w:color w:val="auto"/>
        </w:rPr>
        <w:t xml:space="preserve">RECONCILIATION OF GAAP FINANCIAL MEASURES TO NON-GAAP FINANCIAL MEASURES </w:t>
      </w:r>
      <w:r>
        <w:rPr>
          <w:rFonts w:ascii="Times New Roman" w:cs="Times New Roman" w:eastAsia="Times New Roman" w:hAnsi="Times New Roman"/>
          <w:sz w:val="14"/>
          <w:szCs w:val="14"/>
          <w:color w:val="auto"/>
        </w:rPr>
        <w:t>(In millions except for operating margin, and per share data):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40" w:type="dxa"/>
            <w:vAlign w:val="bottom"/>
          </w:tcPr>
          <w:p>
            <w:pPr>
              <w:spacing w:after="0"/>
              <w:rPr>
                <w:sz w:val="13"/>
                <w:szCs w:val="13"/>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4,525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3,968</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developed technologies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Acquisition-related costs</w:t>
            </w:r>
          </w:p>
        </w:tc>
        <w:tc>
          <w:tcPr>
            <w:tcW w:w="9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r>
      <w:tr>
        <w:trPr>
          <w:trHeight w:val="185"/>
        </w:trPr>
        <w:tc>
          <w:tcPr>
            <w:tcW w:w="654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Non-GAAP gross profit</w:t>
            </w:r>
          </w:p>
        </w:tc>
        <w:tc>
          <w:tcPr>
            <w:tcW w:w="96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4,624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4,054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618</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559</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developed technologies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Acquisition-related costs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6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Lease-related asset impairments and other charges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r>
      <w:tr>
        <w:trPr>
          <w:trHeight w:val="185"/>
        </w:trPr>
        <w:tc>
          <w:tcPr>
            <w:tcW w:w="654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Non-GAAP income from operations</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1,962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1,785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1,397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margin</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developed technologies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9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Acquisition-related costs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Lease-related asset impairments and other charges</w:t>
            </w:r>
          </w:p>
        </w:tc>
        <w:tc>
          <w:tcPr>
            <w:tcW w:w="96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85"/>
        </w:trPr>
        <w:tc>
          <w:tcPr>
            <w:tcW w:w="654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Non-GAAP operating margin (1)</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497</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559</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developed technologies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Acquisition-related costs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Lease-related asset impairments and other charges</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(gain) on strategic investments and dispositions, net</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Establishment (release) of valuation allowance on deferred tax assets</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Discrete GAAP tax items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(72)</w:t>
            </w:r>
          </w:p>
        </w:tc>
      </w:tr>
      <w:tr>
        <w:trPr>
          <w:trHeight w:val="168"/>
        </w:trPr>
        <w:tc>
          <w:tcPr>
            <w:tcW w:w="6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Income tax effect of non-GAAP adjustments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(75)</w:t>
            </w:r>
          </w:p>
        </w:tc>
      </w:tr>
      <w:tr>
        <w:trPr>
          <w:trHeight w:val="185"/>
        </w:trPr>
        <w:tc>
          <w:tcPr>
            <w:tcW w:w="654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Non-GAAP net income</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1,445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1,126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net income per share</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2.24</w:t>
            </w:r>
          </w:p>
        </w:tc>
      </w:tr>
      <w:tr>
        <w:trPr>
          <w:trHeight w:val="168"/>
        </w:trPr>
        <w:tc>
          <w:tcPr>
            <w:tcW w:w="6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2.52</w:t>
            </w:r>
          </w:p>
        </w:tc>
      </w:tr>
      <w:tr>
        <w:trPr>
          <w:trHeight w:val="172"/>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developed technologies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0.22</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60" w:type="dxa"/>
            <w:vAlign w:val="bottom"/>
          </w:tcPr>
          <w:p>
            <w:pPr>
              <w:spacing w:after="0"/>
              <w:rPr>
                <w:sz w:val="13"/>
                <w:szCs w:val="13"/>
                <w:color w:val="auto"/>
              </w:rPr>
            </w:pPr>
          </w:p>
        </w:tc>
        <w:tc>
          <w:tcPr>
            <w:tcW w:w="9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6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Acquisition-related costs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Lease-related asset impairments and other charges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0.47</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(gain) on strategic investments and dispositions, net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Establishment (release) of valuation allowance on deferred tax assets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Discrete GAAP tax items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r>
      <w:tr>
        <w:trPr>
          <w:trHeight w:val="168"/>
        </w:trPr>
        <w:tc>
          <w:tcPr>
            <w:tcW w:w="6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Income tax effect of non-GAAP adjustments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(0.34)</w:t>
            </w:r>
          </w:p>
        </w:tc>
      </w:tr>
      <w:tr>
        <w:trPr>
          <w:trHeight w:val="185"/>
        </w:trPr>
        <w:tc>
          <w:tcPr>
            <w:tcW w:w="676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Non-GAAP diluted net income per share</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r>
      <w:tr>
        <w:trPr>
          <w:trHeight w:val="168"/>
        </w:trPr>
        <w:tc>
          <w:tcPr>
            <w:tcW w:w="6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Capital expenditures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8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Totals may not sum due to rounding.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non-GAAP financial measures may exclude the following:</w:t>
      </w:r>
    </w:p>
    <w:p>
      <w:pPr>
        <w:spacing w:after="0" w:line="198" w:lineRule="exact"/>
        <w:rPr>
          <w:sz w:val="20"/>
          <w:szCs w:val="20"/>
          <w:color w:val="auto"/>
        </w:rPr>
      </w:pPr>
    </w:p>
    <w:p>
      <w:pPr>
        <w:ind w:right="14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Stock-based compensation expenses. </w:t>
      </w:r>
      <w:r>
        <w:rPr>
          <w:rFonts w:ascii="Times New Roman" w:cs="Times New Roman" w:eastAsia="Times New Roman" w:hAnsi="Times New Roman"/>
          <w:sz w:val="14"/>
          <w:szCs w:val="14"/>
          <w:color w:val="auto"/>
        </w:rPr>
        <w:t>We exclude stock-based compensation expenses from non-GAAP measures primarily because they are non-cash expenses and management finds it useful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59"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Amortization of developed technologies and purchased intangibles. </w:t>
      </w:r>
      <w:r>
        <w:rPr>
          <w:rFonts w:ascii="Times New Roman" w:cs="Times New Roman" w:eastAsia="Times New Roman" w:hAnsi="Times New Roman"/>
          <w:sz w:val="14"/>
          <w:szCs w:val="14"/>
          <w:color w:val="auto"/>
        </w:rPr>
        <w:t>We incur amortization of acquisition-related developed technologies and purchased intangibles in connection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acquisitions of certain businesses and technologies. Amortization of developed technologies and purchased intangibles is inconsistent in amount and frequency and is significantly affected by both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61" w:lineRule="exact"/>
        <w:rPr>
          <w:sz w:val="20"/>
          <w:szCs w:val="20"/>
          <w:color w:val="auto"/>
        </w:rPr>
      </w:pPr>
    </w:p>
    <w:p>
      <w:pPr>
        <w:jc w:val="both"/>
        <w:ind w:right="24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CEO transition costs. </w:t>
      </w:r>
      <w:r>
        <w:rPr>
          <w:rFonts w:ascii="Times New Roman" w:cs="Times New Roman" w:eastAsia="Times New Roman" w:hAnsi="Times New Roman"/>
          <w:sz w:val="14"/>
          <w:szCs w:val="14"/>
          <w:color w:val="auto"/>
        </w:rPr>
        <w:t>We exclude amounts paid to the Company’s former CEOs upon departure under the terms of their transition agreements, including severance payments, acceleration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59" w:lineRule="exact"/>
        <w:rPr>
          <w:sz w:val="20"/>
          <w:szCs w:val="20"/>
          <w:color w:val="auto"/>
        </w:rPr>
      </w:pPr>
    </w:p>
    <w:p>
      <w:pPr>
        <w:ind w:right="360"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Goodwill impairment. </w:t>
      </w:r>
      <w:r>
        <w:rPr>
          <w:rFonts w:ascii="Times New Roman" w:cs="Times New Roman" w:eastAsia="Times New Roman" w:hAnsi="Times New Roman"/>
          <w:sz w:val="14"/>
          <w:szCs w:val="14"/>
          <w:color w:val="auto"/>
        </w:rPr>
        <w:t>This is a non-cash charge to write down goodwill to fair value when there is an indication that the asset has been impaired. As explained above, management finds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useful to exclude certain non-cash charges to assess the appropriate level of various operating expenses to assist in budgeting, planning, and forecasting future periods.</w:t>
      </w:r>
    </w:p>
    <w:p>
      <w:pPr>
        <w:spacing w:after="0" w:line="141" w:lineRule="exact"/>
        <w:rPr>
          <w:sz w:val="20"/>
          <w:szCs w:val="20"/>
          <w:color w:val="auto"/>
        </w:rPr>
      </w:pPr>
    </w:p>
    <w:p>
      <w:pPr>
        <w:ind w:right="10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Restructuring and other exit costs, net. </w:t>
      </w:r>
      <w:r>
        <w:rPr>
          <w:rFonts w:ascii="Times New Roman" w:cs="Times New Roman" w:eastAsia="Times New Roman" w:hAnsi="Times New Roman"/>
          <w:sz w:val="14"/>
          <w:szCs w:val="14"/>
          <w:color w:val="auto"/>
        </w:rPr>
        <w:t>These expenses are associated with realigning our business strategies based on current economic conditions. In connection with these restructuring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48"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4"/>
          <w:szCs w:val="14"/>
          <w:i w:val="1"/>
          <w:iCs w:val="1"/>
          <w:color w:val="auto"/>
        </w:rPr>
        <w:t>Lease-related asset impairments and other charges. </w:t>
      </w:r>
      <w:r>
        <w:rPr>
          <w:rFonts w:ascii="Times New Roman" w:cs="Times New Roman" w:eastAsia="Times New Roman" w:hAnsi="Times New Roman"/>
          <w:sz w:val="14"/>
          <w:szCs w:val="14"/>
          <w:color w:val="auto"/>
        </w:rPr>
        <w:t> These charges are associated with the optimization of our facilities costs related to leases for facilities that we have vacated as a result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one-time move to a more hybrid remote workforce. 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connection with these facility leases, we recognize costs related to the impairment or abandonment of operating lease right-of-use assets, computer equipment, furniture, and leasehold improvements, and other costs. We exclude these charges because these expenses are not reflective of ongoing business and operating results. We believe it is useful for investors to understand the effects of these items on our total operating expenses.</w:t>
      </w:r>
    </w:p>
    <w:p>
      <w:pPr>
        <w:spacing w:after="0" w:line="166" w:lineRule="exact"/>
        <w:rPr>
          <w:sz w:val="20"/>
          <w:szCs w:val="20"/>
          <w:color w:val="auto"/>
        </w:rPr>
      </w:pPr>
    </w:p>
    <w:p>
      <w:pPr>
        <w:ind w:right="26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Acquisition-related costs. </w:t>
      </w:r>
      <w:r>
        <w:rPr>
          <w:rFonts w:ascii="Times New Roman" w:cs="Times New Roman" w:eastAsia="Times New Roman" w:hAnsi="Times New Roman"/>
          <w:sz w:val="14"/>
          <w:szCs w:val="14"/>
          <w:color w:val="auto"/>
        </w:rPr>
        <w:t>We exclude certain acquisition-related costs, including due diligence costs, professional fees in connection with an acquisition, certain financing costs, and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integration-related expenses. These expenses are unpredictable, and depend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159" w:lineRule="exact"/>
        <w:rPr>
          <w:sz w:val="20"/>
          <w:szCs w:val="20"/>
          <w:color w:val="auto"/>
        </w:rPr>
      </w:pPr>
    </w:p>
    <w:p>
      <w:pPr>
        <w:ind w:right="160"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Loss (gain) on strategic investments and dispositions. </w:t>
      </w:r>
      <w:r>
        <w:rPr>
          <w:rFonts w:ascii="Times New Roman" w:cs="Times New Roman" w:eastAsia="Times New Roman" w:hAnsi="Times New Roman"/>
          <w:sz w:val="14"/>
          <w:szCs w:val="14"/>
          <w:color w:val="auto"/>
        </w:rPr>
        <w:t>We exclude gains and losses related to our strategic investments and dispositions of strategic investments, purchased intangibles,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businesses from our non-GAAP measures primarily because management finds it useful to exclude these variable gains and losses on these investments and dispositions in assessing our financial results. Included in these amounts are non-cash unrealized gains and losses, dividends received, realized gains and losses on the sales or losses on the impairment of these investments, and gain and loss on dispositions. We believe excluding these items is useful to investors because they do not correlate to the underlying performance of our business and these losses or gains were incurred in connection with strategic investments and dispositions which do not occur regularly.</w:t>
      </w:r>
    </w:p>
    <w:p>
      <w:pPr>
        <w:spacing w:after="0" w:line="161"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Discrete tax provision items. </w:t>
      </w:r>
      <w:r>
        <w:rPr>
          <w:rFonts w:ascii="Times New Roman" w:cs="Times New Roman" w:eastAsia="Times New Roman" w:hAnsi="Times New Roman"/>
          <w:sz w:val="14"/>
          <w:szCs w:val="14"/>
          <w:color w:val="auto"/>
        </w:rPr>
        <w:t>We exclude the GAAP tax provision, including discrete items, from the non-GAAP measure of net income (loss), and include a non-GAAP tax provision 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ind w:right="300"/>
        <w:spacing w:after="0" w:line="266" w:lineRule="auto"/>
        <w:rPr>
          <w:sz w:val="20"/>
          <w:szCs w:val="20"/>
          <w:color w:val="auto"/>
        </w:rPr>
      </w:pPr>
      <w:r>
        <w:rPr>
          <w:rFonts w:ascii="Times New Roman" w:cs="Times New Roman" w:eastAsia="Times New Roman" w:hAnsi="Times New Roman"/>
          <w:sz w:val="14"/>
          <w:szCs w:val="14"/>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57" w:lineRule="exact"/>
        <w:rPr>
          <w:sz w:val="20"/>
          <w:szCs w:val="20"/>
          <w:color w:val="auto"/>
        </w:rPr>
      </w:pPr>
    </w:p>
    <w:p>
      <w:pPr>
        <w:ind w:right="34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Establishment (release) of a valuation allowance on certain net deferred tax assets. </w:t>
      </w:r>
      <w:r>
        <w:rPr>
          <w:rFonts w:ascii="Times New Roman" w:cs="Times New Roman" w:eastAsia="Times New Roman" w:hAnsi="Times New Roman"/>
          <w:sz w:val="14"/>
          <w:szCs w:val="14"/>
          <w:color w:val="auto"/>
        </w:rPr>
        <w:t>This is a non-cash charge to record or to release a valuation allowance on certain deferred tax assets.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explained above, management finds it useful to exclude certain non-cash charges to assess the appropriate level of various cash expenses to assist in budgeting, planning, and forecasting future periods.</w:t>
      </w:r>
    </w:p>
    <w:p>
      <w:pPr>
        <w:spacing w:after="0" w:line="155" w:lineRule="exact"/>
        <w:rPr>
          <w:sz w:val="20"/>
          <w:szCs w:val="20"/>
          <w:color w:val="auto"/>
        </w:rPr>
      </w:pPr>
    </w:p>
    <w:p>
      <w:pPr>
        <w:jc w:val="both"/>
        <w:ind w:right="20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Income tax effects on the difference between GAAP and non-GAAP costs and expenses. </w:t>
      </w:r>
      <w:r>
        <w:rPr>
          <w:rFonts w:ascii="Times New Roman" w:cs="Times New Roman" w:eastAsia="Times New Roman" w:hAnsi="Times New Roman"/>
          <w:sz w:val="14"/>
          <w:szCs w:val="14"/>
          <w:color w:val="auto"/>
        </w:rPr>
        <w:t>The income tax effects that are excluded from the non-GAAP measures relate to the tax impact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difference between GAAP and non-GAAP expenses, primarily due to stock-based compensation, amortization of purchased intangibles, and restructuring charges and other exit costs (benefits) for GAAP and non-GAAP measures.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162" w:lineRule="exact"/>
        <w:rPr>
          <w:sz w:val="20"/>
          <w:szCs w:val="20"/>
          <w:color w:val="auto"/>
        </w:rPr>
      </w:pPr>
    </w:p>
    <w:p>
      <w:pPr>
        <w:ind w:right="200" w:firstLine="318"/>
        <w:spacing w:after="0" w:line="249" w:lineRule="auto"/>
        <w:rPr>
          <w:sz w:val="20"/>
          <w:szCs w:val="20"/>
          <w:color w:val="auto"/>
        </w:rPr>
      </w:pPr>
      <w:r>
        <w:rPr>
          <w:rFonts w:ascii="Times New Roman" w:cs="Times New Roman" w:eastAsia="Times New Roman" w:hAnsi="Times New Roman"/>
          <w:sz w:val="14"/>
          <w:szCs w:val="14"/>
          <w:color w:val="auto"/>
        </w:rPr>
        <w:t>At January 31, 2024, our principal sources of liquidity were cash, cash equivalents, and marketable securities totaling $2.48 billion and net accounts receivable of $876 million. In connection with the closing of the Payapps and PIX acquisitions in February 2024 and March 2024, we used approximately $387 million and $266 million, net of cash acquired, in readily available cash, respectively. In connection with the acquisition of a provider of a cloud-based artificial intelligence pipeline for creating computer-generated 3D characters into live-action scenes in May 2024, we used approximately $131 million, net of cash acquired, in readily available cash. See Part II, Item 8, Note 17, “Subsequent Events,” in the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4"/>
          <w:szCs w:val="14"/>
          <w:color w:val="auto"/>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January 31, 2024, Autodesk had no outstanding borrowings under the Credit Agreement. Additionally, as of June 10, 2024, we have no amounts outstanding under the Credit Agreement. See Part II, Item 8, Note 8, “Borrowing Arrangements,” in the Notes to Consolidated Financial Statements for further discussion on our covenant requirements. If we are unable to remain in compliance with the covenants under the Credit Agreement, we may not be able to draw on our revolving credit facility.</w:t>
      </w:r>
    </w:p>
    <w:p>
      <w:pPr>
        <w:spacing w:after="0" w:line="176"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As of January 31, 2024, we had $2.30 billion aggregate principal amount of notes outstanding. See Part II, Item 8, Note 8, “Borrowing Arrangements,” in the Notes to Consolidated Financial Statements for further discussion.</w:t>
      </w:r>
    </w:p>
    <w:p>
      <w:pPr>
        <w:spacing w:after="0" w:line="145"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145"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Our cash, cash equivalents, and marketable securities balances are concentrated in a few locations around the world, with substantial amounts held outside of the United States. As of January 31, 2024, approximately 68%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67"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Cash from operations could also be affected by various risks and uncertainties, including, but not limited to the risks detailed in Part I, Item 1A,“Risk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 from the date of this Annual Report.</w:t>
      </w:r>
    </w:p>
    <w:p>
      <w:pPr>
        <w:spacing w:after="0" w:line="157"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640" w:type="dxa"/>
            <w:vAlign w:val="bottom"/>
            <w:tcBorders>
              <w:bottom w:val="single" w:sz="8" w:color="auto"/>
            </w:tcBorders>
          </w:tcPr>
          <w:p>
            <w:pPr>
              <w:spacing w:after="0"/>
              <w:rPr>
                <w:sz w:val="13"/>
                <w:szCs w:val="13"/>
                <w:color w:val="auto"/>
              </w:rPr>
            </w:pPr>
          </w:p>
        </w:tc>
      </w:tr>
      <w:tr>
        <w:trPr>
          <w:trHeight w:val="15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r>
      <w:tr>
        <w:trPr>
          <w:trHeight w:val="168"/>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r>
      <w:tr>
        <w:trPr>
          <w:trHeight w:val="17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bl>
    <w:p>
      <w:pPr>
        <w:spacing w:after="0" w:line="251"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of $1,313 million for fiscal 2024, primarily consisted of $906 million of our net income adjusted for $718 million non-cash items such as stock-based compensation expense, depreciation, amortization, and accretion expense, and deferred income tax. The decrease in cash provided by working capital was primarily due to a decrease in deferred revenue of $316 million driven by the transition of multi-year subscription contracts billed upfront to annual billing installments.</w:t>
      </w:r>
    </w:p>
    <w:p>
      <w:pPr>
        <w:spacing w:after="0" w:line="157"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of $2,071 million for fiscal 2023, primarily consisted of $823 million of our net income adjusted for $556 million non-cash items such as stock-based compensation expense, depreciation, amortization, and accretion expense, lease-related asset impairment charges, and deferred income tax. The increase in cash provided by working capital was primarily due to a net increase in deferred revenue of $798 million driven by an increase in product subscriptions and EBA offerings offset in part by a change in accounts receivable of $247 million due to the seasonality of our billings in the fourth fiscal quarter and timing of cash collections from customers.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 was $502 million for fiscal 2024 and was primarily due to purchases of marketable securities partially offset by sales and maturities of marketable securities.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$143 million for fiscal 2023 and was primarily due to purchases of marketable securities and business combinations, net of cash acquired, partially offset by sales and maturities of marketable securities.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 was $852 million in fiscal 2024 and was primarily due to repurchases of our common stock.</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 was $1,487 million in fiscal 2023 and was primarily due to repurchases of our common stock and repayment of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02"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significant financial contractual obligations at January 31, 2024, and the effect such obligations are expected to have on our liquidity and cash flows in future periods.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Fiscal year 2025</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Fiscal years 2026-</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years 2028-</w:t>
            </w:r>
          </w:p>
        </w:tc>
        <w:tc>
          <w:tcPr>
            <w:tcW w:w="160" w:type="dxa"/>
            <w:vAlign w:val="bottom"/>
          </w:tcPr>
          <w:p>
            <w:pPr>
              <w:spacing w:after="0"/>
              <w:rPr>
                <w:sz w:val="11"/>
                <w:szCs w:val="11"/>
                <w:color w:val="auto"/>
              </w:rPr>
            </w:pP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3960" w:type="dxa"/>
            <w:vAlign w:val="bottom"/>
            <w:vMerge w:val="restart"/>
          </w:tcPr>
          <w:p>
            <w:pPr>
              <w:ind w:left="1400"/>
              <w:spacing w:after="0"/>
              <w:rPr>
                <w:sz w:val="20"/>
                <w:szCs w:val="20"/>
                <w:color w:val="auto"/>
              </w:rPr>
            </w:pPr>
            <w:r>
              <w:rPr>
                <w:rFonts w:ascii="Times New Roman" w:cs="Times New Roman" w:eastAsia="Times New Roman" w:hAnsi="Times New Roman"/>
                <w:sz w:val="11"/>
                <w:szCs w:val="11"/>
                <w:b w:val="1"/>
                <w:bCs w:val="1"/>
                <w:color w:val="auto"/>
              </w:rPr>
              <w:t>Management Comments</w:t>
            </w:r>
          </w:p>
        </w:tc>
        <w:tc>
          <w:tcPr>
            <w:tcW w:w="0" w:type="dxa"/>
            <w:vAlign w:val="bottom"/>
          </w:tcPr>
          <w:p>
            <w:pPr>
              <w:spacing w:after="0"/>
              <w:rPr>
                <w:sz w:val="1"/>
                <w:szCs w:val="1"/>
                <w:color w:val="auto"/>
              </w:rPr>
            </w:pPr>
          </w:p>
        </w:tc>
      </w:tr>
      <w:tr>
        <w:trPr>
          <w:trHeight w:val="154"/>
        </w:trPr>
        <w:tc>
          <w:tcPr>
            <w:tcW w:w="2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4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Notes payable</w:t>
            </w:r>
          </w:p>
        </w:tc>
        <w:tc>
          <w:tcPr>
            <w:tcW w:w="200" w:type="dxa"/>
            <w:vAlign w:val="bottom"/>
            <w:tcBorders>
              <w:top w:val="single" w:sz="8" w:color="auto"/>
            </w:tcBorders>
            <w:shd w:val="clear" w:color="auto" w:fill="CCEEFF"/>
          </w:tcPr>
          <w:p>
            <w:pPr>
              <w:jc w:val="right"/>
              <w:ind w:right="56"/>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2,651</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ind w:right="199"/>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79"/>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416</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583</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16"/>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1,583</w:t>
            </w:r>
          </w:p>
        </w:tc>
        <w:tc>
          <w:tcPr>
            <w:tcW w:w="3960" w:type="dxa"/>
            <w:vAlign w:val="bottom"/>
            <w:tcBorders>
              <w:top w:val="single" w:sz="8" w:color="auto"/>
            </w:tcBorders>
            <w:shd w:val="clear" w:color="auto" w:fill="CCEEFF"/>
          </w:tcPr>
          <w:p>
            <w:pPr>
              <w:ind w:left="40"/>
              <w:spacing w:after="0" w:line="123" w:lineRule="exact"/>
              <w:rPr>
                <w:sz w:val="20"/>
                <w:szCs w:val="20"/>
                <w:color w:val="auto"/>
              </w:rPr>
            </w:pPr>
            <w:r>
              <w:rPr>
                <w:rFonts w:ascii="Times New Roman" w:cs="Times New Roman" w:eastAsia="Times New Roman" w:hAnsi="Times New Roman"/>
                <w:sz w:val="13"/>
                <w:szCs w:val="13"/>
                <w:color w:val="auto"/>
              </w:rPr>
              <w:t>Notes payable consist of the notes issued in June 2015, June 2017, January</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2020, and October 2021 including interest. See Part II, Item 8, Note 8,</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“Borrowing Arrangements,” in the Notes to Consolidated Financial</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Statements for further discussion.</w:t>
            </w:r>
          </w:p>
        </w:tc>
        <w:tc>
          <w:tcPr>
            <w:tcW w:w="0" w:type="dxa"/>
            <w:vAlign w:val="bottom"/>
          </w:tcPr>
          <w:p>
            <w:pPr>
              <w:spacing w:after="0"/>
              <w:rPr>
                <w:sz w:val="1"/>
                <w:szCs w:val="1"/>
                <w:color w:val="auto"/>
              </w:rPr>
            </w:pPr>
          </w:p>
        </w:tc>
      </w:tr>
      <w:tr>
        <w:trPr>
          <w:trHeight w:val="127"/>
        </w:trPr>
        <w:tc>
          <w:tcPr>
            <w:tcW w:w="22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Operating leases</w:t>
            </w:r>
          </w:p>
        </w:tc>
        <w:tc>
          <w:tcPr>
            <w:tcW w:w="20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373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77</w:t>
            </w: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Operating lease obligations consist primarily of obligations for real estate,</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w w:val="98"/>
              </w:rPr>
              <w:t>vehicles, and certain equipment. See Part II, Item 8, Note 9, “Leases,” in the</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Notes to Consolidated Financial Statements for further discussion.</w:t>
            </w: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obligations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396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Purchase obligations are contractual obligations for purchase of goods or</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services and are defined as agreements that are enforceable and legally</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binding to Autodesk and that specify all significant terms, including: fixed</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or minimum quantities to be purchased; fixed, minimum, or variable price</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provisions; and the approximate timing of the transaction. Purchase</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obligations relate primarily to acquisition of cloud services, marketing and</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commitments related to our investment agreements with limited liability</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partnership funds.</w:t>
            </w:r>
          </w:p>
        </w:tc>
        <w:tc>
          <w:tcPr>
            <w:tcW w:w="0" w:type="dxa"/>
            <w:vAlign w:val="bottom"/>
          </w:tcPr>
          <w:p>
            <w:pPr>
              <w:spacing w:after="0"/>
              <w:rPr>
                <w:sz w:val="1"/>
                <w:szCs w:val="1"/>
                <w:color w:val="auto"/>
              </w:rPr>
            </w:pPr>
          </w:p>
        </w:tc>
      </w:tr>
      <w:tr>
        <w:trPr>
          <w:trHeight w:val="127"/>
        </w:trPr>
        <w:tc>
          <w:tcPr>
            <w:tcW w:w="22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Deferred compensation obligations</w:t>
            </w:r>
          </w:p>
        </w:tc>
        <w:tc>
          <w:tcPr>
            <w:tcW w:w="20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54</w:t>
            </w: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Deferred compensation obligations relate to amounts held in a rabbi trust</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under our non-qualified deferred compensation plan. See Part II, Item 8,</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Note 7, “Deferred Compensation,” in our Notes to Consolidated Financial</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Statements for further information regarding this plan.</w:t>
            </w: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Pension obligations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396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w w:val="98"/>
              </w:rPr>
              <w:t>Pension obligations relate to our obligations for pension plans outside of the</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United States. See Part II, Item 8, Note 16, “Retirement Benefit Plans,” in</w:t>
            </w: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our Notes to Consolidated Financial Statements for further information</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regarding these obligations.</w:t>
            </w:r>
          </w:p>
        </w:tc>
        <w:tc>
          <w:tcPr>
            <w:tcW w:w="0" w:type="dxa"/>
            <w:vAlign w:val="bottom"/>
          </w:tcPr>
          <w:p>
            <w:pPr>
              <w:spacing w:after="0"/>
              <w:rPr>
                <w:sz w:val="1"/>
                <w:szCs w:val="1"/>
                <w:color w:val="auto"/>
              </w:rPr>
            </w:pPr>
          </w:p>
        </w:tc>
      </w:tr>
      <w:tr>
        <w:trPr>
          <w:trHeight w:val="127"/>
        </w:trPr>
        <w:tc>
          <w:tcPr>
            <w:tcW w:w="22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Asset retirement obligations</w:t>
            </w:r>
          </w:p>
        </w:tc>
        <w:tc>
          <w:tcPr>
            <w:tcW w:w="20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3</w:t>
            </w: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Asset retirement obligations represent the estimated costs to bring certain</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6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office buildings that we lease back to their original condition after the</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termination of the lease.</w:t>
            </w:r>
          </w:p>
        </w:tc>
        <w:tc>
          <w:tcPr>
            <w:tcW w:w="0" w:type="dxa"/>
            <w:vAlign w:val="bottom"/>
          </w:tcPr>
          <w:p>
            <w:pPr>
              <w:spacing w:after="0"/>
              <w:rPr>
                <w:sz w:val="1"/>
                <w:szCs w:val="1"/>
                <w:color w:val="auto"/>
              </w:rPr>
            </w:pPr>
          </w:p>
        </w:tc>
      </w:tr>
      <w:tr>
        <w:trPr>
          <w:trHeight w:val="185"/>
        </w:trPr>
        <w:tc>
          <w:tcPr>
            <w:tcW w:w="2240" w:type="dxa"/>
            <w:vAlign w:val="bottom"/>
            <w:tcBorders>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(1)</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39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right="140" w:hanging="315"/>
        <w:spacing w:after="0" w:line="251" w:lineRule="auto"/>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table generally excludes amounts already recorded on the balance sheet as current liabilities, certain purchase obligations as discussed below, long term deferred revenue, and amounts related to income tax accruals for uncertain tax positions, since we cannot predict with reasonable reliability the timing of cash settlements to the respective taxing authorities (see Part II, Item 8, Note 5, “Income Taxes” in the Notes to Consolidated Financial Statements).</w:t>
      </w:r>
    </w:p>
    <w:p>
      <w:pPr>
        <w:spacing w:after="0" w:line="164"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57"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5"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4"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During the three and 12 months ended January 31, 2024, we repurchased 289 thousand and 4 million shares of our common stock, respectively. At January 31, 2024, $4.74 billion remained available for repurchase under the November 2022 repurchase program approved by the Board of Directors. The plan does not have a fixed expiration dat</w:t>
      </w:r>
      <w:r>
        <w:rPr>
          <w:rFonts w:ascii="Times New Roman" w:cs="Times New Roman" w:eastAsia="Times New Roman" w:hAnsi="Times New Roman"/>
          <w:sz w:val="12"/>
          <w:szCs w:val="12"/>
          <w:color w:val="auto"/>
        </w:rPr>
        <w:t>e.</w:t>
      </w:r>
      <w:r>
        <w:rPr>
          <w:rFonts w:ascii="Times New Roman" w:cs="Times New Roman" w:eastAsia="Times New Roman" w:hAnsi="Times New Roman"/>
          <w:sz w:val="14"/>
          <w:szCs w:val="14"/>
          <w:color w:val="auto"/>
        </w:rPr>
        <w:t xml:space="preserve"> See Part II, Item 8, Note 12, “Stock Repurchase Program,” in the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20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2024 and 2023, we had open cash flow and balance sheet hedge contracts with future settlements generally within one to 12 months. Contracts were primarily denominated in Euros, British pounds, Japanese yen, Canadian dollars, Australian dollars, Norwegian krone, Singapore dollars, Indian rupees, and Swiss francs. We do not enter into foreign exchange derivative instruments for trading or speculative purposes.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option and foreign exchange forward contracts outstanding as of the respective period-ends are summarized in U.S. dollar equivalents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1040" w:type="dxa"/>
            <w:vAlign w:val="bottom"/>
            <w:tcBorders>
              <w:bottom w:val="single" w:sz="8" w:color="auto"/>
            </w:tcBorders>
          </w:tcPr>
          <w:p>
            <w:pPr>
              <w:spacing w:after="0"/>
              <w:rPr>
                <w:sz w:val="13"/>
                <w:szCs w:val="13"/>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420" w:type="dxa"/>
            <w:vAlign w:val="bottom"/>
          </w:tcPr>
          <w:p>
            <w:pPr>
              <w:spacing w:after="0"/>
              <w:rPr>
                <w:sz w:val="13"/>
                <w:szCs w:val="1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Contracts:</w:t>
            </w: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0"/>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Purchased</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5"/>
                <w:szCs w:val="15"/>
                <w:color w:val="auto"/>
              </w:rPr>
            </w:pP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Sold</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Contracts: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4"/>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Sold</w:t>
            </w:r>
          </w:p>
        </w:tc>
        <w:tc>
          <w:tcPr>
            <w:tcW w:w="200" w:type="dxa"/>
            <w:vAlign w:val="bottom"/>
          </w:tcPr>
          <w:p>
            <w:pPr>
              <w:spacing w:after="0"/>
              <w:rPr>
                <w:sz w:val="16"/>
                <w:szCs w:val="16"/>
                <w:color w:val="auto"/>
              </w:rPr>
            </w:pPr>
          </w:p>
        </w:tc>
        <w:tc>
          <w:tcPr>
            <w:tcW w:w="12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7"/>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47" w:lineRule="exact"/>
        <w:rPr>
          <w:sz w:val="20"/>
          <w:szCs w:val="20"/>
          <w:color w:val="auto"/>
        </w:rPr>
      </w:pPr>
    </w:p>
    <w:p>
      <w:pPr>
        <w:ind w:right="220" w:firstLine="350"/>
        <w:spacing w:after="0" w:line="264" w:lineRule="auto"/>
        <w:rPr>
          <w:sz w:val="20"/>
          <w:szCs w:val="20"/>
          <w:color w:val="auto"/>
        </w:rPr>
      </w:pPr>
      <w:r>
        <w:rPr>
          <w:rFonts w:ascii="Times New Roman" w:cs="Times New Roman" w:eastAsia="Times New Roman" w:hAnsi="Times New Roman"/>
          <w:sz w:val="14"/>
          <w:szCs w:val="14"/>
          <w:color w:val="auto"/>
        </w:rPr>
        <w:t>We use foreign currency contracts to reduce the exchange rate impact on the net revenue and operating expenses of certain anticipated transactions. A sensitivity analysis performed on our hedging portfolio as of January 31, 2024, indicated that a hypothetical 10% appreciation of the U.S. dollar from its value at January 31, 2024 and 2023, would increase the fair value of our foreign currency contracts by $121 million and $149 million, respectively. A hypothetical 10% depreciation of the dollar from its value at January 31, 2024 and 2023, would decrease the fair value of our foreign currency contracts by $99 million and $191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02"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Interest rate movements affect both the interest income we earn on our short-term investments and the market value of certain longer term securities. At January 31, 2024, we had $1.71 billion of cash equivalents and marketable securities, including $354 million classified as short-term marketable securities and $234 million classified as long-term marketable securities. If interest rates were to move up by 50 or 100 basis points over a 12-month period, the market value change of these securities would not have a material impact on our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MARKET RISK</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these strategic investments.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information about exposure to counter-party credit-related losses, see Part II, Item 8, Note 1, “Business and Summary of Significant Accounting Policies -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2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8"/>
        </w:trPr>
        <w:tc>
          <w:tcPr>
            <w:tcW w:w="10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20" w:type="dxa"/>
            <w:vAlign w:val="bottom"/>
          </w:tcPr>
          <w:p>
            <w:pPr>
              <w:spacing w:after="0"/>
              <w:rPr>
                <w:sz w:val="24"/>
                <w:szCs w:val="24"/>
                <w:color w:val="auto"/>
              </w:rPr>
            </w:pPr>
          </w:p>
        </w:tc>
        <w:tc>
          <w:tcPr>
            <w:tcW w:w="6720" w:type="dxa"/>
            <w:vAlign w:val="bottom"/>
            <w:gridSpan w:val="3"/>
          </w:tcPr>
          <w:p>
            <w:pPr>
              <w:jc w:val="right"/>
              <w:ind w:right="2816"/>
              <w:spacing w:after="0"/>
              <w:rPr>
                <w:sz w:val="20"/>
                <w:szCs w:val="20"/>
                <w:color w:val="auto"/>
              </w:rPr>
            </w:pPr>
            <w:r>
              <w:rPr>
                <w:rFonts w:ascii="Times New Roman" w:cs="Times New Roman" w:eastAsia="Times New Roman" w:hAnsi="Times New Roman"/>
                <w:sz w:val="14"/>
                <w:szCs w:val="14"/>
                <w:b w:val="1"/>
                <w:bCs w:val="1"/>
                <w:color w:val="auto"/>
                <w:w w:val="99"/>
              </w:rPr>
              <w:t>FINANCIAL STATEMENTS AND SUPPLEMENTARY DATA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880" w:type="dxa"/>
            <w:vAlign w:val="bottom"/>
            <w:gridSpan w:val="2"/>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AUTODESK,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880" w:type="dxa"/>
            <w:vAlign w:val="bottom"/>
            <w:gridSpan w:val="2"/>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880" w:type="dxa"/>
            <w:vAlign w:val="bottom"/>
            <w:gridSpan w:val="2"/>
          </w:tcPr>
          <w:p>
            <w:pPr>
              <w:jc w:val="center"/>
              <w:ind w:right="256"/>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88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7"/>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revenue:</w:t>
            </w:r>
          </w:p>
        </w:tc>
        <w:tc>
          <w:tcPr>
            <w:tcW w:w="2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Subscription</w:t>
            </w:r>
          </w:p>
        </w:tc>
        <w:tc>
          <w:tcPr>
            <w:tcW w:w="284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5,116</w:t>
            </w:r>
          </w:p>
        </w:tc>
        <w:tc>
          <w:tcPr>
            <w:tcW w:w="4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w:t>
            </w:r>
          </w:p>
        </w:tc>
        <w:tc>
          <w:tcPr>
            <w:tcW w:w="0" w:type="dxa"/>
            <w:vAlign w:val="bottom"/>
          </w:tcPr>
          <w:p>
            <w:pPr>
              <w:spacing w:after="0"/>
              <w:rPr>
                <w:sz w:val="1"/>
                <w:szCs w:val="1"/>
                <w:color w:val="auto"/>
              </w:rPr>
            </w:pPr>
          </w:p>
        </w:tc>
      </w:tr>
      <w:tr>
        <w:trPr>
          <w:trHeight w:val="168"/>
        </w:trPr>
        <w:tc>
          <w:tcPr>
            <w:tcW w:w="10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Maintenance</w:t>
            </w:r>
          </w:p>
        </w:tc>
        <w:tc>
          <w:tcPr>
            <w:tcW w:w="284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3"/>
        </w:trPr>
        <w:tc>
          <w:tcPr>
            <w:tcW w:w="3860" w:type="dxa"/>
            <w:vAlign w:val="bottom"/>
            <w:gridSpan w:val="3"/>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Total subscription and maintenance revenue</w:t>
            </w:r>
          </w:p>
        </w:tc>
        <w:tc>
          <w:tcPr>
            <w:tcW w:w="2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0" w:type="dxa"/>
            <w:vAlign w:val="bottom"/>
          </w:tcPr>
          <w:p>
            <w:pPr>
              <w:spacing w:after="0"/>
              <w:rPr>
                <w:sz w:val="1"/>
                <w:szCs w:val="1"/>
                <w:color w:val="auto"/>
              </w:rPr>
            </w:pPr>
          </w:p>
        </w:tc>
      </w:tr>
      <w:tr>
        <w:trPr>
          <w:trHeight w:val="168"/>
        </w:trPr>
        <w:tc>
          <w:tcPr>
            <w:tcW w:w="10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84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63"/>
        </w:trPr>
        <w:tc>
          <w:tcPr>
            <w:tcW w:w="386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net revenue</w:t>
            </w:r>
          </w:p>
        </w:tc>
        <w:tc>
          <w:tcPr>
            <w:tcW w:w="29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w:t>
            </w:r>
          </w:p>
        </w:tc>
        <w:tc>
          <w:tcPr>
            <w:tcW w:w="0" w:type="dxa"/>
            <w:vAlign w:val="bottom"/>
          </w:tcPr>
          <w:p>
            <w:pPr>
              <w:spacing w:after="0"/>
              <w:rPr>
                <w:sz w:val="1"/>
                <w:szCs w:val="1"/>
                <w:color w:val="auto"/>
              </w:rPr>
            </w:pPr>
          </w:p>
        </w:tc>
      </w:tr>
      <w:tr>
        <w:trPr>
          <w:trHeight w:val="148"/>
        </w:trPr>
        <w:tc>
          <w:tcPr>
            <w:tcW w:w="10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Cost of revenue:</w:t>
            </w:r>
          </w:p>
        </w:tc>
        <w:tc>
          <w:tcPr>
            <w:tcW w:w="28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Cost of subscription and maintenance revenue</w:t>
            </w:r>
          </w:p>
        </w:tc>
        <w:tc>
          <w:tcPr>
            <w:tcW w:w="2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68"/>
        </w:trPr>
        <w:tc>
          <w:tcPr>
            <w:tcW w:w="38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Cost of other revenue</w:t>
            </w:r>
          </w:p>
        </w:tc>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72"/>
        </w:trPr>
        <w:tc>
          <w:tcPr>
            <w:tcW w:w="3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developed technologies</w:t>
            </w:r>
          </w:p>
        </w:tc>
        <w:tc>
          <w:tcPr>
            <w:tcW w:w="29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58"/>
        </w:trPr>
        <w:tc>
          <w:tcPr>
            <w:tcW w:w="3860" w:type="dxa"/>
            <w:vAlign w:val="bottom"/>
            <w:tcBorders>
              <w:bottom w:val="single" w:sz="8" w:color="CCEEFF"/>
            </w:tcBorders>
            <w:gridSpan w:val="3"/>
          </w:tcPr>
          <w:p>
            <w:pPr>
              <w:ind w:left="520"/>
              <w:spacing w:after="0" w:line="146" w:lineRule="exact"/>
              <w:rPr>
                <w:sz w:val="20"/>
                <w:szCs w:val="20"/>
                <w:color w:val="auto"/>
              </w:rPr>
            </w:pPr>
            <w:r>
              <w:rPr>
                <w:rFonts w:ascii="Times New Roman" w:cs="Times New Roman" w:eastAsia="Times New Roman" w:hAnsi="Times New Roman"/>
                <w:sz w:val="13"/>
                <w:szCs w:val="13"/>
                <w:color w:val="auto"/>
              </w:rPr>
              <w:t>Total cost of revenue</w:t>
            </w:r>
          </w:p>
        </w:tc>
        <w:tc>
          <w:tcPr>
            <w:tcW w:w="29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163"/>
        </w:trPr>
        <w:tc>
          <w:tcPr>
            <w:tcW w:w="10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84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0" w:type="dxa"/>
            <w:vAlign w:val="bottom"/>
          </w:tcPr>
          <w:p>
            <w:pPr>
              <w:spacing w:after="0"/>
              <w:rPr>
                <w:sz w:val="1"/>
                <w:szCs w:val="1"/>
                <w:color w:val="auto"/>
              </w:rPr>
            </w:pPr>
          </w:p>
        </w:tc>
      </w:tr>
      <w:tr>
        <w:trPr>
          <w:trHeight w:val="168"/>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Marketing and sales</w:t>
            </w:r>
          </w:p>
        </w:tc>
        <w:tc>
          <w:tcPr>
            <w:tcW w:w="2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0" w:type="dxa"/>
            <w:vAlign w:val="bottom"/>
          </w:tcPr>
          <w:p>
            <w:pPr>
              <w:spacing w:after="0"/>
              <w:rPr>
                <w:sz w:val="1"/>
                <w:szCs w:val="1"/>
                <w:color w:val="auto"/>
              </w:rPr>
            </w:pPr>
          </w:p>
        </w:tc>
      </w:tr>
      <w:tr>
        <w:trPr>
          <w:trHeight w:val="168"/>
        </w:trPr>
        <w:tc>
          <w:tcPr>
            <w:tcW w:w="38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0" w:type="dxa"/>
            <w:vAlign w:val="bottom"/>
          </w:tcPr>
          <w:p>
            <w:pPr>
              <w:spacing w:after="0"/>
              <w:rPr>
                <w:sz w:val="1"/>
                <w:szCs w:val="1"/>
                <w:color w:val="auto"/>
              </w:rPr>
            </w:pPr>
          </w:p>
        </w:tc>
      </w:tr>
      <w:tr>
        <w:trPr>
          <w:trHeight w:val="172"/>
        </w:trPr>
        <w:tc>
          <w:tcPr>
            <w:tcW w:w="3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0" w:type="dxa"/>
            <w:vAlign w:val="bottom"/>
          </w:tcPr>
          <w:p>
            <w:pPr>
              <w:spacing w:after="0"/>
              <w:rPr>
                <w:sz w:val="1"/>
                <w:szCs w:val="1"/>
                <w:color w:val="auto"/>
              </w:rPr>
            </w:pPr>
          </w:p>
        </w:tc>
      </w:tr>
      <w:tr>
        <w:trPr>
          <w:trHeight w:val="168"/>
        </w:trPr>
        <w:tc>
          <w:tcPr>
            <w:tcW w:w="386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3"/>
                <w:szCs w:val="13"/>
                <w:color w:val="auto"/>
              </w:rPr>
              <w:t>Amortization of purchased intangibles</w:t>
            </w:r>
          </w:p>
        </w:tc>
        <w:tc>
          <w:tcPr>
            <w:tcW w:w="29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3"/>
        </w:trPr>
        <w:tc>
          <w:tcPr>
            <w:tcW w:w="386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operating expenses</w:t>
            </w:r>
          </w:p>
        </w:tc>
        <w:tc>
          <w:tcPr>
            <w:tcW w:w="29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0" w:type="dxa"/>
            <w:vAlign w:val="bottom"/>
          </w:tcPr>
          <w:p>
            <w:pPr>
              <w:spacing w:after="0"/>
              <w:rPr>
                <w:sz w:val="1"/>
                <w:szCs w:val="1"/>
                <w:color w:val="auto"/>
              </w:rPr>
            </w:pPr>
          </w:p>
        </w:tc>
      </w:tr>
      <w:tr>
        <w:trPr>
          <w:trHeight w:val="158"/>
        </w:trPr>
        <w:tc>
          <w:tcPr>
            <w:tcW w:w="38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from operations</w:t>
            </w:r>
          </w:p>
        </w:tc>
        <w:tc>
          <w:tcPr>
            <w:tcW w:w="2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172"/>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other income (expense), net</w:t>
            </w:r>
          </w:p>
        </w:tc>
        <w:tc>
          <w:tcPr>
            <w:tcW w:w="29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8"/>
        </w:trPr>
        <w:tc>
          <w:tcPr>
            <w:tcW w:w="38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before income taxes</w:t>
            </w:r>
          </w:p>
        </w:tc>
        <w:tc>
          <w:tcPr>
            <w:tcW w:w="2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0" w:type="dxa"/>
            <w:vAlign w:val="bottom"/>
          </w:tcPr>
          <w:p>
            <w:pPr>
              <w:spacing w:after="0"/>
              <w:rPr>
                <w:sz w:val="1"/>
                <w:szCs w:val="1"/>
                <w:color w:val="auto"/>
              </w:rPr>
            </w:pPr>
          </w:p>
        </w:tc>
      </w:tr>
      <w:tr>
        <w:trPr>
          <w:trHeight w:val="172"/>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9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58"/>
        </w:trPr>
        <w:tc>
          <w:tcPr>
            <w:tcW w:w="10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2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tcBorders>
              <w:bottom w:val="single" w:sz="8" w:color="CCEEFF"/>
            </w:tcBorders>
            <w:gridSpan w:val="3"/>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Basic net income per share</w:t>
            </w:r>
          </w:p>
        </w:tc>
        <w:tc>
          <w:tcPr>
            <w:tcW w:w="29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Diluted net income per share</w:t>
            </w:r>
          </w:p>
        </w:tc>
        <w:tc>
          <w:tcPr>
            <w:tcW w:w="388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tcBorders>
              <w:top w:val="single" w:sz="8" w:color="CCEEFF"/>
            </w:tcBorders>
            <w:gridSpan w:val="3"/>
            <w:vMerge w:val="continue"/>
          </w:tcPr>
          <w:p>
            <w:pPr>
              <w:spacing w:after="0"/>
              <w:rPr>
                <w:sz w:val="11"/>
                <w:szCs w:val="11"/>
                <w:color w:val="auto"/>
              </w:rPr>
            </w:pPr>
          </w:p>
        </w:tc>
        <w:tc>
          <w:tcPr>
            <w:tcW w:w="292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8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tcBorders>
              <w:bottom w:val="single" w:sz="8" w:color="CCEEFF"/>
            </w:tcBorders>
            <w:gridSpan w:val="3"/>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Weighted average shares used in computing basic net income per share</w:t>
            </w:r>
          </w:p>
        </w:tc>
        <w:tc>
          <w:tcPr>
            <w:tcW w:w="29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in computing diluted net income per share</w:t>
            </w:r>
          </w:p>
        </w:tc>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gridSpan w:val="3"/>
            <w:vMerge w:val="continue"/>
          </w:tcPr>
          <w:p>
            <w:pPr>
              <w:spacing w:after="0"/>
              <w:rPr>
                <w:sz w:val="11"/>
                <w:szCs w:val="11"/>
                <w:color w:val="auto"/>
              </w:rPr>
            </w:pPr>
          </w:p>
        </w:tc>
        <w:tc>
          <w:tcPr>
            <w:tcW w:w="29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AUTODESK,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620" w:type="dxa"/>
            <w:vAlign w:val="bottom"/>
            <w:tcBorders>
              <w:bottom w:val="single" w:sz="8" w:color="auto"/>
            </w:tcBorders>
          </w:tcPr>
          <w:p>
            <w:pPr>
              <w:spacing w:after="0"/>
              <w:rPr>
                <w:sz w:val="13"/>
                <w:szCs w:val="13"/>
                <w:color w:val="auto"/>
              </w:rPr>
            </w:pPr>
          </w:p>
        </w:tc>
      </w:tr>
      <w:tr>
        <w:trPr>
          <w:trHeight w:val="154"/>
        </w:trPr>
        <w:tc>
          <w:tcPr>
            <w:tcW w:w="84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r>
      <w:tr>
        <w:trPr>
          <w:trHeight w:val="168"/>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 net of reclassifications: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 gain on derivative instruments (net of tax effect of $6, $(7), and $(8))</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8"/>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net unrealized gain on available-for-sale securities (net of tax effect of zero for all periods presented)</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defined benefit pension items (net of tax effect of $1, $1, and $(1))</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change in cumulative foreign currency translation loss (net of tax effect of $4, zero, and zero)</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0"/>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other comprehensive (loss) income</w:t>
            </w:r>
          </w:p>
        </w:tc>
        <w:tc>
          <w:tcPr>
            <w:tcW w:w="6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6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w:t>
            </w:r>
          </w:p>
        </w:tc>
      </w:tr>
      <w:tr>
        <w:trPr>
          <w:trHeight w:val="20"/>
        </w:trPr>
        <w:tc>
          <w:tcPr>
            <w:tcW w:w="8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AUTODESK,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3"/>
        </w:trPr>
        <w:tc>
          <w:tcPr>
            <w:tcW w:w="8300" w:type="dxa"/>
            <w:vAlign w:val="bottom"/>
            <w:vMerge w:val="restart"/>
          </w:tcPr>
          <w:p>
            <w:pPr>
              <w:ind w:left="39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34"/>
        </w:trPr>
        <w:tc>
          <w:tcPr>
            <w:tcW w:w="83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20" w:type="dxa"/>
            <w:vAlign w:val="bottom"/>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Marketable securities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68"/>
        </w:trPr>
        <w:tc>
          <w:tcPr>
            <w:tcW w:w="8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0" w:type="dxa"/>
            <w:vAlign w:val="bottom"/>
          </w:tcPr>
          <w:p>
            <w:pPr>
              <w:spacing w:after="0"/>
              <w:rPr>
                <w:sz w:val="1"/>
                <w:szCs w:val="1"/>
                <w:color w:val="auto"/>
              </w:rPr>
            </w:pPr>
          </w:p>
        </w:tc>
      </w:tr>
      <w:tr>
        <w:trPr>
          <w:trHeight w:val="158"/>
        </w:trPr>
        <w:tc>
          <w:tcPr>
            <w:tcW w:w="8300" w:type="dxa"/>
            <w:vAlign w:val="bottom"/>
            <w:tcBorders>
              <w:bottom w:val="single" w:sz="8" w:color="CCEEFF"/>
            </w:tcBorders>
          </w:tcPr>
          <w:p>
            <w:pPr>
              <w:ind w:left="52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3,341</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Long-term marketable securities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Computer equipment, software, furniture, and leasehold improvements, net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3,625</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other assets</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0" w:type="dxa"/>
            <w:vAlign w:val="bottom"/>
          </w:tcPr>
          <w:p>
            <w:pPr>
              <w:spacing w:after="0"/>
              <w:rPr>
                <w:sz w:val="1"/>
                <w:szCs w:val="1"/>
                <w:color w:val="auto"/>
              </w:rPr>
            </w:pPr>
          </w:p>
        </w:tc>
      </w:tr>
      <w:tr>
        <w:trPr>
          <w:trHeight w:val="158"/>
        </w:trPr>
        <w:tc>
          <w:tcPr>
            <w:tcW w:w="83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10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9,438</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300" w:type="dxa"/>
            <w:vAlign w:val="bottom"/>
            <w:shd w:val="clear" w:color="auto" w:fill="CCEEFF"/>
          </w:tcPr>
          <w:p>
            <w:pPr>
              <w:ind w:left="2920"/>
              <w:spacing w:after="0" w:line="123"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8"/>
        </w:trPr>
        <w:tc>
          <w:tcPr>
            <w:tcW w:w="8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compensation</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income taxes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8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revenue</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158"/>
        </w:trPr>
        <w:tc>
          <w:tcPr>
            <w:tcW w:w="83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Long-term deferred revenue</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income taxes payable</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deferred income taxes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notes payable, net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other liabilities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Preferred stock, $0.01 par value; shares authorized 2; none issued or outstanding at January 31, 2024 and 2023</w:t>
            </w:r>
          </w:p>
        </w:tc>
        <w:tc>
          <w:tcPr>
            <w:tcW w:w="10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83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Common stock and additional paid-in capital, $0.01 par value; shares authorized 750; 214 and 215 issued and outstanding at January 31, 2024 and 2023,</w:t>
            </w:r>
          </w:p>
        </w:tc>
        <w:tc>
          <w:tcPr>
            <w:tcW w:w="10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respectively</w:t>
            </w:r>
          </w:p>
        </w:tc>
        <w:tc>
          <w:tcPr>
            <w:tcW w:w="102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deficit</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0" w:type="dxa"/>
            <w:vAlign w:val="bottom"/>
          </w:tcPr>
          <w:p>
            <w:pPr>
              <w:spacing w:after="0"/>
              <w:rPr>
                <w:sz w:val="1"/>
                <w:szCs w:val="1"/>
                <w:color w:val="auto"/>
              </w:rPr>
            </w:pPr>
          </w:p>
        </w:tc>
      </w:tr>
      <w:tr>
        <w:trPr>
          <w:trHeight w:val="158"/>
        </w:trPr>
        <w:tc>
          <w:tcPr>
            <w:tcW w:w="830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stockholders’ equity</w:t>
            </w: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0" w:type="dxa"/>
            <w:vAlign w:val="bottom"/>
          </w:tcPr>
          <w:p>
            <w:pPr>
              <w:spacing w:after="0"/>
              <w:rPr>
                <w:sz w:val="1"/>
                <w:szCs w:val="1"/>
                <w:color w:val="auto"/>
              </w:rPr>
            </w:pPr>
          </w:p>
        </w:tc>
      </w:tr>
      <w:tr>
        <w:trPr>
          <w:trHeight w:val="185"/>
        </w:trPr>
        <w:tc>
          <w:tcPr>
            <w:tcW w:w="830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AUTODESK,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millions)</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7"/>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Lease-related asset impairments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activities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 net of business combinations: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income taxes</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520"/>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Investing activities:</w:t>
            </w: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Sales of marketable securities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Business combinations, net of cash acquired</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Capital expenditures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0" w:type="dxa"/>
            <w:vAlign w:val="bottom"/>
          </w:tcPr>
          <w:p>
            <w:pPr>
              <w:spacing w:after="0"/>
              <w:rPr>
                <w:sz w:val="1"/>
                <w:szCs w:val="1"/>
                <w:color w:val="auto"/>
              </w:rPr>
            </w:pPr>
          </w:p>
        </w:tc>
      </w:tr>
      <w:tr>
        <w:trPr>
          <w:trHeight w:val="148"/>
        </w:trPr>
        <w:tc>
          <w:tcPr>
            <w:tcW w:w="76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Financing activities: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net of issuance costs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Repurchase and retirement of common stock</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debt, net of discount</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Repayments of debt</w:t>
            </w:r>
          </w:p>
        </w:tc>
        <w:tc>
          <w:tcPr>
            <w:tcW w:w="7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7660" w:type="dxa"/>
            <w:vAlign w:val="bottom"/>
            <w:tcBorders>
              <w:top w:val="single" w:sz="8" w:color="CCEEFF"/>
            </w:tcBorders>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fiscal year</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and cash equivalents at end of fiscal year</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Cash paid for income taxes, net of tax refunds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660" w:type="dxa"/>
            <w:vAlign w:val="bottom"/>
            <w:vMerge w:val="continue"/>
          </w:tcPr>
          <w:p>
            <w:pPr>
              <w:spacing w:after="0"/>
              <w:rPr>
                <w:sz w:val="11"/>
                <w:szCs w:val="11"/>
                <w:color w:val="auto"/>
              </w:rPr>
            </w:pPr>
          </w:p>
        </w:tc>
        <w:tc>
          <w:tcPr>
            <w:tcW w:w="700" w:type="dxa"/>
            <w:vAlign w:val="bottom"/>
            <w:tcBorders>
              <w:bottom w:val="single" w:sz="8" w:color="auto"/>
            </w:tcBorders>
          </w:tcPr>
          <w:p>
            <w:pPr>
              <w:jc w:val="right"/>
              <w:ind w:right="558"/>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17"/>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17"/>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660" w:type="dxa"/>
            <w:vAlign w:val="bottom"/>
            <w:tcBorders>
              <w:bottom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color w:val="auto"/>
              </w:rPr>
              <w:t>Non-cash investing and financing activities:</w:t>
            </w:r>
          </w:p>
        </w:tc>
        <w:tc>
          <w:tcPr>
            <w:tcW w:w="7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Fair value of common stock issued to settle liability-classified restricted stock units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60" w:type="dxa"/>
            <w:vAlign w:val="bottom"/>
            <w:vMerge w:val="continue"/>
          </w:tcPr>
          <w:p>
            <w:pPr>
              <w:spacing w:after="0"/>
              <w:rPr>
                <w:sz w:val="9"/>
                <w:szCs w:val="9"/>
                <w:color w:val="auto"/>
              </w:rPr>
            </w:pPr>
          </w:p>
        </w:tc>
        <w:tc>
          <w:tcPr>
            <w:tcW w:w="700" w:type="dxa"/>
            <w:vAlign w:val="bottom"/>
            <w:tcBorders>
              <w:bottom w:val="single" w:sz="8" w:color="auto"/>
            </w:tcBorders>
          </w:tcPr>
          <w:p>
            <w:pPr>
              <w:jc w:val="right"/>
              <w:ind w:right="558"/>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9"/>
                <w:szCs w:val="9"/>
                <w:color w:val="auto"/>
              </w:rPr>
            </w:pPr>
          </w:p>
        </w:tc>
        <w:tc>
          <w:tcPr>
            <w:tcW w:w="260" w:type="dxa"/>
            <w:vAlign w:val="bottom"/>
            <w:tcBorders>
              <w:bottom w:val="single" w:sz="8" w:color="auto"/>
            </w:tcBorders>
          </w:tcPr>
          <w:p>
            <w:pPr>
              <w:jc w:val="right"/>
              <w:ind w:right="117"/>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9"/>
                <w:szCs w:val="9"/>
                <w:color w:val="auto"/>
              </w:rPr>
            </w:pPr>
          </w:p>
        </w:tc>
        <w:tc>
          <w:tcPr>
            <w:tcW w:w="260" w:type="dxa"/>
            <w:vAlign w:val="bottom"/>
            <w:tcBorders>
              <w:bottom w:val="single" w:sz="8" w:color="auto"/>
            </w:tcBorders>
          </w:tcPr>
          <w:p>
            <w:pPr>
              <w:jc w:val="right"/>
              <w:ind w:right="117"/>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60" w:type="dxa"/>
            <w:vAlign w:val="bottom"/>
            <w:tcBorders>
              <w:bottom w:val="single" w:sz="8" w:color="CCEEFF"/>
            </w:tcBorders>
            <w:shd w:val="clear" w:color="auto" w:fill="CCEEFF"/>
          </w:tcPr>
          <w:p>
            <w:pPr>
              <w:ind w:left="260"/>
              <w:spacing w:after="0" w:line="146" w:lineRule="exact"/>
              <w:rPr>
                <w:sz w:val="20"/>
                <w:szCs w:val="20"/>
                <w:color w:val="auto"/>
              </w:rPr>
            </w:pPr>
            <w:r>
              <w:rPr>
                <w:rFonts w:ascii="Times New Roman" w:cs="Times New Roman" w:eastAsia="Times New Roman" w:hAnsi="Times New Roman"/>
                <w:sz w:val="13"/>
                <w:szCs w:val="13"/>
                <w:color w:val="auto"/>
              </w:rPr>
              <w:t>Fair value of common stock issued related to business combination (See Note 6)</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AUTODESK, INC.</w:t>
      </w:r>
    </w:p>
    <w:p>
      <w:pPr>
        <w:spacing w:after="0" w:line="5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 and additional paid-in 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4"/>
        </w:trPr>
        <w:tc>
          <w:tcPr>
            <w:tcW w:w="4820" w:type="dxa"/>
            <w:vAlign w:val="bottom"/>
          </w:tcPr>
          <w:p>
            <w:pPr>
              <w:spacing w:after="0"/>
              <w:rPr>
                <w:sz w:val="13"/>
                <w:szCs w:val="13"/>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r>
      <w:tr>
        <w:trPr>
          <w:trHeight w:val="16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January 31, 2021</w:t>
            </w: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shares issued under stock plans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 of liability-classified restricted common shares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issued as consideration for business combination</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Repurchase and retirement of common shares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r>
      <w:tr>
        <w:trPr>
          <w:trHeight w:val="163"/>
        </w:trPr>
        <w:tc>
          <w:tcPr>
            <w:tcW w:w="48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Balances, January 31, 2022</w:t>
            </w: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shares issued under stock plans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 of liability-classified restricted common shares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issued related to business combination</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Repurchase and retirement of common shares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r>
      <w:tr>
        <w:trPr>
          <w:trHeight w:val="163"/>
        </w:trPr>
        <w:tc>
          <w:tcPr>
            <w:tcW w:w="48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Balances, January 31, 2023</w:t>
            </w: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shares issued under stock plans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 of liability-classified restricted common shares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7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and retirement of common shares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58"/>
        </w:trPr>
        <w:tc>
          <w:tcPr>
            <w:tcW w:w="48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Balances, January 31, 2024</w:t>
            </w:r>
          </w:p>
        </w:tc>
        <w:tc>
          <w:tcPr>
            <w:tcW w:w="7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1,855</w:t>
            </w:r>
          </w:p>
        </w:tc>
      </w:tr>
      <w:tr>
        <w:trPr>
          <w:trHeight w:val="20"/>
        </w:trPr>
        <w:tc>
          <w:tcPr>
            <w:tcW w:w="4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AUTODESK, INC.</w:t>
      </w:r>
    </w:p>
    <w:p>
      <w:pPr>
        <w:spacing w:after="0" w:line="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January 31, 2024</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(Tables in millions of dollars, except per share data, unless otherwise indicated)</w:t>
      </w:r>
    </w:p>
    <w:p>
      <w:pPr>
        <w:spacing w:after="0" w:line="183" w:lineRule="exact"/>
        <w:rPr>
          <w:sz w:val="20"/>
          <w:szCs w:val="20"/>
          <w:color w:val="auto"/>
        </w:rPr>
      </w:pPr>
    </w:p>
    <w:p>
      <w:pPr>
        <w:ind w:right="7520" w:firstLine="5"/>
        <w:spacing w:after="0" w:line="290" w:lineRule="auto"/>
        <w:tabs>
          <w:tab w:leader="none" w:pos="283"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Business and Summary of Significant Accounting Policies </w:t>
      </w:r>
      <w:r>
        <w:rPr>
          <w:rFonts w:ascii="Times New Roman" w:cs="Times New Roman" w:eastAsia="Times New Roman" w:hAnsi="Times New Roman"/>
          <w:sz w:val="14"/>
          <w:szCs w:val="14"/>
          <w:i w:val="1"/>
          <w:iCs w:val="1"/>
          <w:u w:val="single" w:color="auto"/>
          <w:color w:val="auto"/>
        </w:rPr>
        <w:t>Business</w:t>
      </w:r>
    </w:p>
    <w:p>
      <w:pPr>
        <w:spacing w:after="0" w:line="14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Autodesk, Inc. (“Autodesk” or the “Company”) is a global leader in 3D design, engineering and entertainment technology solutions, spanning architecture, engineering, construction, product design, manufacturing, media, and entertainment. The Company’s sophisticated software products, offered through a hybrid of desktop and cloud functionality, enable its customers to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Autodesk software products are sold globally through a combination of indirect and direct channels.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Principles of Consolidation</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Autodesk and its wholly owned subsidiaries. All intercompany accounts and transactions have been eliminated.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Use of Estimates</w:t>
      </w:r>
    </w:p>
    <w:p>
      <w:pPr>
        <w:spacing w:after="0" w:line="202" w:lineRule="exact"/>
        <w:rPr>
          <w:sz w:val="20"/>
          <w:szCs w:val="20"/>
          <w:color w:val="auto"/>
        </w:rPr>
      </w:pPr>
    </w:p>
    <w:p>
      <w:pPr>
        <w:jc w:val="both"/>
        <w:ind w:right="200" w:firstLine="35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57"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Examples of significant estimates and assumptions made by management involve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credit losses, asset retirement obligations, legal contingencies, and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Segments</w:t>
      </w:r>
    </w:p>
    <w:p>
      <w:pPr>
        <w:spacing w:after="0" w:line="202"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Autodesk operates in one operating segment, and accordingly all required financial segment information is included in the consolidated financial statements. Operating segments are defined as components of an enterprise for which separate financial information is evaluated regularly by the chief operating decision maker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regarding Autodesk's long-lived assets by geographic area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960" w:type="dxa"/>
            <w:vAlign w:val="bottom"/>
            <w:tcBorders>
              <w:bottom w:val="single" w:sz="8" w:color="auto"/>
            </w:tcBorders>
          </w:tcPr>
          <w:p>
            <w:pPr>
              <w:spacing w:after="0"/>
              <w:rPr>
                <w:sz w:val="13"/>
                <w:szCs w:val="13"/>
                <w:color w:val="auto"/>
              </w:rPr>
            </w:pPr>
          </w:p>
        </w:tc>
      </w:tr>
      <w:tr>
        <w:trPr>
          <w:trHeight w:val="154"/>
        </w:trPr>
        <w:tc>
          <w:tcPr>
            <w:tcW w:w="83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Long-lived assets (1):</w:t>
            </w: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8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Americas</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8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U.S.</w:t>
            </w: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168"/>
        </w:trPr>
        <w:tc>
          <w:tcPr>
            <w:tcW w:w="83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Other Americas</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838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Americas</w:t>
            </w: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r>
      <w:tr>
        <w:trPr>
          <w:trHeight w:val="168"/>
        </w:trPr>
        <w:tc>
          <w:tcPr>
            <w:tcW w:w="8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Europe, Middle East, and Africa</w:t>
            </w:r>
          </w:p>
        </w:tc>
        <w:tc>
          <w:tcPr>
            <w:tcW w:w="9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2"/>
        </w:trPr>
        <w:tc>
          <w:tcPr>
            <w:tcW w:w="8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Asia Pacific</w:t>
            </w:r>
          </w:p>
        </w:tc>
        <w:tc>
          <w:tcPr>
            <w:tcW w:w="9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8"/>
        </w:trPr>
        <w:tc>
          <w:tcPr>
            <w:tcW w:w="83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long-lived assets</w:t>
            </w: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w:t>
            </w:r>
          </w:p>
        </w:tc>
      </w:tr>
      <w:tr>
        <w:trPr>
          <w:trHeight w:val="20"/>
        </w:trPr>
        <w:tc>
          <w:tcPr>
            <w:tcW w:w="8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Long-lived assets exclude deferred tax assets, marketable securities, goodwill, and intangible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Recognition</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Autodesk’s revenue is divided into three categories: subscription revenue, maintenance revenue, and other revenue. Subscription revenue consists of our term-based product subscriptions, cloud service offerings, and flexible enterprise business agreements (“EBAs”). Maintenance revenue consists of renewal fees for existing maintenance plan agreements that were initially purchased with a perpetual software license. Under our maintenance plan, customers are eligible to receive unspecified upgrades, when and if available, and technical support. Other revenue consists of revenue from consulting and other products and services. Revenue is recognized when control for these offerings is transferred to our customers, in an amount that reflects the consideration we expect to be entitled to in exchange for products and services.</w:t>
      </w:r>
    </w:p>
    <w:p>
      <w:pPr>
        <w:spacing w:after="0" w:line="164"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Autodesk’s contracts with customers may include promises to transfer multiple products and services to a customer. Determining whether the products and services are considered distinct performance obligations that should be accounted for separately or as a single performance obligation may require significant judgment.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spacing w:after="0" w:line="164"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For product subscriptions and flexible EBA subscriptions in which the desktop software and related cloud functionalities are highly interrelated, the single performance obligation is recognized ratably over the contract term as the subscription is delivered. For subscriptions involving distinct desktop software licenses, the license performance obligation is satisfied when delivered to our customers. For standalone maintenance subscriptions and cloud subscriptions, the performance obligation is satisfied ratably over the contract term as those services are delivered. For consulting services, the performance obligation is satisfied over a period of time as those services are delivered.</w:t>
      </w:r>
    </w:p>
    <w:p>
      <w:pPr>
        <w:spacing w:after="0" w:line="162"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For contracts with more than one performance obligation, the transaction price is allocated among the performance obligations in an amount that depicts the relative standalone selling price (“SSP”) of each obligation. We establish SSP for most of our products and services based on observable prices when sold separately in similar circumstances to similar customers. 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product type or sales channel to determine the SSP.</w:t>
      </w:r>
    </w:p>
    <w:p>
      <w:pPr>
        <w:spacing w:after="0" w:line="164"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Costs to Obtain a Contract with a Customer</w:t>
      </w:r>
    </w:p>
    <w:p>
      <w:pPr>
        <w:spacing w:after="0" w:line="202"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Sales commissions earned by our internal sales personnel and our solution providers are considered incremental and recoverable costs of obtaining a contract with a customer. The commission costs are capitalized and included in “Prepaid expenses and other current assets” and “Long-term other assets” on our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solution providers that are related to contract renewals may either be commensurate or non-commensurate with commissions earned on the initial contract, depending on the commissions program. Costs for initial contracts that are non-commensurate with commissions on renewal contracts are amortized on a straight-line basis over the period of benefit. For non-commensurate commissions, we determined the estimated period of benefit by taking into consideration customer retention data, customer contracts, our technology, and other factors. Deferred costs are periodically reviewed for impairment. Amortization expense is included in marketing and sales expenses in the Consolidated Statements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Fair Value Measurement</w:t>
      </w:r>
    </w:p>
    <w:p>
      <w:pPr>
        <w:spacing w:after="0" w:line="20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for identical instruments in active markets;</w:t>
      </w:r>
    </w:p>
    <w:p>
      <w:pPr>
        <w:spacing w:after="0" w:line="2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Unobservable inputs for which there is little or no market data, which require Autodesk to develop its own assumptions.</w:t>
      </w:r>
    </w:p>
    <w:p>
      <w:pPr>
        <w:spacing w:after="0" w:line="200"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and Level 2 assets.</w:t>
      </w:r>
    </w:p>
    <w:p>
      <w:pPr>
        <w:spacing w:after="0" w:line="145"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 Autodesk’s Level 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securities and derivatives are valued primarily using observable inputs other than quoted prices in active markets for identical assets and liabilities.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 See Note 3, “Financial Instruments”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Cash and Cash Equivalents</w:t>
      </w:r>
    </w:p>
    <w:p>
      <w:pPr>
        <w:spacing w:after="0" w:line="202" w:lineRule="exact"/>
        <w:rPr>
          <w:sz w:val="20"/>
          <w:szCs w:val="20"/>
          <w:color w:val="auto"/>
        </w:rPr>
      </w:pPr>
    </w:p>
    <w:p>
      <w:pPr>
        <w:ind w:right="400" w:firstLine="350"/>
        <w:spacing w:after="0" w:line="287" w:lineRule="auto"/>
        <w:rPr>
          <w:sz w:val="20"/>
          <w:szCs w:val="20"/>
          <w:color w:val="auto"/>
        </w:rPr>
      </w:pPr>
      <w:r>
        <w:rPr>
          <w:rFonts w:ascii="Times New Roman" w:cs="Times New Roman" w:eastAsia="Times New Roman" w:hAnsi="Times New Roman"/>
          <w:sz w:val="14"/>
          <w:szCs w:val="14"/>
          <w:color w:val="auto"/>
        </w:rPr>
        <w:t>Autodesk considers all highly liquid investments with insignificant interest rate risk and remaining maturities of three months or less at the date of purchase to be cash equivalents. Cash equivalents are stated at estimated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Marketable Securities and Strategic Investments</w:t>
      </w:r>
    </w:p>
    <w:p>
      <w:pPr>
        <w:spacing w:after="0" w:line="202"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Autodesk classifies its marketable securities as either short-term or long-term generally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Marketable securities are stated at fair value. Marketable securities maturing within one year that are not restricted are classified as current assets.</w:t>
      </w:r>
    </w:p>
    <w:p>
      <w:pPr>
        <w:spacing w:after="0" w:line="200"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strategic investments consist of privately held debt and equity securities.</w:t>
      </w:r>
    </w:p>
    <w:p>
      <w:pPr>
        <w:spacing w:after="0" w:line="20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Under the measurement alternative method, strategic investments in equity securities are measured at cost, less any impairments, plus or minus changes resulting from observable price changes in orderly transactions for the identical or similar investment of the same issuer in the current period. The carrying value is not adjusted for the Company’s strategic investments in equity securities if there are no observable price changes in a same or similar security from the same issuer or if there are no identified events or changes in circumstances that may indicate impairment, as discussed below.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w:t>
      </w:r>
    </w:p>
    <w:p>
      <w:pPr>
        <w:spacing w:after="0" w:line="167" w:lineRule="exact"/>
        <w:rPr>
          <w:sz w:val="20"/>
          <w:szCs w:val="20"/>
          <w:color w:val="auto"/>
        </w:rPr>
      </w:pPr>
    </w:p>
    <w:p>
      <w:pPr>
        <w:ind w:right="400" w:firstLine="318"/>
        <w:spacing w:after="0" w:line="270" w:lineRule="auto"/>
        <w:rPr>
          <w:sz w:val="20"/>
          <w:szCs w:val="20"/>
          <w:color w:val="auto"/>
        </w:rPr>
      </w:pPr>
      <w:r>
        <w:rPr>
          <w:rFonts w:ascii="Times New Roman" w:cs="Times New Roman" w:eastAsia="Times New Roman" w:hAnsi="Times New Roman"/>
          <w:sz w:val="14"/>
          <w:szCs w:val="14"/>
          <w:color w:val="auto"/>
        </w:rPr>
        <w:t>The company’s strategic investments in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57"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In determining the estimated fair value of its strategic investments, the Company utilizes the most recent data available to the Company. In addition, the determination of whether an orderly transaction is for a same or similar investment requires significant management judgment including: the rights and obligations of the investments, the extent to which those differences would affect the fair values of those investments, and the impact of any differences based on the stage of operational development of the investee.</w:t>
      </w:r>
    </w:p>
    <w:p>
      <w:pPr>
        <w:spacing w:after="0" w:line="157"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All of Autodesk’s marketable securities and strategic investments are subject to a periodic impairment review. Strategic investments in equity securities are assessed based on available information such as current cash positions, earnings,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162" w:lineRule="exact"/>
        <w:rPr>
          <w:sz w:val="20"/>
          <w:szCs w:val="20"/>
          <w:color w:val="auto"/>
        </w:rPr>
      </w:pPr>
    </w:p>
    <w:p>
      <w:pPr>
        <w:ind w:right="300" w:firstLine="318"/>
        <w:spacing w:after="0" w:line="270" w:lineRule="auto"/>
        <w:rPr>
          <w:sz w:val="20"/>
          <w:szCs w:val="20"/>
          <w:color w:val="auto"/>
        </w:rPr>
      </w:pPr>
      <w:r>
        <w:rPr>
          <w:rFonts w:ascii="Times New Roman" w:cs="Times New Roman" w:eastAsia="Times New Roman" w:hAnsi="Times New Roman"/>
          <w:sz w:val="14"/>
          <w:szCs w:val="14"/>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Consolidated Statements of Operations. Any accrued interest receivable on available-for-sale debt securities is recorded in “Prepaid expenses and other current assets,” in the accompanying Consolidated Balance Sheets, as applicable.</w:t>
      </w:r>
    </w:p>
    <w:p>
      <w:pPr>
        <w:spacing w:after="0" w:line="157"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For Autodesk’s quarterly impairment assessment of privately held debt and equity securities strategic investment portfolio,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additional information, see “Concentration of Credit Risk” within this Note 1, “Business and Summary of Significant Accounting Policies” and Note 3,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Derivative Financial Instruments</w:t>
      </w:r>
    </w:p>
    <w:p>
      <w:pPr>
        <w:spacing w:after="0" w:line="202"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British pounds, Canadian dollars, Australian dollars, Singapore dollars, Swiss francs, Swedish krona, Czech koruna and Indian rupees. These instruments generally have maturities between one and 12 months in the future. Autodesk uses foreign currency contracts not designated as hedging instruments and foreign currency contracts designated as cash flow hedges but Autodesk does not enter into derivative instrument transactions for trading or speculative purposes.</w:t>
      </w:r>
    </w:p>
    <w:p>
      <w:pPr>
        <w:spacing w:after="0" w:line="164" w:lineRule="exact"/>
        <w:rPr>
          <w:sz w:val="20"/>
          <w:szCs w:val="20"/>
          <w:color w:val="auto"/>
        </w:rPr>
      </w:pPr>
    </w:p>
    <w:p>
      <w:pPr>
        <w:ind w:right="160" w:firstLine="318"/>
        <w:spacing w:after="0" w:line="264" w:lineRule="auto"/>
        <w:rPr>
          <w:sz w:val="20"/>
          <w:szCs w:val="20"/>
          <w:color w:val="auto"/>
        </w:rPr>
      </w:pPr>
      <w:r>
        <w:rPr>
          <w:rFonts w:ascii="Times New Roman" w:cs="Times New Roman" w:eastAsia="Times New Roman" w:hAnsi="Times New Roman"/>
          <w:sz w:val="14"/>
          <w:szCs w:val="14"/>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16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Autodesk accounts for these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w:t>
      </w:r>
    </w:p>
    <w:p>
      <w:pPr>
        <w:spacing w:after="0" w:line="15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or options to acquire equity securities in a privately held company. These derivatives are recorded at fair value as of each balance sheet date and are recorded in “Long-term other assets.” Changes in the fair values of these instruments are recognized in “Interest and other income (expense),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Foreign Currency Translation and Transactions</w:t>
      </w:r>
    </w:p>
    <w:p>
      <w:pPr>
        <w:spacing w:after="0" w:line="202"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in other comprehensive income (loss).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Gains and losses realized from foreign currency transactions, those transactions denominated in currencies other than the foreign subsidiary’s functional currency, are included in “Interest and other income (expense), net.” Monetary assets and liabilities are remeasured using foreign currency exchange rates at the end of the period, and non-monetary assets and liabilities are remeasured based on historical exchange rates.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Foreign Currency Contracts Designated as Cash Flow Hedges</w:t>
      </w:r>
    </w:p>
    <w:p>
      <w:pPr>
        <w:spacing w:after="0" w:line="202" w:lineRule="exact"/>
        <w:rPr>
          <w:sz w:val="20"/>
          <w:szCs w:val="20"/>
          <w:color w:val="auto"/>
        </w:rPr>
      </w:pPr>
    </w:p>
    <w:p>
      <w:pPr>
        <w:ind w:right="60" w:firstLine="350"/>
        <w:spacing w:after="0" w:line="257" w:lineRule="auto"/>
        <w:rPr>
          <w:sz w:val="20"/>
          <w:szCs w:val="20"/>
          <w:color w:val="auto"/>
        </w:rPr>
      </w:pPr>
      <w:r>
        <w:rPr>
          <w:rFonts w:ascii="Times New Roman" w:cs="Times New Roman" w:eastAsia="Times New Roman" w:hAnsi="Times New Roman"/>
          <w:sz w:val="14"/>
          <w:szCs w:val="14"/>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thereafter.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and discloses the gain or loss on the related cash flow hedge from “Accumulated other comprehensive loss” to “Interest and other income (expense), net” in the Company’s Consolidated Financial Statements at that time. Derivative contracts and related gain (loss) are presented within “Net cash provided by operating activities” in the Company’s Consolidated Statements of Cash Flow. See Note 3, “Financial Instruments”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Derivatives Not Designated as Hedging Instruments</w:t>
      </w:r>
    </w:p>
    <w:p>
      <w:pPr>
        <w:spacing w:after="0" w:line="202" w:lineRule="exact"/>
        <w:rPr>
          <w:sz w:val="20"/>
          <w:szCs w:val="20"/>
          <w:color w:val="auto"/>
        </w:rPr>
      </w:pPr>
    </w:p>
    <w:p>
      <w:pPr>
        <w:ind w:right="200" w:firstLine="350"/>
        <w:spacing w:after="0" w:line="264" w:lineRule="auto"/>
        <w:rPr>
          <w:sz w:val="20"/>
          <w:szCs w:val="20"/>
          <w:color w:val="auto"/>
        </w:rPr>
      </w:pPr>
      <w:r>
        <w:rPr>
          <w:rFonts w:ascii="Times New Roman" w:cs="Times New Roman" w:eastAsia="Times New Roman" w:hAnsi="Times New Roman"/>
          <w:sz w:val="14"/>
          <w:szCs w:val="14"/>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Accounts Receivable, Net</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Accounts receivable, net, consisted of the following as of January 31:</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3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accounts receivable</w:t>
            </w:r>
          </w:p>
        </w:tc>
        <w:tc>
          <w:tcPr>
            <w:tcW w:w="10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Less: Allowance for credit losses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Product returns reserve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Partner programs and other obligations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5"/>
        </w:trPr>
        <w:tc>
          <w:tcPr>
            <w:tcW w:w="830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Accounts receivable, net</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customer-specific information. Allowances for credit losses on trade receivables and contract assets were not material as of January 31, 2024.</w:t>
      </w:r>
    </w:p>
    <w:p>
      <w:pPr>
        <w:spacing w:after="0" w:line="162" w:lineRule="exact"/>
        <w:rPr>
          <w:sz w:val="20"/>
          <w:szCs w:val="20"/>
          <w:color w:val="auto"/>
        </w:rPr>
      </w:pPr>
    </w:p>
    <w:p>
      <w:pPr>
        <w:ind w:right="260" w:firstLine="318"/>
        <w:spacing w:after="0" w:line="270" w:lineRule="auto"/>
        <w:rPr>
          <w:sz w:val="20"/>
          <w:szCs w:val="20"/>
          <w:color w:val="auto"/>
        </w:rPr>
      </w:pPr>
      <w:r>
        <w:rPr>
          <w:rFonts w:ascii="Times New Roman" w:cs="Times New Roman" w:eastAsia="Times New Roman" w:hAnsi="Times New Roman"/>
          <w:sz w:val="14"/>
          <w:szCs w:val="14"/>
          <w:color w:val="auto"/>
        </w:rPr>
        <w:t>As part of the indirect channel model, Autodesk has a partner incentive program that uses quarterly attainment of monetary rewards to motivate distributors and resellers to achieve mutually agreed upon business goals in a specified time period. The majority of these incentives are recorded as a reduction to deferred revenue in the period the transaction is billed and subsequently recognized as a reduction to subscription revenue over the contract period. The remainder reduces subscription or other revenue in the current period.</w:t>
      </w:r>
    </w:p>
    <w:p>
      <w:pPr>
        <w:spacing w:after="0" w:line="157"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These incentive balances do not require significant assumptions or judgments. Depending on how the payments are made, the reserves associated with the partner incentive program are recognized on the balance sheet as either a reduction to accounts receivable or recorded as accounts payable.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Concentration of Credit Risk</w:t>
      </w:r>
    </w:p>
    <w:p>
      <w:pPr>
        <w:spacing w:after="0" w:line="202"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w:t>
      </w:r>
    </w:p>
    <w:p>
      <w:pPr>
        <w:spacing w:after="0" w:line="157"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62"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Autodesk’s accounts receivable are derived from sales to a large number of resellers, distributors, and direct customers in the Americas, Europe, Middle East and Africa (“EMEA”), and Asia Pacific (“APAC”) geographies. Autodesk performs ongoing evaluations of these partners’ and customers’ financial condition and limits the amount of credit extended when deemed necessary, but generally does not require collateral from such parties. Total revenue from the Company’s largest distributor TD Synnex Corporation, and its global affiliates (“TD Synnex”), accounted for 39%, 37%, and 36% of Autodesk's net revenue for fiscal years ended January 31, 2024, 2023 and 2022, respectively. The majority of the net revenue from sales to TD Synnex is from sales made outside of the United States. In addition, TD Synnex accounted for 18% and 27% of trade accounts receivable as of January 31, 2024 and 2023, respectively. No other customer accounted for more than 10% of Autodesk’s total net revenue or trade accounts receivable for each of the respective periods.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Intangible Assets, Net</w:t>
      </w:r>
    </w:p>
    <w:p>
      <w:pPr>
        <w:spacing w:after="0" w:line="202"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Intangible assets include customer relationships, developed technologies, trade names and patents, and other, and the related accumulated amortization. These assets are presented as “Intangible assets, net” in the Consolidated Balance Sheets. The majority of Autodesk’s intangible assets are amortized to expense over the estimated economic life, which ranges from 3 to 15 years. Amortization expense for intangible assets was $89 million in fiscal 2024, $98 million in fiscal 2023, and $94 million in fiscal 2022.</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Intangible assets and related accumulated amortization at January 31,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 (1)</w:t>
            </w:r>
          </w:p>
        </w:tc>
        <w:tc>
          <w:tcPr>
            <w:tcW w:w="10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340" w:type="dxa"/>
            <w:vAlign w:val="bottom"/>
          </w:tcPr>
          <w:p>
            <w:pPr>
              <w:spacing w:after="0"/>
              <w:rPr>
                <w:sz w:val="13"/>
                <w:szCs w:val="13"/>
                <w:color w:val="auto"/>
              </w:rPr>
            </w:pPr>
          </w:p>
        </w:tc>
        <w:tc>
          <w:tcPr>
            <w:tcW w:w="104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17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58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technologies</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names and patents</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5"/>
        </w:trPr>
        <w:tc>
          <w:tcPr>
            <w:tcW w:w="678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intangible assets</w:t>
            </w:r>
          </w:p>
        </w:tc>
        <w:tc>
          <w:tcPr>
            <w:tcW w:w="58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effects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Intangible assets and related accumulated amortization at January 31, 2023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 (1)</w:t>
            </w:r>
          </w:p>
        </w:tc>
        <w:tc>
          <w:tcPr>
            <w:tcW w:w="10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340" w:type="dxa"/>
            <w:vAlign w:val="bottom"/>
          </w:tcPr>
          <w:p>
            <w:pPr>
              <w:spacing w:after="0"/>
              <w:rPr>
                <w:sz w:val="13"/>
                <w:szCs w:val="13"/>
                <w:color w:val="auto"/>
              </w:rPr>
            </w:pPr>
          </w:p>
        </w:tc>
        <w:tc>
          <w:tcPr>
            <w:tcW w:w="104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17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58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technologies</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names and patents</w:t>
            </w: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67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intangible assets</w:t>
            </w:r>
          </w:p>
        </w:tc>
        <w:tc>
          <w:tcPr>
            <w:tcW w:w="5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20"/>
        </w:trPr>
        <w:tc>
          <w:tcPr>
            <w:tcW w:w="6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20" w:hanging="315"/>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effects of foreign currency translation.</w:t>
      </w:r>
    </w:p>
    <w:p>
      <w:pPr>
        <w:spacing w:after="0" w:line="176" w:lineRule="exact"/>
        <w:rPr>
          <w:sz w:val="20"/>
          <w:szCs w:val="20"/>
          <w:color w:val="auto"/>
        </w:rPr>
      </w:pPr>
    </w:p>
    <w:p>
      <w:pPr>
        <w:ind w:right="220" w:firstLine="350"/>
        <w:spacing w:after="0" w:line="287" w:lineRule="auto"/>
        <w:rPr>
          <w:sz w:val="20"/>
          <w:szCs w:val="20"/>
          <w:color w:val="auto"/>
        </w:rPr>
      </w:pPr>
      <w:r>
        <w:rPr>
          <w:rFonts w:ascii="Times New Roman" w:cs="Times New Roman" w:eastAsia="Times New Roman" w:hAnsi="Times New Roman"/>
          <w:sz w:val="14"/>
          <w:szCs w:val="14"/>
          <w:color w:val="auto"/>
        </w:rPr>
        <w:t>The weighted average amortization period for intangible assets during fiscal 2024 was 9.1 years. Expected future amortization expense for intangible assets for each of the fiscal years ended thereafter is as follows:</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9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r>
      <w:tr>
        <w:trPr>
          <w:trHeight w:val="1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9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2"/>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8"/>
        </w:trPr>
        <w:tc>
          <w:tcPr>
            <w:tcW w:w="9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85"/>
        </w:trPr>
        <w:tc>
          <w:tcPr>
            <w:tcW w:w="944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Computer Equipment, Software, Furniture, and Leasehold Improvements, Net</w:t>
      </w:r>
    </w:p>
    <w:p>
      <w:pPr>
        <w:spacing w:after="0" w:line="202"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$47 million in fiscal 2024, $50 million in fiscal 2023, and $52 million in fiscal 2022. Impairment losses were not material in both fiscal years ended January 31, 2024 and 2023. Autodesk recognized impairment losses of $29 million in the fiscal year ended January 31, 2022.</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Computer equipment, software, furniture, leasehold improvements, and the related accumulated depreciation at January 31 were as follows: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Computer hardware, at cost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Computer software, at cost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8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Furniture and equipment, at cost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68"/>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Leasehold improvements, land and buildings, at cost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63"/>
        </w:trPr>
        <w:tc>
          <w:tcPr>
            <w:tcW w:w="8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r>
      <w:tr>
        <w:trPr>
          <w:trHeight w:val="168"/>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r>
      <w:tr>
        <w:trPr>
          <w:trHeight w:val="185"/>
        </w:trPr>
        <w:tc>
          <w:tcPr>
            <w:tcW w:w="830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Computer equipment, software, furniture, and leasehold improvements, net</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40" w:firstLine="350"/>
        <w:spacing w:after="0" w:line="287" w:lineRule="auto"/>
        <w:rPr>
          <w:sz w:val="20"/>
          <w:szCs w:val="20"/>
          <w:color w:val="auto"/>
        </w:rPr>
      </w:pPr>
      <w:r>
        <w:rPr>
          <w:rFonts w:ascii="Times New Roman" w:cs="Times New Roman" w:eastAsia="Times New Roman" w:hAnsi="Times New Roman"/>
          <w:sz w:val="14"/>
          <w:szCs w:val="14"/>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straight-line over the software’s expected useful life, which is generally three years.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Software Development Costs</w:t>
      </w:r>
    </w:p>
    <w:p>
      <w:pPr>
        <w:spacing w:after="0" w:line="202"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Software development costs for external use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two-year period, if material. Autodesk had no material capitalized software development costs at January 31, 2024, and January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Cloud Computing Arrangements</w:t>
      </w:r>
    </w:p>
    <w:p>
      <w:pPr>
        <w:spacing w:after="0" w:line="202"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Consolidated Balance Sheets. Capitalized costs were $254 million and $190 million at January 31, 2024, and January 31, 2023, respectively. Accumulated amortization was $83 million and $41 million at January 31, 2024, and January 31, 2023, respectively. Amortization expense was $42 million, $24 million, and $12 million in fiscal 2024, fiscal 2023, and fiscal 2022,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Leases</w:t>
      </w:r>
    </w:p>
    <w:p>
      <w:pPr>
        <w:spacing w:after="0" w:line="202" w:lineRule="exact"/>
        <w:rPr>
          <w:sz w:val="20"/>
          <w:szCs w:val="20"/>
          <w:color w:val="auto"/>
        </w:rPr>
      </w:pPr>
    </w:p>
    <w:p>
      <w:pPr>
        <w:ind w:right="260" w:firstLine="350"/>
        <w:spacing w:after="0" w:line="287" w:lineRule="auto"/>
        <w:rPr>
          <w:sz w:val="20"/>
          <w:szCs w:val="20"/>
          <w:color w:val="auto"/>
        </w:rPr>
      </w:pPr>
      <w:r>
        <w:rPr>
          <w:rFonts w:ascii="Times New Roman" w:cs="Times New Roman" w:eastAsia="Times New Roman" w:hAnsi="Times New Roman"/>
          <w:sz w:val="14"/>
          <w:szCs w:val="14"/>
          <w:color w:val="auto"/>
        </w:rPr>
        <w:t>Autodesk determines if an arrangement is a lease at inception. Operating leases are included in “Operating lease right-of-use assets,” “Operating lease liabilities,” and “Long-term operating lease liabilities” in the Consolidated Balance Sheets.</w:t>
      </w:r>
    </w:p>
    <w:p>
      <w:pPr>
        <w:spacing w:after="0" w:line="145"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Operating lease right-of-use assets represent Autodesk’s right to use an underlying asset for the lease term and operating lease liabilities represent the Company’s obligation to make lease payments arising from the lease. Operating lease right-of-use assets and operating lease liabilities are recognized at commencement date based on the present value of lease payments over the lease term. The operating lease right-of-use assets also include any lease payments made and are reduced by any lease incentives. Autodesk uses its incremental borrowing rate, if the Company’s leases do not provide an implicit rate, adjusted for local country-specific borrowing rates as applicable, based on the information available at commencement date in determining the present value of lease payments.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Autodesk has lease agreements with lease and non-lease components. Autodesk accounts for the lease and non-lease components as a single lease component.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Business Combinations</w:t>
      </w:r>
    </w:p>
    <w:p>
      <w:pPr>
        <w:spacing w:after="0" w:line="202"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Autodesk records the tangible and intangible assets acquired and liabilities assumed in a business combination based on their estimated fair values at the date of the respective acquisition, with the exception of contract assets and contract liabilities (i.e., deferred revenue) which are recognized and measured on the acquisition date in accordance with Autodesk’s “Revenue Recognition” policy in Note 1 “Business and Summary of Significant Accounting Policies”. The fair values assigned to the identifiable intangible assets acquired were based on estimates and assumptions determined by management. Autodesk recorded the excess of consideration transferred over the aggregate fair values as goodwill. During the measurement period, which may be up to one year from the acquisition date, Autodesk may record adjustments to these tangible and intangible assets acquired and liabilities assumed, with the corresponding offset to goodwill.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Impairment of Long-Lived Assets</w:t>
      </w:r>
    </w:p>
    <w:p>
      <w:pPr>
        <w:spacing w:after="0" w:line="202" w:lineRule="exact"/>
        <w:rPr>
          <w:sz w:val="20"/>
          <w:szCs w:val="20"/>
          <w:color w:val="auto"/>
        </w:rPr>
      </w:pPr>
    </w:p>
    <w:p>
      <w:pPr>
        <w:ind w:right="60" w:firstLine="318"/>
        <w:spacing w:after="0" w:line="260" w:lineRule="auto"/>
        <w:rPr>
          <w:sz w:val="20"/>
          <w:szCs w:val="20"/>
          <w:color w:val="auto"/>
        </w:rPr>
      </w:pPr>
      <w:r>
        <w:rPr>
          <w:rFonts w:ascii="Times New Roman" w:cs="Times New Roman" w:eastAsia="Times New Roman" w:hAnsi="Times New Roman"/>
          <w:sz w:val="14"/>
          <w:szCs w:val="14"/>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the recoverability of these assets. Recoverability is measured by comparison of the carrying amounts of the assets to the future undiscounted cash flow the assets are expected to generate generally using Level 3 inputs. If the long-lived assets are impaired, the impairment to be recognized is equal to the amount by which the carrying value of the assets exceeds its fair market value. Autodesk recorded impairment charges on lease related right-of-use assets related to certain office leases during the fiscal years ended January 31, 2024, 2023, and 2022. See Note 9, “Leases” for further discussion.</w:t>
      </w:r>
    </w:p>
    <w:p>
      <w:pPr>
        <w:spacing w:after="0" w:line="338"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Goodwill</w:t>
      </w:r>
    </w:p>
    <w:p>
      <w:pPr>
        <w:spacing w:after="0" w:line="202"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its reporting unit.</w:t>
      </w:r>
    </w:p>
    <w:p>
      <w:pPr>
        <w:spacing w:after="0" w:line="145"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Autodesk tests goodwill for impairment by performing a quantitative assessment of whether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5"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Goodwill impairment exists when the estimated fair value of goodwill is less than its carrying value. If impairment exists, the carrying value of the goodwill is reduced to fair value through an impairment charge recorded in the Company’s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62"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For the annual impairment test, Autodesk’s market capitalization was substantially in excess of the carrying value of the Company as of January 31, 2024. Accordingly, Autodesk has determined there was no goodwill impairment of our reporting unit during the fiscal year ended January 31, 2024. In addition, Autodesk did not recognize any goodwill impairment losses in fiscal 2023 or 2022.</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amount of goodwill during the fiscal years ended January 31,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00" w:type="dxa"/>
            <w:vAlign w:val="bottom"/>
          </w:tcPr>
          <w:p>
            <w:pPr>
              <w:spacing w:after="0"/>
              <w:rPr>
                <w:sz w:val="15"/>
                <w:szCs w:val="15"/>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January 31, 2023</w:t>
            </w:r>
          </w:p>
        </w:tc>
      </w:tr>
      <w:tr>
        <w:trPr>
          <w:trHeight w:val="160"/>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beginning of the year</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w:t>
            </w:r>
          </w:p>
        </w:tc>
      </w:tr>
      <w:tr>
        <w:trPr>
          <w:trHeight w:val="16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accumulated impairment losses, beginning of the year</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Goodwill, beginning of the year</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arising from acquisitions during the year</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foreign currency translation and measurement period adjustments (1)</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end of the year</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3,625</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20" w:hanging="315"/>
        <w:spacing w:after="0"/>
        <w:tabs>
          <w:tab w:leader="none" w:pos="3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Measurement period adjustments reflect revisions made to the Company's preliminary determination of estimated fair value of assets and liabilities assumed.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Deferred Tax Assets</w:t>
      </w:r>
    </w:p>
    <w:p>
      <w:pPr>
        <w:spacing w:after="0" w:line="202"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Deferred tax assets arise primarily from tax credits, net operating losses, and timing differences for reserves, accrued liabilities, stock options, deferred revenue, purchased technologies, and capitalized intangibles, partially offset by U.S. deferred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tax liabilities on acquired intangibles, and valuation allowances against Portugal, New Zealand, California, Michigan and Massachusetts deferred tax assets, and deferred tax assets that will convert into capital loss upon reversal in Australia and U.S. Autodesk performs a quarterly assessment of the recoverability of these net deferred tax assets and believes it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Stock-based Compensation Expense</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for fiscal 2024, 2023, and 2022, as follows: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subscription and maintenance revenue</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Cost of other revenue</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and sales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8"/>
        </w:trPr>
        <w:tc>
          <w:tcPr>
            <w:tcW w:w="67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Stock-based compensation expense related to stock awards and Employee Qualified Stock Purchase Plan ("ESPP") purchases</w:t>
            </w: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expense (benefit)</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8"/>
        </w:trPr>
        <w:tc>
          <w:tcPr>
            <w:tcW w:w="67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Stock-based compensation expense related to stock awards and ESPP purchases, net</w:t>
            </w:r>
          </w:p>
        </w:tc>
        <w:tc>
          <w:tcPr>
            <w:tcW w:w="10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Autodesk measures stock-based compensation cost at the grant date fair value of the award, and recognizes expense ratably over the requisite service period, which is generally the vesting period. Autodesk determines the grant date fair value of its stock-based payment awards for grants of employee stock purchases related to the employee stock purchase plan using the Black-Scholes-Merton (“BSM”) option-pricing model. To determine the grant-date fair value of our stock-based payment awards for restricted stock units and performance stock units, we use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Stock-based compensation cost for restricted stock is measured on the closing fair market value of our common stock on the date of grant. Autodesk uses the following assumptions to estimate the fair value of stock-based awards:</w:t>
      </w:r>
    </w:p>
    <w:p>
      <w:pPr>
        <w:spacing w:after="0" w:line="80"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4"/>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80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380" w:type="dxa"/>
            <w:vAlign w:val="bottom"/>
            <w:gridSpan w:val="4"/>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418"/>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80" w:type="dxa"/>
            <w:vAlign w:val="bottom"/>
          </w:tcPr>
          <w:p>
            <w:pPr>
              <w:spacing w:after="0"/>
              <w:rPr>
                <w:sz w:val="14"/>
                <w:szCs w:val="14"/>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759"/>
              <w:spacing w:after="0"/>
              <w:rPr>
                <w:sz w:val="20"/>
                <w:szCs w:val="20"/>
                <w:color w:val="auto"/>
              </w:rPr>
            </w:pPr>
            <w:r>
              <w:rPr>
                <w:rFonts w:ascii="Times New Roman" w:cs="Times New Roman" w:eastAsia="Times New Roman" w:hAnsi="Times New Roman"/>
                <w:sz w:val="11"/>
                <w:szCs w:val="11"/>
                <w:b w:val="1"/>
                <w:bCs w:val="1"/>
                <w:color w:val="auto"/>
              </w:rPr>
              <w:t>January 31, 2022</w:t>
            </w:r>
          </w:p>
        </w:tc>
        <w:tc>
          <w:tcPr>
            <w:tcW w:w="0" w:type="dxa"/>
            <w:vAlign w:val="bottom"/>
          </w:tcPr>
          <w:p>
            <w:pPr>
              <w:spacing w:after="0"/>
              <w:rPr>
                <w:sz w:val="1"/>
                <w:szCs w:val="1"/>
                <w:color w:val="auto"/>
              </w:rPr>
            </w:pPr>
          </w:p>
        </w:tc>
      </w:tr>
      <w:tr>
        <w:trPr>
          <w:trHeight w:val="106"/>
        </w:trPr>
        <w:tc>
          <w:tcPr>
            <w:tcW w:w="3280" w:type="dxa"/>
            <w:vAlign w:val="bottom"/>
          </w:tcPr>
          <w:p>
            <w:pPr>
              <w:spacing w:after="0"/>
              <w:rPr>
                <w:sz w:val="9"/>
                <w:szCs w:val="9"/>
                <w:color w:val="auto"/>
              </w:rPr>
            </w:pPr>
          </w:p>
        </w:tc>
        <w:tc>
          <w:tcPr>
            <w:tcW w:w="1240" w:type="dxa"/>
            <w:vAlign w:val="bottom"/>
            <w:gridSpan w:val="3"/>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Performance Stock</w:t>
            </w:r>
          </w:p>
        </w:tc>
        <w:tc>
          <w:tcPr>
            <w:tcW w:w="13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ESPP</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Performance Stock Unit</w:t>
            </w:r>
          </w:p>
        </w:tc>
        <w:tc>
          <w:tcPr>
            <w:tcW w:w="13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ESPP</w:t>
            </w:r>
          </w:p>
        </w:tc>
        <w:tc>
          <w:tcPr>
            <w:tcW w:w="2380" w:type="dxa"/>
            <w:vAlign w:val="bottom"/>
            <w:gridSpan w:val="4"/>
          </w:tcPr>
          <w:p>
            <w:pPr>
              <w:jc w:val="center"/>
              <w:ind w:right="1219"/>
              <w:spacing w:after="0" w:line="106" w:lineRule="exact"/>
              <w:rPr>
                <w:sz w:val="20"/>
                <w:szCs w:val="20"/>
                <w:color w:val="auto"/>
              </w:rPr>
            </w:pPr>
            <w:r>
              <w:rPr>
                <w:rFonts w:ascii="Times New Roman" w:cs="Times New Roman" w:eastAsia="Times New Roman" w:hAnsi="Times New Roman"/>
                <w:sz w:val="11"/>
                <w:szCs w:val="11"/>
                <w:b w:val="1"/>
                <w:bCs w:val="1"/>
                <w:color w:val="auto"/>
              </w:rPr>
              <w:t>Performance Stock</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Unit</w:t>
            </w:r>
          </w:p>
        </w:tc>
        <w:tc>
          <w:tcPr>
            <w:tcW w:w="132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720" w:type="dxa"/>
            <w:vAlign w:val="bottom"/>
          </w:tcPr>
          <w:p>
            <w:pPr>
              <w:jc w:val="center"/>
              <w:ind w:left="319"/>
              <w:spacing w:after="0"/>
              <w:rPr>
                <w:sz w:val="20"/>
                <w:szCs w:val="20"/>
                <w:color w:val="auto"/>
              </w:rPr>
            </w:pPr>
            <w:r>
              <w:rPr>
                <w:rFonts w:ascii="Times New Roman" w:cs="Times New Roman" w:eastAsia="Times New Roman" w:hAnsi="Times New Roman"/>
                <w:sz w:val="11"/>
                <w:szCs w:val="11"/>
                <w:b w:val="1"/>
                <w:bCs w:val="1"/>
                <w:color w:val="auto"/>
              </w:rPr>
              <w:t>Unit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ESPP</w:t>
            </w:r>
          </w:p>
        </w:tc>
        <w:tc>
          <w:tcPr>
            <w:tcW w:w="0" w:type="dxa"/>
            <w:vAlign w:val="bottom"/>
          </w:tcPr>
          <w:p>
            <w:pPr>
              <w:spacing w:after="0"/>
              <w:rPr>
                <w:sz w:val="1"/>
                <w:szCs w:val="1"/>
                <w:color w:val="auto"/>
              </w:rPr>
            </w:pPr>
          </w:p>
        </w:tc>
      </w:tr>
      <w:tr>
        <w:trPr>
          <w:trHeight w:val="165"/>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Range of expected volatilities</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- 42.5%</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29.4 - 42.4%</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39.4 - 40.7%</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38.3 - 44.9%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3"/>
                <w:szCs w:val="13"/>
                <w:color w:val="auto"/>
              </w:rPr>
              <w:t>36.9%</w:t>
            </w: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29.5 - 41.8%</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Range of expected lives (in years)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8"/>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0.5 - 2.0</w:t>
            </w:r>
          </w:p>
        </w:tc>
        <w:tc>
          <w:tcPr>
            <w:tcW w:w="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0.5 - 2.0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left="319"/>
              <w:spacing w:after="0"/>
              <w:rPr>
                <w:sz w:val="20"/>
                <w:szCs w:val="20"/>
                <w:color w:val="auto"/>
              </w:rPr>
            </w:pPr>
            <w:r>
              <w:rPr>
                <w:rFonts w:ascii="Times New Roman" w:cs="Times New Roman" w:eastAsia="Times New Roman" w:hAnsi="Times New Roman"/>
                <w:sz w:val="13"/>
                <w:szCs w:val="13"/>
                <w:color w:val="auto"/>
                <w:w w:val="98"/>
              </w:rPr>
              <w:t>N/A</w:t>
            </w:r>
          </w:p>
        </w:tc>
        <w:tc>
          <w:tcPr>
            <w:tcW w:w="1660" w:type="dxa"/>
            <w:vAlign w:val="bottom"/>
            <w:gridSpan w:val="3"/>
          </w:tcPr>
          <w:p>
            <w:pPr>
              <w:jc w:val="center"/>
              <w:ind w:left="419"/>
              <w:spacing w:after="0"/>
              <w:rPr>
                <w:sz w:val="20"/>
                <w:szCs w:val="20"/>
                <w:color w:val="auto"/>
              </w:rPr>
            </w:pPr>
            <w:r>
              <w:rPr>
                <w:rFonts w:ascii="Times New Roman" w:cs="Times New Roman" w:eastAsia="Times New Roman" w:hAnsi="Times New Roman"/>
                <w:sz w:val="13"/>
                <w:szCs w:val="13"/>
                <w:color w:val="auto"/>
                <w:w w:val="96"/>
              </w:rPr>
              <w:t>0.5 - 2.0</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dividends</w:t>
            </w:r>
          </w:p>
        </w:tc>
        <w:tc>
          <w:tcPr>
            <w:tcW w:w="12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2"/>
              </w:rPr>
              <w:t>—%</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2"/>
              </w:rPr>
              <w:t>—%</w:t>
            </w:r>
          </w:p>
        </w:tc>
        <w:tc>
          <w:tcPr>
            <w:tcW w:w="13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3"/>
                <w:szCs w:val="13"/>
                <w:color w:val="auto"/>
                <w:w w:val="92"/>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65"/>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Range of risk-free interest rates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- 4.7%</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4.3 - 5.5%</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1.2 - 1.6%</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0.9 - 3.9%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left="319"/>
              <w:spacing w:after="0"/>
              <w:rPr>
                <w:sz w:val="20"/>
                <w:szCs w:val="20"/>
                <w:color w:val="auto"/>
              </w:rPr>
            </w:pPr>
            <w:r>
              <w:rPr>
                <w:rFonts w:ascii="Times New Roman" w:cs="Times New Roman" w:eastAsia="Times New Roman" w:hAnsi="Times New Roman"/>
                <w:sz w:val="13"/>
                <w:szCs w:val="13"/>
                <w:color w:val="auto"/>
                <w:w w:val="95"/>
              </w:rPr>
              <w:t>0.1%</w:t>
            </w:r>
          </w:p>
        </w:tc>
        <w:tc>
          <w:tcPr>
            <w:tcW w:w="1660" w:type="dxa"/>
            <w:vAlign w:val="bottom"/>
            <w:gridSpan w:val="3"/>
          </w:tcPr>
          <w:p>
            <w:pPr>
              <w:jc w:val="center"/>
              <w:ind w:left="419"/>
              <w:spacing w:after="0"/>
              <w:rPr>
                <w:sz w:val="20"/>
                <w:szCs w:val="20"/>
                <w:color w:val="auto"/>
              </w:rPr>
            </w:pPr>
            <w:r>
              <w:rPr>
                <w:rFonts w:ascii="Times New Roman" w:cs="Times New Roman" w:eastAsia="Times New Roman" w:hAnsi="Times New Roman"/>
                <w:sz w:val="13"/>
                <w:szCs w:val="13"/>
                <w:color w:val="auto"/>
                <w:w w:val="99"/>
              </w:rPr>
              <w:t>0.1 - 0.2%</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range of expected lives of ESPP awards are based upon the four six-month exercise periods within a 24-month offering period.</w:t>
      </w:r>
    </w:p>
    <w:p>
      <w:pPr>
        <w:spacing w:after="0" w:line="200"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Autodesk did not pay cash dividends in fiscal 2024, 2023, or 2022 and does not anticipate paying any cash dividends in the foreseeable future. Consequently, an expected dividend yield of zero is used in the BSM option pricing model and the Monte Carlo simulation model.</w:t>
      </w:r>
    </w:p>
    <w:p>
      <w:pPr>
        <w:spacing w:after="0" w:line="145"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The risk-free interest rate used in the BSM option pricing model and the Monte Carlo simulation model for stock-based awards is the historical yield on U.S. Treasury securities with equivalent remaining lives.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Autodesk recognizes expense only for the stock-based awards that ultimately vest. Autodesk accounts for forfeitures of stock-based awards as those forfeitures occur.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Advertising Expenses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Advertising costs are expensed as incurred. Total advertising expenses incurred were $64 million in fiscal 2024, $69 million in fiscal 2023, and $80 million in fiscal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 Income Per Share</w:t>
      </w:r>
    </w:p>
    <w:p>
      <w:pPr>
        <w:spacing w:after="0" w:line="202"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Basic net income per share is computed using the weighted average number of shares of common stock outstanding during the period. Diluted net income per share is computed using the weighted average shares of common stock outstanding during the period and potentially dilutive common shares, including the effect of restricted stock units, performance share awards, and stock options using the treasury stock method.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Defined Benefit Pension Plans</w:t>
      </w:r>
    </w:p>
    <w:p>
      <w:pPr>
        <w:spacing w:after="0" w:line="202" w:lineRule="exact"/>
        <w:rPr>
          <w:sz w:val="20"/>
          <w:szCs w:val="20"/>
          <w:color w:val="auto"/>
        </w:rPr>
      </w:pPr>
    </w:p>
    <w:p>
      <w:pPr>
        <w:jc w:val="both"/>
        <w:ind w:right="80" w:firstLine="318"/>
        <w:spacing w:after="0" w:line="264" w:lineRule="auto"/>
        <w:rPr>
          <w:sz w:val="20"/>
          <w:szCs w:val="20"/>
          <w:color w:val="auto"/>
        </w:rPr>
      </w:pPr>
      <w:r>
        <w:rPr>
          <w:rFonts w:ascii="Times New Roman" w:cs="Times New Roman" w:eastAsia="Times New Roman" w:hAnsi="Times New Roman"/>
          <w:sz w:val="14"/>
          <w:szCs w:val="14"/>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162"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(loss). Certain events, such as changes in the employee base, plan amendments, and changes in actuarial assumptions may result in a change in the defined benefit obligation and the corresponding change to other comprehensive loss.</w:t>
      </w:r>
    </w:p>
    <w:p>
      <w:pPr>
        <w:spacing w:after="0" w:line="157"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Gains and losses and prior service costs not recognized as a component of net periodic benefit cost in the Consolidated Statements of Operations as they arise are recognized as a component of other comprehensive income (loss) in the Consolidated Statements of Comprehensive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57"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Accounting Standards in Fiscal 2024</w:t>
      </w:r>
    </w:p>
    <w:p>
      <w:pPr>
        <w:spacing w:after="0" w:line="202" w:lineRule="exact"/>
        <w:rPr>
          <w:sz w:val="20"/>
          <w:szCs w:val="20"/>
          <w:color w:val="auto"/>
        </w:rPr>
      </w:pPr>
    </w:p>
    <w:p>
      <w:pPr>
        <w:ind w:right="480" w:firstLine="350"/>
        <w:spacing w:after="0" w:line="287" w:lineRule="auto"/>
        <w:rPr>
          <w:sz w:val="20"/>
          <w:szCs w:val="20"/>
          <w:color w:val="auto"/>
        </w:rPr>
      </w:pPr>
      <w:r>
        <w:rPr>
          <w:rFonts w:ascii="Times New Roman" w:cs="Times New Roman" w:eastAsia="Times New Roman" w:hAnsi="Times New Roman"/>
          <w:sz w:val="14"/>
          <w:szCs w:val="14"/>
          <w:color w:val="auto"/>
        </w:rPr>
        <w:t>With the exception of those discussed below, there have been no recent changes in accounting pronouncements issued by FASB or adopted by the Company during the fiscal year ended January 31, 2024, that are applicable to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Accounting Standards Adopted</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In June 2022, the FASB issued ASU No. 2022-03, “Fair Value Measurement (Topic 820): Fair Value Measurement of Equity Securities Subject to Contractual Sale Restrictions” (“ASU 2022-03”), which applies to all equity securities measured at fair value that are subject to contractual sale restrictions. ASU 2022-03 prohibits entities from taking into account contractual restrictions on the sale of equity securities when estimating fair value and introduces required disclosures for such transactions. ASU 2022-03 is effective for Autodesk's fiscal year beginning February 1, 2024 and interim periods within that fiscal year, with early adoption permitted. Autodesk adopted ASU 2022-03 as of February 1, 2023. The adoption of ASU No. 2022-03 did not have a material impact on Autodesk’s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Recently issued accounting standards not yet adopted</w:t>
      </w:r>
    </w:p>
    <w:p>
      <w:pPr>
        <w:spacing w:after="0" w:line="202"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Autodesk’s fiscal year beginning February 1, 2024, and interim periods for Autodesk’s fiscal year beginning February 1, 2025, and should be applied on a retrospective basis to all periods presented. Autodesk is currently evaluating the effect of adopting ASU 2023-07 on its disclosures.</w:t>
      </w:r>
    </w:p>
    <w:p>
      <w:pPr>
        <w:spacing w:after="0" w:line="167"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Autodesk’s fiscal year beginning February 1, 2025 on a prospective basis. Early adoption is permitted. Autodesk is currently evaluating the effect of adopting ASU 2023-09 on its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Disaggregation</w:t>
      </w:r>
    </w:p>
    <w:p>
      <w:pPr>
        <w:spacing w:after="0" w:line="202"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Autodesk recognizes revenue from the sale of (1) product subscriptions, cloud service offerings, and EBAs, (2) renewal fees for existing maintenance plan agreements that were initially purchased with a perpetual software license, and (3) consulting and other products and services. The three categories are presented as line items on Autodesk’s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Information regarding the components of Autodesk’s net revenue from contracts with customers by product family, geographic location, sales channel, and product type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720" w:type="dxa"/>
            <w:vAlign w:val="bottom"/>
            <w:tcBorders>
              <w:bottom w:val="single" w:sz="8" w:color="auto"/>
            </w:tcBorders>
          </w:tcPr>
          <w:p>
            <w:pPr>
              <w:spacing w:after="0"/>
              <w:rPr>
                <w:sz w:val="13"/>
                <w:szCs w:val="13"/>
                <w:color w:val="auto"/>
              </w:rPr>
            </w:pPr>
          </w:p>
        </w:tc>
      </w:tr>
      <w:tr>
        <w:trPr>
          <w:trHeight w:val="154"/>
        </w:trPr>
        <w:tc>
          <w:tcPr>
            <w:tcW w:w="8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by product family:</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Architecture, Engineering and Construction</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AutoCAD and AutoCAD LT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Manufacturing</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Media and Entertainment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0"/>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3"/>
        </w:trPr>
        <w:tc>
          <w:tcPr>
            <w:tcW w:w="818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8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by geographic area:</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8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Americas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U.S.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r>
      <w:tr>
        <w:trPr>
          <w:trHeight w:val="18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Other Americas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60"/>
        </w:trPr>
        <w:tc>
          <w:tcPr>
            <w:tcW w:w="8180" w:type="dxa"/>
            <w:vAlign w:val="bottom"/>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Total Americas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w:t>
            </w: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Europe, Middle East and Africa</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Asia Pacific</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58"/>
        </w:trPr>
        <w:tc>
          <w:tcPr>
            <w:tcW w:w="81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5"/>
        </w:trPr>
        <w:tc>
          <w:tcPr>
            <w:tcW w:w="8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revenue by sales channel:</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3"/>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Indirect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r>
      <w:tr>
        <w:trPr>
          <w:trHeight w:val="180"/>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Direct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183"/>
        </w:trPr>
        <w:tc>
          <w:tcPr>
            <w:tcW w:w="818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8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by product type:</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Design</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10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w:t>
            </w: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Make</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80"/>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83"/>
        </w:trPr>
        <w:tc>
          <w:tcPr>
            <w:tcW w:w="818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net revenue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97"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Payments for product subscriptions, cloud subscriptions, and maintenance subscriptions are typically due in annual installments or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Remaining performance obligations consist of total short-term, long-term, and unbilled deferred revenue. As of January 31, 2024, Autodesk had remaining performance obligations of</w:t>
      </w:r>
    </w:p>
    <w:p>
      <w:pPr>
        <w:spacing w:after="0" w:line="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$6.11 billion, which represents the total contract price allocated to remaining performance obligations, which are generally recognized over the next three years. We expect to recognize $3.98 billion or 65% of our remaining performance obligations as revenue during the next 12 months. We expect to recognize the remaining $2.13 billion or 35% of our remaining performance obligations as revenue thereafter.</w:t>
      </w:r>
    </w:p>
    <w:p>
      <w:pPr>
        <w:spacing w:after="0" w:line="165"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u w:val="single" w:color="auto"/>
          <w:color w:val="auto"/>
        </w:rPr>
        <w:t>Contract Balances</w:t>
      </w:r>
    </w:p>
    <w:p>
      <w:pPr>
        <w:spacing w:after="0" w:line="202"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We receive payments from customers based on a billing schedule as established in our contracts. Contract assets relate to performance completed in advance of scheduled billings. Contract assets were not material as of January 31, 2024. Deferred revenue relates to billings in advance of performance under the contract. The primary changes in our contract assets and deferred revenues are due to our performance under the contracts and billings.</w:t>
      </w:r>
    </w:p>
    <w:p>
      <w:pPr>
        <w:spacing w:after="0" w:line="157"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Revenue recognized during the fiscal years ended January 31, 2024 and 2023, that was included in the deferred revenue balances at January 31, 2023 and 2022, was $3.20 billion and $2.85 billion, respectively. The satisfaction of performance obligations typically lags behind billings received under revenue contracts from customers.</w:t>
      </w:r>
    </w:p>
    <w:p>
      <w:pPr>
        <w:spacing w:after="0" w:line="12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3.</w:t>
        <w:tab/>
        <w:t>Financial Instruments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tables summarize the Company’s financial instruments by significant investment category as of January 31, 2024 and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0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20" w:type="dxa"/>
            <w:vAlign w:val="bottom"/>
          </w:tcPr>
          <w:p>
            <w:pPr>
              <w:spacing w:after="0"/>
              <w:rPr>
                <w:sz w:val="9"/>
                <w:szCs w:val="9"/>
                <w:color w:val="auto"/>
              </w:rPr>
            </w:pPr>
          </w:p>
        </w:tc>
        <w:tc>
          <w:tcPr>
            <w:tcW w:w="72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 (1):</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68"/>
        </w:trPr>
        <w:tc>
          <w:tcPr>
            <w:tcW w:w="7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government securities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Certificates of deposit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68"/>
        </w:trPr>
        <w:tc>
          <w:tcPr>
            <w:tcW w:w="7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Short-term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 paper</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68"/>
        </w:trPr>
        <w:tc>
          <w:tcPr>
            <w:tcW w:w="7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U.S. government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8"/>
        </w:trPr>
        <w:tc>
          <w:tcPr>
            <w:tcW w:w="7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Asset backed securities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8"/>
        </w:trPr>
        <w:tc>
          <w:tcPr>
            <w:tcW w:w="7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68"/>
        </w:trPr>
        <w:tc>
          <w:tcPr>
            <w:tcW w:w="7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Agency mortgage-backed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8"/>
        </w:trPr>
        <w:tc>
          <w:tcPr>
            <w:tcW w:w="7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Mutual funds (5) (6)</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88"/>
        </w:trPr>
        <w:tc>
          <w:tcPr>
            <w:tcW w:w="7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“Cash and cash equivalents” in the accompanying Consolidated Balance Sheets. These investments are classified as debt securities.</w:t>
      </w:r>
    </w:p>
    <w:p>
      <w:pPr>
        <w:spacing w:after="0" w:line="2"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primarily of mortgage-backed securities and corporate debt securities.</w:t>
      </w:r>
    </w:p>
    <w:p>
      <w:pPr>
        <w:ind w:left="320" w:hanging="315"/>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primarily of agency discount bonds, U.S. government securities, mortgage-backed securities, certificates of deposit, and agency bonds.</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primarily of agency bonds, agency collateralized mortgage obligations, and mortgage-backed securities.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7, "Deferred Compensation" for more information.</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“Prepaid expenses and other current assets” or “Long-term other assets”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0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20" w:type="dxa"/>
            <w:vAlign w:val="bottom"/>
          </w:tcPr>
          <w:p>
            <w:pPr>
              <w:spacing w:after="0"/>
              <w:rPr>
                <w:sz w:val="9"/>
                <w:szCs w:val="9"/>
                <w:color w:val="auto"/>
              </w:rPr>
            </w:pPr>
          </w:p>
        </w:tc>
        <w:tc>
          <w:tcPr>
            <w:tcW w:w="72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 (1):</w:t>
            </w: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68"/>
        </w:trPr>
        <w:tc>
          <w:tcPr>
            <w:tcW w:w="7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Certificates of deposit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government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7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(2)</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Short-term</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8"/>
        </w:trPr>
        <w:tc>
          <w:tcPr>
            <w:tcW w:w="7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Commercial paper</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7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7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8"/>
        </w:trPr>
        <w:tc>
          <w:tcPr>
            <w:tcW w:w="7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7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(4)</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Mutual Funds (5) (6)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68"/>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debt securities (6)</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Strategic investments derivative asset (6)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“Cash and cash equivalents” in the accompanying Consolidated Balance Sheets. These investments are classified as debt securities.</w:t>
      </w:r>
    </w:p>
    <w:p>
      <w:pPr>
        <w:spacing w:after="0" w:line="2"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custody cash deposits, agency discount notes, municipal bonds, corporate debt securities, asset-backed securities, and mortgage-backed securities.</w:t>
      </w: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mortgage-backed securities, agency mortgage-backed securities, common stock, and agency collateralized mortgage obligations.</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agency mortgage-backed securities, agency bonds, agency collateralized mortgage obligations, mortgage-backed securities, and collateralized mortgage obligations.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7, "Deferred Compensation" for more information.</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“Prepaid expenses and other current assets” or “Long-term other assets” in the accompanying Consolidated Balance Sheets.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fair values of investments classified as marketable debt securities by contractual maturity date as of January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1 year</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8"/>
        </w:trPr>
        <w:tc>
          <w:tcPr>
            <w:tcW w:w="9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in 1 year through 5 years</w:t>
            </w:r>
          </w:p>
        </w:tc>
        <w:tc>
          <w:tcPr>
            <w:tcW w:w="4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7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in 5 years through 10 years</w:t>
            </w:r>
          </w:p>
        </w:tc>
        <w:tc>
          <w:tcPr>
            <w:tcW w:w="4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Due after 10 years</w:t>
            </w:r>
          </w:p>
        </w:tc>
        <w:tc>
          <w:tcPr>
            <w:tcW w:w="4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8"/>
        </w:trPr>
        <w:tc>
          <w:tcPr>
            <w:tcW w:w="9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As of both January 31, 2024 and 2023,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fiscal 2024.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Autodesk monitors all marketable debt securities for potential credit losses by reviewing indicators such as, but not limited to, current credit rating, change in credit rating, credit outlook, and default risk. There were no allowances for credit losses as of both January 31, 2024 and 2023. There were no write offs of accrued interest receivables for both fiscal 2024 and 2023.</w:t>
      </w:r>
    </w:p>
    <w:p>
      <w:pPr>
        <w:spacing w:after="0" w:line="145" w:lineRule="exact"/>
        <w:rPr>
          <w:sz w:val="20"/>
          <w:szCs w:val="20"/>
          <w:color w:val="auto"/>
        </w:rPr>
      </w:pPr>
    </w:p>
    <w:p>
      <w:pPr>
        <w:ind w:right="580" w:firstLine="318"/>
        <w:spacing w:after="0" w:line="287" w:lineRule="auto"/>
        <w:rPr>
          <w:sz w:val="20"/>
          <w:szCs w:val="20"/>
          <w:color w:val="auto"/>
        </w:rPr>
      </w:pPr>
      <w:r>
        <w:rPr>
          <w:rFonts w:ascii="Times New Roman" w:cs="Times New Roman" w:eastAsia="Times New Roman" w:hAnsi="Times New Roman"/>
          <w:sz w:val="14"/>
          <w:szCs w:val="14"/>
          <w:color w:val="auto"/>
        </w:rPr>
        <w:t>There were no material realized gain or loss for the sales or redemptions of debt securities during fiscal 2024, 2023, and 2022. Realized gains and losses from the sale or redemption of marketable securities are recorded in “Interest and other income (expense), net” on the Company’s Consolidated Statements of Operations.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Proceeds from the sale and maturity of marketable debt securities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4"/>
        </w:trPr>
        <w:tc>
          <w:tcPr>
            <w:tcW w:w="85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debt securities</w:t>
            </w:r>
          </w:p>
        </w:tc>
        <w:tc>
          <w:tcPr>
            <w:tcW w:w="60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Strategic investments in equity securities</w:t>
      </w:r>
    </w:p>
    <w:p>
      <w:pPr>
        <w:spacing w:after="0" w:line="181"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As of January 31, 2024 and 2023, Autodesk had $162 million and $177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Adjustments to the carrying value of our strategic investments in equity securities with no readily determined fair values measured using the measurement alternative are included in Interest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on the Company’s Consolidated Statements of Operations. These adjustments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Cumulative Amount as of</w:t>
            </w:r>
          </w:p>
        </w:tc>
      </w:tr>
      <w:tr>
        <w:trPr>
          <w:trHeight w:val="154"/>
        </w:trPr>
        <w:tc>
          <w:tcPr>
            <w:tcW w:w="62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January 31, 2024</w:t>
            </w:r>
          </w:p>
        </w:tc>
      </w:tr>
      <w:tr>
        <w:trPr>
          <w:trHeight w:val="16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Upward adjustments</w:t>
            </w:r>
          </w:p>
        </w:tc>
        <w:tc>
          <w:tcPr>
            <w:tcW w:w="6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center"/>
              <w:ind w:left="438"/>
              <w:spacing w:after="0"/>
              <w:rPr>
                <w:sz w:val="20"/>
                <w:szCs w:val="20"/>
                <w:color w:val="auto"/>
              </w:rPr>
            </w:pPr>
            <w:r>
              <w:rPr>
                <w:rFonts w:ascii="Times New Roman" w:cs="Times New Roman" w:eastAsia="Times New Roman" w:hAnsi="Times New Roman"/>
                <w:sz w:val="13"/>
                <w:szCs w:val="13"/>
                <w:color w:val="auto"/>
                <w:w w:val="91"/>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Negative adjustments, including impairments</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3"/>
                <w:szCs w:val="13"/>
                <w:color w:val="auto"/>
                <w:w w:val="92"/>
              </w:rPr>
              <w:t>(9)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63"/>
        </w:trPr>
        <w:tc>
          <w:tcPr>
            <w:tcW w:w="6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adjustments</w:t>
            </w:r>
          </w:p>
        </w:tc>
        <w:tc>
          <w:tcPr>
            <w:tcW w:w="6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Autodesk does not consider the remaining investments to be impaired as of January 31, 2024.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Fair Value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Autodesk applies fair value accounting for certain financial assets and liabilities, which consist of cash equivalents, marketable securities, and other financial instruments, on a recurring basis.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defines fair value as the price that would be received from selling an asset or paid to transfer a liability in an orderly transaction between market participants at the measurement date.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Company's financial instruments measured at fair value on a recurring basis by significant investment category as of January 31, 2024 and 2023: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4"/>
        </w:trPr>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80" w:type="dxa"/>
            <w:vAlign w:val="bottom"/>
          </w:tcPr>
          <w:p>
            <w:pPr>
              <w:spacing w:after="0"/>
              <w:rPr>
                <w:sz w:val="13"/>
                <w:szCs w:val="13"/>
                <w:color w:val="auto"/>
              </w:rPr>
            </w:pP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 (1):</w:t>
            </w:r>
          </w:p>
        </w:tc>
        <w:tc>
          <w:tcPr>
            <w:tcW w:w="8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r>
      <w:tr>
        <w:trPr>
          <w:trHeight w:val="168"/>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Money market funds</w:t>
            </w:r>
          </w:p>
        </w:tc>
        <w:tc>
          <w:tcPr>
            <w:tcW w:w="820" w:type="dxa"/>
            <w:vAlign w:val="bottom"/>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r>
      <w:tr>
        <w:trPr>
          <w:trHeight w:val="172"/>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68"/>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U.S. government securities</w:t>
            </w:r>
          </w:p>
        </w:tc>
        <w:tc>
          <w:tcPr>
            <w:tcW w:w="8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2"/>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Certificates of deposit</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8"/>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(2)</w:t>
            </w:r>
          </w:p>
        </w:tc>
        <w:tc>
          <w:tcPr>
            <w:tcW w:w="8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securities:</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Short-term</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Commercial paper</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68"/>
        </w:trPr>
        <w:tc>
          <w:tcPr>
            <w:tcW w:w="68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8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8"/>
        </w:trPr>
        <w:tc>
          <w:tcPr>
            <w:tcW w:w="68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8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(3)</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Long-term</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68"/>
        </w:trPr>
        <w:tc>
          <w:tcPr>
            <w:tcW w:w="68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8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Agency bonds</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68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8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(4)</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5"/>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Long-term other assets: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6"/>
        </w:trPr>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1"/>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Mutual funds (5) (6)</w:t>
            </w: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Derivative assets: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Derivative contract assets (6)</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Derivative liabilities: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Derivative contract liabilities (7)</w:t>
            </w:r>
          </w:p>
        </w:tc>
        <w:tc>
          <w:tcPr>
            <w:tcW w:w="8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r>
      <w:tr>
        <w:trPr>
          <w:trHeight w:val="20"/>
        </w:trPr>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“Cash and cash equivalents” in the accompanying Consolidated Balance Sheets. These investments are classified as debt securities.</w:t>
      </w:r>
    </w:p>
    <w:p>
      <w:pPr>
        <w:spacing w:after="0" w:line="2"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primarily of mortgage-backed securities and corporate debt securities.</w:t>
      </w: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primarily of agency discount bonds, U.S. government securities, mortgage-backed securities, certificates of deposit, and agency bonds.</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primarily of agency bonds, agency collateralized mortgage obligations, and mortgage-backed securities.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7, "Deferred Compensation" for more information.</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“Prepaid expenses and other current assets” or “Long-term other assets” in the accompanying Consolidated Balance Sheets.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tbl>
      <w:tblPr>
        <w:tblLayout w:type="fixed"/>
        <w:tblInd w:w="14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4"/>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80" w:type="dxa"/>
            <w:vAlign w:val="bottom"/>
          </w:tcPr>
          <w:p>
            <w:pPr>
              <w:spacing w:after="0"/>
              <w:rPr>
                <w:sz w:val="13"/>
                <w:szCs w:val="13"/>
                <w:color w:val="auto"/>
              </w:rPr>
            </w:pP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7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 (1):</w:t>
            </w: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r>
      <w:tr>
        <w:trPr>
          <w:trHeight w:val="168"/>
        </w:trPr>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Money market funds</w:t>
            </w:r>
          </w:p>
        </w:tc>
        <w:tc>
          <w:tcPr>
            <w:tcW w:w="7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r>
      <w:tr>
        <w:trPr>
          <w:trHeight w:val="172"/>
        </w:trPr>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68"/>
        </w:trPr>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Certificates of deposit</w:t>
            </w:r>
          </w:p>
        </w:tc>
        <w:tc>
          <w:tcPr>
            <w:tcW w:w="7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government securities</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(2)</w:t>
            </w:r>
          </w:p>
        </w:tc>
        <w:tc>
          <w:tcPr>
            <w:tcW w:w="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securities:</w:t>
            </w: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Short-term</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Commercial paper</w:t>
            </w:r>
          </w:p>
        </w:tc>
        <w:tc>
          <w:tcPr>
            <w:tcW w:w="7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7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(3)</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Long-term</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7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Asset backed securities</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Other (4)</w:t>
            </w:r>
          </w:p>
        </w:tc>
        <w:tc>
          <w:tcPr>
            <w:tcW w:w="7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other assets:</w:t>
            </w: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Mutual Funds (5) (6)</w:t>
            </w:r>
          </w:p>
        </w:tc>
        <w:tc>
          <w:tcPr>
            <w:tcW w:w="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Convertible debt securities (6)</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Derivative assets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Derivative contract assets (6)</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Derivative liabilities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Derivative contract liabilities (7)</w:t>
            </w: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Borders>
              <w:top w:val="single" w:sz="8" w:color="auto"/>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w:t>
            </w: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“Cash and cash equivalents” in the accompanying Consolidated Balance Sheets. These investments are classified as debt securities.</w:t>
      </w:r>
    </w:p>
    <w:p>
      <w:pPr>
        <w:spacing w:after="0" w:line="2"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custody cash deposits, agency discount notes, municipal bonds, corporate debt securities, asset-backed securities, and mortgage-backed securities.</w:t>
      </w: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mortgage-backed securities, agency mortgage-backed securities, common stock, and agency collateralized mortgage obligations.</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agency mortgage-backed securities, agency bonds, agency collateralized mortgage obligations, mortgage-backed securities, and collateralized mortgage obligations.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7, "Deferred Compensation" for more information.</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“Prepaid expenses and other current assets” or “Long-term other assets” in the accompanying Consolidated Balance Sheets.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280" w:hanging="275"/>
        <w:spacing w:after="0"/>
        <w:tabs>
          <w:tab w:leader="none" w:pos="28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Stock Plans</w:t>
      </w:r>
    </w:p>
    <w:p>
      <w:pPr>
        <w:spacing w:after="0" w:line="191" w:lineRule="exact"/>
        <w:rPr>
          <w:sz w:val="20"/>
          <w:szCs w:val="20"/>
          <w:color w:val="auto"/>
        </w:rPr>
      </w:pPr>
    </w:p>
    <w:p>
      <w:pPr>
        <w:ind w:firstLine="350"/>
        <w:spacing w:after="0" w:line="239" w:lineRule="auto"/>
        <w:rPr>
          <w:sz w:val="20"/>
          <w:szCs w:val="20"/>
          <w:color w:val="auto"/>
        </w:rPr>
      </w:pPr>
      <w:r>
        <w:rPr>
          <w:rFonts w:ascii="Times New Roman" w:cs="Times New Roman" w:eastAsia="Times New Roman" w:hAnsi="Times New Roman"/>
          <w:sz w:val="14"/>
          <w:szCs w:val="14"/>
          <w:color w:val="auto"/>
        </w:rPr>
        <w:t>The 2022 Equity Incentive Plan (the “2022 Plan”) was approved by Autodesk’s stockholders and became effective on June 16, 2022. The 2022 Plan replaced the 2012 Employee Stock Plan, as amended, and the 2012 Outside Directors’ Stock Plan, as amended (collectively, the “Prior Plans”), and no further equity awards may be granted under the Prior Plans. The 2022 Plan reserves up to 23 million shares. The 2022 Plan permits the grant of stock options, restricted stock units, and restricted stock awards to employees and non-employee members of the Board of Directors. Each restricted stock unit or restricted stock award granted will be counted against the shares authorized for issuance under the 2022 Plan as 2.08 shares. If a granted option, restricted stock unit, or restricted stock award expires or becomes unexercisable for any reason, the unpurchased or forfeited shares that were granted may be returned to the 2022 Plan and may become available for future grant under the 2022 Plan. As of January 31, 2024, 9 million shares subject to restricted stock units and restricted stock awards have been granted under the 2022 Plan. Restricted stock units that were granted under the 2022 Plan vest over one to three years from the date of grant. The 2022 Plan will expire on March 17, 2032. At January 31, 2024, approximately 14 million shares were available for future issuance under the 2022 Plan.</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sections summarize activity under Autodesk’s stock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Restricted Stock Units: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summary of restricted stock activity for the fiscal year ended January 31, 2024, was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Unreleased Restricted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r>
      <w:tr>
        <w:trPr>
          <w:trHeight w:val="153"/>
        </w:trPr>
        <w:tc>
          <w:tcPr>
            <w:tcW w:w="83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Units (in thousands)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date fair value per share</w:t>
            </w:r>
          </w:p>
        </w:tc>
      </w:tr>
      <w:tr>
        <w:trPr>
          <w:trHeight w:val="16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restricted stock at January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216.20</w:t>
            </w:r>
          </w:p>
        </w:tc>
      </w:tr>
      <w:tr>
        <w:trPr>
          <w:trHeight w:val="168"/>
        </w:trPr>
        <w:tc>
          <w:tcPr>
            <w:tcW w:w="83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200.53</w:t>
            </w:r>
          </w:p>
        </w:tc>
      </w:tr>
      <w:tr>
        <w:trPr>
          <w:trHeight w:val="172"/>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219.71</w:t>
            </w:r>
          </w:p>
        </w:tc>
      </w:tr>
      <w:tr>
        <w:trPr>
          <w:trHeight w:val="168"/>
        </w:trPr>
        <w:tc>
          <w:tcPr>
            <w:tcW w:w="83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Canceled/Forfeited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210.05</w:t>
            </w:r>
          </w:p>
        </w:tc>
      </w:tr>
      <w:tr>
        <w:trPr>
          <w:trHeight w:val="172"/>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Performance Adjustment (1)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189.41</w:t>
            </w:r>
          </w:p>
        </w:tc>
      </w:tr>
      <w:tr>
        <w:trPr>
          <w:trHeight w:val="160"/>
        </w:trPr>
        <w:tc>
          <w:tcPr>
            <w:tcW w:w="83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Unvested restricted stock at January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203.87</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Autodesk’s financial results and relative total stockholder return for the fiscal 2023 performance period. The performance stock units were attained at rates ranging from 86% to 110% of the target award.</w:t>
      </w:r>
    </w:p>
    <w:p>
      <w:pPr>
        <w:spacing w:after="0" w:line="187"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For the restricted stock granted during fiscal years ended January 31, 2024, 2023, and 2022, the weighted average grant date fair values were $200.53, $198.89, and $288.13, respectively. The fair value of the shares vested during fiscal years ended January 31, 2024, 2023, and 2022 were $580 million, $490 million, and $620 million, respectively.</w:t>
      </w:r>
    </w:p>
    <w:p>
      <w:pPr>
        <w:spacing w:after="0" w:line="145"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During the fiscal year ended January 31, 2024, Autodesk granted 3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w:t>
      </w:r>
    </w:p>
    <w:p>
      <w:pPr>
        <w:spacing w:after="0" w:line="157"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During the fiscal years ended January 31, 2024 and 2023, Autodesk settled liability-classified awards of $15 million and $11 million, respectively. As these awards were settled in a fixed dollar amount of shares, the awards were accounted for as a liability-classified award and were expensed using the straight-line method over the vesting period.</w:t>
      </w:r>
    </w:p>
    <w:p>
      <w:pPr>
        <w:spacing w:after="0" w:line="145"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Autodesk recorded stock-based compensation expense related to restricted stock units of $580 million, $510 million, and $425 million during fiscal years ended January 31, 2024, 2023, and 2022, respectively. As of January 31, 2024, total compensation cost not yet recognized of $742 million related to unvested awards is expected to be recognized over a weighted average period of 1.81 years. At January 31, 2024, the number of restricted stock units granted but unvested was 5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During the fiscal year ended January 31, 2024, Autodesk granted 311 thousand performance stock units for which the ultimate number of shares earned is determined based on the achievement of performance criteria at the end of the stated service and performance period. The performance criteria for the performance stock units are primarily based on revenue and free cash flow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164" w:lineRule="exact"/>
        <w:rPr>
          <w:sz w:val="20"/>
          <w:szCs w:val="20"/>
          <w:color w:val="auto"/>
        </w:rPr>
      </w:pPr>
    </w:p>
    <w:p>
      <w:pPr>
        <w:ind w:left="520" w:right="220" w:hanging="260"/>
        <w:spacing w:after="0" w:line="287"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one third of the performance stock units may vest following year one, depending upon the achievement of the performance criteria for fiscal 2024 as well as one-year Relative TSR (covering year one).</w:t>
      </w:r>
    </w:p>
    <w:p>
      <w:pPr>
        <w:spacing w:after="0" w:line="145"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one third of the performance stock units may vest following year two, depending upon the achievement of the performance criteria for year two as well as two-year Relative TSR (covering years one and two).</w:t>
      </w:r>
    </w:p>
    <w:p>
      <w:pPr>
        <w:spacing w:after="0" w:line="145" w:lineRule="exact"/>
        <w:rPr>
          <w:rFonts w:ascii="Times New Roman" w:cs="Times New Roman" w:eastAsia="Times New Roman" w:hAnsi="Times New Roman"/>
          <w:sz w:val="14"/>
          <w:szCs w:val="14"/>
          <w:color w:val="auto"/>
        </w:rPr>
      </w:pPr>
    </w:p>
    <w:p>
      <w:pPr>
        <w:ind w:left="520" w:right="140" w:hanging="260"/>
        <w:spacing w:after="0" w:line="26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one third of the performance stock units may vest following year three, depending upon the achievement of the performance criteria for year three as well as three-year Relative TSR (covering years one, two and three).</w:t>
      </w:r>
    </w:p>
    <w:p>
      <w:pPr>
        <w:spacing w:after="0" w:line="1" w:lineRule="exact"/>
        <w:rPr>
          <w:sz w:val="20"/>
          <w:szCs w:val="20"/>
          <w:color w:val="auto"/>
        </w:rPr>
      </w:pPr>
    </w:p>
    <w:p>
      <w:pPr>
        <w:ind w:right="260" w:firstLine="318"/>
        <w:spacing w:after="0" w:line="250" w:lineRule="auto"/>
        <w:rPr>
          <w:sz w:val="20"/>
          <w:szCs w:val="20"/>
          <w:color w:val="auto"/>
        </w:rPr>
      </w:pPr>
      <w:r>
        <w:rPr>
          <w:rFonts w:ascii="Times New Roman" w:cs="Times New Roman" w:eastAsia="Times New Roman" w:hAnsi="Times New Roman"/>
          <w:sz w:val="14"/>
          <w:szCs w:val="14"/>
          <w:color w:val="auto"/>
        </w:rPr>
        <w:t>The performance criteria for the performance stock units vested during fiscal year ended January 31, 2024, was based on revenue and free cash flow goals adopted by the Compensation and Human Resource Committee.</w:t>
      </w:r>
    </w:p>
    <w:p>
      <w:pPr>
        <w:spacing w:after="0" w:line="170"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Performance stock units are not considered outstanding stock at the time of grant, as the holders of these units are not entitled to any of the rights of a stockholder, including voting rights. The fair value of the performance stock units is expensed using the accelerated attribution over the vesting period.</w:t>
      </w:r>
    </w:p>
    <w:p>
      <w:pPr>
        <w:spacing w:after="0" w:line="145"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Autodesk recorded stock-based compensation expense related to performance stock units of $42 million, $54 million, and $68 million during fiscal years ended January 31, 2024, 2023, and 2022, respectively. As of January 31, 2024, total compensation cost not yet recognized of $6 million related to unvested performance stock units, is expected to be recognized over a weighted average period of 0.92 years. At January 31, 2024, the number of performance stock units granted but unvested was 478 thousand.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Common Stock</w:t>
      </w:r>
    </w:p>
    <w:p>
      <w:pPr>
        <w:spacing w:after="0" w:line="202" w:lineRule="exact"/>
        <w:rPr>
          <w:sz w:val="20"/>
          <w:szCs w:val="20"/>
          <w:color w:val="auto"/>
        </w:rPr>
      </w:pPr>
    </w:p>
    <w:p>
      <w:pPr>
        <w:ind w:right="160" w:firstLine="350"/>
        <w:spacing w:after="0" w:line="271" w:lineRule="auto"/>
        <w:rPr>
          <w:sz w:val="20"/>
          <w:szCs w:val="20"/>
          <w:color w:val="auto"/>
        </w:rPr>
      </w:pPr>
      <w:r>
        <w:rPr>
          <w:rFonts w:ascii="Times New Roman" w:cs="Times New Roman" w:eastAsia="Times New Roman" w:hAnsi="Times New Roman"/>
          <w:sz w:val="14"/>
          <w:szCs w:val="14"/>
          <w:color w:val="auto"/>
        </w:rPr>
        <w:t>Autodesk recorded stock-based compensation expense related to common stock shares of $19 million, $32 million, and $17 million during the fiscal years ended January 31, 2024, 2023, and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1998 Employee Qualified Stock Purchase Plan (“ESPP”)</w:t>
      </w:r>
    </w:p>
    <w:p>
      <w:pPr>
        <w:spacing w:after="0" w:line="20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57"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At January 31, 2024, a total of 4 million shares were available for future issuance. Under the ESPP, the Company issues shares on the first trading day following March 31 and September 30 of each fiscal year. The ESPP does not have an expiration date.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summary of the ESPP activity for the fiscal years ended January 31, 2024, 2023, and 2022 was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706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r>
      <w:tr>
        <w:trPr>
          <w:trHeight w:val="150"/>
        </w:trPr>
        <w:tc>
          <w:tcPr>
            <w:tcW w:w="70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Issued shares (in thousands)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r>
      <w:tr>
        <w:trPr>
          <w:trHeight w:val="168"/>
        </w:trPr>
        <w:tc>
          <w:tcPr>
            <w:tcW w:w="7060" w:type="dxa"/>
            <w:vAlign w:val="bottom"/>
          </w:tcPr>
          <w:p>
            <w:pPr>
              <w:spacing w:after="0"/>
              <w:rPr>
                <w:sz w:val="20"/>
                <w:szCs w:val="20"/>
                <w:color w:val="auto"/>
              </w:rPr>
            </w:pPr>
            <w:r>
              <w:rPr>
                <w:rFonts w:ascii="Times New Roman" w:cs="Times New Roman" w:eastAsia="Times New Roman" w:hAnsi="Times New Roman"/>
                <w:sz w:val="13"/>
                <w:szCs w:val="13"/>
                <w:color w:val="auto"/>
              </w:rPr>
              <w:t>Average price of issued shares</w:t>
            </w:r>
          </w:p>
        </w:tc>
        <w:tc>
          <w:tcPr>
            <w:tcW w:w="840" w:type="dxa"/>
            <w:vAlign w:val="bottom"/>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130.13</w:t>
            </w:r>
          </w:p>
        </w:tc>
      </w:tr>
      <w:tr>
        <w:trPr>
          <w:trHeight w:val="17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grant date fair value of awards granted under the ESPP</w:t>
            </w:r>
          </w:p>
        </w:tc>
        <w:tc>
          <w:tcPr>
            <w:tcW w:w="8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84.21</w:t>
            </w:r>
          </w:p>
        </w:tc>
      </w:tr>
    </w:tbl>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Autodesk recorded $63 million, $62 million, and $37 million of compensation expense associated with the ESPP in fiscal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Equity Compensation Plan Information</w:t>
      </w:r>
    </w:p>
    <w:p>
      <w:pPr>
        <w:spacing w:after="0" w:line="202"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number of outstanding options and awards granted to employees and directors, as well as the number of securities remaining available for future issuance under these plans as of January 31,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(b)</w:t>
            </w: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8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 remaining available for future</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upon exercise or vesting of</w:t>
            </w:r>
          </w:p>
        </w:tc>
        <w:tc>
          <w:tcPr>
            <w:tcW w:w="100" w:type="dxa"/>
            <w:vAlign w:val="bottom"/>
          </w:tcPr>
          <w:p>
            <w:pPr>
              <w:spacing w:after="0"/>
              <w:rPr>
                <w:sz w:val="10"/>
                <w:szCs w:val="10"/>
                <w:color w:val="auto"/>
              </w:rPr>
            </w:pP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0" w:type="dxa"/>
            <w:vAlign w:val="bottom"/>
            <w:vMerge w:val="restart"/>
          </w:tcPr>
          <w:p>
            <w:pPr>
              <w:ind w:left="226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 options and awards (in</w:t>
            </w:r>
          </w:p>
        </w:tc>
        <w:tc>
          <w:tcPr>
            <w:tcW w:w="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6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issuance under equity compensation plans (excluding</w:t>
            </w:r>
          </w:p>
        </w:tc>
        <w:tc>
          <w:tcPr>
            <w:tcW w:w="0" w:type="dxa"/>
            <w:vAlign w:val="bottom"/>
          </w:tcPr>
          <w:p>
            <w:pPr>
              <w:spacing w:after="0"/>
              <w:rPr>
                <w:sz w:val="1"/>
                <w:szCs w:val="1"/>
                <w:color w:val="auto"/>
              </w:rPr>
            </w:pPr>
          </w:p>
        </w:tc>
      </w:tr>
      <w:tr>
        <w:trPr>
          <w:trHeight w:val="154"/>
        </w:trPr>
        <w:tc>
          <w:tcPr>
            <w:tcW w:w="5200" w:type="dxa"/>
            <w:vAlign w:val="bottom"/>
            <w:vMerge w:val="continue"/>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100" w:type="dxa"/>
            <w:vAlign w:val="bottom"/>
          </w:tcPr>
          <w:p>
            <w:pPr>
              <w:spacing w:after="0"/>
              <w:rPr>
                <w:sz w:val="13"/>
                <w:szCs w:val="13"/>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price of outstanding options</w:t>
            </w: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reflected in column (a)) (in millions) (1)</w:t>
            </w:r>
          </w:p>
        </w:tc>
        <w:tc>
          <w:tcPr>
            <w:tcW w:w="0" w:type="dxa"/>
            <w:vAlign w:val="bottom"/>
          </w:tcPr>
          <w:p>
            <w:pPr>
              <w:spacing w:after="0"/>
              <w:rPr>
                <w:sz w:val="1"/>
                <w:szCs w:val="1"/>
                <w:color w:val="auto"/>
              </w:rPr>
            </w:pPr>
          </w:p>
        </w:tc>
      </w:tr>
      <w:tr>
        <w:trPr>
          <w:trHeight w:val="16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0"/>
        </w:trPr>
        <w:tc>
          <w:tcPr>
            <w:tcW w:w="52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gridSpan w:val="2"/>
          </w:tcPr>
          <w:p>
            <w:pPr>
              <w:jc w:val="right"/>
              <w:ind w:right="221"/>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tcPr>
          <w:p>
            <w:pPr>
              <w:spacing w:after="0"/>
              <w:rPr>
                <w:sz w:val="13"/>
                <w:szCs w:val="13"/>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color w:val="auto"/>
        </w:rPr>
        <w:t>(1)</w:t>
        <w:tab/>
        <w:t>Included in this amount are 4 million securities available for future issuance under Autodesk’s ESPP.</w:t>
      </w:r>
    </w:p>
    <w:p>
      <w:pPr>
        <w:spacing w:after="0" w:line="18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5.</w:t>
        <w:tab/>
        <w:t>Income Taxes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provision for income taxes consists of the following:</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w:t>
            </w:r>
          </w:p>
        </w:tc>
        <w:tc>
          <w:tcPr>
            <w:tcW w:w="1020" w:type="dxa"/>
            <w:vAlign w:val="bottom"/>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40" w:type="dxa"/>
            <w:vAlign w:val="bottom"/>
            <w:gridSpan w:val="2"/>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8"/>
        </w:trPr>
        <w:tc>
          <w:tcPr>
            <w:tcW w:w="67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Income tax provision</w:t>
            </w:r>
          </w:p>
        </w:tc>
        <w:tc>
          <w:tcPr>
            <w:tcW w:w="10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Foreign pretax income was $730 million in fiscal 2024, $755 million in fiscal 2023, and $560 million in fiscal 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differences between the U.S. statutory rate and the aggregate income tax provision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color w:val="auto"/>
                <w:w w:val="99"/>
              </w:rPr>
              <w:t>Fiscal year ended January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7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rPr>
              <w:t>2022</w:t>
            </w:r>
          </w:p>
        </w:tc>
      </w:tr>
      <w:tr>
        <w:trPr>
          <w:trHeight w:val="163"/>
        </w:trPr>
        <w:tc>
          <w:tcPr>
            <w:tcW w:w="67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tax provision at U.S. Federal statutory rate</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income tax benefit, net of the U.S. Federal benefit</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income taxed at rates different from the U.S. statutory rate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Valuation allowance adjustment</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effect of non-deductible stock-based compensation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 (windfall) / shortfall</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tax credit benefit</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Closure of income tax audits and changes in uncertain tax positions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effect of officer compensation in excess of $1 million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Non-deductible expenses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intangible low-taxed income, foreign derived intangible income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India withholding tax refund</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Acquisition-related integrations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5"/>
        </w:trPr>
        <w:tc>
          <w:tcPr>
            <w:tcW w:w="678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tax provision</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Autodesk’s fiscal 2024 tax expense is primarily driven by the U.S. and foreign tax expense, including withholding taxes on payments made to the United States or to Singapore from foreign</w:t>
      </w:r>
    </w:p>
    <w:p>
      <w:pPr>
        <w:spacing w:after="0" w:line="3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sources, an increase in tax expense relating to stock-based compensation, reduced by non-recurring integration net tax benefit and an income tax benefit arising from relief provided by the Internal Revenue Service relating to U.S. foreign tax credit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Significant components of Autodesk’s deferred tax assets and liabilities are as follows: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1020" w:type="dxa"/>
            <w:vAlign w:val="bottom"/>
            <w:tcBorders>
              <w:bottom w:val="single" w:sz="8" w:color="auto"/>
            </w:tcBorders>
          </w:tcPr>
          <w:p>
            <w:pPr>
              <w:spacing w:after="0"/>
              <w:rPr>
                <w:sz w:val="13"/>
                <w:szCs w:val="13"/>
                <w:color w:val="auto"/>
              </w:rPr>
            </w:pPr>
          </w:p>
        </w:tc>
      </w:tr>
      <w:tr>
        <w:trPr>
          <w:trHeight w:val="154"/>
        </w:trPr>
        <w:tc>
          <w:tcPr>
            <w:tcW w:w="8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tax credit carryforwards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tax credit carryforwards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accruals not currently deductible for tax</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Capitalized research and development</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assets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liability</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loss carryforwards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Purchased technology</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3"/>
        </w:trPr>
        <w:tc>
          <w:tcPr>
            <w:tcW w:w="8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deferred tax assets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w:t>
            </w:r>
          </w:p>
        </w:tc>
      </w:tr>
      <w:tr>
        <w:trPr>
          <w:trHeight w:val="168"/>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valuation allowance</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63"/>
        </w:trPr>
        <w:tc>
          <w:tcPr>
            <w:tcW w:w="8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deferred tax assets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w:t>
            </w:r>
          </w:p>
        </w:tc>
      </w:tr>
      <w:tr>
        <w:trPr>
          <w:trHeight w:val="158"/>
        </w:trPr>
        <w:tc>
          <w:tcPr>
            <w:tcW w:w="83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Indefinite lived intangibles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Right-of-use assets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Unremitted earnings of foreign subsidiaries</w:t>
            </w:r>
          </w:p>
        </w:tc>
        <w:tc>
          <w:tcPr>
            <w:tcW w:w="9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taxes on foreign earnings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8"/>
        </w:trPr>
        <w:tc>
          <w:tcPr>
            <w:tcW w:w="830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Total deferred tax liabilities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85"/>
        </w:trPr>
        <w:tc>
          <w:tcPr>
            <w:tcW w:w="830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deferred tax assets</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Autodesk regularly assesses the need for a valuation allowance against its deferred tax assets. In making that assessment, Autodesk evaluates whether it is more likely than not that some or all of the deferred tax assets will not be realized based on all available positive and negative evidence.</w:t>
      </w:r>
    </w:p>
    <w:p>
      <w:pPr>
        <w:spacing w:after="0" w:line="145"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The Company continues to retain a valuation allowance against Portugal, New Zealand, California, Massachusetts and Michigan deferred tax assets and deferred tax assets that will convert into a capital loss upon reversal in Australia and U.S., as we do not have sufficient income of the appropriate character to benefit these deferred tax assets. We released our Canada valuation allowance in fiscal 2023 due to positive evidence supporting the utilization of the R&amp;D credits before they expire, resulting in a $38 million non-cash benefit to earnings. The Company established a valuation allowance in Massachusetts in fiscal 2024 on the basis that it is more likely than not that some or all of the deferred tax assets will not be realized. The impact of this establishment was offset by a decrease in the valuation allowance in the Netherlands due to the elimination of the deferred tax assets in that jurisdiction in fiscal 2024.</w:t>
      </w:r>
    </w:p>
    <w:p>
      <w:pPr>
        <w:spacing w:after="0" w:line="164"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valuation allowance decreased by $1 million in fiscal 2024, primarily due to utilization of deferred tax attributes. The valuation allowance decreased by $40 million in fiscal 2023, primarily due to the release of the Canada valuation allowance of $38 million.</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has elected to recognize any potential GILTI obligations as an expense in the period it is incurred.</w:t>
      </w:r>
    </w:p>
    <w:p>
      <w:pPr>
        <w:spacing w:after="0" w:line="200" w:lineRule="exact"/>
        <w:rPr>
          <w:sz w:val="20"/>
          <w:szCs w:val="20"/>
          <w:color w:val="auto"/>
        </w:rPr>
      </w:pPr>
    </w:p>
    <w:p>
      <w:pPr>
        <w:ind w:right="60" w:firstLine="350"/>
        <w:spacing w:after="0" w:line="249" w:lineRule="auto"/>
        <w:rPr>
          <w:sz w:val="20"/>
          <w:szCs w:val="20"/>
          <w:color w:val="auto"/>
        </w:rPr>
      </w:pPr>
      <w:r>
        <w:rPr>
          <w:rFonts w:ascii="Times New Roman" w:cs="Times New Roman" w:eastAsia="Times New Roman" w:hAnsi="Times New Roman"/>
          <w:sz w:val="14"/>
          <w:szCs w:val="14"/>
          <w:color w:val="auto"/>
        </w:rPr>
        <w:t>As of January 31, 2024, Autodesk had $6 million of cumulative U.S. federal tax loss carryforwards and $283 million of cumulative U.S. state tax loss carryforwards, which may be available to reduce future income tax liabilities in federal and state jurisdictions. The pre-fiscal 2019 U.S. federal tax loss carryforward will expire beginning fiscal 2035 through fiscal 2039. U.S. federal losses generated beginning in fiscal 2019 do not expire and are carried forward indefinitely. The U.S. state tax loss carryforward will expire beginning fiscal 2025 through fiscal 2044. In addition to U.S. federal and state tax loss carryforwards, Portugal, Norway, New Zealand and other foreign jurisdictions incurred tax losses totaling $14 million, which may be available to reduce future income tax liabilities. Our Portugal, Norway, and New Zealand losses of $8 million, $3 million, and $2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respectively, have an indefinite expiration period. Portugal and New Zealand losses have a full valuation allowance against them on our balance sheet as the Company has determined it is more likely than not that these losses will not be utilized.</w:t>
      </w:r>
    </w:p>
    <w:p>
      <w:pPr>
        <w:spacing w:after="0" w:line="156" w:lineRule="exact"/>
        <w:rPr>
          <w:sz w:val="20"/>
          <w:szCs w:val="20"/>
          <w:color w:val="auto"/>
        </w:rPr>
      </w:pPr>
    </w:p>
    <w:p>
      <w:pPr>
        <w:ind w:right="20" w:firstLine="350"/>
        <w:spacing w:after="0" w:line="247" w:lineRule="auto"/>
        <w:rPr>
          <w:sz w:val="20"/>
          <w:szCs w:val="20"/>
          <w:color w:val="auto"/>
        </w:rPr>
      </w:pPr>
      <w:r>
        <w:rPr>
          <w:rFonts w:ascii="Times New Roman" w:cs="Times New Roman" w:eastAsia="Times New Roman" w:hAnsi="Times New Roman"/>
          <w:sz w:val="14"/>
          <w:szCs w:val="14"/>
          <w:color w:val="auto"/>
        </w:rPr>
        <w:t>As of January 31, 2024, Autodesk had $123 million of cumulative California state research tax credit carryforwards, $15 million of cumulative Massachusetts state research tax credit carryforwards, and $43 million of cumulative Canadian federal research, which may be available to reduce future income tax liabilities in the respective jurisdictions. The state research tax credit carryforwards in California and Massachusetts may reduce future California and Massachusetts income tax liabilities indefinitely in those respective states, and the Canadian research tax credit carryforwards will expire beginning fiscal 2031 through fiscal 2044. Autodesk also has $4 million of cumulative U.S. federal foreign tax credit carryforwards, which may be available to reduce future U.S. tax liabilities. These foreign tax credits will expire beginning fiscal 2027 through fiscal 2034. As discussed above, the California and Massachusetts cumulative assets have full valuation allowance against them on our balance sheet as the Company has determined it is more likely than not that these losses and credits will not be utilized.</w:t>
      </w:r>
    </w:p>
    <w:p>
      <w:pPr>
        <w:spacing w:after="0" w:line="173"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result in permanent losses of the U.S. federal and state tax attributes.</w:t>
      </w:r>
    </w:p>
    <w:p>
      <w:pPr>
        <w:spacing w:after="0" w:line="157" w:lineRule="exact"/>
        <w:rPr>
          <w:sz w:val="20"/>
          <w:szCs w:val="20"/>
          <w:color w:val="auto"/>
        </w:rPr>
      </w:pPr>
    </w:p>
    <w:p>
      <w:pPr>
        <w:ind w:right="320" w:firstLine="350"/>
        <w:spacing w:after="0" w:line="287" w:lineRule="auto"/>
        <w:rPr>
          <w:sz w:val="20"/>
          <w:szCs w:val="20"/>
          <w:color w:val="auto"/>
        </w:rPr>
      </w:pPr>
      <w:r>
        <w:rPr>
          <w:rFonts w:ascii="Times New Roman" w:cs="Times New Roman" w:eastAsia="Times New Roman" w:hAnsi="Times New Roman"/>
          <w:sz w:val="14"/>
          <w:szCs w:val="14"/>
          <w:color w:val="auto"/>
        </w:rPr>
        <w:t>As of January 31, 2024, the Company had $261 million of gross unrecognized tax benefits, of which $43 million would reduce our valuation allowance, if recognized. The remaining $218 million would impact the effective tax rate. The amount of unrecognized tax benefits will decrease in the next twelve months for statute lapse is nil.</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the gross unrecognized tax benefits is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unrecognized tax benefits at the beginning of the fiscal year (1)</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Increases for tax positions of prior years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Decreases for tax positions of prior years (1)</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Increases for tax positions related to the current year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Decreases relating to settlements with taxing authorities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Reductions as a result of lapse of the statute of limitations</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676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Gross unrecognized tax benefits at the end of the fiscal year</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20" w:right="60" w:hanging="315"/>
        <w:spacing w:after="0" w:line="247" w:lineRule="auto"/>
        <w:tabs>
          <w:tab w:leader="none" w:pos="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January 31, 2024, the Company corrected its presentation to remove correlative benefits related to certain transfer pricing matters. The above comparatives for fiscal 2023 and 2022 have been corrected to conform to the current period presentation. The effect of the change on the ending gross unrecognized tax benefits was $15 million in fiscal 2023 and $10 million in fiscal 2022.</w:t>
      </w:r>
    </w:p>
    <w:p>
      <w:pPr>
        <w:spacing w:after="0" w:line="15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It is the Company’s continuing practice to recognize interest and/or penalties related to income tax matters in income tax expense. Autodesk had $7 million, $5 million, and $7 million, net of tax benefit, accrued for interest and penalties related to unrecognized tax benefits as of January 31, 2024, 2023, and 2022, respectively. There was $2 million, $(2) million, and $2 million of net expense for interest and penalties related to tax matters recorded through the consolidated statements of operations for the years ended January 31, 2024, 2023, and 2022, respectively.</w:t>
      </w:r>
    </w:p>
    <w:p>
      <w:pPr>
        <w:spacing w:after="0" w:line="157"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Autodesk’s U.S. and state income tax returns for fiscal 2002 through fiscal 2024 remain open to examination due to either net operating loss or credit carryforward. The Internal Revenue Service notified the Company of examination of the Company’s consolidated federal income tax returns for fiscal 2020 and 2021. This audit commenced in February 2022 and remains in progress.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Autodesk files tax returns in multiple foreign taxing jurisdictions with open tax years ranging from fiscal 2005 to 2024.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280" w:hanging="275"/>
        <w:spacing w:after="0"/>
        <w:tabs>
          <w:tab w:leader="none" w:pos="28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Fiscal 2024 Acquisitions</w:t>
      </w:r>
    </w:p>
    <w:p>
      <w:pPr>
        <w:spacing w:after="0" w:line="202" w:lineRule="exact"/>
        <w:rPr>
          <w:sz w:val="20"/>
          <w:szCs w:val="20"/>
          <w:color w:val="auto"/>
        </w:rPr>
      </w:pPr>
    </w:p>
    <w:p>
      <w:pPr>
        <w:ind w:right="220" w:firstLine="350"/>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following acquisitions are included in the accompanying Consolidated Statements of Operations since their respective acquisition dates. Pro forma results of operations have not been presented because the effects of these acquisitions were not material to Autodesk’s Consolidated Financial Statements.</w:t>
      </w:r>
    </w:p>
    <w:p>
      <w:pPr>
        <w:spacing w:after="0" w:line="145"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During the fiscal year ended January 31, 2024, Autodesk completed three business combinations. The acquisition-date fair value of the consideration transferred totaled $85 million in cash. Of the total consideration transferred, $71 million is considered purchase consideration.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Purchase Price Allocation</w:t>
      </w:r>
    </w:p>
    <w:p>
      <w:pPr>
        <w:spacing w:after="0" w:line="202" w:lineRule="exact"/>
        <w:rPr>
          <w:sz w:val="20"/>
          <w:szCs w:val="20"/>
          <w:color w:val="auto"/>
        </w:rPr>
      </w:pPr>
    </w:p>
    <w:p>
      <w:pPr>
        <w:ind w:right="240" w:firstLine="318"/>
        <w:spacing w:after="0" w:line="264" w:lineRule="auto"/>
        <w:rPr>
          <w:sz w:val="20"/>
          <w:szCs w:val="20"/>
          <w:color w:val="auto"/>
        </w:rPr>
      </w:pPr>
      <w:r>
        <w:rPr>
          <w:rFonts w:ascii="Times New Roman" w:cs="Times New Roman" w:eastAsia="Times New Roman" w:hAnsi="Times New Roman"/>
          <w:sz w:val="14"/>
          <w:szCs w:val="14"/>
          <w:color w:val="auto"/>
        </w:rPr>
        <w:t>The acquisitions during fiscal 2024 were accounted for as business combinations, and Autodesk recorded the tangible and intangible assets acquired and liabilities assumed based on their estimated fair values at the date of each respective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acquisition. Goodwill of $35 million is deductible for U.S. income tax purposes. The transaction costs related to the acquisitions were not material.</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of the assets acquired and liabilities assumed by major class for the business combinations that were completed during the fiscal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31,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0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Aggregated Total</w:t>
            </w:r>
          </w:p>
        </w:tc>
        <w:tc>
          <w:tcPr>
            <w:tcW w:w="480" w:type="dxa"/>
            <w:vAlign w:val="bottom"/>
          </w:tcPr>
          <w:p>
            <w:pPr>
              <w:spacing w:after="0"/>
              <w:rPr>
                <w:sz w:val="14"/>
                <w:szCs w:val="14"/>
                <w:color w:val="auto"/>
              </w:rPr>
            </w:pP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technologies</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 and long-term deferred revenue</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deferred income taxes</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tangible assets</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5"/>
        </w:trPr>
        <w:tc>
          <w:tcPr>
            <w:tcW w:w="960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0" w:firstLine="318"/>
        <w:spacing w:after="0" w:line="270" w:lineRule="auto"/>
        <w:rPr>
          <w:sz w:val="20"/>
          <w:szCs w:val="20"/>
          <w:color w:val="auto"/>
        </w:rPr>
      </w:pPr>
      <w:r>
        <w:rPr>
          <w:rFonts w:ascii="Times New Roman" w:cs="Times New Roman" w:eastAsia="Times New Roman" w:hAnsi="Times New Roman"/>
          <w:sz w:val="14"/>
          <w:szCs w:val="14"/>
          <w:color w:val="auto"/>
        </w:rPr>
        <w:t>For the business combinations, the allocation of purchase price consideration to certain assets and liabilities as well as the final amount of purchase consideration are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and residual goodwill.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Fiscal 2023 Acquisitions</w:t>
      </w:r>
    </w:p>
    <w:p>
      <w:pPr>
        <w:spacing w:after="0" w:line="202"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During the fiscal year ended January 31, 2023, Autodesk completed two business combinations. The acquisition-date fair value of the consideration transferred totaled $114 million, which consisted of $96 million of cash, 40 thousand shares of Autodesk’s restricted common stock at an aggregate fair value of $10 million, and Autodesk issued a fixed amount of $5 million in common stock at future dates to certain employees. Of the total consideration transferred, $97 million was considered purchase consideration. Of the remaining amount, $10 million was recorded in “Prepaid expenses and other current assets” and “Long-term other assets” on our Consolidated Balance Sheets and will be amortized to stock-based compensation expense using the straight-line method over the vesting period, $5 million was accounted for as liability-classified awards and will be recognized as compensation expense using the straight-line method over the vesting period and $2 million was recorded as stock-based compensation expense on the date of acquisition. The 40 thousand shares of restricted common stock are subject to forfeiture until the second anniversary of the acquisition closing date. The shares are released on the first and second anniversaries, 40% and 60%, respectively, subject to continued employment. Issuance of the $5 million fixed value in common stock depends on the respective employees’ continued employment and vests 40% and 60% on the first and second anniversaries of the closing date,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firstLine="350"/>
        <w:spacing w:after="0" w:line="287" w:lineRule="auto"/>
        <w:rPr>
          <w:sz w:val="20"/>
          <w:szCs w:val="20"/>
          <w:color w:val="auto"/>
        </w:rPr>
      </w:pPr>
      <w:r>
        <w:rPr>
          <w:rFonts w:ascii="Times New Roman" w:cs="Times New Roman" w:eastAsia="Times New Roman" w:hAnsi="Times New Roman"/>
          <w:sz w:val="14"/>
          <w:szCs w:val="14"/>
          <w:color w:val="auto"/>
        </w:rPr>
        <w:t>The results of operations for fiscal 2023 acquisitions were included in the accompanying Consolidated Statement of Operations from the dates of the respective acquisitions. No goodwill is deductible for U.S. income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Fiscal 2022 Acquisitions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Upchain</w:t>
      </w:r>
    </w:p>
    <w:p>
      <w:pPr>
        <w:spacing w:after="0" w:line="20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4"/>
          <w:szCs w:val="14"/>
          <w:color w:val="auto"/>
        </w:rPr>
        <w:t>On May 11, 2021, Autodesk acquired 100% of the outstanding stock of Upchain Inc. (“Upchain”), a cloud-based provider of product lifecycle management and product data management systems, for approximately $127 million in cash and Autodesk issued a fixed amount of $13 million in common stock on the first and second anniversaries of the closing date to certain employees in connection with the acquisition for a total consideration of $140 million. Of the total consideration transferred, $124 million was considered purchase consideration. Of the remaining amount, $13 million was accounted for as liability-classified awards and recognized as compensation expense using the straight-line method over the vesting period, and $3 million was recorded as stock-based compensation expense during the fiscal year ended January 31, 2022.</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Autodesk integrated Upchain’s unified cloud platform in Autodesk solutions to centralize data management and process management.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Innovyze</w:t>
      </w:r>
    </w:p>
    <w:p>
      <w:pPr>
        <w:spacing w:after="0" w:line="202"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On March 31, 2021, Autodesk acquired all of the outstanding stock of Storm UK Holdco Limited, the parent of Innovyze, Inc. (“Innovyze”), a global leader in water infrastructure software. Innovyze provides comprehensive water modeling solutions that augment Autodesk’s BIM offerings in civil engineering, and extends Autodesk’s presence into operations and maintenance of water infrastructure assets.</w:t>
      </w:r>
    </w:p>
    <w:p>
      <w:pPr>
        <w:spacing w:after="0" w:line="157"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4"/>
          <w:szCs w:val="14"/>
          <w:color w:val="auto"/>
        </w:rPr>
        <w:t>The acquisition-date fair value of the consideration transferred totaled $1,038 million, which consisted of $1,035 million of cash and 9 thousand shares of Autodesk’s restricted common stock at an aggregate fair value of $3 million. Of the total consideration transferred, $1,035 million was considered purchase consideration. The remaining amount of $3 million was recorded in “Prepaid expenses and other current assets” and “Long-term other assets”.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Other Acquisitions</w:t>
      </w:r>
    </w:p>
    <w:p>
      <w:pPr>
        <w:spacing w:after="0" w:line="191"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During the fiscal year ended January 31, 2022, Autodesk completed four additional business combinations. The acquisition-date fair value of the consideration transferred totaled $113 million, which consisted of $99 million of cash, a fixed amount of $11 million in common stock to be issued at future dates to certain employees in connection with the acquisition, and 13 thousand shares of Autodesk’s restricted common stock at an aggregate fair value of $3 million. Of the total consideration transferred, $99 million was considered purchase consideration. The remaining amounts of $3 million was recorded in “Prepaid expenses and other current assets” and “Long-term other assets” and $11 million is accounted for as liability-classified awards and recognized as compensation expense using the straight-line method over the vesting period. Issuance of the common stock was dependent on the respective employees’ continued employment through the vesting period.</w:t>
      </w:r>
    </w:p>
    <w:p>
      <w:pPr>
        <w:spacing w:after="0" w:line="164" w:lineRule="exact"/>
        <w:rPr>
          <w:sz w:val="20"/>
          <w:szCs w:val="20"/>
          <w:color w:val="auto"/>
        </w:rPr>
      </w:pPr>
    </w:p>
    <w:p>
      <w:pPr>
        <w:ind w:right="660" w:firstLine="318"/>
        <w:spacing w:after="0" w:line="287" w:lineRule="auto"/>
        <w:rPr>
          <w:sz w:val="20"/>
          <w:szCs w:val="20"/>
          <w:color w:val="auto"/>
        </w:rPr>
      </w:pPr>
      <w:r>
        <w:rPr>
          <w:rFonts w:ascii="Times New Roman" w:cs="Times New Roman" w:eastAsia="Times New Roman" w:hAnsi="Times New Roman"/>
          <w:sz w:val="14"/>
          <w:szCs w:val="14"/>
          <w:color w:val="auto"/>
        </w:rPr>
        <w:t>The results of operations for Upchain, Innovyze, and the other acquisitions were included in the accompanying Consolidated Statement of Operations from the dates of the respective acquisitions. Goodwill of $100 million, $246 million, and $81 million is deductible for U.S. income tax purposes for Upchain, Innovyze, and the other acquisitions, respectively.</w:t>
      </w:r>
    </w:p>
    <w:p>
      <w:pPr>
        <w:spacing w:after="0" w:line="143" w:lineRule="exact"/>
        <w:rPr>
          <w:sz w:val="20"/>
          <w:szCs w:val="20"/>
          <w:color w:val="auto"/>
        </w:rPr>
      </w:pPr>
    </w:p>
    <w:p>
      <w:pPr>
        <w:ind w:left="280" w:hanging="275"/>
        <w:spacing w:after="0"/>
        <w:tabs>
          <w:tab w:leader="none" w:pos="28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Compensation</w:t>
      </w:r>
    </w:p>
    <w:p>
      <w:pPr>
        <w:spacing w:after="0" w:line="20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At January 31, 2024, Autodesk had investments in debt and equity securities that are held in a rabbi trust under non-qualified deferred compensation plans and a corresponding deferred compensation liability totaling $100 million. Of this amount, $10 million was classified as current and $90 million was classified as non-current in the Consolidated Balance Sheet. Of the $86 million related to investments and deferred compensation liability in a rabbi trust as of January 31, 2023, $7 million was classified as current and $79 million was classified as non-current. The current and non-current asset portions of the investments in debt and equity securities that are held in a rabbi trust under non-qualified deferred compensation plans are recorded in the Consolidated Balance Sheets under “Prepaid expenses and other current assets” and “Long-term other assets,” respectively. The current and non-current portions of the deferred compensation liability are recorded in the Consolidated Balance Sheets under “Accrued compensation” and “Long-term other liabilities,”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Costs to obtain a contract with a customer</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Sales commissions earned by our internal sales personnel and our solution providers are considered incremental and recoverable costs of obtaining a contract with a customer. The ending balance of assets recognized from costs to obtain a contract with a customer was $210 million and $133 million as of January 31, 2024 and January 31, 2023, respectively. These assets are recorded in “Prepaid expenses and other current assets” and “Long-term other assets” in the Consolidated Balance Sheet. Amortization expense related to assets recognized from costs to obtain a contract with a customer was $140 million, $138 million, and $118 million during fiscal years ended January 31, 2024, 2023, and 2022, respectively. Autodesk did not recognize any contract cost impairment losses during the fiscal years ended January 31, 2024, 2023, or 2022.</w:t>
      </w:r>
    </w:p>
    <w:p>
      <w:pPr>
        <w:spacing w:after="0" w:line="162" w:lineRule="exact"/>
        <w:rPr>
          <w:sz w:val="20"/>
          <w:szCs w:val="20"/>
          <w:color w:val="auto"/>
        </w:rPr>
      </w:pPr>
    </w:p>
    <w:p>
      <w:pPr>
        <w:ind w:left="280" w:hanging="275"/>
        <w:spacing w:after="0"/>
        <w:tabs>
          <w:tab w:leader="none" w:pos="28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Borrowing Arrangements</w:t>
      </w:r>
    </w:p>
    <w:p>
      <w:pPr>
        <w:spacing w:after="0" w:line="20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4"/>
          <w:szCs w:val="14"/>
          <w:color w:val="auto"/>
        </w:rPr>
        <w:t>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Per the Credit Agreement, Autodesk is required to issue annual audited consolidated financial statements within 90 days after the end of Autodesk’s fiscal year. On April 26, 2024, Autodesk obtained lender consent to extend the period to provide annual audited consolidated financial statements to June 14, 2024. At January 31, 2024, Autodesk was in compliance with all other Credit Agreement covenants.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 for the revolving credit facility are subject to upward or downward adjustments, on an annual basis, if the Company achieves, or fails to achieve, certain sustainability-linked targets based on two key performance indicator metrics: (i) 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The maturity date on the Credit Agreement is September 30, 2026. At January 31, 2024, Autodesk had no outstanding borrowings under the Credit Agreement.</w:t>
      </w:r>
    </w:p>
    <w:p>
      <w:pPr>
        <w:spacing w:after="0" w:line="172"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164"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4"/>
          <w:szCs w:val="14"/>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w:t>
      </w:r>
    </w:p>
    <w:p>
      <w:pPr>
        <w:spacing w:after="0" w:line="333" w:lineRule="exact"/>
        <w:rPr>
          <w:sz w:val="20"/>
          <w:szCs w:val="20"/>
          <w:color w:val="auto"/>
        </w:rPr>
      </w:pPr>
    </w:p>
    <w:p>
      <w:pPr>
        <w:jc w:val="both"/>
        <w:ind w:right="120" w:firstLine="318"/>
        <w:spacing w:after="0" w:line="264" w:lineRule="auto"/>
        <w:rPr>
          <w:sz w:val="20"/>
          <w:szCs w:val="20"/>
          <w:color w:val="auto"/>
        </w:rPr>
      </w:pPr>
      <w:r>
        <w:rPr>
          <w:rFonts w:ascii="Times New Roman" w:cs="Times New Roman" w:eastAsia="Times New Roman" w:hAnsi="Times New Roman"/>
          <w:sz w:val="14"/>
          <w:szCs w:val="14"/>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June 2015, Autodesk issued $300 million aggregate principal amount of 4.375% notes due June 15, 2025 (“ 2015 Notes”). Net of a discount of $1 million, and issuance costs of $3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received net proceeds of $296 million from issuance of the 2015 Notes. Both the discount and issuance costs are being amortized to interest expense over the respective terms of the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using the effective interest method. The proceeds of the 2015 Notes are available for general corporate purposes.</w:t>
      </w:r>
    </w:p>
    <w:p>
      <w:pPr>
        <w:spacing w:after="0" w:line="185"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The 2021 Notes, 2020 Notes, 2017 Notes, and the 2015 Notes may all be redeemed at any time, subject to a make whole premium. In addition, upon the occurrence of certain change of control triggering events, Autodesk may be required to repurchase all the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Based on the quoted market prices, the approximate fair value of the notes as of January 31, 2024, were as follows:</w:t>
      </w:r>
    </w:p>
    <w:p>
      <w:pPr>
        <w:spacing w:after="0" w:line="36"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20" w:type="dxa"/>
            <w:vAlign w:val="bottom"/>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Aggregate Principal Amount</w:t>
            </w:r>
          </w:p>
        </w:tc>
        <w:tc>
          <w:tcPr>
            <w:tcW w:w="360" w:type="dxa"/>
            <w:vAlign w:val="bottom"/>
          </w:tcPr>
          <w:p>
            <w:pPr>
              <w:spacing w:after="0"/>
              <w:rPr>
                <w:sz w:val="13"/>
                <w:szCs w:val="13"/>
                <w:color w:val="auto"/>
              </w:rPr>
            </w:pPr>
          </w:p>
        </w:tc>
        <w:tc>
          <w:tcPr>
            <w:tcW w:w="116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2015 Notes</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300</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2017 Notes</w:t>
            </w:r>
          </w:p>
        </w:tc>
        <w:tc>
          <w:tcPr>
            <w:tcW w:w="3680" w:type="dxa"/>
            <w:vAlign w:val="bottom"/>
          </w:tcPr>
          <w:p>
            <w:pPr>
              <w:spacing w:after="0"/>
              <w:rPr>
                <w:sz w:val="14"/>
                <w:szCs w:val="14"/>
                <w:color w:val="auto"/>
              </w:rPr>
            </w:pPr>
          </w:p>
        </w:tc>
        <w:tc>
          <w:tcPr>
            <w:tcW w:w="1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500</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r>
      <w:tr>
        <w:trPr>
          <w:trHeight w:val="17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2020 Notes</w:t>
            </w:r>
          </w:p>
        </w:tc>
        <w:tc>
          <w:tcPr>
            <w:tcW w:w="36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500</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65"/>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2021 Notes</w:t>
            </w:r>
          </w:p>
        </w:tc>
        <w:tc>
          <w:tcPr>
            <w:tcW w:w="3680" w:type="dxa"/>
            <w:vAlign w:val="bottom"/>
          </w:tcPr>
          <w:p>
            <w:pPr>
              <w:spacing w:after="0"/>
              <w:rPr>
                <w:sz w:val="14"/>
                <w:szCs w:val="14"/>
                <w:color w:val="auto"/>
              </w:rPr>
            </w:pPr>
          </w:p>
        </w:tc>
        <w:tc>
          <w:tcPr>
            <w:tcW w:w="1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1,000</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r>
    </w:tbl>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expected future principal payments for all borrowings as of January 31, 2024, were as follows: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ending</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7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7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8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principal outstanding</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202" w:lineRule="exact"/>
        <w:rPr>
          <w:sz w:val="20"/>
          <w:szCs w:val="20"/>
          <w:color w:val="auto"/>
        </w:rPr>
      </w:pPr>
    </w:p>
    <w:p>
      <w:pPr>
        <w:ind w:right="80" w:firstLine="318"/>
        <w:spacing w:after="0" w:line="257" w:lineRule="auto"/>
        <w:rPr>
          <w:sz w:val="20"/>
          <w:szCs w:val="20"/>
          <w:color w:val="auto"/>
        </w:rPr>
      </w:pPr>
      <w:r>
        <w:rPr>
          <w:rFonts w:ascii="Times New Roman" w:cs="Times New Roman" w:eastAsia="Times New Roman" w:hAnsi="Times New Roman"/>
          <w:sz w:val="14"/>
          <w:szCs w:val="14"/>
          <w:color w:val="auto"/>
        </w:rPr>
        <w:t>Autodesk has operating leases for real estate, vehicles and certain equipment. Leases have remaining lease terms of less than 1 year to 66 years, some of which include options to extend the lease with renewal terms from 1 year to 9 years and some of which include options to terminate the leases from less than 1 year to 6 years. Options to extend the lease are included in the lease liability if they are reasonably certain of being exercised. Options to terminate are considered in determining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Consolidated Statement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Consolidated Statements of Cash Flows with the exception of “Lease-related asset impairments” which is presented in “Adjustments to reconcile net income to net cash provided by operating activities”.</w:t>
      </w:r>
    </w:p>
    <w:p>
      <w:pPr>
        <w:spacing w:after="0" w:line="167" w:lineRule="exact"/>
        <w:rPr>
          <w:sz w:val="20"/>
          <w:szCs w:val="20"/>
          <w:color w:val="auto"/>
        </w:rPr>
      </w:pPr>
    </w:p>
    <w:p>
      <w:pPr>
        <w:ind w:right="220" w:firstLine="318"/>
        <w:spacing w:after="0" w:line="264" w:lineRule="auto"/>
        <w:rPr>
          <w:sz w:val="20"/>
          <w:szCs w:val="20"/>
          <w:color w:val="auto"/>
        </w:rPr>
      </w:pPr>
      <w:r>
        <w:rPr>
          <w:rFonts w:ascii="Times New Roman" w:cs="Times New Roman" w:eastAsia="Times New Roman" w:hAnsi="Times New Roman"/>
          <w:sz w:val="14"/>
          <w:szCs w:val="14"/>
          <w:color w:val="auto"/>
        </w:rPr>
        <w:t>During the fiscal years ended January 31, 2024, 2023, and 2022, Autodesk recorded total operating lease right-of-use assets impairment charges of $9 million, $29 million, and $75 million respectively.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w:t>
      </w: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The operating lease right-of-use assets and other lease-related assets charges are included in “general and administrative” in the Company’s Consolidated Statements of Operations.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cost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Fiscal Year Ended January 31, 2024</w:t>
            </w: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Cost of subscription and</w:t>
            </w:r>
          </w:p>
        </w:tc>
        <w:tc>
          <w:tcPr>
            <w:tcW w:w="12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Cost of other revenue</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Marketing and sales</w:t>
            </w:r>
          </w:p>
        </w:tc>
        <w:tc>
          <w:tcPr>
            <w:tcW w:w="140" w:type="dxa"/>
            <w:vAlign w:val="bottom"/>
          </w:tcPr>
          <w:p>
            <w:pPr>
              <w:spacing w:after="0"/>
              <w:rPr>
                <w:sz w:val="9"/>
                <w:szCs w:val="9"/>
                <w:color w:val="auto"/>
              </w:rPr>
            </w:pPr>
          </w:p>
        </w:tc>
        <w:tc>
          <w:tcPr>
            <w:tcW w:w="1020" w:type="dxa"/>
            <w:vAlign w:val="bottom"/>
            <w:gridSpan w:val="2"/>
          </w:tcPr>
          <w:p>
            <w:pPr>
              <w:jc w:val="right"/>
              <w:ind w:right="158"/>
              <w:spacing w:after="0" w:line="106" w:lineRule="exact"/>
              <w:rPr>
                <w:sz w:val="20"/>
                <w:szCs w:val="20"/>
                <w:color w:val="auto"/>
              </w:rPr>
            </w:pPr>
            <w:r>
              <w:rPr>
                <w:rFonts w:ascii="Times New Roman" w:cs="Times New Roman" w:eastAsia="Times New Roman" w:hAnsi="Times New Roman"/>
                <w:sz w:val="11"/>
                <w:szCs w:val="11"/>
                <w:b w:val="1"/>
                <w:bCs w:val="1"/>
                <w:color w:val="auto"/>
              </w:rPr>
              <w:t>Research and</w:t>
            </w:r>
          </w:p>
        </w:tc>
        <w:tc>
          <w:tcPr>
            <w:tcW w:w="260" w:type="dxa"/>
            <w:vAlign w:val="bottom"/>
          </w:tcPr>
          <w:p>
            <w:pPr>
              <w:spacing w:after="0"/>
              <w:rPr>
                <w:sz w:val="9"/>
                <w:szCs w:val="9"/>
                <w:color w:val="auto"/>
              </w:rPr>
            </w:pPr>
          </w:p>
        </w:tc>
        <w:tc>
          <w:tcPr>
            <w:tcW w:w="1020" w:type="dxa"/>
            <w:vAlign w:val="bottom"/>
            <w:gridSpan w:val="2"/>
          </w:tcPr>
          <w:p>
            <w:pPr>
              <w:jc w:val="right"/>
              <w:ind w:right="237"/>
              <w:spacing w:after="0" w:line="106" w:lineRule="exact"/>
              <w:rPr>
                <w:sz w:val="20"/>
                <w:szCs w:val="20"/>
                <w:color w:val="auto"/>
              </w:rPr>
            </w:pPr>
            <w:r>
              <w:rPr>
                <w:rFonts w:ascii="Times New Roman" w:cs="Times New Roman" w:eastAsia="Times New Roman" w:hAnsi="Times New Roman"/>
                <w:sz w:val="11"/>
                <w:szCs w:val="11"/>
                <w:b w:val="1"/>
                <w:bCs w:val="1"/>
                <w:color w:val="auto"/>
              </w:rPr>
              <w:t>General and</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Borders>
              <w:bottom w:val="single" w:sz="8" w:color="CCEEFF"/>
            </w:tcBorders>
          </w:tcPr>
          <w:p>
            <w:pPr>
              <w:spacing w:after="0"/>
              <w:rPr>
                <w:sz w:val="13"/>
                <w:szCs w:val="13"/>
                <w:color w:val="auto"/>
              </w:rPr>
            </w:pPr>
          </w:p>
        </w:tc>
        <w:tc>
          <w:tcPr>
            <w:tcW w:w="4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maintenance revenue</w:t>
            </w: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administrative</w:t>
            </w:r>
          </w:p>
        </w:tc>
        <w:tc>
          <w:tcPr>
            <w:tcW w:w="6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Variable lease 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 Ended January 31, 2023</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jc w:val="center"/>
              <w:ind w:right="40"/>
              <w:spacing w:after="0" w:line="108" w:lineRule="exact"/>
              <w:rPr>
                <w:sz w:val="20"/>
                <w:szCs w:val="20"/>
                <w:color w:val="auto"/>
              </w:rPr>
            </w:pPr>
            <w:r>
              <w:rPr>
                <w:rFonts w:ascii="Times New Roman" w:cs="Times New Roman" w:eastAsia="Times New Roman" w:hAnsi="Times New Roman"/>
                <w:sz w:val="11"/>
                <w:szCs w:val="11"/>
                <w:b w:val="1"/>
                <w:bCs w:val="1"/>
                <w:color w:val="auto"/>
              </w:rPr>
              <w:t>Cost of subscription and</w:t>
            </w:r>
          </w:p>
        </w:tc>
        <w:tc>
          <w:tcPr>
            <w:tcW w:w="120" w:type="dxa"/>
            <w:vAlign w:val="bottom"/>
          </w:tcPr>
          <w:p>
            <w:pPr>
              <w:spacing w:after="0"/>
              <w:rPr>
                <w:sz w:val="9"/>
                <w:szCs w:val="9"/>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Cost of other revenue</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Marketing and sales</w:t>
            </w:r>
          </w:p>
        </w:tc>
        <w:tc>
          <w:tcPr>
            <w:tcW w:w="140" w:type="dxa"/>
            <w:vAlign w:val="bottom"/>
          </w:tcPr>
          <w:p>
            <w:pPr>
              <w:spacing w:after="0"/>
              <w:rPr>
                <w:sz w:val="9"/>
                <w:szCs w:val="9"/>
                <w:color w:val="auto"/>
              </w:rPr>
            </w:pPr>
          </w:p>
        </w:tc>
        <w:tc>
          <w:tcPr>
            <w:tcW w:w="1020" w:type="dxa"/>
            <w:vAlign w:val="bottom"/>
            <w:gridSpan w:val="2"/>
          </w:tcPr>
          <w:p>
            <w:pPr>
              <w:jc w:val="center"/>
              <w:ind w:right="58"/>
              <w:spacing w:after="0" w:line="108" w:lineRule="exact"/>
              <w:rPr>
                <w:sz w:val="20"/>
                <w:szCs w:val="20"/>
                <w:color w:val="auto"/>
              </w:rPr>
            </w:pPr>
            <w:r>
              <w:rPr>
                <w:rFonts w:ascii="Times New Roman" w:cs="Times New Roman" w:eastAsia="Times New Roman" w:hAnsi="Times New Roman"/>
                <w:sz w:val="11"/>
                <w:szCs w:val="11"/>
                <w:b w:val="1"/>
                <w:bCs w:val="1"/>
                <w:color w:val="auto"/>
              </w:rPr>
              <w:t>Research and</w:t>
            </w:r>
          </w:p>
        </w:tc>
        <w:tc>
          <w:tcPr>
            <w:tcW w:w="260" w:type="dxa"/>
            <w:vAlign w:val="bottom"/>
          </w:tcPr>
          <w:p>
            <w:pPr>
              <w:spacing w:after="0"/>
              <w:rPr>
                <w:sz w:val="9"/>
                <w:szCs w:val="9"/>
                <w:color w:val="auto"/>
              </w:rPr>
            </w:pPr>
          </w:p>
        </w:tc>
        <w:tc>
          <w:tcPr>
            <w:tcW w:w="1020" w:type="dxa"/>
            <w:vAlign w:val="bottom"/>
            <w:gridSpan w:val="2"/>
          </w:tcPr>
          <w:p>
            <w:pPr>
              <w:jc w:val="center"/>
              <w:ind w:right="197"/>
              <w:spacing w:after="0" w:line="108" w:lineRule="exact"/>
              <w:rPr>
                <w:sz w:val="20"/>
                <w:szCs w:val="20"/>
                <w:color w:val="auto"/>
              </w:rPr>
            </w:pPr>
            <w:r>
              <w:rPr>
                <w:rFonts w:ascii="Times New Roman" w:cs="Times New Roman" w:eastAsia="Times New Roman" w:hAnsi="Times New Roman"/>
                <w:sz w:val="11"/>
                <w:szCs w:val="11"/>
                <w:b w:val="1"/>
                <w:bCs w:val="1"/>
                <w:color w:val="auto"/>
              </w:rPr>
              <w:t>General and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maintenance revenue</w:t>
            </w: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administrative</w:t>
            </w:r>
          </w:p>
        </w:tc>
        <w:tc>
          <w:tcPr>
            <w:tcW w:w="6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6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tcPr>
          <w:p>
            <w:pPr>
              <w:spacing w:after="0"/>
              <w:rPr>
                <w:sz w:val="14"/>
                <w:szCs w:val="14"/>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8"/>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 Ended January 31, 2022</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jc w:val="center"/>
              <w:ind w:right="40"/>
              <w:spacing w:after="0" w:line="108" w:lineRule="exact"/>
              <w:rPr>
                <w:sz w:val="20"/>
                <w:szCs w:val="20"/>
                <w:color w:val="auto"/>
              </w:rPr>
            </w:pPr>
            <w:r>
              <w:rPr>
                <w:rFonts w:ascii="Times New Roman" w:cs="Times New Roman" w:eastAsia="Times New Roman" w:hAnsi="Times New Roman"/>
                <w:sz w:val="11"/>
                <w:szCs w:val="11"/>
                <w:b w:val="1"/>
                <w:bCs w:val="1"/>
                <w:color w:val="auto"/>
              </w:rPr>
              <w:t>Cost of subscription and</w:t>
            </w:r>
          </w:p>
        </w:tc>
        <w:tc>
          <w:tcPr>
            <w:tcW w:w="120" w:type="dxa"/>
            <w:vAlign w:val="bottom"/>
          </w:tcPr>
          <w:p>
            <w:pPr>
              <w:spacing w:after="0"/>
              <w:rPr>
                <w:sz w:val="9"/>
                <w:szCs w:val="9"/>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Cost of other revenue</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Marketing and sales</w:t>
            </w:r>
          </w:p>
        </w:tc>
        <w:tc>
          <w:tcPr>
            <w:tcW w:w="140" w:type="dxa"/>
            <w:vAlign w:val="bottom"/>
          </w:tcPr>
          <w:p>
            <w:pPr>
              <w:spacing w:after="0"/>
              <w:rPr>
                <w:sz w:val="9"/>
                <w:szCs w:val="9"/>
                <w:color w:val="auto"/>
              </w:rPr>
            </w:pPr>
          </w:p>
        </w:tc>
        <w:tc>
          <w:tcPr>
            <w:tcW w:w="1020" w:type="dxa"/>
            <w:vAlign w:val="bottom"/>
            <w:gridSpan w:val="2"/>
          </w:tcPr>
          <w:p>
            <w:pPr>
              <w:jc w:val="center"/>
              <w:ind w:right="58"/>
              <w:spacing w:after="0" w:line="108" w:lineRule="exact"/>
              <w:rPr>
                <w:sz w:val="20"/>
                <w:szCs w:val="20"/>
                <w:color w:val="auto"/>
              </w:rPr>
            </w:pPr>
            <w:r>
              <w:rPr>
                <w:rFonts w:ascii="Times New Roman" w:cs="Times New Roman" w:eastAsia="Times New Roman" w:hAnsi="Times New Roman"/>
                <w:sz w:val="11"/>
                <w:szCs w:val="11"/>
                <w:b w:val="1"/>
                <w:bCs w:val="1"/>
                <w:color w:val="auto"/>
              </w:rPr>
              <w:t>Research and</w:t>
            </w:r>
          </w:p>
        </w:tc>
        <w:tc>
          <w:tcPr>
            <w:tcW w:w="260" w:type="dxa"/>
            <w:vAlign w:val="bottom"/>
          </w:tcPr>
          <w:p>
            <w:pPr>
              <w:spacing w:after="0"/>
              <w:rPr>
                <w:sz w:val="9"/>
                <w:szCs w:val="9"/>
                <w:color w:val="auto"/>
              </w:rPr>
            </w:pPr>
          </w:p>
        </w:tc>
        <w:tc>
          <w:tcPr>
            <w:tcW w:w="1020" w:type="dxa"/>
            <w:vAlign w:val="bottom"/>
            <w:gridSpan w:val="2"/>
          </w:tcPr>
          <w:p>
            <w:pPr>
              <w:jc w:val="center"/>
              <w:ind w:right="197"/>
              <w:spacing w:after="0" w:line="108" w:lineRule="exact"/>
              <w:rPr>
                <w:sz w:val="20"/>
                <w:szCs w:val="20"/>
                <w:color w:val="auto"/>
              </w:rPr>
            </w:pPr>
            <w:r>
              <w:rPr>
                <w:rFonts w:ascii="Times New Roman" w:cs="Times New Roman" w:eastAsia="Times New Roman" w:hAnsi="Times New Roman"/>
                <w:sz w:val="11"/>
                <w:szCs w:val="11"/>
                <w:b w:val="1"/>
                <w:bCs w:val="1"/>
                <w:color w:val="auto"/>
              </w:rPr>
              <w:t>General and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maintenance revenue</w:t>
            </w: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administrative</w:t>
            </w:r>
          </w:p>
        </w:tc>
        <w:tc>
          <w:tcPr>
            <w:tcW w:w="6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6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tcPr>
          <w:p>
            <w:pPr>
              <w:spacing w:after="0"/>
              <w:rPr>
                <w:sz w:val="14"/>
                <w:szCs w:val="14"/>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55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color w:val="auto"/>
              </w:rPr>
              <w:t>Supplemental operating cash flow information related to leases was as follows: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1500" w:type="dxa"/>
            <w:vAlign w:val="bottom"/>
            <w:gridSpan w:val="3"/>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Fiscal Year Ended January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paid for operating leases included in operating cash flows (1)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auto"/>
                <w:w w:val="92"/>
              </w:rPr>
              <w:t>112</w:t>
            </w:r>
          </w:p>
        </w:tc>
        <w:tc>
          <w:tcPr>
            <w:tcW w:w="740" w:type="dxa"/>
            <w:vAlign w:val="bottom"/>
          </w:tcPr>
          <w:p>
            <w:pPr>
              <w:jc w:val="right"/>
              <w:ind w:right="53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auto"/>
              </w:rPr>
              <w:t>115</w:t>
            </w:r>
          </w:p>
        </w:tc>
        <w:tc>
          <w:tcPr>
            <w:tcW w:w="5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operating lease liabilities arising from obtaining operating right-of-use assets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48</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48</w:t>
            </w:r>
          </w:p>
        </w:tc>
        <w:tc>
          <w:tcPr>
            <w:tcW w:w="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right="100" w:firstLine="5"/>
        <w:spacing w:after="0" w:line="247" w:lineRule="auto"/>
        <w:tabs>
          <w:tab w:leader="none" w:pos="1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$16 million, $14 million, and $12 million in variable lease payments not included in “Operating lease liabilities” and “Long-term operating lease liabilities” on the Consolidated Balance Sheet for fiscal years ended January 31, 2024, 2023, and 2022, respectively.</w:t>
      </w:r>
    </w:p>
    <w:p>
      <w:pPr>
        <w:spacing w:after="0" w:line="177"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weighted average remaining lease term for operating leases is 6.2 years and 6.5 years at January 31, 2024 and 2023, respectively. The weighted average discount rate was 2.86% and 2.60% at January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were as follows:</w:t>
            </w: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3"/>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ending</w:t>
            </w: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17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7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8"/>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8"/>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63"/>
        </w:trPr>
        <w:tc>
          <w:tcPr>
            <w:tcW w:w="86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r>
      <w:tr>
        <w:trPr>
          <w:trHeight w:val="168"/>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1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Present value of operating lease liabilities</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r>
    </w:tbl>
    <w:p>
      <w:pPr>
        <w:spacing w:after="0" w:line="314"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Autodesk has subleased certain office space to a third party and has classified the sublease as an operating lease. The sublease has a remaining lease term of 8.1 years. Sublease income was $8 million and $5 million during the fiscal years ended January 31, 2024 and 2023, respectively. There was no sublease income recognized during the fiscal year ended January 31, 2022. Sublease income is recorded as a reduction of lease expense in the Company’s Consolidated Statements of Operations.</w:t>
      </w:r>
    </w:p>
    <w:p>
      <w:pPr>
        <w:spacing w:after="0" w:line="157"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Operating lease amounts in the table above do not include sublease income payments of $71 million. Autodesk expects to receive sublease income payments of approximately $42 million for fiscal 2025 through fiscal 2029 and $29 million thereafter.</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January 31, 2024, operating lease minimum lease payments for executed leases that have not yet commenced was $9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Derivative Instruments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fair values of derivative instruments in Autodesk’s Consolidated Balance Sheets were as follows as of January 31, 2024, and January 31, 2023:</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1140" w:type="dxa"/>
            <w:vAlign w:val="bottom"/>
            <w:tcBorders>
              <w:bottom w:val="single" w:sz="8" w:color="auto"/>
            </w:tcBorders>
          </w:tcPr>
          <w:p>
            <w:pPr>
              <w:spacing w:after="0"/>
              <w:rPr>
                <w:sz w:val="13"/>
                <w:szCs w:val="13"/>
                <w:color w:val="auto"/>
              </w:rPr>
            </w:pPr>
          </w:p>
        </w:tc>
      </w:tr>
      <w:tr>
        <w:trPr>
          <w:trHeight w:val="277"/>
        </w:trPr>
        <w:tc>
          <w:tcPr>
            <w:tcW w:w="5680" w:type="dxa"/>
            <w:vAlign w:val="bottom"/>
          </w:tcPr>
          <w:p>
            <w:pPr>
              <w:spacing w:after="0"/>
              <w:rPr>
                <w:sz w:val="24"/>
                <w:szCs w:val="24"/>
                <w:color w:val="auto"/>
              </w:rPr>
            </w:pPr>
          </w:p>
        </w:tc>
        <w:tc>
          <w:tcPr>
            <w:tcW w:w="2600" w:type="dxa"/>
            <w:vAlign w:val="bottom"/>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Balance Sheet Location</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300" w:type="dxa"/>
            <w:vAlign w:val="bottom"/>
          </w:tcPr>
          <w:p>
            <w:pPr>
              <w:spacing w:after="0"/>
              <w:rPr>
                <w:sz w:val="24"/>
                <w:szCs w:val="24"/>
                <w:color w:val="auto"/>
              </w:rPr>
            </w:pP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January 31, 2023</w:t>
            </w:r>
          </w:p>
        </w:tc>
      </w:tr>
      <w:tr>
        <w:trPr>
          <w:trHeight w:val="15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Derivative Assets</w:t>
            </w: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68"/>
        </w:trPr>
        <w:tc>
          <w:tcPr>
            <w:tcW w:w="5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 currency contracts designated as cash flow hedges</w:t>
            </w:r>
          </w:p>
        </w:tc>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Derivatives not designated as hedging instruments</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5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derivative assets</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56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i w:val="1"/>
                <w:iCs w:val="1"/>
                <w:color w:val="auto"/>
              </w:rPr>
              <w:t>Derivative Liabilities</w:t>
            </w: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5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 currency contracts designated as cash flow hedges</w:t>
            </w:r>
          </w:p>
        </w:tc>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Derivatives not designated as hedging instruments</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3"/>
        </w:trPr>
        <w:tc>
          <w:tcPr>
            <w:tcW w:w="56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0"/>
        </w:trPr>
        <w:tc>
          <w:tcPr>
            <w:tcW w:w="5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The effects of derivatives designated as hedging instruments on Autodesk’s Consolidated Statements of Operations were as follows for the fiscal years ended January 31, 2024, 2023, and 2022, (amounts presented include any income tax effects):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of (loss) gain recognized in accumulated other comprehensive loss, net of tax, (effective portion)</w:t>
            </w:r>
          </w:p>
        </w:tc>
        <w:tc>
          <w:tcPr>
            <w:tcW w:w="82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2"/>
              </w:rPr>
              <w:t>(41)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Amount and location of gain (loss) reclassified from accumulated other comprehensive loss into income (effective portion)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revenue</w:t>
            </w:r>
          </w:p>
        </w:tc>
        <w:tc>
          <w:tcPr>
            <w:tcW w:w="82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7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Cost of revenue</w:t>
            </w:r>
          </w:p>
        </w:tc>
        <w:tc>
          <w:tcPr>
            <w:tcW w:w="82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expenses</w:t>
            </w:r>
          </w:p>
        </w:tc>
        <w:tc>
          <w:tcPr>
            <w:tcW w:w="8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7620" w:type="dxa"/>
            <w:vAlign w:val="bottom"/>
          </w:tcPr>
          <w:p>
            <w:pPr>
              <w:ind w:left="52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82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center"/>
              <w:ind w:left="58"/>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The amount and location of gain (loss) recognized in net income of derivatives not designated as hedging instruments on Autodesk’s Consolidated Statements of Operations were as follows for the fiscal years ended January 31, 2024, 2023, and 2022, (amounts presented include any income tax effects):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880" w:type="dxa"/>
            <w:vAlign w:val="bottom"/>
            <w:tcBorders>
              <w:bottom w:val="single" w:sz="8" w:color="auto"/>
            </w:tcBorders>
          </w:tcPr>
          <w:p>
            <w:pPr>
              <w:spacing w:after="0"/>
              <w:rPr>
                <w:sz w:val="13"/>
                <w:szCs w:val="13"/>
                <w:color w:val="auto"/>
              </w:rPr>
            </w:pPr>
          </w:p>
        </w:tc>
      </w:tr>
      <w:tr>
        <w:trPr>
          <w:trHeight w:val="154"/>
        </w:trPr>
        <w:tc>
          <w:tcPr>
            <w:tcW w:w="76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and other income (expense), net</w:t>
            </w: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Foreign currency contracts designated as cash flow hedges</w:t>
      </w:r>
    </w:p>
    <w:p>
      <w:pPr>
        <w:spacing w:after="0" w:line="202"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$1.25 billion at January 31, 2024, and $934 million at January 31, 2023. Outstanding contracts are recognized as either assets or liabilities on the Company’s Consolidated Balance Sheets at fair value. The majority of the net gain of $23 million remaining in “Accumulated other comprehensive loss” as of January 31, 2024,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location and amount of gain or loss recognized in income on cash flow hedges together with the total amount of income or expense presented in the Company’s Consolidated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where the effects of the hedge are recorded were as follows for the fiscal years ended January 31, 2024 and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1"/>
                <w:szCs w:val="11"/>
                <w:b w:val="1"/>
                <w:bCs w:val="1"/>
                <w:color w:val="auto"/>
              </w:rPr>
              <w:t>Fiscal Year Ended January 31, 2024</w:t>
            </w: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1"/>
                <w:szCs w:val="11"/>
                <w:b w:val="1"/>
                <w:bCs w:val="1"/>
                <w:color w:val="auto"/>
                <w:w w:val="99"/>
              </w:rPr>
              <w:t>Net revenue</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Cost of revenue</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4"/>
          </w:tcPr>
          <w:p>
            <w:pPr>
              <w:jc w:val="center"/>
              <w:ind w:right="20"/>
              <w:spacing w:after="0" w:line="102" w:lineRule="exact"/>
              <w:rPr>
                <w:sz w:val="20"/>
                <w:szCs w:val="20"/>
                <w:color w:val="auto"/>
              </w:rPr>
            </w:pPr>
            <w:r>
              <w:rPr>
                <w:rFonts w:ascii="Times New Roman" w:cs="Times New Roman" w:eastAsia="Times New Roman" w:hAnsi="Times New Roman"/>
                <w:sz w:val="11"/>
                <w:szCs w:val="11"/>
                <w:b w:val="1"/>
                <w:bCs w:val="1"/>
                <w:color w:val="auto"/>
              </w:rPr>
              <w:t>Cost of subscription</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Research and</w:t>
            </w:r>
          </w:p>
        </w:tc>
        <w:tc>
          <w:tcPr>
            <w:tcW w:w="160" w:type="dxa"/>
            <w:vAlign w:val="bottom"/>
          </w:tcPr>
          <w:p>
            <w:pPr>
              <w:spacing w:after="0"/>
              <w:rPr>
                <w:sz w:val="8"/>
                <w:szCs w:val="8"/>
                <w:color w:val="auto"/>
              </w:rPr>
            </w:pPr>
          </w:p>
        </w:tc>
        <w:tc>
          <w:tcPr>
            <w:tcW w:w="10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General and</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4"/>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Subscription revenue</w:t>
            </w:r>
          </w:p>
        </w:tc>
        <w:tc>
          <w:tcPr>
            <w:tcW w:w="100" w:type="dxa"/>
            <w:vAlign w:val="bottom"/>
            <w:vMerge w:val="restart"/>
          </w:tcPr>
          <w:p>
            <w:pPr>
              <w:spacing w:after="0"/>
              <w:rPr>
                <w:sz w:val="10"/>
                <w:szCs w:val="10"/>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Maintenance revenue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4"/>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and maintenance</w:t>
            </w: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Marketing and sales</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administrative</w:t>
            </w:r>
          </w:p>
        </w:tc>
        <w:tc>
          <w:tcPr>
            <w:tcW w:w="0" w:type="dxa"/>
            <w:vAlign w:val="bottom"/>
          </w:tcPr>
          <w:p>
            <w:pPr>
              <w:spacing w:after="0"/>
              <w:rPr>
                <w:sz w:val="1"/>
                <w:szCs w:val="1"/>
                <w:color w:val="auto"/>
              </w:rPr>
            </w:pPr>
          </w:p>
        </w:tc>
      </w:tr>
      <w:tr>
        <w:trPr>
          <w:trHeight w:val="113"/>
        </w:trPr>
        <w:tc>
          <w:tcPr>
            <w:tcW w:w="34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color w:val="auto"/>
              </w:rPr>
              <w:t>Total amounts of income and expense line items presented in the</w:t>
            </w:r>
          </w:p>
        </w:tc>
        <w:tc>
          <w:tcPr>
            <w:tcW w:w="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64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3"/>
                <w:szCs w:val="13"/>
                <w:color w:val="auto"/>
                <w:w w:val="95"/>
              </w:rPr>
              <w:t>5,116</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w:t>
            </w:r>
          </w:p>
        </w:tc>
        <w:tc>
          <w:tcPr>
            <w:tcW w:w="900" w:type="dxa"/>
            <w:vAlign w:val="bottom"/>
            <w:gridSpan w:val="3"/>
            <w:vMerge w:val="restart"/>
            <w:shd w:val="clear" w:color="auto" w:fill="CCEEFF"/>
          </w:tcPr>
          <w:p>
            <w:pPr>
              <w:jc w:val="right"/>
              <w:ind w:right="62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2"/>
              </w:rPr>
              <w:t>381</w:t>
            </w:r>
          </w:p>
        </w:tc>
        <w:tc>
          <w:tcPr>
            <w:tcW w:w="12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1,823</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Consolidated Statements of Operations</w:t>
            </w: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Gain (loss) on cash flow hedging relationships in Subtopic ASC 815-20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Foreign exchange contracts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6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rPr>
              <w:t>Amount of gain (loss) reclassified from accumulated other</w:t>
            </w:r>
          </w:p>
        </w:tc>
        <w:tc>
          <w:tcPr>
            <w:tcW w:w="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64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vMerge w:val="restart"/>
            <w:shd w:val="clear" w:color="auto" w:fill="CCEEFF"/>
          </w:tcPr>
          <w:p>
            <w:pPr>
              <w:jc w:val="right"/>
              <w:ind w:right="62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comprehensive income into income</w:t>
            </w: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00"/>
        </w:trPr>
        <w:tc>
          <w:tcPr>
            <w:tcW w:w="3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1"/>
                <w:szCs w:val="11"/>
                <w:b w:val="1"/>
                <w:bCs w:val="1"/>
                <w:color w:val="auto"/>
              </w:rPr>
              <w:t>Fiscal Year Ended January 31, 2023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Net revenue</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Cost of revenue</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Subscription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Maintenance revenue</w:t>
            </w:r>
          </w:p>
        </w:tc>
        <w:tc>
          <w:tcPr>
            <w:tcW w:w="100" w:type="dxa"/>
            <w:vAlign w:val="bottom"/>
          </w:tcPr>
          <w:p>
            <w:pPr>
              <w:spacing w:after="0"/>
              <w:rPr>
                <w:sz w:val="18"/>
                <w:szCs w:val="18"/>
                <w:color w:val="auto"/>
              </w:rPr>
            </w:pPr>
          </w:p>
        </w:tc>
        <w:tc>
          <w:tcPr>
            <w:tcW w:w="1440" w:type="dxa"/>
            <w:vAlign w:val="bottom"/>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Cost of subscription and</w:t>
            </w:r>
          </w:p>
        </w:tc>
        <w:tc>
          <w:tcPr>
            <w:tcW w:w="112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Marketing and sales</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Research and</w:t>
            </w:r>
          </w:p>
        </w:tc>
        <w:tc>
          <w:tcPr>
            <w:tcW w:w="160" w:type="dxa"/>
            <w:vAlign w:val="bottom"/>
          </w:tcPr>
          <w:p>
            <w:pPr>
              <w:spacing w:after="0"/>
              <w:rPr>
                <w:sz w:val="18"/>
                <w:szCs w:val="18"/>
                <w:color w:val="auto"/>
              </w:rPr>
            </w:pPr>
          </w:p>
        </w:tc>
        <w:tc>
          <w:tcPr>
            <w:tcW w:w="1060" w:type="dxa"/>
            <w:vAlign w:val="bottom"/>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General and</w:t>
            </w:r>
          </w:p>
        </w:tc>
        <w:tc>
          <w:tcPr>
            <w:tcW w:w="0" w:type="dxa"/>
            <w:vAlign w:val="bottom"/>
          </w:tcPr>
          <w:p>
            <w:pPr>
              <w:spacing w:after="0"/>
              <w:rPr>
                <w:sz w:val="1"/>
                <w:szCs w:val="1"/>
                <w:color w:val="auto"/>
              </w:rPr>
            </w:pPr>
          </w:p>
        </w:tc>
      </w:tr>
      <w:tr>
        <w:trPr>
          <w:trHeight w:val="153"/>
        </w:trPr>
        <w:tc>
          <w:tcPr>
            <w:tcW w:w="34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maintenance revenue</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administrative</w:t>
            </w:r>
          </w:p>
        </w:tc>
        <w:tc>
          <w:tcPr>
            <w:tcW w:w="0" w:type="dxa"/>
            <w:vAlign w:val="bottom"/>
          </w:tcPr>
          <w:p>
            <w:pPr>
              <w:spacing w:after="0"/>
              <w:rPr>
                <w:sz w:val="1"/>
                <w:szCs w:val="1"/>
                <w:color w:val="auto"/>
              </w:rPr>
            </w:pPr>
          </w:p>
        </w:tc>
      </w:tr>
      <w:tr>
        <w:trPr>
          <w:trHeight w:val="112"/>
        </w:trPr>
        <w:tc>
          <w:tcPr>
            <w:tcW w:w="3460" w:type="dxa"/>
            <w:vAlign w:val="bottom"/>
            <w:shd w:val="clear" w:color="auto" w:fill="CCEEFF"/>
          </w:tcPr>
          <w:p>
            <w:pPr>
              <w:ind w:left="20"/>
              <w:spacing w:after="0" w:line="111" w:lineRule="exact"/>
              <w:rPr>
                <w:sz w:val="20"/>
                <w:szCs w:val="20"/>
                <w:color w:val="auto"/>
              </w:rPr>
            </w:pPr>
            <w:r>
              <w:rPr>
                <w:rFonts w:ascii="Times New Roman" w:cs="Times New Roman" w:eastAsia="Times New Roman" w:hAnsi="Times New Roman"/>
                <w:sz w:val="12"/>
                <w:szCs w:val="12"/>
                <w:color w:val="auto"/>
              </w:rPr>
              <w:t>Total amounts of income and expense line items presented in the</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4,651</w:t>
            </w:r>
          </w:p>
        </w:tc>
        <w:tc>
          <w:tcPr>
            <w:tcW w:w="44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65</w:t>
            </w: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3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1,745</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532</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Consolidated Statements of Operations</w:t>
            </w: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3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i w:val="1"/>
                <w:iCs w:val="1"/>
                <w:color w:val="auto"/>
              </w:rPr>
              <w:t>Gain (loss) on cash flow hedging relationships in Subtopic ASC</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815-20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Foreign exchange contracts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6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rPr>
              <w:t>Amount of gain (loss) reclassified from accumulated other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60</w:t>
            </w:r>
          </w:p>
        </w:tc>
        <w:tc>
          <w:tcPr>
            <w:tcW w:w="44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comprehensive income into income</w:t>
            </w: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Derivatives not designated as hedging instruments</w:t>
      </w:r>
    </w:p>
    <w:p>
      <w:pPr>
        <w:spacing w:after="0" w:line="202"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$455 million at January 31, 2024, and $951 million at January 31, 2023.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360" w:hanging="355"/>
        <w:spacing w:after="0"/>
        <w:tabs>
          <w:tab w:leader="none" w:pos="36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Purchase Commitments</w:t>
      </w:r>
    </w:p>
    <w:p>
      <w:pPr>
        <w:spacing w:after="0" w:line="202" w:lineRule="exact"/>
        <w:rPr>
          <w:sz w:val="20"/>
          <w:szCs w:val="20"/>
          <w:color w:val="auto"/>
        </w:rPr>
      </w:pPr>
    </w:p>
    <w:p>
      <w:pPr>
        <w:ind w:right="540" w:firstLine="350"/>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Autodesk enters into various purchase commitments for goods or services. Total non-cancellable purchase commitments as of January 31, 2024, were approximately $844 million for periods through fiscal 2033. These purchase commitments primarily result from contracts entered into for the acquisition of cloud services, marketing, and commitments related to our investment agreements with limited liability partnership funds.</w:t>
      </w:r>
    </w:p>
    <w:p>
      <w:pPr>
        <w:spacing w:after="0" w:line="157"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Autodesk has certain royalty commitments associated with the sale and licensing of certain products. Royalty expense is generally based on a fixed rate over a specified period, dollar amount per unit sold or a percentage of the underlying revenue. Royalty expense, which was recorded under cost of subscription and maintenance revenue and cost of other revenue on Autodesk’s Consolidated Statements of Operations, was $21 million in fiscal 2024, $18 million in fiscal 2023, and $16 million in fiscal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Guarantees and Indemnifications</w:t>
      </w:r>
    </w:p>
    <w:p>
      <w:pPr>
        <w:spacing w:after="0" w:line="202"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62"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57"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Legal Proceedings</w:t>
      </w:r>
    </w:p>
    <w:p>
      <w:pPr>
        <w:spacing w:after="0" w:line="202" w:lineRule="exact"/>
        <w:rPr>
          <w:sz w:val="20"/>
          <w:szCs w:val="20"/>
          <w:color w:val="auto"/>
        </w:rPr>
      </w:pPr>
    </w:p>
    <w:p>
      <w:pPr>
        <w:ind w:right="60" w:firstLine="318"/>
        <w:spacing w:after="0" w:line="257" w:lineRule="auto"/>
        <w:rPr>
          <w:sz w:val="20"/>
          <w:szCs w:val="20"/>
          <w:color w:val="auto"/>
        </w:rPr>
      </w:pPr>
      <w:r>
        <w:rPr>
          <w:rFonts w:ascii="Times New Roman" w:cs="Times New Roman" w:eastAsia="Times New Roman" w:hAnsi="Times New Roman"/>
          <w:sz w:val="14"/>
          <w:szCs w:val="14"/>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329" w:lineRule="exact"/>
        <w:rPr>
          <w:sz w:val="20"/>
          <w:szCs w:val="20"/>
          <w:color w:val="auto"/>
        </w:rPr>
      </w:pPr>
    </w:p>
    <w:p>
      <w:pPr>
        <w:ind w:right="100" w:firstLine="350"/>
        <w:spacing w:after="0" w:line="248" w:lineRule="auto"/>
        <w:rPr>
          <w:sz w:val="20"/>
          <w:szCs w:val="20"/>
          <w:color w:val="auto"/>
        </w:rPr>
      </w:pPr>
      <w:r>
        <w:rPr>
          <w:rFonts w:ascii="Times New Roman" w:cs="Times New Roman" w:eastAsia="Times New Roman" w:hAnsi="Times New Roman"/>
          <w:sz w:val="14"/>
          <w:szCs w:val="14"/>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cooperate with the SEC and USAO. At this stage, the Company cannot reasonably estimate the amount of any possible financial loss that could result from this matter.</w:t>
      </w:r>
    </w:p>
    <w:p>
      <w:pPr>
        <w:spacing w:after="0" w:line="189" w:lineRule="exact"/>
        <w:rPr>
          <w:sz w:val="20"/>
          <w:szCs w:val="20"/>
          <w:color w:val="auto"/>
        </w:rPr>
      </w:pPr>
    </w:p>
    <w:p>
      <w:pPr>
        <w:ind w:right="120" w:firstLine="350"/>
        <w:spacing w:after="0"/>
        <w:rPr>
          <w:sz w:val="20"/>
          <w:szCs w:val="20"/>
          <w:color w:val="auto"/>
        </w:rPr>
      </w:pPr>
      <w:r>
        <w:rPr>
          <w:rFonts w:ascii="Times New Roman" w:cs="Times New Roman" w:eastAsia="Times New Roman" w:hAnsi="Times New Roman"/>
          <w:sz w:val="14"/>
          <w:szCs w:val="14"/>
          <w:color w:val="auto"/>
        </w:rPr>
        <w:t>On April 24, 2024, plaintiff Michael Barkasi filed a purported federal securities class action complaint in the Northern District of California against the Company, our Chief Executive Officer Andrew Anagnost, and our former Chief Financial Officer, Deborah L. Clifford. The action is captioned Michael Barkasi v. Autodesk, Inc. et al., 3:24-cv-02431. The complaint, which was filed shortly after the Company’s announcement of the Audit Committee of the Board of Directors’ internal investigation regarding the Company’s free cash flow and non-GAAP operating margin practices, generally alleges that the defendants made false and misleading statements in violation of Sections 10(b) and 20(a) of the Securities Exchange Act of 1934, and Rule 10b-5 promulgated thereunder. The action purports to be brought on behalf of those who purchased or otherwise acquired the Company’s publicly traded securities between June 1, 2023 and April 16, 2024, and seeks unspecified damages and other relief. The case is in its early stages and a lead plaintiff has yet to be appointed. At this stage, the Company cannot reasonably estimate the amount of any possible financial loss that could result from this matter.</w:t>
      </w:r>
    </w:p>
    <w:p>
      <w:pPr>
        <w:spacing w:after="0" w:line="176" w:lineRule="exact"/>
        <w:rPr>
          <w:sz w:val="20"/>
          <w:szCs w:val="20"/>
          <w:color w:val="auto"/>
        </w:rPr>
      </w:pPr>
    </w:p>
    <w:p>
      <w:pPr>
        <w:ind w:left="360" w:hanging="355"/>
        <w:spacing w:after="0"/>
        <w:tabs>
          <w:tab w:leader="none" w:pos="36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Repurchase Program</w:t>
      </w:r>
    </w:p>
    <w:p>
      <w:pPr>
        <w:spacing w:after="0" w:line="202"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Autodesk has stock repurchase programs that are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4 million shares in fiscal 2024 at an average repurchase price of $201.54 per share, 5 million shares in fiscal 2023 at an average repurchase price of $198.51 per share, and 4 million shares in fiscal 2022 at an average repurchase price of $275.50 per share.</w:t>
      </w:r>
    </w:p>
    <w:p>
      <w:pPr>
        <w:spacing w:after="0" w:line="16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At January 31, 2024, $4.74 billion remained available for repurchase under the November 2022 repurchase program approved by the Board of Directors</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cash requirements to retire outstanding debt, economic and market conditions, stock price, and legal and regulatory requirements.</w:t>
      </w:r>
    </w:p>
    <w:p>
      <w:pPr>
        <w:spacing w:after="0" w:line="160" w:lineRule="exact"/>
        <w:rPr>
          <w:sz w:val="20"/>
          <w:szCs w:val="20"/>
          <w:color w:val="auto"/>
        </w:rPr>
      </w:pPr>
    </w:p>
    <w:p>
      <w:pPr>
        <w:ind w:left="320" w:hanging="315"/>
        <w:spacing w:after="0"/>
        <w:tabs>
          <w:tab w:leader="none" w:pos="32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and Other Income (Expense), net</w:t>
      </w:r>
    </w:p>
    <w:p>
      <w:pPr>
        <w:spacing w:after="0" w:line="201" w:lineRule="exact"/>
        <w:rPr>
          <w:rFonts w:ascii="Times New Roman" w:cs="Times New Roman" w:eastAsia="Times New Roman" w:hAnsi="Times New Roman"/>
          <w:sz w:val="14"/>
          <w:szCs w:val="14"/>
          <w:b w:val="1"/>
          <w:bCs w:val="1"/>
          <w:color w:val="auto"/>
        </w:rPr>
      </w:pPr>
    </w:p>
    <w:p>
      <w:pPr>
        <w:ind w:left="3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and other income (expense), net, consists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67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investment income (expense), net</w:t>
            </w:r>
          </w:p>
        </w:tc>
        <w:tc>
          <w:tcPr>
            <w:tcW w:w="10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6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foreign currency</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gain on strategic investments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5"/>
        </w:trPr>
        <w:tc>
          <w:tcPr>
            <w:tcW w:w="678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Interest and other income (expense), net</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60" w:hanging="355"/>
        <w:spacing w:after="0"/>
        <w:tabs>
          <w:tab w:leader="none" w:pos="3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Accumulated Other Comprehensive Loss</w:t>
      </w:r>
    </w:p>
    <w:p>
      <w:pPr>
        <w:spacing w:after="0" w:line="201" w:lineRule="exact"/>
        <w:rPr>
          <w:rFonts w:ascii="Times New Roman" w:cs="Times New Roman" w:eastAsia="Times New Roman" w:hAnsi="Times New Roman"/>
          <w:sz w:val="14"/>
          <w:szCs w:val="14"/>
          <w:b w:val="1"/>
          <w:bCs w:val="1"/>
          <w:color w:val="auto"/>
        </w:rPr>
      </w:pPr>
    </w:p>
    <w:p>
      <w:pPr>
        <w:ind w:left="3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Accumulated other comprehensive loss, net of taxes,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20" w:type="dxa"/>
            <w:vAlign w:val="bottom"/>
          </w:tcPr>
          <w:p>
            <w:pPr>
              <w:spacing w:after="0"/>
              <w:rPr>
                <w:sz w:val="11"/>
                <w:szCs w:val="11"/>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Unrealized Gains</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Net Unrealized Gains</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Defined Benefit</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0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(Losses) on Derivative</w:t>
            </w:r>
          </w:p>
        </w:tc>
        <w:tc>
          <w:tcPr>
            <w:tcW w:w="1200" w:type="dxa"/>
            <w:vAlign w:val="bottom"/>
            <w:gridSpan w:val="3"/>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(Losses) on Available</w:t>
            </w: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240" w:type="dxa"/>
            <w:vAlign w:val="bottom"/>
          </w:tcPr>
          <w:p>
            <w:pPr>
              <w:spacing w:after="0"/>
              <w:rPr>
                <w:sz w:val="10"/>
                <w:szCs w:val="10"/>
                <w:color w:val="auto"/>
              </w:rPr>
            </w:pPr>
          </w:p>
        </w:tc>
        <w:tc>
          <w:tcPr>
            <w:tcW w:w="820" w:type="dxa"/>
            <w:vAlign w:val="bottom"/>
            <w:vMerge w:val="restart"/>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Sale Securities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Pension Components</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January 31, 2022</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6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Pre-tax gain reclassified from accumulated other comprehensive income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effects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3"/>
        </w:trPr>
        <w:tc>
          <w:tcPr>
            <w:tcW w:w="5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58"/>
        </w:trPr>
        <w:tc>
          <w:tcPr>
            <w:tcW w:w="54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Balances, January 31, 2023</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Pre-tax (gain) loss reclassified from accumulated other comprehensive income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effects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8"/>
        </w:trPr>
        <w:tc>
          <w:tcPr>
            <w:tcW w:w="542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Net current period other comprehensive (loss) income</w:t>
            </w: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Balances, January 31, 2024</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180" w:firstLine="318"/>
        <w:spacing w:after="0" w:line="270" w:lineRule="auto"/>
        <w:rPr>
          <w:sz w:val="20"/>
          <w:szCs w:val="20"/>
          <w:color w:val="auto"/>
        </w:rPr>
      </w:pPr>
      <w:r>
        <w:rPr>
          <w:rFonts w:ascii="Times New Roman" w:cs="Times New Roman" w:eastAsia="Times New Roman" w:hAnsi="Times New Roman"/>
          <w:sz w:val="14"/>
          <w:szCs w:val="14"/>
          <w:color w:val="auto"/>
        </w:rPr>
        <w:t>Reclassifications related to gains and losses on available-for-sale debt securities are included in “Interest and other income (expense), net.” Refer to Note 10, “Derivative Instruments” for the amount and location of reclassifications related to derivative instruments. Reclassifications of the defined benefit pension components of net periodic benefit cost are included in “Interest and other income (expense), net.”</w:t>
      </w:r>
    </w:p>
    <w:p>
      <w:pPr>
        <w:spacing w:after="0" w:line="155" w:lineRule="exact"/>
        <w:rPr>
          <w:sz w:val="20"/>
          <w:szCs w:val="20"/>
          <w:color w:val="auto"/>
        </w:rPr>
      </w:pPr>
    </w:p>
    <w:p>
      <w:pPr>
        <w:ind w:left="360" w:hanging="355"/>
        <w:spacing w:after="0"/>
        <w:tabs>
          <w:tab w:leader="none" w:pos="36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Income Per Share</w:t>
      </w:r>
    </w:p>
    <w:p>
      <w:pPr>
        <w:spacing w:after="0" w:line="202"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Basic net income per share is computed using the weighted average number of shares of common stock outstanding during the period. Diluted net income per share is computed using the weighted average number of shares of common stock outstanding during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Numerator:</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jc w:val="right"/>
              <w:ind w:right="858"/>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440" w:type="dxa"/>
            <w:vAlign w:val="bottom"/>
            <w:gridSpan w:val="2"/>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Denominator:</w:t>
            </w: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Weighted average shares for basic net income per share</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10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6760" w:type="dxa"/>
            <w:vAlign w:val="bottom"/>
          </w:tcPr>
          <w:p>
            <w:pPr>
              <w:ind w:left="260"/>
              <w:spacing w:after="0" w:line="146" w:lineRule="exact"/>
              <w:rPr>
                <w:sz w:val="20"/>
                <w:szCs w:val="20"/>
                <w:color w:val="auto"/>
              </w:rPr>
            </w:pPr>
            <w:r>
              <w:rPr>
                <w:rFonts w:ascii="Times New Roman" w:cs="Times New Roman" w:eastAsia="Times New Roman" w:hAnsi="Times New Roman"/>
                <w:sz w:val="13"/>
                <w:szCs w:val="13"/>
                <w:color w:val="auto"/>
              </w:rPr>
              <w:t>Weighted average shares for dilutive net income per share</w:t>
            </w: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tcBorders>
              <w:bottom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Basic net income per share</w:t>
            </w:r>
          </w:p>
        </w:tc>
        <w:tc>
          <w:tcPr>
            <w:tcW w:w="100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Diluted net income per share</w:t>
            </w: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60" w:type="dxa"/>
            <w:vAlign w:val="bottom"/>
            <w:tcBorders>
              <w:top w:val="single" w:sz="8" w:color="CCEEFF"/>
            </w:tcBorders>
            <w:vMerge w:val="continue"/>
          </w:tcPr>
          <w:p>
            <w:pPr>
              <w:spacing w:after="0"/>
              <w:rPr>
                <w:sz w:val="11"/>
                <w:szCs w:val="11"/>
                <w:color w:val="auto"/>
              </w:rPr>
            </w:pPr>
          </w:p>
        </w:tc>
        <w:tc>
          <w:tcPr>
            <w:tcW w:w="1000" w:type="dxa"/>
            <w:vAlign w:val="bottom"/>
            <w:tcBorders>
              <w:top w:val="single" w:sz="8" w:color="auto"/>
              <w:bottom w:val="single" w:sz="8" w:color="auto"/>
            </w:tcBorders>
          </w:tcPr>
          <w:p>
            <w:pPr>
              <w:jc w:val="right"/>
              <w:ind w:right="858"/>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The computation of diluted net income per share does not include shares that are anti-dilutive under the treasury stock method because their exercise prices are higher than the average market value of Autodesk’s stock during the fiscal year. The effect of 297 thousand, 962 thousand, and 153 thousand anti-dilutive shares were excluded from the computation of diluted net income per share for the fiscal years ended January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360" w:hanging="355"/>
        <w:spacing w:after="0"/>
        <w:tabs>
          <w:tab w:leader="none" w:pos="36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Retirement Benefit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Pretax Savings Plan</w:t>
      </w:r>
    </w:p>
    <w:p>
      <w:pPr>
        <w:spacing w:after="0" w:line="202" w:lineRule="exact"/>
        <w:rPr>
          <w:sz w:val="20"/>
          <w:szCs w:val="20"/>
          <w:color w:val="auto"/>
        </w:rPr>
      </w:pPr>
    </w:p>
    <w:p>
      <w:pPr>
        <w:jc w:val="both"/>
        <w:ind w:right="80" w:firstLine="350"/>
        <w:spacing w:after="0" w:line="270" w:lineRule="auto"/>
        <w:rPr>
          <w:sz w:val="20"/>
          <w:szCs w:val="20"/>
          <w:color w:val="auto"/>
        </w:rPr>
      </w:pPr>
      <w:r>
        <w:rPr>
          <w:rFonts w:ascii="Times New Roman" w:cs="Times New Roman" w:eastAsia="Times New Roman" w:hAnsi="Times New Roman"/>
          <w:sz w:val="14"/>
          <w:szCs w:val="14"/>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$26 million in fiscal 2024, $26 million in fiscal 2023, and $24 million in fiscal 2022. Autodesk does not allow participants to invest in Autodesk common stock through the 401(k)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Defined Benefit Pension Plans</w:t>
      </w:r>
    </w:p>
    <w:p>
      <w:pPr>
        <w:spacing w:after="0" w:line="202"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Autodesk provides certain defined benefit pension plans to employees located in countries outside of the United States, primarily the United Kingdom, Switzerland, and Japan. The Company deposits funds for specific plans, consistent with the requirements of local law, with insurance companies or third-party trustees, or into government-managed accounts, and accrues for the unfunded portion of the obligation, where material.</w:t>
      </w:r>
    </w:p>
    <w:p>
      <w:pPr>
        <w:spacing w:after="0" w:line="157"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The projected benefit obligation was $81 million and $76 million as of January 31, 2024, and January 31, 2023, respectively. The accumulated benefit obligation was $73 million and $69 million as of January 31, 2024, and January 31, 2023, respectively. The related fair value of plan assets was $77 million and $76 million as of January 31, 2024, and January 31, 2023, respectively. Our defined pension plan assets are measured at fair value and consist primarily of insurance contracts categorized as level 2 in the fair value hierarchy and an investment fund valued using net asset value. The insurance contracts represent the immediate cash surrender value of assets managed by qualified insurance companies. The assets held in the investment fund are invested in a diversified growth fund actively managed by a third party.</w:t>
      </w:r>
    </w:p>
    <w:p>
      <w:pPr>
        <w:spacing w:after="0" w:line="164"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Autodesk recognized an aggregate pension liability for the funded status of $6 million and $5 million in “Long-term other liabilities” on the Consolidated Balance Sheet as of January 31, 2024, and January 31, 2023, respectively. Our total net periodic pension plan cost was $2 million, $3 million and $3 million for fiscal years 2024, 2023, and 2022,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Our expected funding for the plans during fiscal 2025 is approximately $5 million.</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29"/>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Estimated Future Benefit Payments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4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Estimated benefit payments over the next 10 fiscal years are as follows: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9"/>
        </w:trPr>
        <w:tc>
          <w:tcPr>
            <w:tcW w:w="40" w:type="dxa"/>
            <w:vAlign w:val="bottom"/>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7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Pension Benefits</w:t>
            </w:r>
          </w:p>
        </w:tc>
      </w:tr>
      <w:tr>
        <w:trPr>
          <w:trHeight w:val="171"/>
        </w:trPr>
        <w:tc>
          <w:tcPr>
            <w:tcW w:w="4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74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0" w:type="dxa"/>
            <w:vAlign w:val="bottom"/>
          </w:tcPr>
          <w:p>
            <w:pPr>
              <w:spacing w:after="0"/>
              <w:rPr>
                <w:sz w:val="15"/>
                <w:szCs w:val="15"/>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7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0" w:type="dxa"/>
            <w:vAlign w:val="bottom"/>
          </w:tcPr>
          <w:p>
            <w:pPr>
              <w:spacing w:after="0"/>
              <w:rPr>
                <w:sz w:val="15"/>
                <w:szCs w:val="15"/>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7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0" w:type="dxa"/>
            <w:vAlign w:val="bottom"/>
          </w:tcPr>
          <w:p>
            <w:pPr>
              <w:spacing w:after="0"/>
              <w:rPr>
                <w:sz w:val="15"/>
                <w:szCs w:val="15"/>
                <w:color w:val="auto"/>
              </w:rPr>
            </w:pPr>
          </w:p>
        </w:tc>
        <w:tc>
          <w:tcPr>
            <w:tcW w:w="1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2030-2034</w:t>
            </w:r>
          </w:p>
        </w:tc>
        <w:tc>
          <w:tcPr>
            <w:tcW w:w="7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40" w:type="dxa"/>
            <w:vAlign w:val="bottom"/>
          </w:tcPr>
          <w:p>
            <w:pPr>
              <w:spacing w:after="0"/>
              <w:rPr>
                <w:sz w:val="16"/>
                <w:szCs w:val="16"/>
                <w:color w:val="auto"/>
              </w:rPr>
            </w:pPr>
          </w:p>
        </w:tc>
        <w:tc>
          <w:tcPr>
            <w:tcW w:w="9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4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Defined Contribution Plans</w:t>
      </w:r>
    </w:p>
    <w:p>
      <w:pPr>
        <w:spacing w:after="0" w:line="202" w:lineRule="exact"/>
        <w:rPr>
          <w:sz w:val="20"/>
          <w:szCs w:val="20"/>
          <w:color w:val="auto"/>
        </w:rPr>
      </w:pPr>
    </w:p>
    <w:p>
      <w:pPr>
        <w:jc w:val="both"/>
        <w:ind w:right="60" w:firstLine="350"/>
        <w:spacing w:after="0" w:line="287" w:lineRule="auto"/>
        <w:rPr>
          <w:sz w:val="20"/>
          <w:szCs w:val="20"/>
          <w:color w:val="auto"/>
        </w:rPr>
      </w:pPr>
      <w:r>
        <w:rPr>
          <w:rFonts w:ascii="Times New Roman" w:cs="Times New Roman" w:eastAsia="Times New Roman" w:hAnsi="Times New Roman"/>
          <w:sz w:val="14"/>
          <w:szCs w:val="14"/>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$43 million in fiscal 2024, $39 million in fiscal 2023, and $38 million in fiscal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Cash Balance Plans</w:t>
      </w:r>
    </w:p>
    <w:p>
      <w:pPr>
        <w:spacing w:after="0" w:line="202" w:lineRule="exact"/>
        <w:rPr>
          <w:sz w:val="20"/>
          <w:szCs w:val="20"/>
          <w:color w:val="auto"/>
        </w:rPr>
      </w:pPr>
    </w:p>
    <w:p>
      <w:pPr>
        <w:jc w:val="both"/>
        <w:ind w:right="440" w:firstLine="350"/>
        <w:spacing w:after="0" w:line="270" w:lineRule="auto"/>
        <w:rPr>
          <w:sz w:val="20"/>
          <w:szCs w:val="20"/>
          <w:color w:val="auto"/>
        </w:rPr>
      </w:pPr>
      <w:r>
        <w:rPr>
          <w:rFonts w:ascii="Times New Roman" w:cs="Times New Roman" w:eastAsia="Times New Roman" w:hAnsi="Times New Roman"/>
          <w:sz w:val="14"/>
          <w:szCs w:val="14"/>
          <w:color w:val="auto"/>
        </w:rPr>
        <w:t>Autodesk provides a cash balance plan that insures the risks of disability, death, and longevity, in which the vested pension capital is reinvested and provides a 100% capital and interest guarantee. The weighted-average guaranteed interest crediting rate for cash balance plans was 1%, 1%, and 1% for mandatory retirement savings and 0.3%, 0.3%, and 0.3% for supplementary retirement savings for fiscal 2024, 2023, and 2022, respectively.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Plans</w:t>
      </w:r>
    </w:p>
    <w:p>
      <w:pPr>
        <w:spacing w:after="0" w:line="202"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“Deferred Compensation,” for further discussion.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Subsequent Events</w:t>
      </w:r>
    </w:p>
    <w:p>
      <w:pPr>
        <w:spacing w:after="0" w:line="191"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4"/>
          <w:szCs w:val="14"/>
          <w:color w:val="auto"/>
        </w:rPr>
        <w:t>On February 20, 2024, Autodesk acquired 100% of the outstanding stock of Payapps Limited (“Payapps”), a leading cloud-based software platform for managing construction-related payments, for total consideration of $387 million in cash. Of the total consideration transferred, $381 million is considered purchase consideration. The remaining amount of $6 million will be recorded in “Prepaid expenses and other current assets” and “Long-term other assets” on our Consolidated Balance Sheets and will be amortized to stock-based compensation expense using the straight-line method over the vesting period. Autodesk expects to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p>
      <w:pPr>
        <w:spacing w:after="0" w:line="165" w:lineRule="exact"/>
        <w:rPr>
          <w:sz w:val="20"/>
          <w:szCs w:val="20"/>
          <w:color w:val="auto"/>
        </w:rPr>
      </w:pPr>
    </w:p>
    <w:p>
      <w:pPr>
        <w:jc w:val="both"/>
        <w:ind w:right="440" w:firstLine="318"/>
        <w:spacing w:after="0" w:line="246" w:lineRule="auto"/>
        <w:rPr>
          <w:sz w:val="20"/>
          <w:szCs w:val="20"/>
          <w:color w:val="auto"/>
        </w:rPr>
      </w:pPr>
      <w:r>
        <w:rPr>
          <w:rFonts w:ascii="Times New Roman" w:cs="Times New Roman" w:eastAsia="Times New Roman" w:hAnsi="Times New Roman"/>
          <w:sz w:val="14"/>
          <w:szCs w:val="14"/>
          <w:color w:val="auto"/>
        </w:rPr>
        <w:t>On March 15, 2024, Autodesk acquired 100% of the PIX business of X2X, LLC (“PIX”), a production management solution for secure review and content collaboration in the media and entertainment industry for total consideration of $266 million in cash. The acquisition will help foster broader collaboration and communication, as well as help drive greater efficiencies in the production process.</w:t>
      </w:r>
    </w:p>
    <w:p>
      <w:pPr>
        <w:spacing w:after="0" w:line="163" w:lineRule="exact"/>
        <w:rPr>
          <w:sz w:val="20"/>
          <w:szCs w:val="20"/>
          <w:color w:val="auto"/>
        </w:rPr>
      </w:pPr>
    </w:p>
    <w:p>
      <w:pPr>
        <w:jc w:val="both"/>
        <w:ind w:right="20" w:firstLine="318"/>
        <w:spacing w:after="0" w:line="245" w:lineRule="auto"/>
        <w:rPr>
          <w:sz w:val="20"/>
          <w:szCs w:val="20"/>
          <w:color w:val="auto"/>
        </w:rPr>
      </w:pPr>
      <w:r>
        <w:rPr>
          <w:rFonts w:ascii="Times New Roman" w:cs="Times New Roman" w:eastAsia="Times New Roman" w:hAnsi="Times New Roman"/>
          <w:sz w:val="14"/>
          <w:szCs w:val="14"/>
          <w:color w:val="auto"/>
        </w:rPr>
        <w:t>The acquisitions were accounted for as business combinations, and Autodesk will record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will record the excess of consideration transferred over the aggregate fair values as goodwill. The goodwill to be recorded is primarily attributable to synergies expected to arise after the respective acquisition. Goodwill in an approximate range of $180 million to $190 million is expected to be deductible for U.S. income tax purposes for PIX. Goodwill expected to be deductible for U.S. income tax purposes for Payapps is pending and not yet finalized. The transaction costs related to the acquisitions were not material.</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of the assets acquired and liabilities assumed by major class for the business combinations: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Payapps</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PIX</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technologies</w:t>
            </w:r>
          </w:p>
        </w:tc>
        <w:tc>
          <w:tcPr>
            <w:tcW w:w="11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7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r>
      <w:tr>
        <w:trPr>
          <w:trHeight w:val="17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revenue and long-term deferred revenue</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deferred income taxes</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tangible assets</w:t>
            </w:r>
          </w:p>
        </w:tc>
        <w:tc>
          <w:tcPr>
            <w:tcW w:w="1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2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w:t>
            </w:r>
          </w:p>
        </w:tc>
      </w:tr>
      <w:tr>
        <w:trPr>
          <w:trHeight w:val="20"/>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40" w:firstLine="318"/>
        <w:spacing w:after="0" w:line="246" w:lineRule="auto"/>
        <w:rPr>
          <w:sz w:val="20"/>
          <w:szCs w:val="20"/>
          <w:color w:val="auto"/>
        </w:rPr>
      </w:pPr>
      <w:r>
        <w:rPr>
          <w:rFonts w:ascii="Times New Roman" w:cs="Times New Roman" w:eastAsia="Times New Roman" w:hAnsi="Times New Roman"/>
          <w:sz w:val="14"/>
          <w:szCs w:val="14"/>
          <w:color w:val="auto"/>
        </w:rPr>
        <w:t>For the business combinations, the allocation of purchase price consideration to certain assets and liabilities as well as the final amount of purchase consideration is not yet finalized. For the items not yet finalized, Autodesk's estimates and assumptions are subject to change within the measurement period (up to one year from the acquisition date). The primary areas of the preliminary purchase price allocation that are not yet finalized include, but are not limited to, amounts for intangible assets, tax assets and liabilities, deferred revenue, and residual goodwill.</w:t>
      </w:r>
    </w:p>
    <w:p>
      <w:pPr>
        <w:spacing w:after="0" w:line="163"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4"/>
          <w:szCs w:val="14"/>
          <w:color w:val="auto"/>
        </w:rPr>
        <w:t>On May 20, 2024, Autodesk acquired Aether Media, Inc., a provider of a cloud-based artificial intelligence pipeline for creating computer-generated 3D characters into live-action scenes, for preliminary purchase consideration of $131 million, net of cash acquired. This acquisition will enhance artificial intelligence capabilities for Autodesk’s VFX creation tools and democratize high end VFX work on Autodesk’s Flow platform. We are currently in the process of determining the initial purchase accounting for this transaction. Based on the timing of the acquisition and lack of available information, we determined it to be impracticable to disclose a preliminary purchase price allocation at this time.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Autodesk,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Autodesk, Inc. (the Company) as of January 31, 2024, and 2023, the related consolidated statements of operations, comprehensive income, stockholders’ equity, and cash flows for each of the three years in the period ended January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January 31, 2024, and 2023, and the results of its operations and its cash flows for each of the three years in the period ended January 31, 2024, in conformity with U.S. generally accepted accounting principles.</w:t>
      </w:r>
    </w:p>
    <w:p>
      <w:pPr>
        <w:spacing w:after="0" w:line="80" w:lineRule="exact"/>
        <w:rPr>
          <w:sz w:val="20"/>
          <w:szCs w:val="20"/>
          <w:color w:val="auto"/>
        </w:rPr>
      </w:pPr>
    </w:p>
    <w:p>
      <w:pPr>
        <w:ind w:right="100" w:firstLine="318"/>
        <w:spacing w:after="0" w:line="246"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January 31, 2024, based on criteria established in Internal Control</w:t>
      </w:r>
      <w:r>
        <w:rPr>
          <w:rFonts w:ascii="Arial" w:cs="Arial" w:eastAsia="Arial" w:hAnsi="Arial"/>
          <w:sz w:val="14"/>
          <w:szCs w:val="14"/>
          <w:color w:val="auto"/>
        </w:rPr>
        <w:t>—</w:t>
      </w:r>
      <w:r>
        <w:rPr>
          <w:rFonts w:ascii="Times New Roman" w:cs="Times New Roman" w:eastAsia="Times New Roman" w:hAnsi="Times New Roman"/>
          <w:sz w:val="14"/>
          <w:szCs w:val="14"/>
          <w:color w:val="auto"/>
        </w:rPr>
        <w:t>Integrated Framework issued by the Committee of Sponsoring Organizations of the Treadway Commission (2013 framework), and our report dated June 10, 2024 expressed an unqualified opinion thereon.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ind w:right="20" w:firstLine="311"/>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tc>
        <w:tc>
          <w:tcPr>
            <w:tcW w:w="0" w:type="dxa"/>
            <w:vAlign w:val="bottom"/>
          </w:tcPr>
          <w:p>
            <w:pPr>
              <w:spacing w:after="0" w:line="20" w:lineRule="exact"/>
              <w:rPr>
                <w:sz w:val="1"/>
                <w:szCs w:val="1"/>
                <w:color w:val="auto"/>
              </w:rPr>
            </w:pPr>
          </w:p>
        </w:tc>
      </w:tr>
      <w:tr>
        <w:trPr>
          <w:trHeight w:val="676"/>
        </w:trPr>
        <w:tc>
          <w:tcPr>
            <w:tcW w:w="1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i w:val="1"/>
                <w:iCs w:val="1"/>
                <w:color w:val="auto"/>
              </w:rPr>
              <w:t>Description of the</w:t>
            </w:r>
          </w:p>
        </w:tc>
        <w:tc>
          <w:tcPr>
            <w:tcW w:w="9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40" w:type="dxa"/>
            <w:vAlign w:val="bottom"/>
            <w:gridSpan w:val="2"/>
            <w:vMerge w:val="continue"/>
          </w:tcPr>
          <w:p>
            <w:pPr>
              <w:spacing w:after="0"/>
              <w:rPr>
                <w:sz w:val="12"/>
                <w:szCs w:val="12"/>
                <w:color w:val="auto"/>
              </w:rPr>
            </w:pPr>
          </w:p>
        </w:tc>
        <w:tc>
          <w:tcPr>
            <w:tcW w:w="9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As discussed in Note 1 to the consolidated financial statements, revenue is recognized when the Company's offerings are delivered to its customers, in an amount that reflec</w:t>
            </w:r>
          </w:p>
        </w:tc>
        <w:tc>
          <w:tcPr>
            <w:tcW w:w="0" w:type="dxa"/>
            <w:vAlign w:val="bottom"/>
          </w:tcPr>
          <w:p>
            <w:pPr>
              <w:spacing w:after="0"/>
              <w:rPr>
                <w:sz w:val="1"/>
                <w:szCs w:val="1"/>
                <w:color w:val="auto"/>
              </w:rPr>
            </w:pPr>
          </w:p>
        </w:tc>
      </w:tr>
      <w:tr>
        <w:trPr>
          <w:trHeight w:val="191"/>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Matter</w:t>
            </w:r>
          </w:p>
        </w:tc>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consideration expected in exchange for the products and services.</w:t>
            </w:r>
          </w:p>
        </w:tc>
        <w:tc>
          <w:tcPr>
            <w:tcW w:w="0" w:type="dxa"/>
            <w:vAlign w:val="bottom"/>
          </w:tcPr>
          <w:p>
            <w:pPr>
              <w:spacing w:after="0"/>
              <w:rPr>
                <w:sz w:val="1"/>
                <w:szCs w:val="1"/>
                <w:color w:val="auto"/>
              </w:rPr>
            </w:pPr>
          </w:p>
        </w:tc>
      </w:tr>
      <w:tr>
        <w:trPr>
          <w:trHeight w:val="315"/>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Company enters into contracts with its customers that may include promises to transfer term-based product subscriptions, cloud service offerings, and support services.</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Auditing the Company’s revenue recognition was challenging and complex due to the effort required to analyze the accounting treatment for the Company’s various produc</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service offerings in accordance with ASC 606, Revenue from Contracts with Customers. This involved assessing the impact of terms and conditions in contracts with</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customers to determine whether products and services are considered distinct performance obligations and the related timing of revenue recognition.</w:t>
            </w:r>
          </w:p>
        </w:tc>
        <w:tc>
          <w:tcPr>
            <w:tcW w:w="0" w:type="dxa"/>
            <w:vAlign w:val="bottom"/>
          </w:tcPr>
          <w:p>
            <w:pPr>
              <w:spacing w:after="0"/>
              <w:rPr>
                <w:sz w:val="1"/>
                <w:szCs w:val="1"/>
                <w:color w:val="auto"/>
              </w:rPr>
            </w:pPr>
          </w:p>
        </w:tc>
      </w:tr>
      <w:tr>
        <w:trPr>
          <w:trHeight w:val="244"/>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How We Addressed</w:t>
            </w:r>
          </w:p>
        </w:tc>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internal controls over the Company's identification and evaluation of distinct</w:t>
            </w:r>
          </w:p>
        </w:tc>
        <w:tc>
          <w:tcPr>
            <w:tcW w:w="0" w:type="dxa"/>
            <w:vAlign w:val="bottom"/>
          </w:tcPr>
          <w:p>
            <w:pPr>
              <w:spacing w:after="0"/>
              <w:rPr>
                <w:sz w:val="1"/>
                <w:szCs w:val="1"/>
                <w:color w:val="auto"/>
              </w:rPr>
            </w:pPr>
          </w:p>
        </w:tc>
      </w:tr>
      <w:tr>
        <w:trPr>
          <w:trHeight w:val="149"/>
        </w:trPr>
        <w:tc>
          <w:tcPr>
            <w:tcW w:w="15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i w:val="1"/>
                <w:iCs w:val="1"/>
                <w:color w:val="auto"/>
              </w:rPr>
              <w:t>the Matter in Our</w:t>
            </w:r>
          </w:p>
        </w:tc>
        <w:tc>
          <w:tcPr>
            <w:tcW w:w="9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performance obligations and the determination of the timing of revenue recognition.</w:t>
            </w:r>
          </w:p>
        </w:tc>
        <w:tc>
          <w:tcPr>
            <w:tcW w:w="0" w:type="dxa"/>
            <w:vAlign w:val="bottom"/>
          </w:tcPr>
          <w:p>
            <w:pPr>
              <w:spacing w:after="0"/>
              <w:rPr>
                <w:sz w:val="1"/>
                <w:szCs w:val="1"/>
                <w:color w:val="auto"/>
              </w:rPr>
            </w:pPr>
          </w:p>
        </w:tc>
      </w:tr>
      <w:tr>
        <w:trPr>
          <w:trHeight w:val="186"/>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Audit</w:t>
            </w:r>
          </w:p>
        </w:tc>
        <w:tc>
          <w:tcPr>
            <w:tcW w:w="9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Among other procedures, to evaluate management’s identification and evaluation of the distinct performance obligations and timing of revenue recognition, we read execut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contracts for a sample of sales transactions to understand the contract, identify the promised products and services in the contract, and identify the distinct performance</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obligations and related timing of revenue recognition.</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1983.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10,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16"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Autodesk,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06"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4"/>
          <w:szCs w:val="14"/>
          <w:color w:val="auto"/>
        </w:rPr>
        <w:t>We have audited Autodesk, Inc.’s internal control over financial reporting as of January 31, 2024, based on criteria established in Internal Control</w:t>
      </w:r>
      <w:r>
        <w:rPr>
          <w:rFonts w:ascii="Arial" w:cs="Arial" w:eastAsia="Arial" w:hAnsi="Arial"/>
          <w:sz w:val="14"/>
          <w:szCs w:val="14"/>
          <w:color w:val="auto"/>
        </w:rPr>
        <w:t>—</w:t>
      </w:r>
      <w:r>
        <w:rPr>
          <w:rFonts w:ascii="Times New Roman" w:cs="Times New Roman" w:eastAsia="Times New Roman" w:hAnsi="Times New Roman"/>
          <w:sz w:val="14"/>
          <w:szCs w:val="14"/>
          <w:color w:val="auto"/>
        </w:rPr>
        <w:t>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2024, based on the COSO criteria.</w:t>
      </w:r>
    </w:p>
    <w:p>
      <w:pPr>
        <w:spacing w:after="0" w:line="155" w:lineRule="exact"/>
        <w:rPr>
          <w:sz w:val="20"/>
          <w:szCs w:val="20"/>
          <w:color w:val="auto"/>
        </w:rPr>
      </w:pPr>
    </w:p>
    <w:p>
      <w:pPr>
        <w:jc w:val="both"/>
        <w:ind w:right="220" w:firstLine="318"/>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accompanying consolidated balance sheets of the Company as of January 31, 2024, and 2023, the related consolidated statements of operations, comprehensive income, stockholders’ equity, and cash flows for each of the three years in the period ended January 31, 2024, and the related notes and financial statement schedule listed in the Index at Item 15(a)(2) and our report dated June 10, 2024,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ind w:right="400" w:firstLine="318"/>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5"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02"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10, 2024</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100" w:firstLine="350"/>
        <w:spacing w:after="0" w:line="259"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2024.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68" w:lineRule="exact"/>
        <w:rPr>
          <w:sz w:val="20"/>
          <w:szCs w:val="20"/>
          <w:color w:val="auto"/>
        </w:rPr>
      </w:pPr>
    </w:p>
    <w:p>
      <w:pPr>
        <w:ind w:right="200" w:firstLine="318"/>
        <w:spacing w:after="0" w:line="270" w:lineRule="auto"/>
        <w:rPr>
          <w:sz w:val="20"/>
          <w:szCs w:val="20"/>
          <w:color w:val="auto"/>
        </w:rPr>
      </w:pPr>
      <w:r>
        <w:rPr>
          <w:rFonts w:ascii="Times New Roman" w:cs="Times New Roman" w:eastAsia="Times New Roman" w:hAnsi="Times New Roman"/>
          <w:sz w:val="14"/>
          <w:szCs w:val="14"/>
          <w:color w:val="auto"/>
        </w:rPr>
        <w:t>Our management has concluded that, as of January 31, 2024,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Part II, Item 8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such term is defined in Rules 13a-15(f) and 15d-15(f) under the Securities Exchange Act of 1934) during the three months ended January 31, 2024, that have materially affected, or are reasonably likely to materially affect, our internal control over financial reporting.</w:t>
      </w:r>
    </w:p>
    <w:p>
      <w:pPr>
        <w:spacing w:after="0" w:line="14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DEPARTURE OF DIRECTORS OR PRINCIPAL OFFICERS; ELECTION OF DIRECTORS; APPOINTMENT OF PRINCIPAL OFFICERS</w:t>
      </w:r>
    </w:p>
    <w:p>
      <w:pPr>
        <w:spacing w:after="0" w:line="191" w:lineRule="exact"/>
        <w:rPr>
          <w:sz w:val="20"/>
          <w:szCs w:val="20"/>
          <w:color w:val="auto"/>
        </w:rPr>
      </w:pPr>
    </w:p>
    <w:p>
      <w:pPr>
        <w:ind w:right="700" w:firstLine="318"/>
        <w:spacing w:after="0" w:line="287" w:lineRule="auto"/>
        <w:rPr>
          <w:sz w:val="20"/>
          <w:szCs w:val="20"/>
          <w:color w:val="auto"/>
        </w:rPr>
      </w:pPr>
      <w:r>
        <w:rPr>
          <w:rFonts w:ascii="Times New Roman" w:cs="Times New Roman" w:eastAsia="Times New Roman" w:hAnsi="Times New Roman"/>
          <w:sz w:val="14"/>
          <w:szCs w:val="14"/>
          <w:color w:val="auto"/>
        </w:rPr>
        <w:t>For information regarding our recent principal financial officer change, please see the Explanatory Note and Item 10, “Information About Our Executive Officers,” which are hereby incorporated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202"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During our last fiscal quarter, the following director(s) and officer(s), as defined in Rule 16a-1(f), adopted a “Rule 10b5-1 trading arrangement” as defined in Regulation S-K Item 408, as follows: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On December 19, 2023, Steve Blum, our Chief Operating Officer, on behalf of the BLUM FAM DECL. TR UAD 4/20/06, adopted a Rule 10b5-1 trading arrangement providing for the sale from time to time of an aggregate of up to 66,740 shares of our common stock. The trading arrangement is intended to satisfy the affirmative defense in Rule 10b5-1(c). The duration of the trading arrangement is until November 29, 2024, or earlier if all transactions under the trading arrangement are completed.</w:t>
      </w:r>
    </w:p>
    <w:p>
      <w:pPr>
        <w:spacing w:after="0" w:line="157"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No other officers or directors, as defined in Rule 16a-1(f), adopted and/or terminated a “Rule 10b5-1 trading arrangement” or a "non-10b5-1 trading arrangement” or a "non-10b5-1 trading arrangement” as defined in Regulation S-K Item 408, during the last fiscal quarter.</w:t>
      </w:r>
    </w:p>
    <w:p>
      <w:pPr>
        <w:spacing w:after="0" w:line="15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DIRECTORS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below biographies provide the name, age and certain biographical information as of March 31, 2024, about each director, and the directors’ unique qualifications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95885</wp:posOffset>
            </wp:positionV>
            <wp:extent cx="673735" cy="673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34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Andrew Anagnost</w:t>
      </w:r>
    </w:p>
    <w:p>
      <w:pPr>
        <w:spacing w:after="0" w:line="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4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59 | Director since 2017</w:t>
      </w:r>
    </w:p>
    <w:p>
      <w:pPr>
        <w:spacing w:after="0" w:line="2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Dr. Anagnost joined Autodesk in September 1997 and has served as President and Chief Executive Officer since June 2017. Dr.</w:t>
      </w:r>
    </w:p>
    <w:p>
      <w:pPr>
        <w:ind w:left="2020"/>
        <w:spacing w:after="0" w:line="221" w:lineRule="auto"/>
        <w:rPr>
          <w:sz w:val="20"/>
          <w:szCs w:val="20"/>
          <w:color w:val="auto"/>
        </w:rPr>
      </w:pPr>
      <w:r>
        <w:rPr>
          <w:rFonts w:ascii="Times New Roman" w:cs="Times New Roman" w:eastAsia="Times New Roman" w:hAnsi="Times New Roman"/>
          <w:sz w:val="14"/>
          <w:szCs w:val="14"/>
          <w:color w:val="auto"/>
        </w:rPr>
        <w:t>Anagnost served as Co-CEO from February 2017 to June 2017, Chief Marketing Officer from December 2016 to June 2017,</w:t>
      </w:r>
    </w:p>
    <w:p>
      <w:pPr>
        <w:jc w:val="both"/>
        <w:ind w:left="2020" w:right="1600"/>
        <w:spacing w:after="0" w:line="210" w:lineRule="auto"/>
        <w:rPr>
          <w:sz w:val="20"/>
          <w:szCs w:val="20"/>
          <w:color w:val="auto"/>
        </w:rPr>
      </w:pPr>
      <w:r>
        <w:rPr>
          <w:rFonts w:ascii="Times New Roman" w:cs="Times New Roman" w:eastAsia="Times New Roman" w:hAnsi="Times New Roman"/>
          <w:sz w:val="14"/>
          <w:szCs w:val="14"/>
          <w:color w:val="auto"/>
        </w:rPr>
        <w:t>and Senior Vice President, Business Strategy &amp; Marketing, from March 2012 to June 2017. From December 2009 to March 2012, Dr. Anagnost was our Vice President, Product Suites and Web Services. Prior to this position, Dr. Anagnost served as Vice President of CAD/CAE products for our manufacturing division from March 2007 to December 2009. Previously, Dr.</w:t>
      </w:r>
    </w:p>
    <w:p>
      <w:pPr>
        <w:spacing w:after="0" w:line="2" w:lineRule="exact"/>
        <w:rPr>
          <w:sz w:val="20"/>
          <w:szCs w:val="20"/>
          <w:color w:val="auto"/>
        </w:rPr>
      </w:pPr>
    </w:p>
    <w:p>
      <w:pPr>
        <w:ind w:left="2020" w:right="1500"/>
        <w:spacing w:after="0" w:line="210" w:lineRule="auto"/>
        <w:rPr>
          <w:sz w:val="20"/>
          <w:szCs w:val="20"/>
          <w:color w:val="auto"/>
        </w:rPr>
      </w:pPr>
      <w:r>
        <w:rPr>
          <w:rFonts w:ascii="Times New Roman" w:cs="Times New Roman" w:eastAsia="Times New Roman" w:hAnsi="Times New Roman"/>
          <w:sz w:val="14"/>
          <w:szCs w:val="14"/>
          <w:color w:val="auto"/>
        </w:rPr>
        <w:t>Anagnost held other senior management positions at Autodesk. Prior to joining Autodesk, Dr. Anagnost held various engineering, sales, marketing, and product management positions at Lockheed Aeronautical Systems Company and EXA Corporation. He also served as an NRC post-doctoral fellow at NASA Ames Research Center. Dr. Anagnost holds a Bachelor</w:t>
      </w:r>
    </w:p>
    <w:p>
      <w:pPr>
        <w:spacing w:after="0" w:line="2" w:lineRule="exact"/>
        <w:rPr>
          <w:sz w:val="20"/>
          <w:szCs w:val="20"/>
          <w:color w:val="auto"/>
        </w:rPr>
      </w:pPr>
    </w:p>
    <w:p>
      <w:pPr>
        <w:ind w:left="2020" w:right="1580"/>
        <w:spacing w:after="0" w:line="220" w:lineRule="auto"/>
        <w:rPr>
          <w:sz w:val="20"/>
          <w:szCs w:val="20"/>
          <w:color w:val="auto"/>
        </w:rPr>
      </w:pPr>
      <w:r>
        <w:rPr>
          <w:rFonts w:ascii="Times New Roman" w:cs="Times New Roman" w:eastAsia="Times New Roman" w:hAnsi="Times New Roman"/>
          <w:sz w:val="14"/>
          <w:szCs w:val="14"/>
          <w:color w:val="auto"/>
        </w:rPr>
        <w:t>of Science degree in Mechanical Engineering from California State University, Northridge, and holds both an MS in Engineering Science and a PhD in Aeronautical Engineering and Computer Science from Stanford University. Dr. Anagnost joined the board of directors of HubSpot, Inc. in September 2023.</w:t>
      </w:r>
    </w:p>
    <w:p>
      <w:pPr>
        <w:spacing w:after="0" w:line="15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right="1540"/>
        <w:spacing w:after="0" w:line="225" w:lineRule="auto"/>
        <w:rPr>
          <w:sz w:val="20"/>
          <w:szCs w:val="20"/>
          <w:color w:val="auto"/>
        </w:rPr>
      </w:pPr>
      <w:r>
        <w:rPr>
          <w:rFonts w:ascii="Times New Roman" w:cs="Times New Roman" w:eastAsia="Times New Roman" w:hAnsi="Times New Roman"/>
          <w:sz w:val="14"/>
          <w:szCs w:val="14"/>
          <w:color w:val="auto"/>
        </w:rPr>
        <w:t>Dr. Anagnost brings to the Board extensive experience in the technology industry, and has spent two decades in management roles within Autodesk. As our President and Chief Executive Officer, Dr. Anagnost possesses a deep knowledge and</w:t>
      </w:r>
    </w:p>
    <w:p>
      <w:pPr>
        <w:spacing w:after="0" w:line="1" w:lineRule="exact"/>
        <w:rPr>
          <w:sz w:val="20"/>
          <w:szCs w:val="20"/>
          <w:color w:val="auto"/>
        </w:rPr>
      </w:pPr>
    </w:p>
    <w:p>
      <w:pPr>
        <w:ind w:left="2020" w:right="1720"/>
        <w:spacing w:after="0" w:line="228" w:lineRule="auto"/>
        <w:rPr>
          <w:sz w:val="20"/>
          <w:szCs w:val="20"/>
          <w:color w:val="auto"/>
        </w:rPr>
      </w:pPr>
      <w:r>
        <w:rPr>
          <w:rFonts w:ascii="Times New Roman" w:cs="Times New Roman" w:eastAsia="Times New Roman" w:hAnsi="Times New Roman"/>
          <w:sz w:val="14"/>
          <w:szCs w:val="14"/>
          <w:color w:val="auto"/>
        </w:rPr>
        <w:t>understanding of Autodesk’s business, operations, and employees; the opportunities and risks we face; and management’s strategy and plans for accomplishing Autodesk’s goals.</w:t>
      </w:r>
    </w:p>
    <w:p>
      <w:pPr>
        <w:spacing w:after="0" w:line="145" w:lineRule="exact"/>
        <w:rPr>
          <w:sz w:val="20"/>
          <w:szCs w:val="20"/>
          <w:color w:val="auto"/>
        </w:rPr>
      </w:pPr>
    </w:p>
    <w:p>
      <w:pPr>
        <w:ind w:left="2020" w:right="1380"/>
        <w:spacing w:after="0" w:line="255" w:lineRule="auto"/>
        <w:rPr>
          <w:sz w:val="20"/>
          <w:szCs w:val="20"/>
          <w:color w:val="auto"/>
        </w:rPr>
      </w:pPr>
      <w:r>
        <w:rPr>
          <w:rFonts w:ascii="Times New Roman" w:cs="Times New Roman" w:eastAsia="Times New Roman" w:hAnsi="Times New Roman"/>
          <w:sz w:val="14"/>
          <w:szCs w:val="14"/>
          <w:color w:val="auto"/>
        </w:rPr>
        <w:t>Pursuant to Dr. Anagnost’s employment agreement, Autodesk has agreed to nominate Dr. Anagnost to serve as a member of the Board for as long as he is employed by Autodesk as CEO.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40"/>
          </w:cols>
          <w:pgMar w:left="300" w:top="125" w:right="9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Stacy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-151130</wp:posOffset>
            </wp:positionV>
            <wp:extent cx="673735" cy="673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Non-Executive Chair of the Board of Directors</w:t>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61 | Director since 2011 | Independent</w:t>
      </w:r>
    </w:p>
    <w:p>
      <w:pPr>
        <w:spacing w:after="0" w:line="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Corporate Governance and Nominating</w:t>
      </w:r>
    </w:p>
    <w:p>
      <w:pPr>
        <w:spacing w:after="0" w:line="200" w:lineRule="exact"/>
        <w:rPr>
          <w:sz w:val="20"/>
          <w:szCs w:val="20"/>
          <w:color w:val="auto"/>
        </w:rPr>
      </w:pPr>
    </w:p>
    <w:p>
      <w:pPr>
        <w:spacing w:after="0" w:line="272" w:lineRule="exact"/>
        <w:rPr>
          <w:sz w:val="20"/>
          <w:szCs w:val="20"/>
          <w:color w:val="auto"/>
        </w:rPr>
      </w:pPr>
    </w:p>
    <w:p>
      <w:pPr>
        <w:ind w:left="2020" w:right="919"/>
        <w:spacing w:after="0" w:line="218" w:lineRule="auto"/>
        <w:rPr>
          <w:sz w:val="20"/>
          <w:szCs w:val="20"/>
          <w:color w:val="auto"/>
        </w:rPr>
      </w:pPr>
      <w:r>
        <w:rPr>
          <w:rFonts w:ascii="Times New Roman" w:cs="Times New Roman" w:eastAsia="Times New Roman" w:hAnsi="Times New Roman"/>
          <w:sz w:val="14"/>
          <w:szCs w:val="14"/>
          <w:color w:val="auto"/>
        </w:rPr>
        <w:t>Mr. Smith currently serves as the non-executive Chair of the Board of Directors, and as the executive chairman of Kioxia Corporation (formerly Toshiba Memory Corporation), a leading flash memory company. Mr. Smith previously served as Group President of Sales, Manufacturing and Operations at Intel Corporation from February 2017 to January 2018. He served as the</w:t>
      </w:r>
    </w:p>
    <w:p>
      <w:pPr>
        <w:spacing w:after="0" w:line="2" w:lineRule="exact"/>
        <w:rPr>
          <w:sz w:val="20"/>
          <w:szCs w:val="20"/>
          <w:color w:val="auto"/>
        </w:rPr>
      </w:pPr>
    </w:p>
    <w:p>
      <w:pPr>
        <w:ind w:left="2020" w:right="919"/>
        <w:spacing w:after="0" w:line="210" w:lineRule="auto"/>
        <w:rPr>
          <w:sz w:val="20"/>
          <w:szCs w:val="20"/>
          <w:color w:val="auto"/>
        </w:rPr>
      </w:pPr>
      <w:r>
        <w:rPr>
          <w:rFonts w:ascii="Times New Roman" w:cs="Times New Roman" w:eastAsia="Times New Roman" w:hAnsi="Times New Roman"/>
          <w:sz w:val="14"/>
          <w:szCs w:val="14"/>
          <w:color w:val="auto"/>
        </w:rPr>
        <w:t>Executive Vice President, Manufacturing, Operations and Sales of Intel Corporation from October 2016 to February 2017. From November 2012 to October 2016, he served as Executive Vice President, Chief Financial Officer. Previously, Mr. Smith served as Senior Vice President, Chief Financial Officer from January 2010 to November 2012; Vice President, Chief Financial</w:t>
      </w:r>
    </w:p>
    <w:p>
      <w:pPr>
        <w:ind w:left="2020"/>
        <w:spacing w:after="0" w:line="208" w:lineRule="auto"/>
        <w:rPr>
          <w:sz w:val="20"/>
          <w:szCs w:val="20"/>
          <w:color w:val="auto"/>
        </w:rPr>
      </w:pPr>
      <w:r>
        <w:rPr>
          <w:rFonts w:ascii="Times New Roman" w:cs="Times New Roman" w:eastAsia="Times New Roman" w:hAnsi="Times New Roman"/>
          <w:sz w:val="14"/>
          <w:szCs w:val="14"/>
          <w:color w:val="auto"/>
        </w:rPr>
        <w:t>Officer from 2007 to 2010; and Vice President, Assistant Chief Financial Officer from 2006 to 2007. From 2004 to 2006, Mr.</w:t>
      </w:r>
    </w:p>
    <w:p>
      <w:pPr>
        <w:ind w:left="2020"/>
        <w:spacing w:after="0" w:line="205" w:lineRule="auto"/>
        <w:rPr>
          <w:sz w:val="20"/>
          <w:szCs w:val="20"/>
          <w:color w:val="auto"/>
        </w:rPr>
      </w:pPr>
      <w:r>
        <w:rPr>
          <w:rFonts w:ascii="Times New Roman" w:cs="Times New Roman" w:eastAsia="Times New Roman" w:hAnsi="Times New Roman"/>
          <w:sz w:val="14"/>
          <w:szCs w:val="14"/>
          <w:color w:val="auto"/>
        </w:rPr>
        <w:t>Smith served as Vice President, Finance and Enterprise Services and Chief Information Officer. Mr. Smith joined Intel in 1988.</w:t>
      </w:r>
    </w:p>
    <w:p>
      <w:pPr>
        <w:ind w:left="2020"/>
        <w:spacing w:after="0" w:line="222" w:lineRule="auto"/>
        <w:rPr>
          <w:sz w:val="20"/>
          <w:szCs w:val="20"/>
          <w:color w:val="auto"/>
        </w:rPr>
      </w:pPr>
      <w:r>
        <w:rPr>
          <w:rFonts w:ascii="Times New Roman" w:cs="Times New Roman" w:eastAsia="Times New Roman" w:hAnsi="Times New Roman"/>
          <w:sz w:val="14"/>
          <w:szCs w:val="14"/>
          <w:color w:val="auto"/>
        </w:rPr>
        <w:t>Mr. Smith has served on the board of directors of Kioxia Corporation since October 2018 and on the board of Wolfspeed, Inc.</w:t>
      </w:r>
    </w:p>
    <w:p>
      <w:pPr>
        <w:ind w:left="2020" w:right="999"/>
        <w:spacing w:after="0" w:line="210" w:lineRule="auto"/>
        <w:rPr>
          <w:sz w:val="20"/>
          <w:szCs w:val="20"/>
          <w:color w:val="auto"/>
        </w:rPr>
      </w:pPr>
      <w:r>
        <w:rPr>
          <w:rFonts w:ascii="Times New Roman" w:cs="Times New Roman" w:eastAsia="Times New Roman" w:hAnsi="Times New Roman"/>
          <w:sz w:val="14"/>
          <w:szCs w:val="14"/>
          <w:color w:val="auto"/>
        </w:rPr>
        <w:t>since January 2023. In March 2024, he joined the board of directors of Intel Corporation. Mr. Smith also serves on The California Chapter of The Nature Conservancy Board of Trustees and the University of Texas McCombs School of Business Advisory Board. Mr. Smith previously served on the boards of directors of Metromile, Inc., from July 2018 to February 2021,</w:t>
      </w:r>
    </w:p>
    <w:p>
      <w:pPr>
        <w:spacing w:after="0" w:line="2" w:lineRule="exact"/>
        <w:rPr>
          <w:sz w:val="20"/>
          <w:szCs w:val="20"/>
          <w:color w:val="auto"/>
        </w:rPr>
      </w:pPr>
    </w:p>
    <w:p>
      <w:pPr>
        <w:ind w:left="2020" w:right="1079"/>
        <w:spacing w:after="0" w:line="228" w:lineRule="auto"/>
        <w:rPr>
          <w:sz w:val="20"/>
          <w:szCs w:val="20"/>
          <w:color w:val="auto"/>
        </w:rPr>
      </w:pPr>
      <w:r>
        <w:rPr>
          <w:rFonts w:ascii="Times New Roman" w:cs="Times New Roman" w:eastAsia="Times New Roman" w:hAnsi="Times New Roman"/>
          <w:sz w:val="14"/>
          <w:szCs w:val="14"/>
          <w:color w:val="auto"/>
        </w:rPr>
        <w:t>Virgin America from February 2014 until it was acquired by Alaska Air Group in December 2016, and Gevo, Inc. from June 2010 to June 2014.</w:t>
      </w:r>
    </w:p>
    <w:p>
      <w:pPr>
        <w:spacing w:after="0" w:line="10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right="939"/>
        <w:spacing w:after="0" w:line="225" w:lineRule="auto"/>
        <w:rPr>
          <w:sz w:val="20"/>
          <w:szCs w:val="20"/>
          <w:color w:val="auto"/>
        </w:rPr>
      </w:pPr>
      <w:r>
        <w:rPr>
          <w:rFonts w:ascii="Times New Roman" w:cs="Times New Roman" w:eastAsia="Times New Roman" w:hAnsi="Times New Roman"/>
          <w:sz w:val="14"/>
          <w:szCs w:val="14"/>
          <w:color w:val="auto"/>
        </w:rPr>
        <w:t>Mr. Smith is independent and his more than two decades of experience in the technology industry provide him with a strong understanding of Autodesk’s industry, business, and international operational challenges. His management positions with Intel,</w:t>
      </w:r>
    </w:p>
    <w:p>
      <w:pPr>
        <w:spacing w:after="0" w:line="1" w:lineRule="exact"/>
        <w:rPr>
          <w:sz w:val="20"/>
          <w:szCs w:val="20"/>
          <w:color w:val="auto"/>
        </w:rPr>
      </w:pPr>
    </w:p>
    <w:p>
      <w:pPr>
        <w:ind w:left="2020" w:right="1179"/>
        <w:spacing w:after="0" w:line="220" w:lineRule="auto"/>
        <w:rPr>
          <w:sz w:val="20"/>
          <w:szCs w:val="20"/>
          <w:color w:val="auto"/>
        </w:rPr>
      </w:pPr>
      <w:r>
        <w:rPr>
          <w:rFonts w:ascii="Times New Roman" w:cs="Times New Roman" w:eastAsia="Times New Roman" w:hAnsi="Times New Roman"/>
          <w:sz w:val="14"/>
          <w:szCs w:val="14"/>
          <w:color w:val="auto"/>
        </w:rPr>
        <w:t>including his finance and executive roles, and his time spent overseas, provide him with critical insight into the operational requirements of a global company and the management and consensus-building skills required to lead our Board as non-executive Chair and to serve on our Corporate Governance and Nominating Committee.</w:t>
      </w:r>
    </w:p>
    <w:p>
      <w:pPr>
        <w:spacing w:after="0" w:line="200" w:lineRule="exact"/>
        <w:rPr>
          <w:sz w:val="20"/>
          <w:szCs w:val="20"/>
          <w:color w:val="auto"/>
        </w:rPr>
      </w:pPr>
    </w:p>
    <w:p>
      <w:pPr>
        <w:spacing w:after="0" w:line="29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666666"/>
        </w:rPr>
        <w:t>Karen Blasing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-151130</wp:posOffset>
            </wp:positionV>
            <wp:extent cx="673735" cy="673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4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Age: 67 | Director since 2018 | Independent</w:t>
      </w:r>
    </w:p>
    <w:p>
      <w:pPr>
        <w:spacing w:after="0" w:line="5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Autodesk Committees: Audit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Ms. Blasing has over 25 years of executive operational and financial leadership experience in the technology industry. Ms.</w:t>
      </w:r>
    </w:p>
    <w:p>
      <w:pPr>
        <w:ind w:left="2080"/>
        <w:spacing w:after="0" w:line="221" w:lineRule="auto"/>
        <w:rPr>
          <w:sz w:val="20"/>
          <w:szCs w:val="20"/>
          <w:color w:val="auto"/>
        </w:rPr>
      </w:pPr>
      <w:r>
        <w:rPr>
          <w:rFonts w:ascii="Times New Roman" w:cs="Times New Roman" w:eastAsia="Times New Roman" w:hAnsi="Times New Roman"/>
          <w:sz w:val="14"/>
          <w:szCs w:val="14"/>
          <w:color w:val="auto"/>
        </w:rPr>
        <w:t>Blasing served as the Chief Financial Officer of Guidewire Software, Inc., an insurance software company, from 2009 to</w:t>
      </w:r>
    </w:p>
    <w:p>
      <w:pPr>
        <w:ind w:left="2080" w:right="959"/>
        <w:spacing w:after="0" w:line="210" w:lineRule="auto"/>
        <w:rPr>
          <w:sz w:val="20"/>
          <w:szCs w:val="20"/>
          <w:color w:val="auto"/>
        </w:rPr>
      </w:pPr>
      <w:r>
        <w:rPr>
          <w:rFonts w:ascii="Times New Roman" w:cs="Times New Roman" w:eastAsia="Times New Roman" w:hAnsi="Times New Roman"/>
          <w:sz w:val="14"/>
          <w:szCs w:val="14"/>
          <w:color w:val="auto"/>
        </w:rPr>
        <w:t>March 2015. Prior to Guidewire, Ms. Blasing served as the Chief Financial Officer for Force 10 Networks and Senior Vice President of Finance for salesforce.com, Inc. Ms. Blasing also served as Chief Financial Officer for Nuance Communications, Inc. and Counterpane Internet Security, Inc., and held senior finance roles for Informix (now IBM Informix) and Oracle</w:t>
      </w:r>
    </w:p>
    <w:p>
      <w:pPr>
        <w:spacing w:after="0" w:line="2" w:lineRule="exact"/>
        <w:rPr>
          <w:sz w:val="20"/>
          <w:szCs w:val="20"/>
          <w:color w:val="auto"/>
        </w:rPr>
      </w:pPr>
    </w:p>
    <w:p>
      <w:pPr>
        <w:ind w:left="2080" w:right="1039"/>
        <w:spacing w:after="0" w:line="228" w:lineRule="auto"/>
        <w:rPr>
          <w:sz w:val="20"/>
          <w:szCs w:val="20"/>
          <w:color w:val="auto"/>
        </w:rPr>
      </w:pPr>
      <w:r>
        <w:rPr>
          <w:rFonts w:ascii="Times New Roman" w:cs="Times New Roman" w:eastAsia="Times New Roman" w:hAnsi="Times New Roman"/>
          <w:sz w:val="14"/>
          <w:szCs w:val="14"/>
          <w:color w:val="auto"/>
        </w:rPr>
        <w:t>Corporation. Ms. Blasing has also served on the boards of directors of Zscaler, Inc. since January 2017 and GitLab, Inc., since August 2019. Ms. Blasing previously served on the board of directors of Ellie Mae, Inc., from June 2015 to May 2019.</w:t>
      </w:r>
    </w:p>
    <w:p>
      <w:pPr>
        <w:spacing w:after="0" w:line="14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81" w:lineRule="exact"/>
        <w:rPr>
          <w:sz w:val="20"/>
          <w:szCs w:val="20"/>
          <w:color w:val="auto"/>
        </w:rPr>
      </w:pPr>
    </w:p>
    <w:p>
      <w:pPr>
        <w:ind w:left="2080" w:right="959"/>
        <w:spacing w:after="0" w:line="218" w:lineRule="auto"/>
        <w:rPr>
          <w:sz w:val="20"/>
          <w:szCs w:val="20"/>
          <w:color w:val="auto"/>
        </w:rPr>
      </w:pPr>
      <w:r>
        <w:rPr>
          <w:rFonts w:ascii="Times New Roman" w:cs="Times New Roman" w:eastAsia="Times New Roman" w:hAnsi="Times New Roman"/>
          <w:sz w:val="14"/>
          <w:szCs w:val="14"/>
          <w:color w:val="auto"/>
        </w:rPr>
        <w:t>Ms. Blasing is independent and has more than 25 years of executive operational and financial experience in the technology industry. Ms. Blasing’s experience at Guidewire Software, Force 10 Networks, salesforce.com, and Nuance Communications provides her with a strong understanding of Autodesk’s business and international operational challenges. Her experience as 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chief financial officer provides her with the financial acumen necessary to serve on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Reid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-151130</wp:posOffset>
            </wp:positionV>
            <wp:extent cx="680720" cy="673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720" cy="673735"/>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52 | Director since 2017 | Independent</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Compensation and Human Resources</w:t>
      </w:r>
    </w:p>
    <w:p>
      <w:pPr>
        <w:spacing w:after="0" w:line="200" w:lineRule="exact"/>
        <w:rPr>
          <w:sz w:val="20"/>
          <w:szCs w:val="20"/>
          <w:color w:val="auto"/>
        </w:rPr>
      </w:pPr>
    </w:p>
    <w:p>
      <w:pPr>
        <w:spacing w:after="0" w:line="341" w:lineRule="exact"/>
        <w:rPr>
          <w:sz w:val="20"/>
          <w:szCs w:val="20"/>
          <w:color w:val="auto"/>
        </w:rPr>
      </w:pPr>
    </w:p>
    <w:p>
      <w:pPr>
        <w:ind w:left="2020" w:right="919"/>
        <w:spacing w:after="0" w:line="239" w:lineRule="auto"/>
        <w:rPr>
          <w:sz w:val="20"/>
          <w:szCs w:val="20"/>
          <w:color w:val="auto"/>
        </w:rPr>
      </w:pPr>
      <w:r>
        <w:rPr>
          <w:rFonts w:ascii="Times New Roman" w:cs="Times New Roman" w:eastAsia="Times New Roman" w:hAnsi="Times New Roman"/>
          <w:sz w:val="14"/>
          <w:szCs w:val="14"/>
          <w:color w:val="auto"/>
        </w:rPr>
        <w:t>Mr. French has over 20 years of executive leadership experience in the software industry. Mr. French served as Chief Executive Officer of Applied Systems, Inc., a leading cloud software provider to the insurance industry, from September 2011 to June 2019, and as a member of its Board of Directors from September 2011 to January 2020. Previously, Mr. French was Chief Operating Officer at Intergraph Corporation, a global geospatial and computer-aided design software company, from April</w:t>
      </w:r>
    </w:p>
    <w:p>
      <w:pPr>
        <w:spacing w:after="0" w:line="1" w:lineRule="exact"/>
        <w:rPr>
          <w:sz w:val="20"/>
          <w:szCs w:val="20"/>
          <w:color w:val="auto"/>
        </w:rPr>
      </w:pPr>
    </w:p>
    <w:p>
      <w:pPr>
        <w:ind w:left="2020" w:right="919"/>
        <w:spacing w:after="0"/>
        <w:rPr>
          <w:sz w:val="20"/>
          <w:szCs w:val="20"/>
          <w:color w:val="auto"/>
        </w:rPr>
      </w:pPr>
      <w:r>
        <w:rPr>
          <w:rFonts w:ascii="Times New Roman" w:cs="Times New Roman" w:eastAsia="Times New Roman" w:hAnsi="Times New Roman"/>
          <w:sz w:val="14"/>
          <w:szCs w:val="14"/>
          <w:color w:val="auto"/>
        </w:rPr>
        <w:t>2005 until October 2010, when Intergraph was acquired by Hexagon AB. From October 2003 to April 2005, Mr. French was Executive Vice President of Strategic Planning and Corporate Development at Intergraph. Mr. French holds a bachelor’s degree in economics from Davidson College, where he serves on the College’s board of trustees. He also holds an M.B.A. from the Harvard Business School. He sits on the board of directors of Verint Systems Inc., JSSI, Inc. and NetDocuments Software, Inc.</w:t>
      </w:r>
    </w:p>
    <w:p>
      <w:pPr>
        <w:spacing w:after="0" w:line="16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Mr. French is independent and his executive operational and strategic leadership experience in the technology industry provide</w:t>
      </w:r>
    </w:p>
    <w:p>
      <w:pPr>
        <w:spacing w:after="0" w:line="4" w:lineRule="exact"/>
        <w:rPr>
          <w:sz w:val="20"/>
          <w:szCs w:val="20"/>
          <w:color w:val="auto"/>
        </w:rPr>
      </w:pPr>
    </w:p>
    <w:p>
      <w:pPr>
        <w:ind w:left="2020" w:right="1119"/>
        <w:spacing w:after="0" w:line="220" w:lineRule="auto"/>
        <w:rPr>
          <w:sz w:val="20"/>
          <w:szCs w:val="20"/>
          <w:color w:val="auto"/>
        </w:rPr>
      </w:pPr>
      <w:r>
        <w:rPr>
          <w:rFonts w:ascii="Times New Roman" w:cs="Times New Roman" w:eastAsia="Times New Roman" w:hAnsi="Times New Roman"/>
          <w:sz w:val="14"/>
          <w:szCs w:val="14"/>
          <w:color w:val="auto"/>
        </w:rPr>
        <w:t>him with a deep understanding of Autodesk’s technology and business. Mr. French’s years of service as an executive officer and his service on the board of directors of Applied Systems provide him with the executive compensation knowledge necessary to serve on our Compensation and Human Resources Committee.</w:t>
      </w: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Dr. Ayanna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-137795</wp:posOffset>
            </wp:positionV>
            <wp:extent cx="673735" cy="673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52 | Director since 2019 | Independent</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Audit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20" w:right="899"/>
        <w:spacing w:after="0" w:line="239" w:lineRule="auto"/>
        <w:rPr>
          <w:sz w:val="20"/>
          <w:szCs w:val="20"/>
          <w:color w:val="auto"/>
        </w:rPr>
      </w:pPr>
      <w:r>
        <w:rPr>
          <w:rFonts w:ascii="Times New Roman" w:cs="Times New Roman" w:eastAsia="Times New Roman" w:hAnsi="Times New Roman"/>
          <w:sz w:val="14"/>
          <w:szCs w:val="14"/>
          <w:color w:val="auto"/>
        </w:rPr>
        <w:t>Dr. Howard is an entrepreneur and expert in robotics, human-computer interaction, and artificial intelligence. Since March 2021, Dr. Howard has served as Dean of the College of Engineering at The Ohio State University. She is also a tenured professor in the college’s Department of Electrical and Computer Engineering with a joint appointment in Computer Science and Engineering. In addition, Dr. Howard is the Founder and Chief Technology Officer of Zyrobotics, a startup that designs AI-powered STEM tools for early childhood education. Dr. Howard previously served as the Linda J. and Mark C. Smith Professor, School of Electrical &amp; Computer Engineering, at Georgia Institute of Technology from August 2015 to February 2021, and Chair of the School of Interactive Computing at Georgia Tech from January 2018 to February 2021. Prior to Georgia Tech, Dr. Howard served as Senior Robotics Researcher and Deputy Manager in the Office of the Chief Scientist with NASA’s Jet Propulsion Laboratory. Dr. Howard serves on the board of Motorola Solutions, Inc. and serves on the advisory boards for numerous robotics and AI-based organizations. Dr. Howard holds a degree from Brown University, an M.S. and Ph.D. in Electrical Engineering from the University of Southern California, as well as an M.B.A. from the Drucker Graduate School of Management.</w:t>
      </w:r>
    </w:p>
    <w:p>
      <w:pPr>
        <w:spacing w:after="0" w:line="16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right="979"/>
        <w:spacing w:after="0" w:line="225" w:lineRule="auto"/>
        <w:rPr>
          <w:sz w:val="20"/>
          <w:szCs w:val="20"/>
          <w:color w:val="auto"/>
        </w:rPr>
      </w:pPr>
      <w:r>
        <w:rPr>
          <w:rFonts w:ascii="Times New Roman" w:cs="Times New Roman" w:eastAsia="Times New Roman" w:hAnsi="Times New Roman"/>
          <w:sz w:val="14"/>
          <w:szCs w:val="14"/>
          <w:color w:val="auto"/>
        </w:rPr>
        <w:t>Dr. Howard is independent and her executive, operational, academic, and strategic leadership experience in the technology industry provide her with a deep understanding of Autodesk’s technology and business. Her experience as an entrepreneur and</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founder and her business degree provide her with the financial acumen necessary to serve on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Blake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-151130</wp:posOffset>
            </wp:positionV>
            <wp:extent cx="673735" cy="673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64 | Director since 2019 | Independent</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Corporate Governance and Nominating</w:t>
      </w:r>
    </w:p>
    <w:p>
      <w:pPr>
        <w:spacing w:after="0" w:line="200" w:lineRule="exact"/>
        <w:rPr>
          <w:sz w:val="20"/>
          <w:szCs w:val="20"/>
          <w:color w:val="auto"/>
        </w:rPr>
      </w:pPr>
    </w:p>
    <w:p>
      <w:pPr>
        <w:spacing w:after="0" w:line="309" w:lineRule="exact"/>
        <w:rPr>
          <w:sz w:val="20"/>
          <w:szCs w:val="20"/>
          <w:color w:val="auto"/>
        </w:rPr>
      </w:pPr>
    </w:p>
    <w:p>
      <w:pPr>
        <w:ind w:left="2020" w:right="959"/>
        <w:spacing w:after="0" w:line="218" w:lineRule="auto"/>
        <w:rPr>
          <w:sz w:val="20"/>
          <w:szCs w:val="20"/>
          <w:color w:val="auto"/>
        </w:rPr>
      </w:pPr>
      <w:r>
        <w:rPr>
          <w:rFonts w:ascii="Times New Roman" w:cs="Times New Roman" w:eastAsia="Times New Roman" w:hAnsi="Times New Roman"/>
          <w:sz w:val="14"/>
          <w:szCs w:val="14"/>
          <w:color w:val="auto"/>
        </w:rPr>
        <w:t>Mr. Irving has over 25 years of executive leadership experience in the technology industry. Mr. Irving served as the Chief Executive Officer of GoDaddy Inc., an Internet domain registrar and web hosting company, from January 2013 to January 2018, and served on the board of directors of GoDaddy from May 2014 to June 2018. From 2010 to 2012, Mr. Irving served as</w:t>
      </w:r>
    </w:p>
    <w:p>
      <w:pPr>
        <w:spacing w:after="0" w:line="2" w:lineRule="exact"/>
        <w:rPr>
          <w:sz w:val="20"/>
          <w:szCs w:val="20"/>
          <w:color w:val="auto"/>
        </w:rPr>
      </w:pPr>
    </w:p>
    <w:p>
      <w:pPr>
        <w:ind w:left="2020" w:right="979"/>
        <w:spacing w:after="0" w:line="210" w:lineRule="auto"/>
        <w:rPr>
          <w:sz w:val="20"/>
          <w:szCs w:val="20"/>
          <w:color w:val="auto"/>
        </w:rPr>
      </w:pPr>
      <w:r>
        <w:rPr>
          <w:rFonts w:ascii="Times New Roman" w:cs="Times New Roman" w:eastAsia="Times New Roman" w:hAnsi="Times New Roman"/>
          <w:sz w:val="14"/>
          <w:szCs w:val="14"/>
          <w:color w:val="auto"/>
        </w:rPr>
        <w:t>Chief Product Officer of Yahoo! Inc. From 2009 to 2010, Mr. Irving was a Professor in the M.B.A. program at Pepperdine University. From 1992 to 2007, Mr. Irving served in various senior and management roles at Microsoft Corporation, including most recently as Corporate Vice President of Windows Live Platform Group. Mr. Irving has served on the boards of directors</w:t>
      </w:r>
    </w:p>
    <w:p>
      <w:pPr>
        <w:spacing w:after="0" w:line="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of DocuSign, Inc., since August 2018, ZipRecruiter, Inc., since November 2018, and Flowhub, LLC, since January 2020.</w:t>
      </w:r>
    </w:p>
    <w:p>
      <w:pPr>
        <w:spacing w:after="0" w:line="1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Mr. Irving is independent and has more than 25 years of executive operational and strategic leadership experience in the</w:t>
      </w:r>
    </w:p>
    <w:p>
      <w:pPr>
        <w:spacing w:after="0" w:line="4" w:lineRule="exact"/>
        <w:rPr>
          <w:sz w:val="20"/>
          <w:szCs w:val="20"/>
          <w:color w:val="auto"/>
        </w:rPr>
      </w:pPr>
    </w:p>
    <w:p>
      <w:pPr>
        <w:ind w:left="2020" w:right="1019"/>
        <w:spacing w:after="0" w:line="220" w:lineRule="auto"/>
        <w:rPr>
          <w:sz w:val="20"/>
          <w:szCs w:val="20"/>
          <w:color w:val="auto"/>
        </w:rPr>
      </w:pPr>
      <w:r>
        <w:rPr>
          <w:rFonts w:ascii="Times New Roman" w:cs="Times New Roman" w:eastAsia="Times New Roman" w:hAnsi="Times New Roman"/>
          <w:sz w:val="14"/>
          <w:szCs w:val="14"/>
          <w:color w:val="auto"/>
        </w:rPr>
        <w:t>technology industry. Mr. Irving’s experience at GoDaddy, Yahoo!, and Microsoft provides him with a strong understanding of Autodesk’s industry, business, and international operational challenges, and with the executive compensation knowledge necessary to serve on our Corporate Governance and Nominating Committee.</w:t>
      </w:r>
    </w:p>
    <w:p>
      <w:pPr>
        <w:spacing w:after="0" w:line="200" w:lineRule="exact"/>
        <w:rPr>
          <w:sz w:val="20"/>
          <w:szCs w:val="20"/>
          <w:color w:val="auto"/>
        </w:rPr>
      </w:pPr>
    </w:p>
    <w:p>
      <w:pPr>
        <w:spacing w:after="0" w:line="2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Mary T.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-137795</wp:posOffset>
            </wp:positionV>
            <wp:extent cx="673735" cy="673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59 | Director since 2010 | Independent</w:t>
      </w:r>
    </w:p>
    <w:p>
      <w:pPr>
        <w:spacing w:after="0" w:line="8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Compensation and Human Resources (Chair)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20" w:right="939"/>
        <w:spacing w:after="0" w:line="238" w:lineRule="auto"/>
        <w:rPr>
          <w:sz w:val="20"/>
          <w:szCs w:val="20"/>
          <w:color w:val="auto"/>
        </w:rPr>
      </w:pPr>
      <w:r>
        <w:rPr>
          <w:rFonts w:ascii="Times New Roman" w:cs="Times New Roman" w:eastAsia="Times New Roman" w:hAnsi="Times New Roman"/>
          <w:sz w:val="14"/>
          <w:szCs w:val="14"/>
          <w:color w:val="auto"/>
        </w:rPr>
        <w:t>Ms. McDowell served as the President and Chief Executive Officer of Mitel Networks Corporation, a telecommunications company, from October 2019 to November 2021 and transitioned to serve as Board Chair until November 2022. Previously, Ms. McDowell served as the Chief Executive Officer and member of the board of directors at Polycom, Inc., from September 2016 to July 2018, when the company was acquired by Plantronics, Inc. Prior to Polycom, Ms. McDowell was an Executive Partner at Siris Capital, LLC. She served as Executive Vice President in charge of Nokia’s Mobile Phone unit from July 2010 to July 2012 and as Executive Vice President and Chief Development Officer of Nokia Corporation from January 2008 to July 2010. Previously, Ms. McDowell served as Executive Vice President and General Manager of Enterprise Solutions of Nokia from January 2004 to December 2007. Prior to joining Nokia in 2004, Ms. McDowell spent 17 years in various executive, managerial, and other positions at Compaq Computer Corporation and Hewlett-Packard Company, including serving as Senior Vice President, Industry-Standard Servers of Hewlett-Packard. Ms. McDowell has served as lead director of Informa plc since November 2021, having served as a director of Informa plc since June 2018. Ms. McDowell previously served as Board Chair of Mitel Networks Corporation from November 2021 to November 2022, and as a director of UBM plc from August 2014 to June 2018, and as a director of Bazaarvoice, Inc., from December 2014 to October 2016, and as compensation committee chair of Bazaarvoice, Inc., from 2015 – 2016. Ms. McDowell also serves as Chair of the University of Illinois College of Engineering's Board of Visitors.</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right="1019"/>
        <w:spacing w:after="0" w:line="245" w:lineRule="auto"/>
        <w:rPr>
          <w:sz w:val="20"/>
          <w:szCs w:val="20"/>
          <w:color w:val="auto"/>
        </w:rPr>
      </w:pPr>
      <w:r>
        <w:rPr>
          <w:rFonts w:ascii="Times New Roman" w:cs="Times New Roman" w:eastAsia="Times New Roman" w:hAnsi="Times New Roman"/>
          <w:sz w:val="14"/>
          <w:szCs w:val="14"/>
          <w:color w:val="auto"/>
        </w:rPr>
        <w:t>Ms. McDowell is independent and brings to our Board extensive management experience in the technology industry. Her two and a half decades of experience working for global technology companies focused on innovation and collaboration provide her with a firm understanding of Autodesk’s core mission, business, and technology. Her years of service as an executive officer at Polycom, Nokia, and other technology companies, including Hewlett-Packard, provide her with the executive compensation knowledge necessary to serve as Chair of our Compensation and Human Resources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Stephen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-151130</wp:posOffset>
            </wp:positionV>
            <wp:extent cx="673735" cy="673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735" cy="673735"/>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60 | Director since 2018 | Independent</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Audit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20" w:right="979"/>
        <w:spacing w:after="0" w:line="218" w:lineRule="auto"/>
        <w:rPr>
          <w:sz w:val="20"/>
          <w:szCs w:val="20"/>
          <w:color w:val="auto"/>
        </w:rPr>
      </w:pPr>
      <w:r>
        <w:rPr>
          <w:rFonts w:ascii="Times New Roman" w:cs="Times New Roman" w:eastAsia="Times New Roman" w:hAnsi="Times New Roman"/>
          <w:sz w:val="14"/>
          <w:szCs w:val="14"/>
          <w:color w:val="auto"/>
        </w:rPr>
        <w:t>Mr. Milligan served as Chief Executive Officer of Western Digital Corporation, a data storage company, from January 2013 to March 2020, and as its president from March 2012 to October 2015. Previously, Mr. Milligan served as the Chief Financial Officer of Hitachi Global Storage Technologies (“HGST”) from 2007 to 2009, and as HGST’s Chief Executive Officer from</w:t>
      </w:r>
    </w:p>
    <w:p>
      <w:pPr>
        <w:spacing w:after="0" w:line="2" w:lineRule="exact"/>
        <w:rPr>
          <w:sz w:val="20"/>
          <w:szCs w:val="20"/>
          <w:color w:val="auto"/>
        </w:rPr>
      </w:pPr>
    </w:p>
    <w:p>
      <w:pPr>
        <w:ind w:left="2020" w:right="979"/>
        <w:spacing w:after="0" w:line="210" w:lineRule="auto"/>
        <w:rPr>
          <w:sz w:val="20"/>
          <w:szCs w:val="20"/>
          <w:color w:val="auto"/>
        </w:rPr>
      </w:pPr>
      <w:r>
        <w:rPr>
          <w:rFonts w:ascii="Times New Roman" w:cs="Times New Roman" w:eastAsia="Times New Roman" w:hAnsi="Times New Roman"/>
          <w:sz w:val="14"/>
          <w:szCs w:val="14"/>
          <w:color w:val="auto"/>
        </w:rPr>
        <w:t>2009 to 2012, when Western Digital acquired HGST. From January 2004 to September 2007, Mr. Milligan served as Western Digital’s Chief Financial Officer after serving in other senior finance roles at Western Digital from September 2002 to January 2004. From April 1997 to September 2002, he held various financial and accounting roles of increasing responsibility at Dell</w:t>
      </w:r>
    </w:p>
    <w:p>
      <w:pPr>
        <w:spacing w:after="0" w:line="2" w:lineRule="exact"/>
        <w:rPr>
          <w:sz w:val="20"/>
          <w:szCs w:val="20"/>
          <w:color w:val="auto"/>
        </w:rPr>
      </w:pPr>
    </w:p>
    <w:p>
      <w:pPr>
        <w:ind w:left="2020" w:right="959"/>
        <w:spacing w:after="0" w:line="220" w:lineRule="auto"/>
        <w:rPr>
          <w:sz w:val="20"/>
          <w:szCs w:val="20"/>
          <w:color w:val="auto"/>
        </w:rPr>
      </w:pPr>
      <w:r>
        <w:rPr>
          <w:rFonts w:ascii="Times New Roman" w:cs="Times New Roman" w:eastAsia="Times New Roman" w:hAnsi="Times New Roman"/>
          <w:sz w:val="14"/>
          <w:szCs w:val="14"/>
          <w:color w:val="auto"/>
        </w:rPr>
        <w:t>Inc. and was employed at Price Waterhouse for 12 years prior to joining Dell. Mr. Milligan holds a Bachelor of Science degree in Accounting from The Ohio State University. Mr. Milligan has served on the board of directors of Ross Stores, Inc., since January 2015, and served on the board of directors of Western Digital Corporation from January 2013 to May 2020.</w:t>
      </w:r>
    </w:p>
    <w:p>
      <w:pPr>
        <w:spacing w:after="0" w:line="15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right="1359"/>
        <w:spacing w:after="0" w:line="225" w:lineRule="auto"/>
        <w:rPr>
          <w:sz w:val="20"/>
          <w:szCs w:val="20"/>
          <w:color w:val="auto"/>
        </w:rPr>
      </w:pPr>
      <w:r>
        <w:rPr>
          <w:rFonts w:ascii="Times New Roman" w:cs="Times New Roman" w:eastAsia="Times New Roman" w:hAnsi="Times New Roman"/>
          <w:sz w:val="14"/>
          <w:szCs w:val="14"/>
          <w:color w:val="auto"/>
        </w:rPr>
        <w:t>Mr. Milligan is independent and has over 30 years of executive operational and financial leadership experience in the technology industry. Mr. Milligan’s experience at Western Digital and HGST, including his finance and executive roles,</w:t>
      </w:r>
    </w:p>
    <w:p>
      <w:pPr>
        <w:spacing w:after="0" w:line="1" w:lineRule="exact"/>
        <w:rPr>
          <w:sz w:val="20"/>
          <w:szCs w:val="20"/>
          <w:color w:val="auto"/>
        </w:rPr>
      </w:pPr>
    </w:p>
    <w:p>
      <w:pPr>
        <w:ind w:left="2020" w:right="1319"/>
        <w:spacing w:after="0" w:line="228" w:lineRule="auto"/>
        <w:rPr>
          <w:sz w:val="20"/>
          <w:szCs w:val="20"/>
          <w:color w:val="auto"/>
        </w:rPr>
      </w:pPr>
      <w:r>
        <w:rPr>
          <w:rFonts w:ascii="Times New Roman" w:cs="Times New Roman" w:eastAsia="Times New Roman" w:hAnsi="Times New Roman"/>
          <w:sz w:val="14"/>
          <w:szCs w:val="14"/>
          <w:color w:val="auto"/>
        </w:rPr>
        <w:t>provides him with a strong understanding of Autodesk’s industry, business, and international operational challenges. His experience as a CFO and CEO provides him with the financial acumen necessary to serve on our Audit Committee.</w:t>
      </w: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Lorrie M.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-144145</wp:posOffset>
            </wp:positionV>
            <wp:extent cx="673735" cy="6870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735" cy="687070"/>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64 | Director since 2011 | Independent</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Corporate Governance and Nominating (Chair)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20" w:right="919"/>
        <w:spacing w:after="0" w:line="225" w:lineRule="auto"/>
        <w:rPr>
          <w:sz w:val="20"/>
          <w:szCs w:val="20"/>
          <w:color w:val="auto"/>
        </w:rPr>
      </w:pPr>
      <w:r>
        <w:rPr>
          <w:rFonts w:ascii="Times New Roman" w:cs="Times New Roman" w:eastAsia="Times New Roman" w:hAnsi="Times New Roman"/>
          <w:sz w:val="14"/>
          <w:szCs w:val="14"/>
          <w:color w:val="auto"/>
        </w:rPr>
        <w:t>Ms. Norrington has over 40 years of operating experience in technology, software, and internet businesses. She currently serves as an adviser and in an Operating Partner capacity for Lead Edge Capital, a growth equity firm that partners with world-class</w:t>
      </w:r>
    </w:p>
    <w:p>
      <w:pPr>
        <w:spacing w:after="0" w:line="1" w:lineRule="exact"/>
        <w:rPr>
          <w:sz w:val="20"/>
          <w:szCs w:val="20"/>
          <w:color w:val="auto"/>
        </w:rPr>
      </w:pPr>
    </w:p>
    <w:p>
      <w:pPr>
        <w:ind w:left="2020" w:right="1039"/>
        <w:spacing w:after="0" w:line="210" w:lineRule="auto"/>
        <w:rPr>
          <w:sz w:val="20"/>
          <w:szCs w:val="20"/>
          <w:color w:val="auto"/>
        </w:rPr>
      </w:pPr>
      <w:r>
        <w:rPr>
          <w:rFonts w:ascii="Times New Roman" w:cs="Times New Roman" w:eastAsia="Times New Roman" w:hAnsi="Times New Roman"/>
          <w:sz w:val="14"/>
          <w:szCs w:val="14"/>
          <w:color w:val="auto"/>
        </w:rPr>
        <w:t>entrepreneurs and exceptional technology businesses. Ms. Norrington was President of eBay Marketplaces from July 2008 to September 2010 and held a number of senior management roles at eBay from July 2006 to June 2008. Prior to joining eBay, Ms. Norrington was President and CEO of Shopping.com, Inc., from June 2005 to July 2006. Prior to joining Shopping.com,</w:t>
      </w:r>
    </w:p>
    <w:p>
      <w:pPr>
        <w:spacing w:after="0" w:line="2" w:lineRule="exact"/>
        <w:rPr>
          <w:sz w:val="20"/>
          <w:szCs w:val="20"/>
          <w:color w:val="auto"/>
        </w:rPr>
      </w:pPr>
    </w:p>
    <w:p>
      <w:pPr>
        <w:jc w:val="both"/>
        <w:ind w:left="2020" w:right="959"/>
        <w:spacing w:after="0" w:line="210" w:lineRule="auto"/>
        <w:rPr>
          <w:sz w:val="20"/>
          <w:szCs w:val="20"/>
          <w:color w:val="auto"/>
        </w:rPr>
      </w:pPr>
      <w:r>
        <w:rPr>
          <w:rFonts w:ascii="Times New Roman" w:cs="Times New Roman" w:eastAsia="Times New Roman" w:hAnsi="Times New Roman"/>
          <w:sz w:val="14"/>
          <w:szCs w:val="14"/>
          <w:color w:val="auto"/>
        </w:rPr>
        <w:t>Ms. Norrington served, from August 2001 to January 2005, initially as Executive Vice President of Small Business and later in the office of the CEO, at Intuit Inc. Before Intuit, Ms. Norrington served in a variety of executive positions at General Electric Corporation over a 20-year period, working in a broad range of industries and businesses. Ms. Norrington has served on the</w:t>
      </w:r>
    </w:p>
    <w:p>
      <w:pPr>
        <w:spacing w:after="0" w:line="2" w:lineRule="exact"/>
        <w:rPr>
          <w:sz w:val="20"/>
          <w:szCs w:val="20"/>
          <w:color w:val="auto"/>
        </w:rPr>
      </w:pPr>
    </w:p>
    <w:p>
      <w:pPr>
        <w:ind w:left="2020" w:right="939"/>
        <w:spacing w:after="0" w:line="210" w:lineRule="auto"/>
        <w:rPr>
          <w:sz w:val="20"/>
          <w:szCs w:val="20"/>
          <w:color w:val="auto"/>
        </w:rPr>
      </w:pPr>
      <w:r>
        <w:rPr>
          <w:rFonts w:ascii="Times New Roman" w:cs="Times New Roman" w:eastAsia="Times New Roman" w:hAnsi="Times New Roman"/>
          <w:sz w:val="14"/>
          <w:szCs w:val="14"/>
          <w:color w:val="auto"/>
        </w:rPr>
        <w:t>boards of directors of Asana, Inc., since September 2019, Colgate-Palmolive since September 2015, and HubSpot since September 2013. Previously, she served on the boards of directors of Eventbrite, Inc., from April 2015 to August 2020, BigCommerce from March 2015 to January 2020, DIRECTV from February 2011 until it was acquired by AT&amp;T in July 2015,</w:t>
      </w:r>
    </w:p>
    <w:p>
      <w:pPr>
        <w:spacing w:after="0" w:line="2" w:lineRule="exact"/>
        <w:rPr>
          <w:sz w:val="20"/>
          <w:szCs w:val="20"/>
          <w:color w:val="auto"/>
        </w:rPr>
      </w:pPr>
    </w:p>
    <w:p>
      <w:pPr>
        <w:ind w:left="2020" w:right="999"/>
        <w:spacing w:after="0" w:line="228" w:lineRule="auto"/>
        <w:rPr>
          <w:sz w:val="20"/>
          <w:szCs w:val="20"/>
          <w:color w:val="auto"/>
        </w:rPr>
      </w:pPr>
      <w:r>
        <w:rPr>
          <w:rFonts w:ascii="Times New Roman" w:cs="Times New Roman" w:eastAsia="Times New Roman" w:hAnsi="Times New Roman"/>
          <w:sz w:val="14"/>
          <w:szCs w:val="14"/>
          <w:color w:val="auto"/>
        </w:rPr>
        <w:t>Lucasfilm from June 2011 until it was acquired by Disney in December 2012, McAfee, Inc., from December 2009 until it was acquired by Intel in February 2011, and Shopping.com from November 2004 until it was acquired by eBay in August 2005.</w:t>
      </w:r>
    </w:p>
    <w:p>
      <w:pPr>
        <w:spacing w:after="0" w:line="1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81" w:lineRule="exact"/>
        <w:rPr>
          <w:sz w:val="20"/>
          <w:szCs w:val="20"/>
          <w:color w:val="auto"/>
        </w:rPr>
      </w:pPr>
    </w:p>
    <w:p>
      <w:pPr>
        <w:ind w:left="2020" w:right="939"/>
        <w:spacing w:after="0" w:line="218" w:lineRule="auto"/>
        <w:rPr>
          <w:sz w:val="20"/>
          <w:szCs w:val="20"/>
          <w:color w:val="auto"/>
        </w:rPr>
      </w:pPr>
      <w:r>
        <w:rPr>
          <w:rFonts w:ascii="Times New Roman" w:cs="Times New Roman" w:eastAsia="Times New Roman" w:hAnsi="Times New Roman"/>
          <w:sz w:val="14"/>
          <w:szCs w:val="14"/>
          <w:color w:val="auto"/>
        </w:rPr>
        <w:t>Ms. Norrington is independent, has extensive experience in online commerce SaaS, and valuable management experience in the technology and manufacturing industries. Her four decades of building businesses and adapting to and capitalizing on rapid technological advancement provide Ms. Norrington with a unique perspective. Her executive and board experiences have</w:t>
      </w:r>
    </w:p>
    <w:p>
      <w:pPr>
        <w:spacing w:after="0" w:line="2" w:lineRule="exact"/>
        <w:rPr>
          <w:sz w:val="20"/>
          <w:szCs w:val="20"/>
          <w:color w:val="auto"/>
        </w:rPr>
      </w:pPr>
    </w:p>
    <w:p>
      <w:pPr>
        <w:ind w:left="2020" w:right="1119"/>
        <w:spacing w:after="0" w:line="228" w:lineRule="auto"/>
        <w:rPr>
          <w:sz w:val="20"/>
          <w:szCs w:val="20"/>
          <w:color w:val="auto"/>
        </w:rPr>
      </w:pPr>
      <w:r>
        <w:rPr>
          <w:rFonts w:ascii="Times New Roman" w:cs="Times New Roman" w:eastAsia="Times New Roman" w:hAnsi="Times New Roman"/>
          <w:sz w:val="14"/>
          <w:szCs w:val="14"/>
          <w:color w:val="auto"/>
        </w:rPr>
        <w:t>provided her with the corporate governance skills required to serve on our Board and as Chair of our Corporate Governance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Betsy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-151130</wp:posOffset>
            </wp:positionV>
            <wp:extent cx="673735" cy="6940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735" cy="694055"/>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62 | Director since 2013 | Independent until May 31, 2024</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Interim Chief Financial Officer: Former Audit (Chair)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20" w:right="919"/>
        <w:spacing w:after="0" w:line="237" w:lineRule="auto"/>
        <w:rPr>
          <w:sz w:val="20"/>
          <w:szCs w:val="20"/>
          <w:color w:val="auto"/>
        </w:rPr>
      </w:pPr>
      <w:r>
        <w:rPr>
          <w:rFonts w:ascii="Times New Roman" w:cs="Times New Roman" w:eastAsia="Times New Roman" w:hAnsi="Times New Roman"/>
          <w:sz w:val="14"/>
          <w:szCs w:val="14"/>
          <w:color w:val="auto"/>
        </w:rPr>
        <w:t>Ms. Rafael has over 30 years of executive financial experience in the technology industry. Ms. Rafael has served as Autodesk’s Interim Chief Financial Officer since May 31, 2024 and was previously our Audit Committee Chair. Previously, Ms. Rafael most recently served as Chief Transformation Officer at GoDaddy Inc., an Internet domain registrar and web hosting company, from May 2018 to November 2019. She served as Principal Accounting Officer of Apple Inc. from January 2008 to October 2012, and as its Vice President and Corporate Controller from August 2007 until October 2012. From April 2002 to September 2006, Ms. Rafael served as Vice President, Corporate Controller and Principal Accounting Officer of Cisco Systems, Inc., and held the position of Vice President, Corporate Finance at Cisco from September 2006 to August 2007. From December 2000 to April 2002, Ms. Rafael was the Executive Vice President, Chief Financial Officer, and Chief Administrative Officer of Aspect Communications, Inc., a provider of customer relationship portals. From April 2000 to November 2000, Ms. Rafael was Senior Vice President and CFO of Escalate, Inc., an enterprise e-commerce application service provider. From 1994 to 2000, Ms. Rafael held a number of senior positions at Silicon Graphics International Corp. (“SGI”), culminating her career at SGI as Senior Vice President and Chief Financial Officer. Prior to SGI, Ms. Rafael held senior management positions in finance with Sun Microsystems, Inc., and Apple Computers. Ms. Rafael began her career with Arthur Young &amp; Company. Ms. Rafael has served on the board of directors of Informatica LLC, since July 2021, Proofpoint, Inc., from February 2021 through October 2021, and Kinaxis, Inc., since February 2020. She previously served on the boards of directors of Echelon Corporation from November 2005 to June 2018, GoDaddy Inc. from May 2014 to May 2018, Shutterfly, Inc., from June 2016 to September 2019, and PalmSource, Inc., from April 2004 to November 2005.</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81" w:lineRule="exact"/>
        <w:rPr>
          <w:sz w:val="20"/>
          <w:szCs w:val="20"/>
          <w:color w:val="auto"/>
        </w:rPr>
      </w:pPr>
    </w:p>
    <w:p>
      <w:pPr>
        <w:jc w:val="both"/>
        <w:ind w:left="2020" w:right="1019"/>
        <w:spacing w:after="0" w:line="228" w:lineRule="auto"/>
        <w:rPr>
          <w:sz w:val="20"/>
          <w:szCs w:val="20"/>
          <w:color w:val="auto"/>
        </w:rPr>
      </w:pPr>
      <w:r>
        <w:rPr>
          <w:rFonts w:ascii="Times New Roman" w:cs="Times New Roman" w:eastAsia="Times New Roman" w:hAnsi="Times New Roman"/>
          <w:sz w:val="14"/>
          <w:szCs w:val="14"/>
          <w:color w:val="auto"/>
        </w:rPr>
        <w:t>Ms. Rafael has more than 30 years of executive financial experience in the technology industry. Her experience at GoDaddy, Apple, and Cisco, including her finance and executive roles, provides her with a strong understanding of Autodesk’s industry, business, and international operational challenges.</w:t>
      </w:r>
    </w:p>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666666"/>
        </w:rPr>
        <w:t>Rami 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-144145</wp:posOffset>
            </wp:positionV>
            <wp:extent cx="687070" cy="6870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7070" cy="687070"/>
                    </a:xfrm>
                    <a:prstGeom prst="rect">
                      <a:avLst/>
                    </a:prstGeom>
                    <a:noFill/>
                  </pic:spPr>
                </pic:pic>
              </a:graphicData>
            </a:graphic>
          </wp:anchor>
        </w:drawing>
      </w:r>
    </w:p>
    <w:p>
      <w:pPr>
        <w:spacing w:after="0" w:line="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Age: 53 | Director since 2022 | Independent</w:t>
      </w:r>
    </w:p>
    <w:p>
      <w:pPr>
        <w:spacing w:after="0" w:line="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Autodesk Committees: Compensation and Human Resources</w:t>
      </w:r>
    </w:p>
    <w:p>
      <w:pPr>
        <w:spacing w:after="0" w:line="200" w:lineRule="exact"/>
        <w:rPr>
          <w:sz w:val="20"/>
          <w:szCs w:val="20"/>
          <w:color w:val="auto"/>
        </w:rPr>
      </w:pPr>
    </w:p>
    <w:p>
      <w:pPr>
        <w:spacing w:after="0" w:line="352" w:lineRule="exact"/>
        <w:rPr>
          <w:sz w:val="20"/>
          <w:szCs w:val="20"/>
          <w:color w:val="auto"/>
        </w:rPr>
      </w:pPr>
    </w:p>
    <w:p>
      <w:pPr>
        <w:ind w:left="2020" w:right="979"/>
        <w:spacing w:after="0" w:line="242" w:lineRule="auto"/>
        <w:rPr>
          <w:sz w:val="20"/>
          <w:szCs w:val="20"/>
          <w:color w:val="auto"/>
        </w:rPr>
      </w:pPr>
      <w:r>
        <w:rPr>
          <w:rFonts w:ascii="Times New Roman" w:cs="Times New Roman" w:eastAsia="Times New Roman" w:hAnsi="Times New Roman"/>
          <w:sz w:val="14"/>
          <w:szCs w:val="14"/>
          <w:color w:val="auto"/>
        </w:rPr>
        <w:t>Rami Rahim has over 25 years’ experience in the technology industry. He serves as Chief Executive Officer of Juniper Networks and is a member of Juniper’s Board of Directors. Mr. Rahim joined Juniper in January 1997 and was appointed as Chief Executive Officer in November 2014. Prior to being appointed to CEO, Mr. Rahim served as Executive Vice President and General Manager of the Juniper Development and Innovation (JDI) organization, overseeing the company's entire product and technology portfolio. Other leadership positions held at Juniper include Executive Vice President and General Manager of Platform Systems Division for routing and switching, Senior Vice President of the Edge and Aggregation Business Unit (EABU) and Vice President and General Manager of EABU.</w:t>
      </w:r>
    </w:p>
    <w:p>
      <w:pPr>
        <w:spacing w:after="0" w:line="158" w:lineRule="exact"/>
        <w:rPr>
          <w:sz w:val="20"/>
          <w:szCs w:val="20"/>
          <w:color w:val="auto"/>
        </w:rPr>
      </w:pPr>
    </w:p>
    <w:p>
      <w:pPr>
        <w:ind w:left="2020" w:right="1319"/>
        <w:spacing w:after="0" w:line="255" w:lineRule="auto"/>
        <w:rPr>
          <w:sz w:val="20"/>
          <w:szCs w:val="20"/>
          <w:color w:val="auto"/>
        </w:rPr>
      </w:pPr>
      <w:r>
        <w:rPr>
          <w:rFonts w:ascii="Times New Roman" w:cs="Times New Roman" w:eastAsia="Times New Roman" w:hAnsi="Times New Roman"/>
          <w:sz w:val="14"/>
          <w:szCs w:val="14"/>
          <w:color w:val="auto"/>
        </w:rPr>
        <w:t>Mr. Rahim earned a Bachelor of Science degree in electrical engineering from the University of Toronto and a Master of Science degree in electrical engineering from Stanford University. Mr. Rahim is a member of IEEE.</w:t>
      </w:r>
    </w:p>
    <w:p>
      <w:pPr>
        <w:spacing w:after="0" w:line="13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Qualifications and Contributions</w:t>
      </w:r>
    </w:p>
    <w:p>
      <w:pPr>
        <w:spacing w:after="0" w:line="17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Mr. Rahim is independent and has more than 25 years’ experience in the technology industry, and more than 10 years’</w:t>
      </w:r>
    </w:p>
    <w:p>
      <w:pPr>
        <w:spacing w:after="0" w:line="4" w:lineRule="exact"/>
        <w:rPr>
          <w:sz w:val="20"/>
          <w:szCs w:val="20"/>
          <w:color w:val="auto"/>
        </w:rPr>
      </w:pPr>
    </w:p>
    <w:p>
      <w:pPr>
        <w:ind w:left="2020" w:right="1079"/>
        <w:spacing w:after="0" w:line="210" w:lineRule="auto"/>
        <w:rPr>
          <w:sz w:val="20"/>
          <w:szCs w:val="20"/>
          <w:color w:val="auto"/>
        </w:rPr>
      </w:pPr>
      <w:r>
        <w:rPr>
          <w:rFonts w:ascii="Times New Roman" w:cs="Times New Roman" w:eastAsia="Times New Roman" w:hAnsi="Times New Roman"/>
          <w:sz w:val="14"/>
          <w:szCs w:val="14"/>
          <w:color w:val="auto"/>
        </w:rPr>
        <w:t>experience in leadership positions. His Chief Executive Officer experience at Juniper provides him with cybersecurity experience and a strong understanding of Autodesk’s industry, business, and global and domestic operational challenges. His experience as a CEO provides him with the experience necessary to serve on our Compensation and Human Resources</w:t>
      </w:r>
    </w:p>
    <w:p>
      <w:pPr>
        <w:spacing w:after="0" w:line="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sets forth certain information as of May 31, 2024, regarding our executive officers.</w:t>
      </w:r>
    </w:p>
    <w:p>
      <w:pPr>
        <w:spacing w:after="0" w:line="109"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460" w:type="dxa"/>
            <w:vAlign w:val="bottom"/>
          </w:tcPr>
          <w:p>
            <w:pPr>
              <w:spacing w:after="0"/>
              <w:rPr>
                <w:sz w:val="11"/>
                <w:szCs w:val="11"/>
                <w:color w:val="auto"/>
              </w:rPr>
            </w:pPr>
          </w:p>
        </w:tc>
        <w:tc>
          <w:tcPr>
            <w:tcW w:w="5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20"/>
        </w:trPr>
        <w:tc>
          <w:tcPr>
            <w:tcW w:w="3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88"/>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Andrew Anagnost</w:t>
            </w: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380" w:type="dxa"/>
            <w:vAlign w:val="bottom"/>
          </w:tcPr>
          <w:p>
            <w:pPr>
              <w:spacing w:after="0"/>
              <w:rPr>
                <w:sz w:val="16"/>
                <w:szCs w:val="16"/>
                <w:color w:val="auto"/>
              </w:rPr>
            </w:pPr>
          </w:p>
        </w:tc>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Betsy Rafael</w:t>
            </w: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w:t>
            </w:r>
          </w:p>
        </w:tc>
        <w:tc>
          <w:tcPr>
            <w:tcW w:w="380" w:type="dxa"/>
            <w:vAlign w:val="bottom"/>
          </w:tcPr>
          <w:p>
            <w:pPr>
              <w:spacing w:after="0"/>
              <w:rPr>
                <w:sz w:val="14"/>
                <w:szCs w:val="14"/>
                <w:color w:val="auto"/>
              </w:rPr>
            </w:pPr>
          </w:p>
        </w:tc>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Interim Chief Financial Officer</w:t>
            </w: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 M. Blum</w:t>
            </w: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380" w:type="dxa"/>
            <w:vAlign w:val="bottom"/>
          </w:tcPr>
          <w:p>
            <w:pPr>
              <w:spacing w:after="0"/>
              <w:rPr>
                <w:sz w:val="14"/>
                <w:szCs w:val="14"/>
                <w:color w:val="auto"/>
              </w:rPr>
            </w:pPr>
          </w:p>
        </w:tc>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Executive Vice President and Chief Operating Officer</w:t>
            </w: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Ruth Ann Keene</w:t>
            </w: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55</w:t>
            </w:r>
          </w:p>
        </w:tc>
        <w:tc>
          <w:tcPr>
            <w:tcW w:w="380" w:type="dxa"/>
            <w:vAlign w:val="bottom"/>
          </w:tcPr>
          <w:p>
            <w:pPr>
              <w:spacing w:after="0"/>
              <w:rPr>
                <w:sz w:val="14"/>
                <w:szCs w:val="14"/>
                <w:color w:val="auto"/>
              </w:rPr>
            </w:pPr>
          </w:p>
        </w:tc>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w w:val="96"/>
              </w:rPr>
              <w:t>Executive Vice President, Corporate Affairs, Chief Legal Officer &amp; Corporate Secretary</w:t>
            </w: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Rebecca Pearce</w:t>
            </w: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w:t>
            </w:r>
          </w:p>
        </w:tc>
        <w:tc>
          <w:tcPr>
            <w:tcW w:w="380" w:type="dxa"/>
            <w:vAlign w:val="bottom"/>
          </w:tcPr>
          <w:p>
            <w:pPr>
              <w:spacing w:after="0"/>
              <w:rPr>
                <w:sz w:val="14"/>
                <w:szCs w:val="14"/>
                <w:color w:val="auto"/>
              </w:rPr>
            </w:pPr>
          </w:p>
        </w:tc>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Executive Vice President, Chief People Officer</w:t>
            </w:r>
          </w:p>
        </w:tc>
      </w:tr>
    </w:tbl>
    <w:p>
      <w:pPr>
        <w:spacing w:after="0" w:line="232"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Andrew Anagnost </w:t>
      </w:r>
      <w:r>
        <w:rPr>
          <w:rFonts w:ascii="Times New Roman" w:cs="Times New Roman" w:eastAsia="Times New Roman" w:hAnsi="Times New Roman"/>
          <w:sz w:val="14"/>
          <w:szCs w:val="14"/>
          <w:color w:val="auto"/>
        </w:rPr>
        <w:t>joined Autodesk in September 1997 and has served as President and Chief Executive Officer since June 2017. For further biographical information, see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About Our Directors” above.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Betsy Rafael </w:t>
      </w:r>
      <w:r>
        <w:rPr>
          <w:rFonts w:ascii="Times New Roman" w:cs="Times New Roman" w:eastAsia="Times New Roman" w:hAnsi="Times New Roman"/>
          <w:sz w:val="14"/>
          <w:szCs w:val="14"/>
          <w:color w:val="auto"/>
        </w:rPr>
        <w:t>joined Autodesk in May 31, 2024 and serves as Interim Chief Financial Officer. For further biographical information, see “—Information About Our Directors” above.</w:t>
      </w:r>
    </w:p>
    <w:p>
      <w:pPr>
        <w:spacing w:after="0" w:line="200" w:lineRule="exact"/>
        <w:rPr>
          <w:sz w:val="20"/>
          <w:szCs w:val="20"/>
          <w:color w:val="auto"/>
        </w:rPr>
      </w:pPr>
    </w:p>
    <w:p>
      <w:pPr>
        <w:ind w:right="120" w:firstLine="318"/>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Steven M. Blum </w:t>
      </w:r>
      <w:r>
        <w:rPr>
          <w:rFonts w:ascii="Times New Roman" w:cs="Times New Roman" w:eastAsia="Times New Roman" w:hAnsi="Times New Roman"/>
          <w:sz w:val="14"/>
          <w:szCs w:val="14"/>
          <w:color w:val="auto"/>
        </w:rPr>
        <w:t>joined Autodesk in January 2003 and has served as Executive Vice President and Chief Operating Officer since November 1, 2022. He previously served as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and Chief Revenue Officer from December 2020 through January 2022 and as Vice President and Chief Revenue Officer from August 2020 to December 2020. Mr. Blum served as Executive Vice President, Worldwide Field Operations from December 2020 to November 2021 and as Senior Vice President, Worldwide Field Operations from September 2017 to December 2020. Mr. 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53" w:lineRule="exact"/>
        <w:rPr>
          <w:sz w:val="20"/>
          <w:szCs w:val="20"/>
          <w:color w:val="auto"/>
        </w:rPr>
      </w:pPr>
    </w:p>
    <w:p>
      <w:pPr>
        <w:ind w:right="260" w:firstLine="318"/>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Ruth Ann Keene </w:t>
      </w:r>
      <w:r>
        <w:rPr>
          <w:rFonts w:ascii="Times New Roman" w:cs="Times New Roman" w:eastAsia="Times New Roman" w:hAnsi="Times New Roman"/>
          <w:sz w:val="14"/>
          <w:szCs w:val="14"/>
          <w:color w:val="auto"/>
        </w:rPr>
        <w:t>joined Autodesk in January 2022 and has served as Executive Vice President, Corporate Affairs, Chief Legal Officer &amp; Corporate Secretary since May 2022. Ms. Keene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served as Senior Vice President, Chief Legal Officer, General Counsel &amp; Corporate Secretary of Unity Technologies (“Unity”) from September 2016 to January 2022. Prior to joining Unity, Ms. Keene served as Vice President, Assistant General Counsel and Assistant Secretary of Autodesk from 2012 to 2016, and had served in various legal positions at Autodesk since August 2005. Before joining Autodesk, Ms. Keene was a technology transactions attorney at Morrison &amp; Foerster, LLP.</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Rebecca Pearce </w:t>
      </w:r>
      <w:r>
        <w:rPr>
          <w:rFonts w:ascii="Times New Roman" w:cs="Times New Roman" w:eastAsia="Times New Roman" w:hAnsi="Times New Roman"/>
          <w:sz w:val="14"/>
          <w:szCs w:val="14"/>
          <w:color w:val="auto"/>
        </w:rPr>
        <w:t>joined Autodesk in October 2015 and has served as Executive Vice President, Chief People Officer since January 2022. Ms. Pearce previously served as Vice President, People</w:t>
      </w:r>
    </w:p>
    <w:p>
      <w:pPr>
        <w:spacing w:after="0" w:line="16" w:lineRule="exact"/>
        <w:rPr>
          <w:sz w:val="20"/>
          <w:szCs w:val="20"/>
          <w:color w:val="auto"/>
        </w:rPr>
      </w:pPr>
    </w:p>
    <w:p>
      <w:pPr>
        <w:ind w:firstLine="5"/>
        <w:spacing w:after="0"/>
        <w:tabs>
          <w:tab w:leader="none" w:pos="14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from June 2020 to December 2021 and as Senior HR Director - Digital Platforms and Corporate Functions from September 2018 through May 2020. Ms. Pearce served as HR Director Global Territory Sales from February 2018 to September 2018 and as Asia Pacific and Japan HR Director from October 2015 through January 2018. Prior to joining Autodesk, Ms. Pearce was the HR Director Global Operations, R&amp;D and Engineering for Dyson Limited from December 2011 to September 2015. Ms. Pearce also previously held leadership positions at Microsoft Corporation, including most recently as the Asia Pacific HR Leader for Microsoft Consumer and Online.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is no family relationship among any of our directors or executive officers.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2024 BOARD MEETINGS</w:t>
      </w:r>
    </w:p>
    <w:p>
      <w:pPr>
        <w:spacing w:after="0" w:line="138"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Each quarter, our Board holds Committee and Board meetings. At each quarterly Board meeting, time is set aside for the independent directors to meet without management present. Additional executive sessions are held as needed. In addition to the quarterly meetings, typically there are other regularly scheduled committee meetings each year.</w:t>
      </w:r>
    </w:p>
    <w:p>
      <w:pPr>
        <w:spacing w:after="0" w:line="82"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During fiscal year 2024, the Board held a total of eight meetings (including regularly scheduled and special meetings), and its three standing committees (an Audit Committee, a Compensation and Human Resources Committee, and a Corporate Governance and Nominating Committee) held a collective total of 16 meetings. Each director attended 100% of the total number of meetings of the Board and committees of which he or she was a member during the period he or she served during fiscal year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Directors are encouraged, but not required, to attend the Annual Meeting of Stockholders. All of our then sitting directors attended the 2023 Annual Meeting of Stockholders.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number of meetings held by our Board and the committees during fiscal year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Board</w:t>
            </w:r>
          </w:p>
        </w:tc>
        <w:tc>
          <w:tcPr>
            <w:tcW w:w="1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Audit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Compensation and Human</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Corporate Governance and</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Resources</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Nominating</w:t>
            </w:r>
          </w:p>
        </w:tc>
        <w:tc>
          <w:tcPr>
            <w:tcW w:w="0" w:type="dxa"/>
            <w:vAlign w:val="bottom"/>
          </w:tcPr>
          <w:p>
            <w:pPr>
              <w:spacing w:after="0"/>
              <w:rPr>
                <w:sz w:val="1"/>
                <w:szCs w:val="1"/>
                <w:color w:val="auto"/>
              </w:rPr>
            </w:pPr>
          </w:p>
        </w:tc>
      </w:tr>
      <w:tr>
        <w:trPr>
          <w:trHeight w:val="165"/>
        </w:trPr>
        <w:tc>
          <w:tcPr>
            <w:tcW w:w="45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Number of meetings held in fiscal year 2024</w:t>
            </w:r>
          </w:p>
        </w:tc>
        <w:tc>
          <w:tcPr>
            <w:tcW w:w="100" w:type="dxa"/>
            <w:vAlign w:val="bottom"/>
            <w:tcBorders>
              <w:top w:val="single" w:sz="8" w:color="CCCCCC"/>
            </w:tcBorders>
            <w:shd w:val="clear" w:color="auto" w:fill="CCCCCC"/>
          </w:tcPr>
          <w:p>
            <w:pPr>
              <w:spacing w:after="0"/>
              <w:rPr>
                <w:sz w:val="14"/>
                <w:szCs w:val="14"/>
                <w:color w:val="auto"/>
              </w:rPr>
            </w:pPr>
          </w:p>
        </w:tc>
        <w:tc>
          <w:tcPr>
            <w:tcW w:w="1580" w:type="dxa"/>
            <w:vAlign w:val="bottom"/>
            <w:tcBorders>
              <w:top w:val="single" w:sz="8" w:color="auto"/>
            </w:tcBorders>
            <w:shd w:val="clear" w:color="auto" w:fill="CCCCCC"/>
          </w:tcPr>
          <w:p>
            <w:pPr>
              <w:jc w:val="right"/>
              <w:ind w:right="70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CCCC"/>
            </w:tcBorders>
            <w:shd w:val="clear" w:color="auto" w:fill="CCCCCC"/>
          </w:tcPr>
          <w:p>
            <w:pPr>
              <w:spacing w:after="0"/>
              <w:rPr>
                <w:sz w:val="14"/>
                <w:szCs w:val="14"/>
                <w:color w:val="auto"/>
              </w:rPr>
            </w:pPr>
          </w:p>
        </w:tc>
        <w:tc>
          <w:tcPr>
            <w:tcW w:w="1600" w:type="dxa"/>
            <w:vAlign w:val="bottom"/>
            <w:tcBorders>
              <w:top w:val="single" w:sz="8" w:color="auto"/>
            </w:tcBorders>
            <w:shd w:val="clear" w:color="auto" w:fill="CCCCCC"/>
          </w:tcPr>
          <w:p>
            <w:pPr>
              <w:jc w:val="right"/>
              <w:ind w:right="70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CCCC"/>
            </w:tcBorders>
            <w:shd w:val="clear" w:color="auto" w:fill="CCCCCC"/>
          </w:tcPr>
          <w:p>
            <w:pPr>
              <w:spacing w:after="0"/>
              <w:rPr>
                <w:sz w:val="14"/>
                <w:szCs w:val="14"/>
                <w:color w:val="auto"/>
              </w:rPr>
            </w:pPr>
          </w:p>
        </w:tc>
        <w:tc>
          <w:tcPr>
            <w:tcW w:w="15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tcBorders>
              <w:top w:val="single" w:sz="8" w:color="CCCCCC"/>
            </w:tcBorders>
            <w:shd w:val="clear" w:color="auto" w:fill="CCCCCC"/>
          </w:tcPr>
          <w:p>
            <w:pPr>
              <w:spacing w:after="0"/>
              <w:rPr>
                <w:sz w:val="14"/>
                <w:szCs w:val="14"/>
                <w:color w:val="auto"/>
              </w:rPr>
            </w:pPr>
          </w:p>
        </w:tc>
        <w:tc>
          <w:tcPr>
            <w:tcW w:w="15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38"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w:t>
      </w:r>
    </w:p>
    <w:p>
      <w:pPr>
        <w:spacing w:after="0" w:line="82" w:lineRule="exact"/>
        <w:rPr>
          <w:sz w:val="20"/>
          <w:szCs w:val="20"/>
          <w:color w:val="auto"/>
        </w:rPr>
      </w:pPr>
    </w:p>
    <w:p>
      <w:pPr>
        <w:jc w:val="both"/>
        <w:ind w:right="720" w:firstLine="350"/>
        <w:spacing w:after="0" w:line="287" w:lineRule="auto"/>
        <w:rPr>
          <w:sz w:val="20"/>
          <w:szCs w:val="20"/>
          <w:color w:val="auto"/>
        </w:rPr>
      </w:pPr>
      <w:r>
        <w:rPr>
          <w:rFonts w:ascii="Times New Roman" w:cs="Times New Roman" w:eastAsia="Times New Roman" w:hAnsi="Times New Roman"/>
          <w:sz w:val="14"/>
          <w:szCs w:val="14"/>
          <w:color w:val="auto"/>
        </w:rPr>
        <w:t>The table below provides summary information about each director’s committee membership and independence during fiscal year 2024 followed by a summary of each committee’s responsibilities. Each committee has a charter describing its specific responsibilities which can be found on our website at https://investors.autodesk.com/corporate-governance/highlights.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00" w:type="dxa"/>
            <w:vAlign w:val="bottom"/>
            <w:tcBorders>
              <w:top w:val="single" w:sz="8" w:color="auto"/>
              <w:left w:val="single" w:sz="8" w:color="auto"/>
              <w:right w:val="single" w:sz="8" w:color="auto"/>
            </w:tcBorders>
          </w:tcPr>
          <w:p>
            <w:pPr>
              <w:spacing w:after="0"/>
              <w:rPr>
                <w:sz w:val="14"/>
                <w:szCs w:val="14"/>
                <w:color w:val="auto"/>
              </w:rPr>
            </w:pPr>
          </w:p>
        </w:tc>
        <w:tc>
          <w:tcPr>
            <w:tcW w:w="1560" w:type="dxa"/>
            <w:vAlign w:val="bottom"/>
            <w:tcBorders>
              <w:top w:val="single" w:sz="8" w:color="auto"/>
              <w:right w:val="single" w:sz="8" w:color="auto"/>
            </w:tcBorders>
          </w:tcPr>
          <w:p>
            <w:pPr>
              <w:spacing w:after="0"/>
              <w:rPr>
                <w:sz w:val="14"/>
                <w:szCs w:val="14"/>
                <w:color w:val="auto"/>
              </w:rPr>
            </w:pPr>
          </w:p>
        </w:tc>
        <w:tc>
          <w:tcPr>
            <w:tcW w:w="244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1"/>
                <w:szCs w:val="11"/>
                <w:b w:val="1"/>
                <w:bCs w:val="1"/>
                <w:color w:val="auto"/>
              </w:rPr>
              <w:t>Committees</w:t>
            </w:r>
          </w:p>
        </w:tc>
        <w:tc>
          <w:tcPr>
            <w:tcW w:w="23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5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Independent</w:t>
            </w:r>
          </w:p>
        </w:tc>
        <w:tc>
          <w:tcPr>
            <w:tcW w:w="24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500" w:type="dxa"/>
            <w:vAlign w:val="bottom"/>
            <w:tcBorders>
              <w:left w:val="single" w:sz="8" w:color="auto"/>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Audit Committee</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 and Human Resources Committee</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Corporate Governance and Nominating</w:t>
            </w:r>
          </w:p>
        </w:tc>
        <w:tc>
          <w:tcPr>
            <w:tcW w:w="0" w:type="dxa"/>
            <w:vAlign w:val="bottom"/>
          </w:tcPr>
          <w:p>
            <w:pPr>
              <w:spacing w:after="0"/>
              <w:rPr>
                <w:sz w:val="1"/>
                <w:szCs w:val="1"/>
                <w:color w:val="auto"/>
              </w:rPr>
            </w:pPr>
          </w:p>
        </w:tc>
      </w:tr>
      <w:tr>
        <w:trPr>
          <w:trHeight w:val="87"/>
        </w:trPr>
        <w:tc>
          <w:tcPr>
            <w:tcW w:w="250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Committee</w:t>
            </w:r>
          </w:p>
        </w:tc>
        <w:tc>
          <w:tcPr>
            <w:tcW w:w="0" w:type="dxa"/>
            <w:vAlign w:val="bottom"/>
          </w:tcPr>
          <w:p>
            <w:pPr>
              <w:spacing w:after="0"/>
              <w:rPr>
                <w:sz w:val="1"/>
                <w:szCs w:val="1"/>
                <w:color w:val="auto"/>
              </w:rPr>
            </w:pPr>
          </w:p>
        </w:tc>
      </w:tr>
      <w:tr>
        <w:trPr>
          <w:trHeight w:val="62"/>
        </w:trPr>
        <w:tc>
          <w:tcPr>
            <w:tcW w:w="2500" w:type="dxa"/>
            <w:vAlign w:val="bottom"/>
            <w:tcBorders>
              <w:left w:val="single" w:sz="8" w:color="auto"/>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440" w:type="dxa"/>
            <w:vAlign w:val="bottom"/>
            <w:tcBorders>
              <w:right w:val="single" w:sz="8" w:color="auto"/>
            </w:tcBorders>
          </w:tcPr>
          <w:p>
            <w:pPr>
              <w:spacing w:after="0"/>
              <w:rPr>
                <w:sz w:val="5"/>
                <w:szCs w:val="5"/>
                <w:color w:val="auto"/>
              </w:rPr>
            </w:pPr>
          </w:p>
        </w:tc>
        <w:tc>
          <w:tcPr>
            <w:tcW w:w="2500" w:type="dxa"/>
            <w:vAlign w:val="bottom"/>
            <w:tcBorders>
              <w:right w:val="single" w:sz="8" w:color="auto"/>
            </w:tcBorders>
          </w:tcPr>
          <w:p>
            <w:pPr>
              <w:spacing w:after="0"/>
              <w:rPr>
                <w:sz w:val="5"/>
                <w:szCs w:val="5"/>
                <w:color w:val="auto"/>
              </w:rPr>
            </w:pPr>
          </w:p>
        </w:tc>
        <w:tc>
          <w:tcPr>
            <w:tcW w:w="23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500" w:type="dxa"/>
            <w:vAlign w:val="bottom"/>
            <w:tcBorders>
              <w:left w:val="single" w:sz="8" w:color="auto"/>
              <w:bottom w:val="single" w:sz="8" w:color="auto"/>
              <w:right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560" w:type="dxa"/>
            <w:vAlign w:val="bottom"/>
            <w:tcBorders>
              <w:bottom w:val="single" w:sz="8" w:color="auto"/>
              <w:right w:val="single" w:sz="8" w:color="auto"/>
            </w:tcBorders>
            <w:shd w:val="clear" w:color="auto" w:fill="CCCCCC"/>
          </w:tcPr>
          <w:p>
            <w:pPr>
              <w:spacing w:after="0"/>
              <w:rPr>
                <w:sz w:val="13"/>
                <w:szCs w:val="13"/>
                <w:color w:val="auto"/>
              </w:rPr>
            </w:pPr>
          </w:p>
        </w:tc>
        <w:tc>
          <w:tcPr>
            <w:tcW w:w="2440" w:type="dxa"/>
            <w:vAlign w:val="bottom"/>
            <w:tcBorders>
              <w:bottom w:val="single" w:sz="8" w:color="auto"/>
              <w:right w:val="single" w:sz="8" w:color="auto"/>
            </w:tcBorders>
            <w:shd w:val="clear" w:color="auto" w:fill="CCCCCC"/>
          </w:tcPr>
          <w:p>
            <w:pPr>
              <w:spacing w:after="0"/>
              <w:rPr>
                <w:sz w:val="13"/>
                <w:szCs w:val="13"/>
                <w:color w:val="auto"/>
              </w:rPr>
            </w:pPr>
          </w:p>
        </w:tc>
        <w:tc>
          <w:tcPr>
            <w:tcW w:w="2500" w:type="dxa"/>
            <w:vAlign w:val="bottom"/>
            <w:tcBorders>
              <w:bottom w:val="single" w:sz="8" w:color="auto"/>
              <w:right w:val="single" w:sz="8" w:color="auto"/>
            </w:tcBorders>
            <w:shd w:val="clear" w:color="auto" w:fill="CCCCCC"/>
          </w:tcPr>
          <w:p>
            <w:pPr>
              <w:spacing w:after="0"/>
              <w:rPr>
                <w:sz w:val="13"/>
                <w:szCs w:val="13"/>
                <w:color w:val="auto"/>
              </w:rPr>
            </w:pPr>
          </w:p>
        </w:tc>
        <w:tc>
          <w:tcPr>
            <w:tcW w:w="2300" w:type="dxa"/>
            <w:vAlign w:val="bottom"/>
            <w:tcBorders>
              <w:bottom w:val="single" w:sz="8" w:color="auto"/>
              <w:right w:val="single" w:sz="8" w:color="auto"/>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1560" w:type="dxa"/>
            <w:vAlign w:val="bottom"/>
            <w:tcBorders>
              <w:right w:val="single" w:sz="8" w:color="auto"/>
            </w:tcBorders>
          </w:tcPr>
          <w:p>
            <w:pPr>
              <w:jc w:val="center"/>
              <w:spacing w:after="0" w:line="152" w:lineRule="exact"/>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0" w:type="dxa"/>
            <w:vAlign w:val="bottom"/>
          </w:tcPr>
          <w:p>
            <w:pPr>
              <w:spacing w:after="0"/>
              <w:rPr>
                <w:sz w:val="1"/>
                <w:szCs w:val="1"/>
                <w:color w:val="auto"/>
              </w:rPr>
            </w:pPr>
          </w:p>
        </w:tc>
      </w:tr>
      <w:tr>
        <w:trPr>
          <w:trHeight w:val="119"/>
        </w:trPr>
        <w:tc>
          <w:tcPr>
            <w:tcW w:w="2500" w:type="dxa"/>
            <w:vAlign w:val="bottom"/>
            <w:tcBorders>
              <w:left w:val="single" w:sz="8" w:color="auto"/>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CB</w:t>
            </w:r>
          </w:p>
        </w:tc>
        <w:tc>
          <w:tcPr>
            <w:tcW w:w="24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500" w:type="dxa"/>
            <w:vAlign w:val="bottom"/>
            <w:tcBorders>
              <w:left w:val="single" w:sz="8" w:color="auto"/>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500" w:type="dxa"/>
            <w:vAlign w:val="bottom"/>
            <w:tcBorders>
              <w:left w:val="single" w:sz="8" w:color="auto"/>
              <w:right w:val="single" w:sz="8" w:color="auto"/>
            </w:tcBorders>
            <w:vMerge w:val="restart"/>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1560" w:type="dxa"/>
            <w:vAlign w:val="bottom"/>
            <w:tcBorders>
              <w:right w:val="single" w:sz="8" w:color="auto"/>
            </w:tcBorders>
            <w:vMerge w:val="restart"/>
            <w:shd w:val="clear" w:color="auto" w:fill="CCCCCC"/>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right w:val="single" w:sz="8" w:color="auto"/>
            </w:tcBorders>
            <w:shd w:val="clear" w:color="auto" w:fill="CCCCCC"/>
          </w:tcPr>
          <w:p>
            <w:pPr>
              <w:jc w:val="center"/>
              <w:spacing w:after="0" w:line="184" w:lineRule="exact"/>
              <w:rPr>
                <w:sz w:val="20"/>
                <w:szCs w:val="20"/>
                <w:color w:val="auto"/>
              </w:rPr>
            </w:pPr>
            <w:r>
              <w:rPr>
                <w:rFonts w:ascii="Wingdings" w:cs="Wingdings" w:eastAsia="Wingdings" w:hAnsi="Wingdings"/>
                <w:sz w:val="17"/>
                <w:szCs w:val="17"/>
                <w:b w:val="1"/>
                <w:bCs w:val="1"/>
                <w:color w:val="auto"/>
                <w:highlight w:val="black"/>
              </w:rPr>
              <w:t>ü</w:t>
            </w:r>
          </w:p>
        </w:tc>
        <w:tc>
          <w:tcPr>
            <w:tcW w:w="2500" w:type="dxa"/>
            <w:vAlign w:val="bottom"/>
            <w:tcBorders>
              <w:right w:val="single" w:sz="8" w:color="auto"/>
            </w:tcBorders>
            <w:shd w:val="clear" w:color="auto" w:fill="CCCCCC"/>
          </w:tcPr>
          <w:p>
            <w:pPr>
              <w:spacing w:after="0"/>
              <w:rPr>
                <w:sz w:val="15"/>
                <w:szCs w:val="15"/>
                <w:color w:val="auto"/>
              </w:rPr>
            </w:pPr>
          </w:p>
        </w:tc>
        <w:tc>
          <w:tcPr>
            <w:tcW w:w="2300" w:type="dxa"/>
            <w:vAlign w:val="bottom"/>
            <w:tcBorders>
              <w:right w:val="single" w:sz="8" w:color="auto"/>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500" w:type="dxa"/>
            <w:vAlign w:val="bottom"/>
            <w:tcBorders>
              <w:left w:val="single" w:sz="8" w:color="auto"/>
              <w:right w:val="single" w:sz="8" w:color="auto"/>
            </w:tcBorders>
            <w:vMerge w:val="continue"/>
            <w:shd w:val="clear" w:color="auto" w:fill="CCCCCC"/>
          </w:tcPr>
          <w:p>
            <w:pPr>
              <w:spacing w:after="0"/>
              <w:rPr>
                <w:sz w:val="7"/>
                <w:szCs w:val="7"/>
                <w:color w:val="auto"/>
              </w:rPr>
            </w:pPr>
          </w:p>
        </w:tc>
        <w:tc>
          <w:tcPr>
            <w:tcW w:w="1560" w:type="dxa"/>
            <w:vAlign w:val="bottom"/>
            <w:tcBorders>
              <w:right w:val="single" w:sz="8" w:color="auto"/>
            </w:tcBorders>
            <w:vMerge w:val="continue"/>
            <w:shd w:val="clear" w:color="auto" w:fill="CCCCCC"/>
          </w:tcPr>
          <w:p>
            <w:pPr>
              <w:spacing w:after="0"/>
              <w:rPr>
                <w:sz w:val="7"/>
                <w:szCs w:val="7"/>
                <w:color w:val="auto"/>
              </w:rPr>
            </w:pPr>
          </w:p>
        </w:tc>
        <w:tc>
          <w:tcPr>
            <w:tcW w:w="2440" w:type="dxa"/>
            <w:vAlign w:val="bottom"/>
            <w:tcBorders>
              <w:right w:val="single" w:sz="8" w:color="auto"/>
            </w:tcBorders>
            <w:vMerge w:val="restart"/>
            <w:shd w:val="clear" w:color="auto" w:fill="CCCCCC"/>
          </w:tcPr>
          <w:p>
            <w:pPr>
              <w:jc w:val="center"/>
              <w:spacing w:after="0" w:line="168" w:lineRule="exact"/>
              <w:rPr>
                <w:sz w:val="20"/>
                <w:szCs w:val="20"/>
                <w:color w:val="auto"/>
              </w:rPr>
            </w:pPr>
            <w:r>
              <w:rPr>
                <w:rFonts w:ascii="Webdings" w:cs="Webdings" w:eastAsia="Webdings" w:hAnsi="Webdings"/>
                <w:sz w:val="17"/>
                <w:szCs w:val="17"/>
                <w:b w:val="1"/>
                <w:bCs w:val="1"/>
                <w:color w:val="auto"/>
                <w:w w:val="88"/>
              </w:rPr>
              <w:t>À</w:t>
            </w:r>
          </w:p>
        </w:tc>
        <w:tc>
          <w:tcPr>
            <w:tcW w:w="2500" w:type="dxa"/>
            <w:vAlign w:val="bottom"/>
            <w:tcBorders>
              <w:right w:val="single" w:sz="8" w:color="auto"/>
            </w:tcBorders>
            <w:shd w:val="clear" w:color="auto" w:fill="CCCCCC"/>
          </w:tcPr>
          <w:p>
            <w:pPr>
              <w:spacing w:after="0"/>
              <w:rPr>
                <w:sz w:val="7"/>
                <w:szCs w:val="7"/>
                <w:color w:val="auto"/>
              </w:rPr>
            </w:pPr>
          </w:p>
        </w:tc>
        <w:tc>
          <w:tcPr>
            <w:tcW w:w="2300" w:type="dxa"/>
            <w:vAlign w:val="bottom"/>
            <w:tcBorders>
              <w:right w:val="single" w:sz="8" w:color="auto"/>
            </w:tcBorders>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500" w:type="dxa"/>
            <w:vAlign w:val="bottom"/>
            <w:tcBorders>
              <w:left w:val="single" w:sz="8" w:color="auto"/>
              <w:bottom w:val="single" w:sz="8" w:color="CCCCCC"/>
              <w:right w:val="single" w:sz="8" w:color="auto"/>
            </w:tcBorders>
            <w:shd w:val="clear" w:color="auto" w:fill="CCCCCC"/>
          </w:tcPr>
          <w:p>
            <w:pPr>
              <w:spacing w:after="0"/>
              <w:rPr>
                <w:sz w:val="9"/>
                <w:szCs w:val="9"/>
                <w:color w:val="auto"/>
              </w:rPr>
            </w:pPr>
          </w:p>
        </w:tc>
        <w:tc>
          <w:tcPr>
            <w:tcW w:w="1560" w:type="dxa"/>
            <w:vAlign w:val="bottom"/>
            <w:tcBorders>
              <w:bottom w:val="single" w:sz="8" w:color="CCCCCC"/>
              <w:right w:val="single" w:sz="8" w:color="auto"/>
            </w:tcBorders>
            <w:shd w:val="clear" w:color="auto" w:fill="CCCCCC"/>
          </w:tcPr>
          <w:p>
            <w:pPr>
              <w:spacing w:after="0"/>
              <w:rPr>
                <w:sz w:val="9"/>
                <w:szCs w:val="9"/>
                <w:color w:val="auto"/>
              </w:rPr>
            </w:pPr>
          </w:p>
        </w:tc>
        <w:tc>
          <w:tcPr>
            <w:tcW w:w="2440" w:type="dxa"/>
            <w:vAlign w:val="bottom"/>
            <w:tcBorders>
              <w:bottom w:val="single" w:sz="8" w:color="CCCCCC"/>
              <w:right w:val="single" w:sz="8" w:color="auto"/>
            </w:tcBorders>
            <w:vMerge w:val="continue"/>
            <w:shd w:val="clear" w:color="auto" w:fill="CCCCCC"/>
          </w:tcPr>
          <w:p>
            <w:pPr>
              <w:spacing w:after="0"/>
              <w:rPr>
                <w:sz w:val="9"/>
                <w:szCs w:val="9"/>
                <w:color w:val="auto"/>
              </w:rPr>
            </w:pPr>
          </w:p>
        </w:tc>
        <w:tc>
          <w:tcPr>
            <w:tcW w:w="2500" w:type="dxa"/>
            <w:vAlign w:val="bottom"/>
            <w:tcBorders>
              <w:bottom w:val="single" w:sz="8" w:color="CCCCCC"/>
              <w:right w:val="single" w:sz="8" w:color="auto"/>
            </w:tcBorders>
            <w:shd w:val="clear" w:color="auto" w:fill="CCCCCC"/>
          </w:tcPr>
          <w:p>
            <w:pPr>
              <w:spacing w:after="0"/>
              <w:rPr>
                <w:sz w:val="9"/>
                <w:szCs w:val="9"/>
                <w:color w:val="auto"/>
              </w:rPr>
            </w:pPr>
          </w:p>
        </w:tc>
        <w:tc>
          <w:tcPr>
            <w:tcW w:w="2300" w:type="dxa"/>
            <w:vAlign w:val="bottom"/>
            <w:tcBorders>
              <w:bottom w:val="single" w:sz="8" w:color="CCCCCC"/>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1560" w:type="dxa"/>
            <w:vAlign w:val="bottom"/>
            <w:tcBorders>
              <w:top w:val="single" w:sz="8" w:color="auto"/>
              <w:bottom w:val="single" w:sz="8" w:color="auto"/>
              <w:right w:val="single" w:sz="8" w:color="auto"/>
            </w:tcBorders>
          </w:tcPr>
          <w:p>
            <w:pPr>
              <w:jc w:val="center"/>
              <w:spacing w:after="0" w:line="187" w:lineRule="exact"/>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top w:val="single" w:sz="8" w:color="auto"/>
              <w:bottom w:val="single" w:sz="8" w:color="auto"/>
              <w:right w:val="single" w:sz="8" w:color="auto"/>
            </w:tcBorders>
          </w:tcPr>
          <w:p>
            <w:pPr>
              <w:spacing w:after="0"/>
              <w:rPr>
                <w:sz w:val="16"/>
                <w:szCs w:val="16"/>
                <w:color w:val="auto"/>
              </w:rPr>
            </w:pPr>
          </w:p>
        </w:tc>
        <w:tc>
          <w:tcPr>
            <w:tcW w:w="2500" w:type="dxa"/>
            <w:vAlign w:val="bottom"/>
            <w:tcBorders>
              <w:top w:val="single" w:sz="8" w:color="auto"/>
              <w:bottom w:val="single" w:sz="8" w:color="auto"/>
              <w:right w:val="single" w:sz="8" w:color="auto"/>
            </w:tcBorders>
          </w:tcPr>
          <w:p>
            <w:pPr>
              <w:jc w:val="center"/>
              <w:spacing w:after="0" w:line="187" w:lineRule="exact"/>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bottom w:val="single" w:sz="8" w:color="auto"/>
              <w:right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15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500" w:type="dxa"/>
            <w:vAlign w:val="bottom"/>
            <w:tcBorders>
              <w:bottom w:val="single" w:sz="8" w:color="auto"/>
              <w:right w:val="single" w:sz="8" w:color="auto"/>
            </w:tcBorders>
            <w:shd w:val="clear" w:color="auto" w:fill="CCCCCC"/>
          </w:tcPr>
          <w:p>
            <w:pPr>
              <w:spacing w:after="0"/>
              <w:rPr>
                <w:sz w:val="17"/>
                <w:szCs w:val="17"/>
                <w:color w:val="auto"/>
              </w:rPr>
            </w:pPr>
          </w:p>
        </w:tc>
        <w:tc>
          <w:tcPr>
            <w:tcW w:w="2300" w:type="dxa"/>
            <w:vAlign w:val="bottom"/>
            <w:tcBorders>
              <w:bottom w:val="single" w:sz="8" w:color="auto"/>
              <w:right w:val="single" w:sz="8" w:color="auto"/>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156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0" w:type="dxa"/>
            <w:vAlign w:val="bottom"/>
          </w:tcPr>
          <w:p>
            <w:pPr>
              <w:spacing w:after="0"/>
              <w:rPr>
                <w:sz w:val="1"/>
                <w:szCs w:val="1"/>
                <w:color w:val="auto"/>
              </w:rPr>
            </w:pPr>
          </w:p>
        </w:tc>
      </w:tr>
      <w:tr>
        <w:trPr>
          <w:trHeight w:val="212"/>
        </w:trPr>
        <w:tc>
          <w:tcPr>
            <w:tcW w:w="2500" w:type="dxa"/>
            <w:vAlign w:val="bottom"/>
            <w:tcBorders>
              <w:left w:val="single" w:sz="8" w:color="auto"/>
              <w:bottom w:val="single" w:sz="8" w:color="auto"/>
              <w:right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15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bottom w:val="single" w:sz="8" w:color="auto"/>
              <w:right w:val="single" w:sz="8" w:color="auto"/>
            </w:tcBorders>
            <w:shd w:val="clear" w:color="auto" w:fill="CCCCCC"/>
          </w:tcPr>
          <w:p>
            <w:pPr>
              <w:spacing w:after="0"/>
              <w:rPr>
                <w:sz w:val="18"/>
                <w:szCs w:val="18"/>
                <w:color w:val="auto"/>
              </w:rPr>
            </w:pPr>
          </w:p>
        </w:tc>
        <w:tc>
          <w:tcPr>
            <w:tcW w:w="25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w:t>
            </w:r>
          </w:p>
        </w:tc>
        <w:tc>
          <w:tcPr>
            <w:tcW w:w="2300" w:type="dxa"/>
            <w:vAlign w:val="bottom"/>
            <w:tcBorders>
              <w:bottom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5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15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right w:val="single" w:sz="8" w:color="auto"/>
            </w:tcBorders>
          </w:tcPr>
          <w:p>
            <w:pPr>
              <w:jc w:val="center"/>
              <w:spacing w:after="0" w:line="184" w:lineRule="exact"/>
              <w:rPr>
                <w:sz w:val="20"/>
                <w:szCs w:val="20"/>
                <w:color w:val="auto"/>
              </w:rPr>
            </w:pPr>
            <w:r>
              <w:rPr>
                <w:rFonts w:ascii="Wingdings" w:cs="Wingdings" w:eastAsia="Wingdings" w:hAnsi="Wingdings"/>
                <w:sz w:val="17"/>
                <w:szCs w:val="17"/>
                <w:b w:val="1"/>
                <w:bCs w:val="1"/>
                <w:color w:val="auto"/>
                <w:highlight w:val="black"/>
              </w:rPr>
              <w:t>ü</w:t>
            </w:r>
          </w:p>
        </w:tc>
        <w:tc>
          <w:tcPr>
            <w:tcW w:w="25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500" w:type="dxa"/>
            <w:vAlign w:val="bottom"/>
            <w:tcBorders>
              <w:left w:val="single" w:sz="8" w:color="auto"/>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2440" w:type="dxa"/>
            <w:vAlign w:val="bottom"/>
            <w:tcBorders>
              <w:right w:val="single" w:sz="8" w:color="auto"/>
            </w:tcBorders>
            <w:vMerge w:val="restart"/>
          </w:tcPr>
          <w:p>
            <w:pPr>
              <w:jc w:val="center"/>
              <w:spacing w:after="0" w:line="168" w:lineRule="exact"/>
              <w:rPr>
                <w:sz w:val="20"/>
                <w:szCs w:val="20"/>
                <w:color w:val="auto"/>
              </w:rPr>
            </w:pPr>
            <w:r>
              <w:rPr>
                <w:rFonts w:ascii="Webdings" w:cs="Webdings" w:eastAsia="Webdings" w:hAnsi="Webdings"/>
                <w:sz w:val="17"/>
                <w:szCs w:val="17"/>
                <w:b w:val="1"/>
                <w:bCs w:val="1"/>
                <w:color w:val="auto"/>
                <w:w w:val="88"/>
              </w:rPr>
              <w:t>À</w:t>
            </w:r>
          </w:p>
        </w:tc>
        <w:tc>
          <w:tcPr>
            <w:tcW w:w="25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50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bottom w:val="single" w:sz="8" w:color="auto"/>
              <w:right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1560" w:type="dxa"/>
            <w:vAlign w:val="bottom"/>
            <w:tcBorders>
              <w:bottom w:val="single" w:sz="8" w:color="auto"/>
              <w:right w:val="single" w:sz="8" w:color="auto"/>
            </w:tcBorders>
            <w:shd w:val="clear" w:color="auto" w:fill="CCCCCC"/>
          </w:tcPr>
          <w:p>
            <w:pPr>
              <w:jc w:val="center"/>
              <w:spacing w:after="0" w:line="187" w:lineRule="exact"/>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bottom w:val="single" w:sz="8" w:color="auto"/>
              <w:right w:val="single" w:sz="8" w:color="auto"/>
            </w:tcBorders>
            <w:shd w:val="clear" w:color="auto" w:fill="CCCCCC"/>
          </w:tcPr>
          <w:p>
            <w:pPr>
              <w:spacing w:after="0"/>
              <w:rPr>
                <w:sz w:val="17"/>
                <w:szCs w:val="17"/>
                <w:color w:val="auto"/>
              </w:rPr>
            </w:pPr>
          </w:p>
        </w:tc>
        <w:tc>
          <w:tcPr>
            <w:tcW w:w="2500" w:type="dxa"/>
            <w:vAlign w:val="bottom"/>
            <w:tcBorders>
              <w:bottom w:val="single" w:sz="8" w:color="auto"/>
              <w:right w:val="single" w:sz="8" w:color="auto"/>
            </w:tcBorders>
            <w:shd w:val="clear" w:color="auto" w:fill="CCCCCC"/>
          </w:tcPr>
          <w:p>
            <w:pPr>
              <w:spacing w:after="0"/>
              <w:rPr>
                <w:sz w:val="17"/>
                <w:szCs w:val="17"/>
                <w:color w:val="auto"/>
              </w:rPr>
            </w:pPr>
          </w:p>
        </w:tc>
        <w:tc>
          <w:tcPr>
            <w:tcW w:w="23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w:t>
            </w:r>
          </w:p>
        </w:tc>
        <w:tc>
          <w:tcPr>
            <w:tcW w:w="0" w:type="dxa"/>
            <w:vAlign w:val="bottom"/>
          </w:tcPr>
          <w:p>
            <w:pPr>
              <w:spacing w:after="0"/>
              <w:rPr>
                <w:sz w:val="1"/>
                <w:szCs w:val="1"/>
                <w:color w:val="auto"/>
              </w:rPr>
            </w:pPr>
          </w:p>
        </w:tc>
      </w:tr>
      <w:tr>
        <w:trPr>
          <w:trHeight w:val="184"/>
        </w:trPr>
        <w:tc>
          <w:tcPr>
            <w:tcW w:w="25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15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C</w:t>
            </w:r>
          </w:p>
        </w:tc>
        <w:tc>
          <w:tcPr>
            <w:tcW w:w="25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500" w:type="dxa"/>
            <w:vAlign w:val="bottom"/>
            <w:tcBorders>
              <w:left w:val="single" w:sz="8" w:color="auto"/>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2440" w:type="dxa"/>
            <w:vAlign w:val="bottom"/>
            <w:tcBorders>
              <w:right w:val="single" w:sz="8" w:color="auto"/>
            </w:tcBorders>
            <w:vMerge w:val="restart"/>
          </w:tcPr>
          <w:p>
            <w:pPr>
              <w:jc w:val="center"/>
              <w:spacing w:after="0" w:line="168" w:lineRule="exact"/>
              <w:rPr>
                <w:sz w:val="20"/>
                <w:szCs w:val="20"/>
                <w:color w:val="auto"/>
              </w:rPr>
            </w:pPr>
            <w:r>
              <w:rPr>
                <w:rFonts w:ascii="Webdings" w:cs="Webdings" w:eastAsia="Webdings" w:hAnsi="Webdings"/>
                <w:sz w:val="17"/>
                <w:szCs w:val="17"/>
                <w:b w:val="1"/>
                <w:bCs w:val="1"/>
                <w:color w:val="auto"/>
                <w:w w:val="88"/>
              </w:rPr>
              <w:t>À</w:t>
            </w:r>
          </w:p>
        </w:tc>
        <w:tc>
          <w:tcPr>
            <w:tcW w:w="25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50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500" w:type="dxa"/>
            <w:vAlign w:val="bottom"/>
            <w:tcBorders>
              <w:left w:val="single" w:sz="8" w:color="auto"/>
              <w:bottom w:val="single" w:sz="8" w:color="auto"/>
              <w:right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1560" w:type="dxa"/>
            <w:vAlign w:val="bottom"/>
            <w:tcBorders>
              <w:bottom w:val="single" w:sz="8" w:color="auto"/>
              <w:right w:val="single" w:sz="8" w:color="auto"/>
            </w:tcBorders>
            <w:shd w:val="clear" w:color="auto" w:fill="CCCCCC"/>
          </w:tcPr>
          <w:p>
            <w:pPr>
              <w:jc w:val="center"/>
              <w:spacing w:after="0" w:line="187" w:lineRule="exact"/>
              <w:rPr>
                <w:sz w:val="20"/>
                <w:szCs w:val="20"/>
                <w:color w:val="auto"/>
              </w:rPr>
            </w:pPr>
            <w:r>
              <w:rPr>
                <w:rFonts w:ascii="Wingdings" w:cs="Wingdings" w:eastAsia="Wingdings" w:hAnsi="Wingdings"/>
                <w:sz w:val="17"/>
                <w:szCs w:val="17"/>
                <w:b w:val="1"/>
                <w:bCs w:val="1"/>
                <w:color w:val="auto"/>
                <w:highlight w:val="black"/>
              </w:rPr>
              <w:t>ü</w:t>
            </w:r>
          </w:p>
        </w:tc>
        <w:tc>
          <w:tcPr>
            <w:tcW w:w="2440" w:type="dxa"/>
            <w:vAlign w:val="bottom"/>
            <w:tcBorders>
              <w:bottom w:val="single" w:sz="8" w:color="auto"/>
              <w:right w:val="single" w:sz="8" w:color="auto"/>
            </w:tcBorders>
            <w:shd w:val="clear" w:color="auto" w:fill="CCCCCC"/>
          </w:tcPr>
          <w:p>
            <w:pPr>
              <w:spacing w:after="0"/>
              <w:rPr>
                <w:sz w:val="16"/>
                <w:szCs w:val="16"/>
                <w:color w:val="auto"/>
              </w:rPr>
            </w:pPr>
          </w:p>
        </w:tc>
        <w:tc>
          <w:tcPr>
            <w:tcW w:w="2500" w:type="dxa"/>
            <w:vAlign w:val="bottom"/>
            <w:tcBorders>
              <w:bottom w:val="single" w:sz="8" w:color="auto"/>
              <w:right w:val="single" w:sz="8" w:color="auto"/>
            </w:tcBorders>
            <w:shd w:val="clear" w:color="auto" w:fill="CCCCCC"/>
          </w:tcPr>
          <w:p>
            <w:pPr>
              <w:jc w:val="center"/>
              <w:spacing w:after="0" w:line="187" w:lineRule="exact"/>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bottom w:val="single" w:sz="8" w:color="auto"/>
              <w:right w:val="single" w:sz="8" w:color="auto"/>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CB </w:t>
      </w:r>
      <w:r>
        <w:rPr>
          <w:rFonts w:ascii="Times New Roman" w:cs="Times New Roman" w:eastAsia="Times New Roman" w:hAnsi="Times New Roman"/>
          <w:sz w:val="13"/>
          <w:szCs w:val="13"/>
          <w:color w:val="auto"/>
        </w:rPr>
        <w:t>Non-Executive Chair of Board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color w:val="auto"/>
        </w:rPr>
        <w:t>Committee Chair</w:t>
      </w:r>
    </w:p>
    <w:p>
      <w:pPr>
        <w:spacing w:after="0" w:line="6" w:lineRule="exact"/>
        <w:rPr>
          <w:sz w:val="20"/>
          <w:szCs w:val="20"/>
          <w:color w:val="auto"/>
        </w:rPr>
      </w:pPr>
    </w:p>
    <w:p>
      <w:pPr>
        <w:ind w:left="140" w:hanging="135"/>
        <w:spacing w:after="0"/>
        <w:tabs>
          <w:tab w:leader="none" w:pos="140" w:val="left"/>
        </w:tabs>
        <w:numPr>
          <w:ilvl w:val="0"/>
          <w:numId w:val="59"/>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color w:val="auto"/>
        </w:rPr>
        <w:t>Member</w:t>
      </w:r>
    </w:p>
    <w:p>
      <w:pPr>
        <w:spacing w:after="0" w:line="5" w:lineRule="exact"/>
        <w:rPr>
          <w:sz w:val="20"/>
          <w:szCs w:val="20"/>
          <w:color w:val="auto"/>
        </w:rPr>
      </w:pPr>
    </w:p>
    <w:p>
      <w:pPr>
        <w:ind w:left="140" w:hanging="135"/>
        <w:spacing w:after="0"/>
        <w:tabs>
          <w:tab w:leader="none" w:pos="140" w:val="left"/>
        </w:tabs>
        <w:numPr>
          <w:ilvl w:val="0"/>
          <w:numId w:val="60"/>
        </w:numPr>
        <w:rPr>
          <w:rFonts w:ascii="Webdings" w:cs="Webdings" w:eastAsia="Webdings" w:hAnsi="Webdings"/>
          <w:sz w:val="20"/>
          <w:szCs w:val="20"/>
          <w:b w:val="1"/>
          <w:bCs w:val="1"/>
          <w:color w:val="auto"/>
        </w:rPr>
      </w:pPr>
      <w:r>
        <w:rPr>
          <w:rFonts w:ascii="Times New Roman" w:cs="Times New Roman" w:eastAsia="Times New Roman" w:hAnsi="Times New Roman"/>
          <w:sz w:val="13"/>
          <w:szCs w:val="13"/>
          <w:color w:val="auto"/>
        </w:rPr>
        <w:t>Financial Expert, as defined in the rules of the SEC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Ms. Rafael is now our Interim Chief Financial Officer, is not currently an independent director, and is no longer a member of the Audit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138"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The Audit Committee oversees Autodesk’s financial statements, compliance with our corporate, accounting, and reporting processes, our system of internal accounting and financial controls, and our management of related risks.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Audit Committee’s responsibilities also include:</w:t>
      </w:r>
    </w:p>
    <w:p>
      <w:pPr>
        <w:spacing w:after="0" w:line="23" w:lineRule="exact"/>
        <w:rPr>
          <w:sz w:val="20"/>
          <w:szCs w:val="20"/>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compensation, engagement, retention, termination, and services of our independent registered public accounting firm, including conducting a review of its independence;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our independent registered public accounting firm the adequacy of our system of internal financial and disclosure controls;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critical accounting policies and the application of accounting principles;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treasury policies and tax positions;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performance of our internal audit function;</w:t>
      </w:r>
    </w:p>
    <w:p>
      <w:pPr>
        <w:spacing w:after="0" w:line="8" w:lineRule="exact"/>
        <w:rPr>
          <w:rFonts w:ascii="Times New Roman" w:cs="Times New Roman" w:eastAsia="Times New Roman" w:hAnsi="Times New Roman"/>
          <w:sz w:val="14"/>
          <w:szCs w:val="14"/>
          <w:color w:val="auto"/>
        </w:rPr>
      </w:pPr>
    </w:p>
    <w:p>
      <w:pPr>
        <w:ind w:left="520" w:right="460" w:hanging="260"/>
        <w:spacing w:after="0" w:line="253"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overseeing compliance with the procedures for handling complaints regarding accounting, internal accounting controls, or auditing matters, including procedures for confidential, anonymous submission of concerns by employees regarding accounting and auditing matters; and</w:t>
      </w: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management of cybersecurity risks relating to financial, accounting, and internal controls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and Nominating Committee</w:t>
      </w:r>
    </w:p>
    <w:p>
      <w:pPr>
        <w:spacing w:after="0" w:line="138"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Our Corporate Governance and Nominating Committee oversees our corporate governance principles and policies, as well as the process to identify and nominate qualified individuals for Board membership, and Board and committee evaluations.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Corporate Governance and Nominating Committee’s responsibilities include:</w:t>
      </w:r>
    </w:p>
    <w:p>
      <w:pPr>
        <w:spacing w:after="0" w:line="23" w:lineRule="exact"/>
        <w:rPr>
          <w:sz w:val="20"/>
          <w:szCs w:val="20"/>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general criteria regarding the qualifications and selection of members of the Board;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skills, characteristics, and experiences desired for candidates and overseeing director succession planning;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candidates for election to the Board;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overall governance guidelines;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periodically reviewing matters related to our policies and practices concerning environmental, social and governance (“ESG”) initiatives, political contributions and lobbying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performance and evaluation of the Board and individual directors;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regarding director composition and the mandates of Board committees.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and Human Resources Committee</w:t>
      </w:r>
    </w:p>
    <w:p>
      <w:pPr>
        <w:spacing w:after="0" w:line="138"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The Compensation and Human Resources Committee oversees the compensation and benefits for our executive officers, recommends our CEO’s compensation to the independent members of the Board for approval, and grants stock options, RSUs, and PSUs to executive officers and non-executive employees under our stock plans.</w:t>
      </w:r>
    </w:p>
    <w:p>
      <w:pPr>
        <w:spacing w:after="0" w:line="8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As non-employee directors, the members of the Compensation and Human Resources Committee are not eligible to participate in Autodesk’s discretionary employee stock programs. For Fiscal Year 2024, RSUs were granted in June 2023 to all our non-employee directors, automatically, pursuant to the Director Compensation Policy and under the 2023 Equity Incentive Plan.</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Compensation and Human Resource Committee’s responsibilities also include:</w:t>
      </w:r>
    </w:p>
    <w:p>
      <w:pPr>
        <w:spacing w:after="0" w:line="23" w:lineRule="exact"/>
        <w:rPr>
          <w:sz w:val="20"/>
          <w:szCs w:val="20"/>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corporate goals and objectives relevant to our CEO and executive officer compensation;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CEO and executive officer performance;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executive and leadership development policies and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administering Autodesk’s clawback policy;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succession plans for our CEO and other senior management;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periodically reviewing matters related to human capital management;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matters relating to stockholder approval of executive compensation, including advisory say-on-pay votes;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management of risks associated with our compensation policies and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38"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auto"/>
        </w:rPr>
        <w:t>Section 16(a) of the Exchange Act requires our directors and executive officers, and persons who own more than 10% of a registered class of our equity securities, to file reports of ownership on Form 3 and changes in ownership on Form 4 or 5 with the SEC. Such executive officers, directors, and stockholders also are required by SEC rules to furnish us with copies of all Section 16(a) forms that they file.</w:t>
      </w:r>
    </w:p>
    <w:p>
      <w:pPr>
        <w:spacing w:after="0" w:line="93" w:lineRule="exact"/>
        <w:rPr>
          <w:sz w:val="20"/>
          <w:szCs w:val="20"/>
          <w:color w:val="auto"/>
        </w:rPr>
      </w:pPr>
    </w:p>
    <w:p>
      <w:pPr>
        <w:ind w:right="260" w:firstLine="350"/>
        <w:spacing w:after="0" w:line="287" w:lineRule="auto"/>
        <w:rPr>
          <w:sz w:val="20"/>
          <w:szCs w:val="20"/>
          <w:color w:val="auto"/>
        </w:rPr>
      </w:pPr>
      <w:r>
        <w:rPr>
          <w:rFonts w:ascii="Times New Roman" w:cs="Times New Roman" w:eastAsia="Times New Roman" w:hAnsi="Times New Roman"/>
          <w:sz w:val="14"/>
          <w:szCs w:val="14"/>
          <w:color w:val="auto"/>
        </w:rPr>
        <w:t>Based solely on our review of the copies of such reports furnished to us and written representations that no other reports were required to be filed, we believe that all reports were filed on a timely basis.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CODE OF ETHICS</w:t>
      </w:r>
    </w:p>
    <w:p>
      <w:pPr>
        <w:spacing w:after="0" w:line="127" w:lineRule="exact"/>
        <w:rPr>
          <w:sz w:val="20"/>
          <w:szCs w:val="20"/>
          <w:color w:val="auto"/>
        </w:rPr>
      </w:pPr>
    </w:p>
    <w:p>
      <w:pPr>
        <w:ind w:right="80" w:firstLine="350"/>
        <w:spacing w:after="0" w:line="244" w:lineRule="auto"/>
        <w:rPr>
          <w:sz w:val="20"/>
          <w:szCs w:val="20"/>
          <w:color w:val="auto"/>
        </w:rPr>
      </w:pPr>
      <w:r>
        <w:rPr>
          <w:rFonts w:ascii="Times New Roman" w:cs="Times New Roman" w:eastAsia="Times New Roman" w:hAnsi="Times New Roman"/>
          <w:sz w:val="14"/>
          <w:szCs w:val="14"/>
          <w:color w:val="auto"/>
        </w:rPr>
        <w:t>In addition, we have had a longstanding Code of Business Conduct for our directors and employees as well as a Code of Ethics for Senior Executive and Financial Officers, including our principal executive officer, principal financial officer, principal accounting officer, all senior vice presidents, and all individuals reporting to our principal financial officer, to ensure that our business is conducted in a consistently legal and ethical manner. These codes are reviewed periodically and updated as appropriate. Our current Code of Business Conduct and Code of Ethics for Senior Executive and Financial Officers are available on our website at https://investors.autodesk.com/corporate-governance/highlights. We will post in the Investor Relations section of our website any amendment to our Code of Business Conduct or Code of Ethics for Senior Executive and Financial Officers, as well as any waivers of these Codes that are required to be disclosed by the rules of the SEC or the Nasdaq.</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Discussion and Analysis</w:t>
      </w:r>
    </w:p>
    <w:p>
      <w:pPr>
        <w:spacing w:after="0" w:line="202"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Throughout this annual report, the individuals included in the Summary Compensation Table beginning on page 141 are referred to as our “named executive officers” or “NEOs.” For fiscal year 2024, our NEOs were:</w:t>
      </w:r>
    </w:p>
    <w:p>
      <w:pPr>
        <w:spacing w:after="0" w:line="39" w:lineRule="exact"/>
        <w:rPr>
          <w:sz w:val="20"/>
          <w:szCs w:val="20"/>
          <w:color w:val="auto"/>
        </w:rPr>
      </w:pPr>
    </w:p>
    <w:p>
      <w:pPr>
        <w:ind w:left="520" w:hanging="260"/>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Anagnost, Chief Executive Officer and President;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Deborah L. Clifford, former Executive Vice President and Chief Financial Officer and current Chief Strategy Officer;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Steven M. Blum, Executive Vice President and Chief Operating Officer;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Ruth Ann Keene, Executive Vice President, Corporate Affairs, Chief Legal Officer and Corporate Secretary;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Rebecca Pearce, Executive Vice President and Chief People Officer.</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information in this discussion provides perspective and narrative analysis relating to, and should be read along with, the executive compensation tables beginning on page 141.</w:t>
      </w:r>
    </w:p>
    <w:p>
      <w:pPr>
        <w:spacing w:after="0" w:line="200" w:lineRule="exact"/>
        <w:rPr>
          <w:sz w:val="20"/>
          <w:szCs w:val="20"/>
          <w:color w:val="auto"/>
        </w:rPr>
      </w:pPr>
    </w:p>
    <w:p>
      <w:pPr>
        <w:ind w:right="140" w:firstLine="318"/>
        <w:spacing w:after="0" w:line="260" w:lineRule="auto"/>
        <w:rPr>
          <w:sz w:val="20"/>
          <w:szCs w:val="20"/>
          <w:color w:val="auto"/>
        </w:rPr>
      </w:pPr>
      <w:r>
        <w:rPr>
          <w:rFonts w:ascii="Times New Roman" w:cs="Times New Roman" w:eastAsia="Times New Roman" w:hAnsi="Times New Roman"/>
          <w:sz w:val="14"/>
          <w:szCs w:val="14"/>
          <w:color w:val="auto"/>
        </w:rPr>
        <w:t>Our Compensation Discussion and Analysis provides an overview of our business performance in fiscal year 2024, highlights the key components and structure of our executive compensation program, discusses the principles underlying our compensation policies and practices, and addresses other matters we believe explain and demonstrate our performance-based compensation philosophy.</w:t>
      </w: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2024 Strategic Priorities and Performance Highlights</w:t>
      </w:r>
    </w:p>
    <w:p>
      <w:pPr>
        <w:spacing w:after="0" w:line="2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Autodesk empowers innovators to achieve the new possible, delivering technology that enables our customers to achieve better outcomes for their products, businesses, and the world. In fiscal year 2024, we delivered record revenue and operating income while maintaining healthy free cash flow through the first year of our transition from up-front to annual billings for multi-year contracts. The most significant free cash flow headwinds from this transition are now behind us which means our free cash flow reached its trough during fiscal 2024 and will mechanically rebuild over the next few years.</w:t>
      </w:r>
    </w:p>
    <w:p>
      <w:pPr>
        <w:spacing w:after="0" w:line="151"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4"/>
          <w:szCs w:val="14"/>
          <w:color w:val="auto"/>
        </w:rPr>
        <w:t>We achieved strong financial and competitive performance in fiscal 2024 despite macroeconomic, policy and geopolitical related headwinds. Several factors contributed to our performance, including strong renewal rates, resilient new business growth, and expansion from a large renewal cohort of enterprise business agreements which included up-front revenue.</w:t>
      </w:r>
    </w:p>
    <w:p>
      <w:pPr>
        <w:spacing w:after="0" w:line="167"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Our resilience comes from our subscription business model and our product and customer diversification, which balances growth across different regions and industries. Disciplined and focused execution and strategic deployment of capital through the economic cycle will drive even greater operational velocity and efficiency within Autodesk, which will free up further resources to invest in our industry clouds and capabilities, including AI, and to sustain margin improvement.</w:t>
      </w:r>
    </w:p>
    <w:p>
      <w:pPr>
        <w:spacing w:after="0" w:line="146"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4"/>
          <w:szCs w:val="14"/>
          <w:color w:val="auto"/>
        </w:rPr>
        <w:t>By introducing a new transaction model to engage more directly with our customers and solution providers, we are approaching the final phase of modernizing our go-to-market motion, which has involved updating our infrastructure, retiring old systems and business models, and nurturing more direct relationships with our customers and ecosystem. We are also undertaking a multi-year process to evolve our products into lifecycle solutions within and between our industry clouds,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4"/>
          <w:szCs w:val="14"/>
          <w:color w:val="auto"/>
        </w:rPr>
        <w:t>powered by shared platform services, and with Autodesk’s Data Model at its core. Together, these will enable Autodesk, our customers, and partners, to build more valuable, data-driven, and connected products and services.</w:t>
      </w:r>
    </w:p>
    <w:p>
      <w:pPr>
        <w:spacing w:after="0" w:line="156"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Empowering innovators with design-and-make technology to achieve the new possible also enables them to build and manufacture efficiently and sustainably. We continue to execute well in challenging times and look forward to the years ahead with excitement and optimism.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2024 Financial Highlights</w:t>
      </w:r>
    </w:p>
    <w:p>
      <w:pPr>
        <w:spacing w:after="0" w:line="191" w:lineRule="exact"/>
        <w:rPr>
          <w:sz w:val="20"/>
          <w:szCs w:val="20"/>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 was $5.50 billion, an increase of 10 percent as reported, and 13 percent on a constant currency basis. Recurring revenue represents 98 percent of total.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operating income was $1.13 billion, compared to $989 million last year. GAAP operating margin was 21 percent, up 1 percentage point.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non-GAAP income from operations was $1.96 billion, compared to $1.79 billion last year. Non-GAAP operating margin was 36 percent, flat compared to the prior period.</w:t>
      </w:r>
      <w:r>
        <w:rPr>
          <w:rFonts w:ascii="Times New Roman" w:cs="Times New Roman" w:eastAsia="Times New Roman" w:hAnsi="Times New Roman"/>
          <w:sz w:val="18"/>
          <w:szCs w:val="18"/>
          <w:color w:val="auto"/>
          <w:vertAlign w:val="superscript"/>
        </w:rPr>
        <w:t>(1)</w:t>
      </w:r>
    </w:p>
    <w:p>
      <w:pPr>
        <w:spacing w:after="0" w:line="47" w:lineRule="exact"/>
        <w:rPr>
          <w:rFonts w:ascii="Times New Roman" w:cs="Times New Roman" w:eastAsia="Times New Roman" w:hAnsi="Times New Roman"/>
          <w:sz w:val="14"/>
          <w:szCs w:val="14"/>
          <w:color w:val="auto"/>
        </w:rPr>
      </w:pPr>
    </w:p>
    <w:p>
      <w:pPr>
        <w:ind w:left="520" w:right="60" w:hanging="260"/>
        <w:spacing w:after="0" w:line="230" w:lineRule="auto"/>
        <w:tabs>
          <w:tab w:leader="none" w:pos="51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from operating activities decreased to $1.31 billion, compared to $2.07 billion in fiscal 2023. Free cash flow decreased to $1.28 billion, compared to $2.03 billion in fiscal 2023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Our free cash flow experienced a trough during fiscal year 2024 due to our transition from up-front to annual billings for multi-year contracts.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diluted net income per share was $4.19, compared to $3.78 last year.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diluted net income per share was $7.60, compared to $6.63 last year.</w:t>
      </w:r>
      <w:r>
        <w:rPr>
          <w:rFonts w:ascii="Times New Roman" w:cs="Times New Roman" w:eastAsia="Times New Roman" w:hAnsi="Times New Roman"/>
          <w:sz w:val="18"/>
          <w:szCs w:val="18"/>
          <w:color w:val="auto"/>
          <w:vertAlign w:val="superscript"/>
        </w:rPr>
        <w:t>(1)</w:t>
      </w:r>
    </w:p>
    <w:p>
      <w:pPr>
        <w:spacing w:after="0" w:line="4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1-Y Total Shareholder Return is 18% from fiscal year 2023. 5-Y Total Shareholder Return is 72% from fiscal year 2019.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line="55" w:lineRule="exact"/>
        <w:rPr>
          <w:sz w:val="20"/>
          <w:szCs w:val="20"/>
          <w:color w:val="auto"/>
        </w:rPr>
      </w:pPr>
    </w:p>
    <w:p>
      <w:pPr>
        <w:ind w:right="40" w:firstLine="5"/>
        <w:spacing w:after="0" w:line="252" w:lineRule="auto"/>
        <w:tabs>
          <w:tab w:leader="none" w:pos="1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reconciliation of GAAP to non-GAAP results is provided in Part II, Item 7, “Management's Discussion and Analysis of Financial Condition and Results of Operations”, “Reconciliation of GAAP Financial Measures to Non-GAAP Financial Measures.”</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Fiscal Year 2024 Executive Compensation Highlights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 Decisions based on Performance Results</w:t>
      </w:r>
    </w:p>
    <w:p>
      <w:pPr>
        <w:spacing w:after="0" w:line="234"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The Compensation and Human Resources Committee (the “Committee”) believes that total compensation for our named executive officers should closely align with performance. In fiscal year 2024, we used the following performance metrics to determine the performance-based pay outcomes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155575</wp:posOffset>
            </wp:positionV>
            <wp:extent cx="460819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227" w:lineRule="exact"/>
        <w:rPr>
          <w:sz w:val="20"/>
          <w:szCs w:val="20"/>
          <w:color w:val="auto"/>
        </w:rPr>
      </w:pPr>
    </w:p>
    <w:p>
      <w:pPr>
        <w:ind w:left="2020"/>
        <w:spacing w:after="0"/>
        <w:tabs>
          <w:tab w:leader="none" w:pos="6440" w:val="left"/>
        </w:tabs>
        <w:rPr>
          <w:sz w:val="20"/>
          <w:szCs w:val="20"/>
          <w:color w:val="auto"/>
        </w:rPr>
      </w:pPr>
      <w:r>
        <w:rPr>
          <w:rFonts w:ascii="Times New Roman" w:cs="Times New Roman" w:eastAsia="Times New Roman" w:hAnsi="Times New Roman"/>
          <w:sz w:val="11"/>
          <w:szCs w:val="11"/>
          <w:b w:val="1"/>
          <w:bCs w:val="1"/>
          <w:color w:val="auto"/>
        </w:rPr>
        <w:t>Incentive Program</w:t>
      </w:r>
      <w:r>
        <w:rPr>
          <w:sz w:val="20"/>
          <w:szCs w:val="20"/>
          <w:color w:val="auto"/>
        </w:rPr>
        <w:tab/>
      </w:r>
      <w:r>
        <w:rPr>
          <w:rFonts w:ascii="Times New Roman" w:cs="Times New Roman" w:eastAsia="Times New Roman" w:hAnsi="Times New Roman"/>
          <w:sz w:val="11"/>
          <w:szCs w:val="11"/>
          <w:b w:val="1"/>
          <w:bCs w:val="1"/>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26035</wp:posOffset>
            </wp:positionV>
            <wp:extent cx="4608195" cy="276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08195" cy="27622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7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Executive Incentive Plan (EIP)</w:t>
      </w:r>
    </w:p>
    <w:p>
      <w:pPr>
        <w:spacing w:after="0" w:line="296" w:lineRule="exact"/>
        <w:rPr>
          <w:sz w:val="20"/>
          <w:szCs w:val="20"/>
          <w:color w:val="auto"/>
        </w:rPr>
      </w:pPr>
    </w:p>
    <w:p>
      <w:pPr>
        <w:ind w:left="2020"/>
        <w:spacing w:after="0" w:line="235" w:lineRule="auto"/>
        <w:rPr>
          <w:sz w:val="20"/>
          <w:szCs w:val="20"/>
          <w:color w:val="auto"/>
        </w:rPr>
      </w:pPr>
      <w:r>
        <w:rPr>
          <w:rFonts w:ascii="Times New Roman" w:cs="Times New Roman" w:eastAsia="Times New Roman" w:hAnsi="Times New Roman"/>
          <w:sz w:val="13"/>
          <w:szCs w:val="13"/>
          <w:color w:val="auto"/>
        </w:rPr>
        <w:t>Long-Term Incentives — Performance Share Units (PSU)</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Revenue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Non-GAAP Income from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Revenue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Free Cash Flow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Relative TSR (as defined below) (over 1, 2, and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46990</wp:posOffset>
            </wp:positionV>
            <wp:extent cx="460819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40"/>
            <w:col w:w="6600"/>
          </w:cols>
          <w:pgMar w:left="300" w:top="125" w:right="319" w:bottom="1440" w:gutter="0" w:footer="0" w:header="0"/>
          <w:type w:val="continuous"/>
        </w:sectPr>
      </w:pPr>
    </w:p>
    <w:p>
      <w:pPr>
        <w:spacing w:after="0" w:line="167"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color w:val="auto"/>
        </w:rPr>
        <w:t>In March 2024, the Committee made the following determinations relating to the compensation of our NEOs based on Company’s performance against the pre-determined goals. The Committee did not make any discretionary adjustments to the incentive payouts.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2030" w:type="dxa"/>
        <w:tblCellMar>
          <w:top w:w="0" w:type="dxa"/>
          <w:left w:w="0" w:type="dxa"/>
          <w:bottom w:w="0" w:type="dxa"/>
          <w:right w:w="0" w:type="dxa"/>
        </w:tblCellMar>
      </w:tblPr>
      <w:tr>
        <w:trPr>
          <w:trHeight w:val="308"/>
        </w:trPr>
        <w:tc>
          <w:tcPr>
            <w:tcW w:w="1540" w:type="dxa"/>
            <w:vAlign w:val="bottom"/>
            <w:tcBorders>
              <w:top w:val="single" w:sz="8" w:color="666666"/>
              <w:left w:val="single" w:sz="8" w:color="666666"/>
              <w:right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5740" w:type="dxa"/>
            <w:vAlign w:val="bottom"/>
            <w:tcBorders>
              <w:top w:val="single" w:sz="8" w:color="666666"/>
              <w:right w:val="single" w:sz="8" w:color="666666"/>
            </w:tcBorders>
          </w:tcPr>
          <w:p>
            <w:pPr>
              <w:spacing w:after="0"/>
              <w:rPr>
                <w:sz w:val="20"/>
                <w:szCs w:val="20"/>
                <w:color w:val="auto"/>
              </w:rPr>
            </w:pPr>
            <w:r>
              <w:rPr>
                <w:rFonts w:ascii="Times New Roman" w:cs="Times New Roman" w:eastAsia="Times New Roman" w:hAnsi="Times New Roman"/>
                <w:sz w:val="14"/>
                <w:szCs w:val="14"/>
                <w:color w:val="auto"/>
              </w:rPr>
              <w:t>Based on our fiscal year 2024 financial results, the Committee determined that, based on attainment</w:t>
            </w:r>
          </w:p>
        </w:tc>
        <w:tc>
          <w:tcPr>
            <w:tcW w:w="0" w:type="dxa"/>
            <w:vAlign w:val="bottom"/>
          </w:tcPr>
          <w:p>
            <w:pPr>
              <w:spacing w:after="0"/>
              <w:rPr>
                <w:sz w:val="1"/>
                <w:szCs w:val="1"/>
                <w:color w:val="auto"/>
              </w:rPr>
            </w:pPr>
          </w:p>
        </w:tc>
      </w:tr>
      <w:tr>
        <w:trPr>
          <w:trHeight w:val="138"/>
        </w:trPr>
        <w:tc>
          <w:tcPr>
            <w:tcW w:w="1540" w:type="dxa"/>
            <w:vAlign w:val="bottom"/>
            <w:tcBorders>
              <w:left w:val="single" w:sz="8" w:color="666666"/>
              <w:right w:val="single" w:sz="8" w:color="666666"/>
            </w:tcBorders>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Executive Incentive</w:t>
            </w:r>
          </w:p>
        </w:tc>
        <w:tc>
          <w:tcPr>
            <w:tcW w:w="5740" w:type="dxa"/>
            <w:vAlign w:val="bottom"/>
            <w:tcBorders>
              <w:right w:val="single" w:sz="8" w:color="666666"/>
            </w:tcBorders>
          </w:tcPr>
          <w:p>
            <w:pPr>
              <w:spacing w:after="0" w:line="138" w:lineRule="exact"/>
              <w:rPr>
                <w:sz w:val="20"/>
                <w:szCs w:val="20"/>
                <w:color w:val="auto"/>
              </w:rPr>
            </w:pPr>
            <w:r>
              <w:rPr>
                <w:rFonts w:ascii="Times New Roman" w:cs="Times New Roman" w:eastAsia="Times New Roman" w:hAnsi="Times New Roman"/>
                <w:sz w:val="14"/>
                <w:szCs w:val="14"/>
                <w:color w:val="auto"/>
              </w:rPr>
              <w:t>of the performance metrics for Autodesk’s 2024 Executive Incentive Plan (“EIP”) would be funded</w:t>
            </w:r>
          </w:p>
        </w:tc>
        <w:tc>
          <w:tcPr>
            <w:tcW w:w="0" w:type="dxa"/>
            <w:vAlign w:val="bottom"/>
          </w:tcPr>
          <w:p>
            <w:pPr>
              <w:spacing w:after="0"/>
              <w:rPr>
                <w:sz w:val="1"/>
                <w:szCs w:val="1"/>
                <w:color w:val="auto"/>
              </w:rPr>
            </w:pPr>
          </w:p>
        </w:tc>
      </w:tr>
      <w:tr>
        <w:trPr>
          <w:trHeight w:val="186"/>
        </w:trPr>
        <w:tc>
          <w:tcPr>
            <w:tcW w:w="1540" w:type="dxa"/>
            <w:vAlign w:val="bottom"/>
            <w:tcBorders>
              <w:left w:val="single" w:sz="8" w:color="666666"/>
              <w:right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Plan Results</w:t>
            </w:r>
          </w:p>
        </w:tc>
        <w:tc>
          <w:tcPr>
            <w:tcW w:w="5740" w:type="dxa"/>
            <w:vAlign w:val="bottom"/>
            <w:tcBorders>
              <w:right w:val="single" w:sz="8" w:color="666666"/>
            </w:tcBorders>
          </w:tcPr>
          <w:p>
            <w:pPr>
              <w:spacing w:after="0"/>
              <w:rPr>
                <w:sz w:val="20"/>
                <w:szCs w:val="20"/>
                <w:color w:val="auto"/>
              </w:rPr>
            </w:pPr>
            <w:r>
              <w:rPr>
                <w:rFonts w:ascii="Times New Roman" w:cs="Times New Roman" w:eastAsia="Times New Roman" w:hAnsi="Times New Roman"/>
                <w:sz w:val="14"/>
                <w:szCs w:val="14"/>
                <w:color w:val="auto"/>
              </w:rPr>
              <w:t>at 96.9% for our CEO and other NEOs at the end of fiscal year 2024.</w:t>
            </w:r>
          </w:p>
        </w:tc>
        <w:tc>
          <w:tcPr>
            <w:tcW w:w="0" w:type="dxa"/>
            <w:vAlign w:val="bottom"/>
          </w:tcPr>
          <w:p>
            <w:pPr>
              <w:spacing w:after="0"/>
              <w:rPr>
                <w:sz w:val="1"/>
                <w:szCs w:val="1"/>
                <w:color w:val="auto"/>
              </w:rPr>
            </w:pPr>
          </w:p>
        </w:tc>
      </w:tr>
      <w:tr>
        <w:trPr>
          <w:trHeight w:val="164"/>
        </w:trPr>
        <w:tc>
          <w:tcPr>
            <w:tcW w:w="1540" w:type="dxa"/>
            <w:vAlign w:val="bottom"/>
            <w:tcBorders>
              <w:left w:val="single" w:sz="8" w:color="666666"/>
              <w:bottom w:val="single" w:sz="8" w:color="666666"/>
              <w:right w:val="single" w:sz="8" w:color="666666"/>
            </w:tcBorders>
          </w:tcPr>
          <w:p>
            <w:pPr>
              <w:spacing w:after="0"/>
              <w:rPr>
                <w:sz w:val="14"/>
                <w:szCs w:val="14"/>
                <w:color w:val="auto"/>
              </w:rPr>
            </w:pPr>
          </w:p>
        </w:tc>
        <w:tc>
          <w:tcPr>
            <w:tcW w:w="5740" w:type="dxa"/>
            <w:vAlign w:val="bottom"/>
            <w:tcBorders>
              <w:bottom w:val="single" w:sz="8" w:color="666666"/>
              <w:right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40" w:type="dxa"/>
            <w:vAlign w:val="bottom"/>
            <w:tcBorders>
              <w:left w:val="single" w:sz="8" w:color="666666"/>
              <w:right w:val="single" w:sz="8" w:color="666666"/>
            </w:tcBorders>
            <w:shd w:val="clear" w:color="auto" w:fill="CCCCCC"/>
          </w:tcPr>
          <w:p>
            <w:pPr>
              <w:spacing w:after="0"/>
              <w:rPr>
                <w:sz w:val="18"/>
                <w:szCs w:val="18"/>
                <w:color w:val="auto"/>
              </w:rPr>
            </w:pPr>
          </w:p>
        </w:tc>
        <w:tc>
          <w:tcPr>
            <w:tcW w:w="5740" w:type="dxa"/>
            <w:vAlign w:val="bottom"/>
            <w:tcBorders>
              <w:right w:val="single" w:sz="8" w:color="666666"/>
            </w:tcBorders>
            <w:shd w:val="clear" w:color="auto" w:fill="CCCCCC"/>
          </w:tcPr>
          <w:p>
            <w:pPr>
              <w:spacing w:after="0"/>
              <w:rPr>
                <w:sz w:val="20"/>
                <w:szCs w:val="20"/>
                <w:color w:val="auto"/>
              </w:rPr>
            </w:pPr>
            <w:r>
              <w:rPr>
                <w:rFonts w:ascii="Times New Roman" w:cs="Times New Roman" w:eastAsia="Times New Roman" w:hAnsi="Times New Roman"/>
                <w:sz w:val="14"/>
                <w:szCs w:val="14"/>
                <w:color w:val="auto"/>
              </w:rPr>
              <w:t>For each award, the Committee measured performance based on Autodesk’s achievement of 97.5%</w:t>
            </w:r>
          </w:p>
        </w:tc>
        <w:tc>
          <w:tcPr>
            <w:tcW w:w="0" w:type="dxa"/>
            <w:vAlign w:val="bottom"/>
          </w:tcPr>
          <w:p>
            <w:pPr>
              <w:spacing w:after="0"/>
              <w:rPr>
                <w:sz w:val="1"/>
                <w:szCs w:val="1"/>
                <w:color w:val="auto"/>
              </w:rPr>
            </w:pPr>
          </w:p>
        </w:tc>
      </w:tr>
      <w:tr>
        <w:trPr>
          <w:trHeight w:val="159"/>
        </w:trPr>
        <w:tc>
          <w:tcPr>
            <w:tcW w:w="1540" w:type="dxa"/>
            <w:vAlign w:val="bottom"/>
            <w:tcBorders>
              <w:left w:val="single" w:sz="8" w:color="666666"/>
              <w:right w:val="single" w:sz="8" w:color="666666"/>
            </w:tcBorders>
            <w:vMerge w:val="restart"/>
            <w:shd w:val="clear" w:color="auto" w:fill="CCCCCC"/>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Share Unit</w:t>
            </w:r>
          </w:p>
        </w:tc>
        <w:tc>
          <w:tcPr>
            <w:tcW w:w="5740" w:type="dxa"/>
            <w:vAlign w:val="bottom"/>
            <w:tcBorders>
              <w:right w:val="single" w:sz="8" w:color="666666"/>
            </w:tcBorders>
            <w:shd w:val="clear" w:color="auto" w:fill="CCCCCC"/>
          </w:tcPr>
          <w:p>
            <w:pPr>
              <w:spacing w:after="0" w:line="159" w:lineRule="exact"/>
              <w:rPr>
                <w:sz w:val="20"/>
                <w:szCs w:val="20"/>
                <w:color w:val="auto"/>
              </w:rPr>
            </w:pPr>
            <w:r>
              <w:rPr>
                <w:rFonts w:ascii="Times New Roman" w:cs="Times New Roman" w:eastAsia="Times New Roman" w:hAnsi="Times New Roman"/>
                <w:sz w:val="14"/>
                <w:szCs w:val="14"/>
                <w:color w:val="auto"/>
              </w:rPr>
              <w:t>of the total revenue and free cash flow targets established for fiscal year 2024 and relative total</w:t>
            </w:r>
          </w:p>
        </w:tc>
        <w:tc>
          <w:tcPr>
            <w:tcW w:w="0" w:type="dxa"/>
            <w:vAlign w:val="bottom"/>
          </w:tcPr>
          <w:p>
            <w:pPr>
              <w:spacing w:after="0"/>
              <w:rPr>
                <w:sz w:val="1"/>
                <w:szCs w:val="1"/>
                <w:color w:val="auto"/>
              </w:rPr>
            </w:pPr>
          </w:p>
        </w:tc>
      </w:tr>
      <w:tr>
        <w:trPr>
          <w:trHeight w:val="142"/>
        </w:trPr>
        <w:tc>
          <w:tcPr>
            <w:tcW w:w="1540" w:type="dxa"/>
            <w:vAlign w:val="bottom"/>
            <w:tcBorders>
              <w:left w:val="single" w:sz="8" w:color="666666"/>
              <w:right w:val="single" w:sz="8" w:color="666666"/>
            </w:tcBorders>
            <w:vMerge w:val="continue"/>
            <w:shd w:val="clear" w:color="auto" w:fill="CCCCCC"/>
          </w:tcPr>
          <w:p>
            <w:pPr>
              <w:spacing w:after="0"/>
              <w:rPr>
                <w:sz w:val="12"/>
                <w:szCs w:val="12"/>
                <w:color w:val="auto"/>
              </w:rPr>
            </w:pPr>
          </w:p>
        </w:tc>
        <w:tc>
          <w:tcPr>
            <w:tcW w:w="5740" w:type="dxa"/>
            <w:vAlign w:val="bottom"/>
            <w:tcBorders>
              <w:right w:val="single" w:sz="8" w:color="666666"/>
            </w:tcBorders>
            <w:shd w:val="clear" w:color="auto" w:fill="CCCCCC"/>
          </w:tcPr>
          <w:p>
            <w:pPr>
              <w:spacing w:after="0" w:line="142" w:lineRule="exact"/>
              <w:rPr>
                <w:sz w:val="20"/>
                <w:szCs w:val="20"/>
                <w:color w:val="auto"/>
              </w:rPr>
            </w:pPr>
            <w:r>
              <w:rPr>
                <w:rFonts w:ascii="Times New Roman" w:cs="Times New Roman" w:eastAsia="Times New Roman" w:hAnsi="Times New Roman"/>
                <w:sz w:val="14"/>
                <w:szCs w:val="14"/>
                <w:color w:val="auto"/>
              </w:rPr>
              <w:t>stockholder return (“TSR”) over one-, two-, and three-year performance periods, respectively. The</w:t>
            </w:r>
          </w:p>
        </w:tc>
        <w:tc>
          <w:tcPr>
            <w:tcW w:w="0" w:type="dxa"/>
            <w:vAlign w:val="bottom"/>
          </w:tcPr>
          <w:p>
            <w:pPr>
              <w:spacing w:after="0"/>
              <w:rPr>
                <w:sz w:val="1"/>
                <w:szCs w:val="1"/>
                <w:color w:val="auto"/>
              </w:rPr>
            </w:pPr>
          </w:p>
        </w:tc>
      </w:tr>
      <w:tr>
        <w:trPr>
          <w:trHeight w:val="166"/>
        </w:trPr>
        <w:tc>
          <w:tcPr>
            <w:tcW w:w="1540" w:type="dxa"/>
            <w:vAlign w:val="bottom"/>
            <w:tcBorders>
              <w:left w:val="single" w:sz="8" w:color="666666"/>
              <w:right w:val="single" w:sz="8" w:color="666666"/>
            </w:tcBorders>
            <w:shd w:val="clear" w:color="auto" w:fill="CCCCC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Results</w:t>
            </w:r>
          </w:p>
        </w:tc>
        <w:tc>
          <w:tcPr>
            <w:tcW w:w="5740" w:type="dxa"/>
            <w:vAlign w:val="bottom"/>
            <w:tcBorders>
              <w:right w:val="single" w:sz="8" w:color="666666"/>
            </w:tcBorders>
            <w:shd w:val="clear" w:color="auto" w:fill="CCCCCC"/>
          </w:tcPr>
          <w:p>
            <w:pPr>
              <w:spacing w:after="0"/>
              <w:rPr>
                <w:sz w:val="20"/>
                <w:szCs w:val="20"/>
                <w:color w:val="auto"/>
              </w:rPr>
            </w:pPr>
            <w:r>
              <w:rPr>
                <w:rFonts w:ascii="Times New Roman" w:cs="Times New Roman" w:eastAsia="Times New Roman" w:hAnsi="Times New Roman"/>
                <w:sz w:val="14"/>
                <w:szCs w:val="14"/>
                <w:color w:val="auto"/>
              </w:rPr>
              <w:t>Committee certified the attainment levels for performance measures for tranches of PSUs awarded</w:t>
            </w:r>
          </w:p>
        </w:tc>
        <w:tc>
          <w:tcPr>
            <w:tcW w:w="0" w:type="dxa"/>
            <w:vAlign w:val="bottom"/>
          </w:tcPr>
          <w:p>
            <w:pPr>
              <w:spacing w:after="0"/>
              <w:rPr>
                <w:sz w:val="1"/>
                <w:szCs w:val="1"/>
                <w:color w:val="auto"/>
              </w:rPr>
            </w:pPr>
          </w:p>
        </w:tc>
      </w:tr>
      <w:tr>
        <w:trPr>
          <w:trHeight w:val="184"/>
        </w:trPr>
        <w:tc>
          <w:tcPr>
            <w:tcW w:w="1540" w:type="dxa"/>
            <w:vAlign w:val="bottom"/>
            <w:tcBorders>
              <w:left w:val="single" w:sz="8" w:color="666666"/>
              <w:right w:val="single" w:sz="8" w:color="666666"/>
            </w:tcBorders>
            <w:shd w:val="clear" w:color="auto" w:fill="CCCCCC"/>
          </w:tcPr>
          <w:p>
            <w:pPr>
              <w:spacing w:after="0"/>
              <w:rPr>
                <w:sz w:val="16"/>
                <w:szCs w:val="16"/>
                <w:color w:val="auto"/>
              </w:rPr>
            </w:pPr>
          </w:p>
        </w:tc>
        <w:tc>
          <w:tcPr>
            <w:tcW w:w="5740" w:type="dxa"/>
            <w:vAlign w:val="bottom"/>
            <w:tcBorders>
              <w:right w:val="single" w:sz="8" w:color="666666"/>
            </w:tcBorders>
            <w:shd w:val="clear" w:color="auto" w:fill="CCCCCC"/>
          </w:tcPr>
          <w:p>
            <w:pPr>
              <w:spacing w:after="0"/>
              <w:rPr>
                <w:sz w:val="20"/>
                <w:szCs w:val="20"/>
                <w:color w:val="auto"/>
              </w:rPr>
            </w:pPr>
            <w:r>
              <w:rPr>
                <w:rFonts w:ascii="Times New Roman" w:cs="Times New Roman" w:eastAsia="Times New Roman" w:hAnsi="Times New Roman"/>
                <w:sz w:val="14"/>
                <w:szCs w:val="14"/>
                <w:color w:val="auto"/>
              </w:rPr>
              <w:t>in April 2023, April 2022, and April 2021.</w:t>
            </w:r>
          </w:p>
        </w:tc>
        <w:tc>
          <w:tcPr>
            <w:tcW w:w="0" w:type="dxa"/>
            <w:vAlign w:val="bottom"/>
          </w:tcPr>
          <w:p>
            <w:pPr>
              <w:spacing w:after="0"/>
              <w:rPr>
                <w:sz w:val="1"/>
                <w:szCs w:val="1"/>
                <w:color w:val="auto"/>
              </w:rPr>
            </w:pPr>
          </w:p>
        </w:tc>
      </w:tr>
      <w:tr>
        <w:trPr>
          <w:trHeight w:val="96"/>
        </w:trPr>
        <w:tc>
          <w:tcPr>
            <w:tcW w:w="1540" w:type="dxa"/>
            <w:vAlign w:val="bottom"/>
            <w:tcBorders>
              <w:left w:val="single" w:sz="8" w:color="666666"/>
              <w:bottom w:val="single" w:sz="8" w:color="666666"/>
              <w:right w:val="single" w:sz="8" w:color="666666"/>
            </w:tcBorders>
            <w:shd w:val="clear" w:color="auto" w:fill="CCCCCC"/>
          </w:tcPr>
          <w:p>
            <w:pPr>
              <w:spacing w:after="0"/>
              <w:rPr>
                <w:sz w:val="8"/>
                <w:szCs w:val="8"/>
                <w:color w:val="auto"/>
              </w:rPr>
            </w:pPr>
          </w:p>
        </w:tc>
        <w:tc>
          <w:tcPr>
            <w:tcW w:w="5740" w:type="dxa"/>
            <w:vAlign w:val="bottom"/>
            <w:tcBorders>
              <w:bottom w:val="single" w:sz="8" w:color="666666"/>
              <w:right w:val="single" w:sz="8" w:color="666666"/>
            </w:tcBorders>
            <w:shd w:val="clear" w:color="auto" w:fill="CCCCCC"/>
          </w:tcPr>
          <w:p>
            <w:pPr>
              <w:spacing w:after="0"/>
              <w:rPr>
                <w:sz w:val="8"/>
                <w:szCs w:val="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Emphasis on Variable “At Risk” Performance-Based Executive Compensation</w:t>
      </w:r>
    </w:p>
    <w:p>
      <w:pPr>
        <w:spacing w:after="0" w:line="191"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4"/>
          <w:szCs w:val="14"/>
          <w:color w:val="auto"/>
        </w:rPr>
        <w:t>Our executive compensation program emphasizes variable compensation with both annual and long-term performance components. In fiscal year 2024, 95% of our CEO’s and 91% of other NEOs’ total compensation was variable in nature and “at risk”. 88% of our CEO’s and 83% of other NEOs’ total compensation consisted of long-term equity. Our incentive programs reward strong annual financial and operational performance, as well as relative TSR over one-, two-, and three-year performance periods. The charts below illustrate the fiscal year 2024 pay mix between base salary and targeted short- and long-term equity compensation for our CEO and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4608195" cy="14820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08195" cy="148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Additionally, to drive the achievement of our key strategic Environmental, Social, and Governance (“ESG”) priorities around environmental sustainability and philanthropy as well as diversity, inclusion and belonging, our executive compensation program allows for the CEO to recommend to the Committee adjustments to awards for the other NEOs based on ESG performance. Given that long-term incentive awards are the largest component of NEO compensation, ESG adjustments will generally focus on equity grants. The Committee will take into account the CEO’s recommendations when determining the final awards for the other NEOs, and will also consider the overall company progress and outcomes on ESG when it determines long-term incentive awards for the CEO.</w:t>
      </w:r>
    </w:p>
    <w:p>
      <w:pPr>
        <w:spacing w:after="0" w:line="154"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4"/>
          <w:szCs w:val="14"/>
          <w:color w:val="auto"/>
        </w:rPr>
        <w:t>Only when we significantly exceed our ESG goals or fail to achieve these metrics are long-term incentive awards adjusted upward or downward. For fiscal year 2024, the CEO and Committee concluded that the leadership team’s performance aligned with expectations for progress on ESG initiatives and therefore adjustments to NEO’s long-term incentive awards were not warranted.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Say-on-Pay Results and Stockholder Outreach</w:t>
      </w:r>
    </w:p>
    <w:p>
      <w:pPr>
        <w:spacing w:after="0" w:line="191" w:lineRule="exact"/>
        <w:rPr>
          <w:sz w:val="20"/>
          <w:szCs w:val="20"/>
          <w:color w:val="auto"/>
        </w:rPr>
      </w:pPr>
    </w:p>
    <w:p>
      <w:pPr>
        <w:ind w:firstLine="318"/>
        <w:spacing w:after="0"/>
        <w:rPr>
          <w:sz w:val="20"/>
          <w:szCs w:val="20"/>
          <w:color w:val="auto"/>
        </w:rPr>
      </w:pPr>
      <w:r>
        <w:rPr>
          <w:rFonts w:ascii="Times New Roman" w:cs="Times New Roman" w:eastAsia="Times New Roman" w:hAnsi="Times New Roman"/>
          <w:sz w:val="14"/>
          <w:szCs w:val="14"/>
          <w:color w:val="auto"/>
        </w:rPr>
        <w:t>Autodesk and the Committee value the input of our stockholders. The Committee carefully considers stockholder feedback as part of its ongoing review of our executive compensation programs, design, and metrics, and this feedback has informed changes the Committee has made in recent years to align our programs with our business transformation. At the 2023 Annual Meeting, 89.5% of the votes cast on our say-on-pay proposal were favorable, reflecting strong stockholder support for our executive compensation programs. In fiscal year 2024, members of our management team and, in certain instances, independent members of our Board continued our regular outreach and contacted stockholders representing approximately 50% of our outstanding shares. Our management team, and in some cases our independent Chair, met with representatives from active and passive funds to discuss strategy, our executive and employee compensation programs, capital allocation, progress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4"/>
          <w:szCs w:val="14"/>
          <w:color w:val="auto"/>
        </w:rPr>
        <w:t>on our sustainability strategy, workforce diversity, board composition and skill sets, sustainability, and a broad range of other ESG issues. This outreach enabled us to gather feedback from a significant cross-section of Autodesk’s stockholder base. Based on these discussions, the Committee found that our stockholders continued to support our executive compensation programs and the alignment.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Guiding Principles</w:t>
      </w:r>
    </w:p>
    <w:p>
      <w:pPr>
        <w:spacing w:after="0" w:line="20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Committee believes that Autodesk’s executive compensation program should be designed to attract, motivate, and retain talented executives and should provide a rigorous framework that is tied to stockholder returns, company performance, long-term strategic corporate goals, and individual performance. The general compensation objectives are to:</w:t>
      </w:r>
    </w:p>
    <w:p>
      <w:pPr>
        <w:spacing w:after="0" w:line="39" w:lineRule="exact"/>
        <w:rPr>
          <w:sz w:val="20"/>
          <w:szCs w:val="20"/>
          <w:color w:val="auto"/>
        </w:rPr>
      </w:pPr>
    </w:p>
    <w:p>
      <w:pPr>
        <w:ind w:left="420" w:hanging="256"/>
        <w:spacing w:after="0"/>
        <w:tabs>
          <w:tab w:leader="none" w:pos="4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 and retain the highest caliber of executives through competitive rewards;</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Motivate executive officers to achieve business and financial goals;</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rewards for short- and long-term performance; and</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rewards with stockholder value creation.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Within this framework, the total compensation for each executive officer varies based on multiple dimensions:</w:t>
      </w:r>
    </w:p>
    <w:p>
      <w:pPr>
        <w:spacing w:after="0" w:line="94" w:lineRule="exact"/>
        <w:rPr>
          <w:sz w:val="20"/>
          <w:szCs w:val="20"/>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Autodesk achieves its short-term and long-term financial and non-financial objectives;</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Autodesk’s TSR relative to companies in the North American Technology Software Index;</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Autodesk’s progress towards its ESG objectives;</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roles and responsibilities of the officer;</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officer’s skills, capabilities, contributions, and performance;</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pay alignment considerations; and</w:t>
      </w:r>
    </w:p>
    <w:p>
      <w:pPr>
        <w:spacing w:after="0" w:line="93" w:lineRule="exact"/>
        <w:rPr>
          <w:rFonts w:ascii="Times New Roman" w:cs="Times New Roman" w:eastAsia="Times New Roman" w:hAnsi="Times New Roman"/>
          <w:sz w:val="14"/>
          <w:szCs w:val="14"/>
          <w:color w:val="auto"/>
        </w:rPr>
      </w:pPr>
    </w:p>
    <w:p>
      <w:pPr>
        <w:ind w:left="420" w:hanging="256"/>
        <w:spacing w:after="0"/>
        <w:tabs>
          <w:tab w:leader="none" w:pos="4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considerations.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Leading Compensation Governance Practices</w:t>
      </w:r>
    </w:p>
    <w:p>
      <w:pPr>
        <w:spacing w:after="0" w:line="202"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Autodesk’s executive compensation objectives are supported by policies and strong governance practices that align executives’ interests with the interests of our stockholders. Some of the program’s most notable features are highlighted in the table and summarized below.</w:t>
      </w:r>
    </w:p>
    <w:p>
      <w:pPr>
        <w:sectPr>
          <w:pgSz w:w="11900" w:h="16838" w:orient="portrait"/>
          <w:cols w:equalWidth="0" w:num="1">
            <w:col w:w="11260"/>
          </w:cols>
          <w:pgMar w:left="300" w:top="125" w:right="339" w:bottom="1440" w:gutter="0" w:footer="0" w:header="0"/>
        </w:sectPr>
      </w:pPr>
    </w:p>
    <w:p>
      <w:pPr>
        <w:spacing w:after="0" w:line="4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15875</wp:posOffset>
            </wp:positionV>
            <wp:extent cx="223012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30120" cy="6985"/>
                    </a:xfrm>
                    <a:prstGeom prst="rect">
                      <a:avLst/>
                    </a:prstGeom>
                    <a:noFill/>
                  </pic:spPr>
                </pic:pic>
              </a:graphicData>
            </a:graphic>
          </wp:anchor>
        </w:drawing>
      </w:r>
    </w:p>
    <w:p>
      <w:pPr>
        <w:spacing w:after="0" w:line="26" w:lineRule="exact"/>
        <w:rPr>
          <w:sz w:val="20"/>
          <w:szCs w:val="20"/>
          <w:color w:val="auto"/>
        </w:rPr>
      </w:pPr>
    </w:p>
    <w:p>
      <w:pPr>
        <w:ind w:left="2460" w:hanging="441"/>
        <w:spacing w:after="0"/>
        <w:tabs>
          <w:tab w:leader="none" w:pos="2460" w:val="left"/>
        </w:tabs>
        <w:numPr>
          <w:ilvl w:val="0"/>
          <w:numId w:val="69"/>
        </w:numPr>
        <w:rPr>
          <w:rFonts w:ascii="Webdings" w:cs="Webdings" w:eastAsia="Webdings" w:hAnsi="Webdings"/>
          <w:sz w:val="23"/>
          <w:szCs w:val="23"/>
          <w:b w:val="1"/>
          <w:bCs w:val="1"/>
          <w:color w:val="5F60FF"/>
        </w:rPr>
      </w:pPr>
      <w:r>
        <w:rPr>
          <w:rFonts w:ascii="Times New Roman" w:cs="Times New Roman" w:eastAsia="Times New Roman" w:hAnsi="Times New Roman"/>
          <w:sz w:val="13"/>
          <w:szCs w:val="13"/>
          <w:color w:val="auto"/>
        </w:rPr>
        <w:t>Engage in robust stockholder outreach</w:t>
      </w:r>
    </w:p>
    <w:p>
      <w:pPr>
        <w:spacing w:after="0" w:line="163" w:lineRule="exact"/>
        <w:rPr>
          <w:rFonts w:ascii="Webdings" w:cs="Webdings" w:eastAsia="Webdings" w:hAnsi="Webdings"/>
          <w:sz w:val="23"/>
          <w:szCs w:val="23"/>
          <w:b w:val="1"/>
          <w:bCs w:val="1"/>
          <w:color w:val="5F60FF"/>
        </w:rPr>
      </w:pPr>
    </w:p>
    <w:p>
      <w:pPr>
        <w:ind w:left="2460" w:hanging="441"/>
        <w:spacing w:after="0" w:line="190" w:lineRule="auto"/>
        <w:tabs>
          <w:tab w:leader="none" w:pos="2460" w:val="left"/>
        </w:tabs>
        <w:numPr>
          <w:ilvl w:val="0"/>
          <w:numId w:val="69"/>
        </w:numPr>
        <w:rPr>
          <w:rFonts w:ascii="Webdings" w:cs="Webdings" w:eastAsia="Webdings" w:hAnsi="Webdings"/>
          <w:sz w:val="23"/>
          <w:szCs w:val="23"/>
          <w:b w:val="1"/>
          <w:bCs w:val="1"/>
          <w:color w:val="5F60FF"/>
        </w:rPr>
      </w:pPr>
      <w:r>
        <w:rPr>
          <w:rFonts w:ascii="Times New Roman" w:cs="Times New Roman" w:eastAsia="Times New Roman" w:hAnsi="Times New Roman"/>
          <w:sz w:val="13"/>
          <w:szCs w:val="13"/>
          <w:color w:val="auto"/>
        </w:rPr>
        <w:t>Tie a significant percentage of NEO total pay to achievement of critical financial objectives and stockholder value creation</w:t>
      </w:r>
    </w:p>
    <w:p>
      <w:pPr>
        <w:spacing w:after="0" w:line="5" w:lineRule="exact"/>
        <w:rPr>
          <w:rFonts w:ascii="Webdings" w:cs="Webdings" w:eastAsia="Webdings" w:hAnsi="Webdings"/>
          <w:sz w:val="23"/>
          <w:szCs w:val="23"/>
          <w:b w:val="1"/>
          <w:bCs w:val="1"/>
          <w:color w:val="5F60FF"/>
        </w:rPr>
      </w:pPr>
    </w:p>
    <w:p>
      <w:pPr>
        <w:ind w:left="2460" w:right="20" w:hanging="441"/>
        <w:spacing w:after="0" w:line="180" w:lineRule="auto"/>
        <w:tabs>
          <w:tab w:leader="none" w:pos="2460" w:val="left"/>
        </w:tabs>
        <w:numPr>
          <w:ilvl w:val="0"/>
          <w:numId w:val="69"/>
        </w:numPr>
        <w:rPr>
          <w:rFonts w:ascii="Webdings" w:cs="Webdings" w:eastAsia="Webdings" w:hAnsi="Webdings"/>
          <w:sz w:val="29"/>
          <w:szCs w:val="29"/>
          <w:b w:val="1"/>
          <w:bCs w:val="1"/>
          <w:color w:val="5F60FF"/>
          <w:vertAlign w:val="subscript"/>
        </w:rPr>
      </w:pPr>
      <w:r>
        <w:rPr>
          <w:rFonts w:ascii="Times New Roman" w:cs="Times New Roman" w:eastAsia="Times New Roman" w:hAnsi="Times New Roman"/>
          <w:sz w:val="11"/>
          <w:szCs w:val="11"/>
          <w:color w:val="auto"/>
        </w:rPr>
        <w:t>Employ maximum payouts on performance-based cash and equity incentive compensation</w:t>
      </w:r>
    </w:p>
    <w:p>
      <w:pPr>
        <w:spacing w:after="0" w:line="1" w:lineRule="exact"/>
        <w:rPr>
          <w:rFonts w:ascii="Webdings" w:cs="Webdings" w:eastAsia="Webdings" w:hAnsi="Webdings"/>
          <w:sz w:val="29"/>
          <w:szCs w:val="29"/>
          <w:b w:val="1"/>
          <w:bCs w:val="1"/>
          <w:color w:val="5F60FF"/>
          <w:vertAlign w:val="subscript"/>
        </w:rPr>
      </w:pPr>
    </w:p>
    <w:p>
      <w:pPr>
        <w:ind w:left="2460" w:hanging="441"/>
        <w:spacing w:after="0" w:line="232" w:lineRule="auto"/>
        <w:tabs>
          <w:tab w:leader="none" w:pos="2460" w:val="left"/>
        </w:tabs>
        <w:numPr>
          <w:ilvl w:val="0"/>
          <w:numId w:val="69"/>
        </w:numPr>
        <w:rPr>
          <w:rFonts w:ascii="Webdings" w:cs="Webdings" w:eastAsia="Webdings" w:hAnsi="Webdings"/>
          <w:sz w:val="23"/>
          <w:szCs w:val="23"/>
          <w:b w:val="1"/>
          <w:bCs w:val="1"/>
          <w:color w:val="5F60FF"/>
        </w:rPr>
      </w:pPr>
      <w:r>
        <w:rPr>
          <w:rFonts w:ascii="Times New Roman" w:cs="Times New Roman" w:eastAsia="Times New Roman" w:hAnsi="Times New Roman"/>
          <w:sz w:val="13"/>
          <w:szCs w:val="13"/>
          <w:color w:val="auto"/>
        </w:rPr>
        <w:t>Require significant stock ownership holdings</w:t>
      </w:r>
    </w:p>
    <w:p>
      <w:pPr>
        <w:spacing w:after="0" w:line="38" w:lineRule="exact"/>
        <w:rPr>
          <w:rFonts w:ascii="Webdings" w:cs="Webdings" w:eastAsia="Webdings" w:hAnsi="Webdings"/>
          <w:sz w:val="23"/>
          <w:szCs w:val="23"/>
          <w:b w:val="1"/>
          <w:bCs w:val="1"/>
          <w:color w:val="5F60FF"/>
        </w:rPr>
      </w:pPr>
    </w:p>
    <w:p>
      <w:pPr>
        <w:ind w:left="2460" w:hanging="441"/>
        <w:spacing w:after="0" w:line="237" w:lineRule="auto"/>
        <w:tabs>
          <w:tab w:leader="none" w:pos="2460" w:val="left"/>
        </w:tabs>
        <w:numPr>
          <w:ilvl w:val="0"/>
          <w:numId w:val="69"/>
        </w:numPr>
        <w:rPr>
          <w:rFonts w:ascii="Webdings" w:cs="Webdings" w:eastAsia="Webdings" w:hAnsi="Webdings"/>
          <w:sz w:val="23"/>
          <w:szCs w:val="23"/>
          <w:b w:val="1"/>
          <w:bCs w:val="1"/>
          <w:color w:val="5F60FF"/>
        </w:rPr>
      </w:pPr>
      <w:r>
        <w:rPr>
          <w:rFonts w:ascii="Times New Roman" w:cs="Times New Roman" w:eastAsia="Times New Roman" w:hAnsi="Times New Roman"/>
          <w:sz w:val="13"/>
          <w:szCs w:val="13"/>
          <w:color w:val="auto"/>
        </w:rPr>
        <w:t>Include a clawback policy in incentive programs</w:t>
      </w:r>
    </w:p>
    <w:p>
      <w:pPr>
        <w:spacing w:after="0" w:line="131" w:lineRule="exact"/>
        <w:rPr>
          <w:rFonts w:ascii="Webdings" w:cs="Webdings" w:eastAsia="Webdings" w:hAnsi="Webdings"/>
          <w:sz w:val="23"/>
          <w:szCs w:val="23"/>
          <w:b w:val="1"/>
          <w:bCs w:val="1"/>
          <w:color w:val="5F60FF"/>
        </w:rPr>
      </w:pPr>
    </w:p>
    <w:p>
      <w:pPr>
        <w:ind w:left="2460" w:hanging="441"/>
        <w:spacing w:after="0" w:line="185" w:lineRule="auto"/>
        <w:tabs>
          <w:tab w:leader="none" w:pos="2460" w:val="left"/>
        </w:tabs>
        <w:numPr>
          <w:ilvl w:val="0"/>
          <w:numId w:val="69"/>
        </w:numPr>
        <w:rPr>
          <w:rFonts w:ascii="Webdings" w:cs="Webdings" w:eastAsia="Webdings" w:hAnsi="Webdings"/>
          <w:sz w:val="23"/>
          <w:szCs w:val="23"/>
          <w:b w:val="1"/>
          <w:bCs w:val="1"/>
          <w:color w:val="5F60FF"/>
        </w:rPr>
      </w:pPr>
      <w:r>
        <w:rPr>
          <w:rFonts w:ascii="Times New Roman" w:cs="Times New Roman" w:eastAsia="Times New Roman" w:hAnsi="Times New Roman"/>
          <w:sz w:val="13"/>
          <w:szCs w:val="13"/>
          <w:color w:val="auto"/>
        </w:rPr>
        <w:t>Provide double-trigger change in control arrangements with no excise tax gross-up</w:t>
      </w:r>
    </w:p>
    <w:p>
      <w:pPr>
        <w:spacing w:after="0" w:line="77" w:lineRule="exact"/>
        <w:rPr>
          <w:rFonts w:ascii="Webdings" w:cs="Webdings" w:eastAsia="Webdings" w:hAnsi="Webdings"/>
          <w:sz w:val="23"/>
          <w:szCs w:val="23"/>
          <w:b w:val="1"/>
          <w:bCs w:val="1"/>
          <w:color w:val="5F60FF"/>
        </w:rPr>
      </w:pPr>
    </w:p>
    <w:p>
      <w:pPr>
        <w:ind w:left="2460" w:hanging="441"/>
        <w:spacing w:after="0"/>
        <w:tabs>
          <w:tab w:leader="none" w:pos="2460" w:val="left"/>
        </w:tabs>
        <w:numPr>
          <w:ilvl w:val="0"/>
          <w:numId w:val="69"/>
        </w:numPr>
        <w:rPr>
          <w:rFonts w:ascii="Webdings" w:cs="Webdings" w:eastAsia="Webdings" w:hAnsi="Webdings"/>
          <w:sz w:val="23"/>
          <w:szCs w:val="23"/>
          <w:b w:val="1"/>
          <w:bCs w:val="1"/>
          <w:color w:val="5F60FF"/>
        </w:rPr>
      </w:pPr>
      <w:r>
        <w:rPr>
          <w:rFonts w:ascii="Times New Roman" w:cs="Times New Roman" w:eastAsia="Times New Roman" w:hAnsi="Times New Roman"/>
          <w:sz w:val="13"/>
          <w:szCs w:val="13"/>
          <w:color w:val="auto"/>
        </w:rPr>
        <w:t>Ensure effective risk management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15875</wp:posOffset>
            </wp:positionV>
            <wp:extent cx="222313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23135" cy="6985"/>
                    </a:xfrm>
                    <a:prstGeom prst="rect">
                      <a:avLst/>
                    </a:prstGeom>
                    <a:noFill/>
                  </pic:spPr>
                </pic:pic>
              </a:graphicData>
            </a:graphic>
          </wp:anchor>
        </w:drawing>
      </w:r>
    </w:p>
    <w:p>
      <w:pPr>
        <w:spacing w:after="0" w:line="27" w:lineRule="exact"/>
        <w:rPr>
          <w:sz w:val="20"/>
          <w:szCs w:val="20"/>
          <w:color w:val="auto"/>
        </w:rPr>
      </w:pPr>
    </w:p>
    <w:p>
      <w:pPr>
        <w:ind w:left="200" w:right="2240" w:hanging="197"/>
        <w:spacing w:after="0" w:line="206" w:lineRule="auto"/>
        <w:rPr>
          <w:sz w:val="20"/>
          <w:szCs w:val="20"/>
          <w:color w:val="auto"/>
        </w:rPr>
      </w:pPr>
      <w:r>
        <w:rPr>
          <w:rFonts w:ascii="Webdings" w:cs="Webdings" w:eastAsia="Webdings" w:hAnsi="Webdings"/>
          <w:sz w:val="17"/>
          <w:szCs w:val="17"/>
          <w:b w:val="1"/>
          <w:bCs w:val="1"/>
          <w:color w:val="EE2724"/>
        </w:rPr>
        <w:t>x</w:t>
      </w:r>
      <w:r>
        <w:rPr>
          <w:rFonts w:ascii="Times New Roman" w:cs="Times New Roman" w:eastAsia="Times New Roman" w:hAnsi="Times New Roman"/>
          <w:sz w:val="12"/>
          <w:szCs w:val="12"/>
          <w:color w:val="000000"/>
        </w:rPr>
        <w:t>Allow hedging, pledging, or trading in Autodesk derivative</w:t>
      </w:r>
      <w:r>
        <w:rPr>
          <w:rFonts w:ascii="Webdings" w:cs="Webdings" w:eastAsia="Webdings" w:hAnsi="Webdings"/>
          <w:sz w:val="17"/>
          <w:szCs w:val="17"/>
          <w:b w:val="1"/>
          <w:bCs w:val="1"/>
          <w:color w:val="EE2724"/>
        </w:rPr>
        <w:t xml:space="preserve"> </w:t>
      </w:r>
      <w:r>
        <w:rPr>
          <w:rFonts w:ascii="Times New Roman" w:cs="Times New Roman" w:eastAsia="Times New Roman" w:hAnsi="Times New Roman"/>
          <w:sz w:val="12"/>
          <w:szCs w:val="12"/>
          <w:color w:val="000000"/>
        </w:rPr>
        <w:t>securities</w:t>
      </w:r>
    </w:p>
    <w:p>
      <w:pPr>
        <w:spacing w:after="0" w:line="186" w:lineRule="exact"/>
        <w:rPr>
          <w:sz w:val="20"/>
          <w:szCs w:val="20"/>
          <w:color w:val="auto"/>
        </w:rPr>
      </w:pPr>
    </w:p>
    <w:p>
      <w:pPr>
        <w:spacing w:after="0"/>
        <w:rPr>
          <w:sz w:val="20"/>
          <w:szCs w:val="20"/>
          <w:color w:val="auto"/>
        </w:rPr>
      </w:pPr>
      <w:r>
        <w:rPr>
          <w:rFonts w:ascii="Webdings" w:cs="Webdings" w:eastAsia="Webdings" w:hAnsi="Webdings"/>
          <w:sz w:val="17"/>
          <w:szCs w:val="17"/>
          <w:b w:val="1"/>
          <w:bCs w:val="1"/>
          <w:color w:val="EE2724"/>
        </w:rPr>
        <w:t>x</w:t>
      </w:r>
      <w:r>
        <w:rPr>
          <w:rFonts w:ascii="Times New Roman" w:cs="Times New Roman" w:eastAsia="Times New Roman" w:hAnsi="Times New Roman"/>
          <w:sz w:val="12"/>
          <w:szCs w:val="12"/>
          <w:color w:val="000000"/>
        </w:rPr>
        <w:t>Reprice stock options</w:t>
      </w:r>
    </w:p>
    <w:p>
      <w:pPr>
        <w:spacing w:after="0" w:line="180" w:lineRule="exact"/>
        <w:rPr>
          <w:sz w:val="20"/>
          <w:szCs w:val="20"/>
          <w:color w:val="auto"/>
        </w:rPr>
      </w:pPr>
    </w:p>
    <w:p>
      <w:pPr>
        <w:ind w:left="200" w:right="2200" w:hanging="197"/>
        <w:spacing w:after="0" w:line="206" w:lineRule="auto"/>
        <w:rPr>
          <w:sz w:val="20"/>
          <w:szCs w:val="20"/>
          <w:color w:val="auto"/>
        </w:rPr>
      </w:pPr>
      <w:r>
        <w:rPr>
          <w:rFonts w:ascii="Webdings" w:cs="Webdings" w:eastAsia="Webdings" w:hAnsi="Webdings"/>
          <w:sz w:val="17"/>
          <w:szCs w:val="17"/>
          <w:b w:val="1"/>
          <w:bCs w:val="1"/>
          <w:color w:val="EE2724"/>
        </w:rPr>
        <w:t>x</w:t>
      </w:r>
      <w:r>
        <w:rPr>
          <w:rFonts w:ascii="Times New Roman" w:cs="Times New Roman" w:eastAsia="Times New Roman" w:hAnsi="Times New Roman"/>
          <w:sz w:val="12"/>
          <w:szCs w:val="12"/>
          <w:color w:val="000000"/>
        </w:rPr>
        <w:t>Offer executive benefits that differ from those offered to our</w:t>
      </w:r>
      <w:r>
        <w:rPr>
          <w:rFonts w:ascii="Webdings" w:cs="Webdings" w:eastAsia="Webdings" w:hAnsi="Webdings"/>
          <w:sz w:val="17"/>
          <w:szCs w:val="17"/>
          <w:b w:val="1"/>
          <w:bCs w:val="1"/>
          <w:color w:val="EE2724"/>
        </w:rPr>
        <w:t xml:space="preserve"> </w:t>
      </w:r>
      <w:r>
        <w:rPr>
          <w:rFonts w:ascii="Times New Roman" w:cs="Times New Roman" w:eastAsia="Times New Roman" w:hAnsi="Times New Roman"/>
          <w:sz w:val="12"/>
          <w:szCs w:val="12"/>
          <w:color w:val="000000"/>
        </w:rPr>
        <w:t>other salaried employees or excessive perquisites</w:t>
      </w:r>
    </w:p>
    <w:p>
      <w:pPr>
        <w:spacing w:after="0" w:line="69" w:lineRule="exact"/>
        <w:rPr>
          <w:sz w:val="20"/>
          <w:szCs w:val="20"/>
          <w:color w:val="auto"/>
        </w:rPr>
      </w:pPr>
    </w:p>
    <w:p>
      <w:pPr>
        <w:spacing w:after="0"/>
        <w:rPr>
          <w:sz w:val="20"/>
          <w:szCs w:val="20"/>
          <w:color w:val="auto"/>
        </w:rPr>
      </w:pPr>
      <w:r>
        <w:rPr>
          <w:rFonts w:ascii="Webdings" w:cs="Webdings" w:eastAsia="Webdings" w:hAnsi="Webdings"/>
          <w:sz w:val="17"/>
          <w:szCs w:val="17"/>
          <w:b w:val="1"/>
          <w:bCs w:val="1"/>
          <w:color w:val="EE2724"/>
        </w:rPr>
        <w:t>x</w:t>
      </w:r>
      <w:r>
        <w:rPr>
          <w:rFonts w:ascii="Times New Roman" w:cs="Times New Roman" w:eastAsia="Times New Roman" w:hAnsi="Times New Roman"/>
          <w:sz w:val="12"/>
          <w:szCs w:val="12"/>
          <w:color w:val="000000"/>
        </w:rPr>
        <w:t>Use fixed-term employment agreements</w:t>
      </w:r>
    </w:p>
    <w:p>
      <w:pPr>
        <w:spacing w:after="0" w:line="1102" w:lineRule="exact"/>
        <w:rPr>
          <w:sz w:val="20"/>
          <w:szCs w:val="20"/>
          <w:color w:val="auto"/>
        </w:rPr>
      </w:pPr>
    </w:p>
    <w:p>
      <w:pPr>
        <w:sectPr>
          <w:pgSz w:w="11900" w:h="16838" w:orient="portrait"/>
          <w:cols w:equalWidth="0" w:num="2">
            <w:col w:w="5500" w:space="300"/>
            <w:col w:w="5460"/>
          </w:cols>
          <w:pgMar w:left="300" w:top="125" w:right="339" w:bottom="1440" w:gutter="0" w:footer="0" w:header="0"/>
          <w:type w:val="continuous"/>
        </w:sectPr>
      </w:pPr>
    </w:p>
    <w:p>
      <w:pPr>
        <w:ind w:left="2460" w:right="6080" w:hanging="441"/>
        <w:spacing w:after="0" w:line="182" w:lineRule="auto"/>
        <w:tabs>
          <w:tab w:leader="none" w:pos="2460" w:val="left"/>
        </w:tabs>
        <w:numPr>
          <w:ilvl w:val="0"/>
          <w:numId w:val="70"/>
        </w:numPr>
        <w:rPr>
          <w:rFonts w:ascii="Webdings" w:cs="Webdings" w:eastAsia="Webdings" w:hAnsi="Webdings"/>
          <w:sz w:val="27"/>
          <w:szCs w:val="27"/>
          <w:b w:val="1"/>
          <w:bCs w:val="1"/>
          <w:color w:val="5F60FF"/>
          <w:vertAlign w:val="subscript"/>
        </w:rPr>
      </w:pPr>
      <w:r>
        <w:rPr>
          <w:rFonts w:ascii="Times New Roman" w:cs="Times New Roman" w:eastAsia="Times New Roman" w:hAnsi="Times New Roman"/>
          <w:sz w:val="10"/>
          <w:szCs w:val="10"/>
          <w:color w:val="auto"/>
        </w:rPr>
        <w:t>Rely on an independent compensation committee and engage an independent compensation consultant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Compensation-Setting Process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Committee reviews and approves all components of each executive officer’s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CEO Pay Decisions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140" w:firstLine="318"/>
        <w:spacing w:after="0" w:line="261" w:lineRule="auto"/>
        <w:rPr>
          <w:sz w:val="20"/>
          <w:szCs w:val="20"/>
          <w:color w:val="auto"/>
        </w:rPr>
      </w:pPr>
      <w:r>
        <w:rPr>
          <w:rFonts w:ascii="Times New Roman" w:cs="Times New Roman" w:eastAsia="Times New Roman" w:hAnsi="Times New Roman"/>
          <w:sz w:val="14"/>
          <w:szCs w:val="14"/>
          <w:color w:val="auto"/>
        </w:rPr>
        <w:t>Throughout the year, the Committee and other independent members of the Board, including the Chair, review the performance of, and provide feedback to, our CEO at regularly scheduled meetings and through informal discussions. Annually, the Committee meets and discusses with other independent members of the Board the performance of our CEO in light of corporate goals and objectives. The Committee, without the CEO in attendance, took this assessment into account, along with competitive compensation data, in determining our CEO’s compensation. Performance targets are intended to be aggressive yet achievable with diligent effort during the fiscal year. As part of its deliberations on CEO compensation, the Committee consulted with its independent consultant and the other independent directors prior to approving our CEO’s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 Pay Decisions</w:t>
      </w:r>
    </w:p>
    <w:p>
      <w:pPr>
        <w:spacing w:after="0" w:line="202"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Our CEO makes recommendations to the Committee regarding the base salary, annual cash incentive awards (EIP), and equity awards for each executive officer other than himself. These recommendations are based on our CEO’s assessment of each executive officer’s performance during the year, competitive compensation data, internal pay alignment, and retention considerations. Our CEO reports on the performance of the executive officers and their business functions during the year in light of corporate goals and objectives. He bases his evaluation on his knowledge of each executive officer’s performance and input from other individuals, including feedback provided by the executive officers, their colleagues, and their direct reports. Members of our People and Places organization assist our CEO in assessing each executive officer’s performance and providing market compensation data for each role. In executing the responsibilities set forth in its charter, the Committee relies on a number of resources to provide input to the decision-making process.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Consultant</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Committee retained Exequity LLP as its compensation adviser for fiscal year 2024. Exequity provided advice and recommendations on a number of issues, including total compensation philosophy; program design, including program goals, components, and metrics; peer data; compensation trends in the technology sector and general market for senior executives; separation plans; the compensation of our CEO and our other executive officers; and disclosure of our executive pay programs. The Committee has considered the independence of Exequity in light of Nasdaq’s listing standards for compensation committee independence and the rules of the SEC, and requested and received written confirmation from Exequity addressing the independence of the firm and its senior advisers working with the Committee. The Committee discussed these considerations and concluded that the work performed by Exequity did not raise any conflict of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202"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 Committee also consults with management and Autodesk’s People and Places organization regarding executive and non-executive employee compensation plans, including administration of Autodesk’s equity incentive plans.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Compensation Positioning and Peer Group</w:t>
      </w:r>
    </w:p>
    <w:p>
      <w:pPr>
        <w:spacing w:after="0" w:line="202"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To ensure our executive compensation practices are competitive and consistent with the Committee’s guiding principles, Exequity and management provide the Committee with compensation data for each executive role. This data is drawn from a group of companies in relevant industries that compete with Autodesk for executive talent. The Committee uses this data, as well as information about broader technology industry compensation practices, when evaluating the compensation of our executive officers.</w:t>
      </w:r>
    </w:p>
    <w:p>
      <w:pPr>
        <w:spacing w:after="0" w:line="146"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4"/>
          <w:szCs w:val="14"/>
          <w:color w:val="auto"/>
        </w:rPr>
        <w:t>The compensation peer group is selected based upon multiple criteria, including industry positioning, competition for executive talent, revenue, market capitalization, financial results, and geographic footprint. The Committee reviews the compensation peer group each year to ensure that the comparisons remain meaningful and relevant. Based on the Committee’s review in September 2022, no changes were made to the peer group. The fiscal year 2024 compensation peer group consisted of the following companies:</w:t>
      </w:r>
    </w:p>
    <w:p>
      <w:pPr>
        <w:spacing w:after="0" w:line="58"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Revenue for the Most Recent Completed Fiscal Year</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Market Capitalization as of 1/31/2024 (in billions)</w:t>
            </w:r>
          </w:p>
        </w:tc>
        <w:tc>
          <w:tcPr>
            <w:tcW w:w="0" w:type="dxa"/>
            <w:vAlign w:val="bottom"/>
          </w:tcPr>
          <w:p>
            <w:pPr>
              <w:spacing w:after="0"/>
              <w:rPr>
                <w:sz w:val="1"/>
                <w:szCs w:val="1"/>
                <w:color w:val="auto"/>
              </w:rPr>
            </w:pPr>
          </w:p>
        </w:tc>
      </w:tr>
      <w:tr>
        <w:trPr>
          <w:trHeight w:val="153"/>
        </w:trPr>
        <w:tc>
          <w:tcPr>
            <w:tcW w:w="5740" w:type="dxa"/>
            <w:vAlign w:val="bottom"/>
            <w:gridSpan w:val="2"/>
            <w:vMerge w:val="continue"/>
          </w:tcPr>
          <w:p>
            <w:pPr>
              <w:spacing w:after="0"/>
              <w:rPr>
                <w:sz w:val="13"/>
                <w:szCs w:val="13"/>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billions)</w:t>
            </w: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60" w:type="dxa"/>
            <w:vAlign w:val="bottom"/>
            <w:tcBorders>
              <w:top w:val="single" w:sz="8" w:color="auto"/>
            </w:tcBorders>
            <w:shd w:val="clear" w:color="auto" w:fill="CCCCCC"/>
          </w:tcPr>
          <w:p>
            <w:pPr>
              <w:spacing w:after="0"/>
              <w:rPr>
                <w:sz w:val="20"/>
                <w:szCs w:val="20"/>
                <w:color w:val="auto"/>
              </w:rPr>
            </w:pPr>
            <w:r>
              <w:rPr>
                <w:rFonts w:ascii="Times New Roman" w:cs="Times New Roman" w:eastAsia="Times New Roman" w:hAnsi="Times New Roman"/>
                <w:sz w:val="13"/>
                <w:szCs w:val="13"/>
                <w:color w:val="auto"/>
              </w:rPr>
              <w:t>Adobe Inc.</w:t>
            </w:r>
          </w:p>
        </w:tc>
        <w:tc>
          <w:tcPr>
            <w:tcW w:w="80" w:type="dxa"/>
            <w:vAlign w:val="bottom"/>
            <w:tcBorders>
              <w:top w:val="single" w:sz="8" w:color="CCCCCC"/>
            </w:tcBorders>
            <w:shd w:val="clear" w:color="auto" w:fill="CCCCCC"/>
          </w:tcPr>
          <w:p>
            <w:pPr>
              <w:spacing w:after="0"/>
              <w:rPr>
                <w:sz w:val="14"/>
                <w:szCs w:val="14"/>
                <w:color w:val="auto"/>
              </w:rPr>
            </w:pPr>
          </w:p>
        </w:tc>
        <w:tc>
          <w:tcPr>
            <w:tcW w:w="26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19.4</w:t>
            </w:r>
          </w:p>
        </w:tc>
        <w:tc>
          <w:tcPr>
            <w:tcW w:w="100" w:type="dxa"/>
            <w:vAlign w:val="bottom"/>
            <w:tcBorders>
              <w:top w:val="single" w:sz="8" w:color="CCCCCC"/>
            </w:tcBorders>
            <w:shd w:val="clear" w:color="auto" w:fill="CCCCCC"/>
          </w:tcPr>
          <w:p>
            <w:pPr>
              <w:spacing w:after="0"/>
              <w:rPr>
                <w:sz w:val="14"/>
                <w:szCs w:val="14"/>
                <w:color w:val="auto"/>
              </w:rPr>
            </w:pPr>
          </w:p>
        </w:tc>
        <w:tc>
          <w:tcPr>
            <w:tcW w:w="26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281.1</w:t>
            </w:r>
          </w:p>
        </w:tc>
        <w:tc>
          <w:tcPr>
            <w:tcW w:w="0" w:type="dxa"/>
            <w:vAlign w:val="bottom"/>
          </w:tcPr>
          <w:p>
            <w:pPr>
              <w:spacing w:after="0"/>
              <w:rPr>
                <w:sz w:val="1"/>
                <w:szCs w:val="1"/>
                <w:color w:val="auto"/>
              </w:rPr>
            </w:pPr>
          </w:p>
        </w:tc>
      </w:tr>
      <w:tr>
        <w:trPr>
          <w:trHeight w:val="180"/>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Akamai Technologies,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18.6</w:t>
            </w:r>
          </w:p>
        </w:tc>
        <w:tc>
          <w:tcPr>
            <w:tcW w:w="0" w:type="dxa"/>
            <w:vAlign w:val="bottom"/>
          </w:tcPr>
          <w:p>
            <w:pPr>
              <w:spacing w:after="0"/>
              <w:rPr>
                <w:sz w:val="1"/>
                <w:szCs w:val="1"/>
                <w:color w:val="auto"/>
              </w:rPr>
            </w:pPr>
          </w:p>
        </w:tc>
      </w:tr>
      <w:tr>
        <w:trPr>
          <w:trHeight w:val="170"/>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ANSYS,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2.3</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28.5</w:t>
            </w:r>
          </w:p>
        </w:tc>
        <w:tc>
          <w:tcPr>
            <w:tcW w:w="0" w:type="dxa"/>
            <w:vAlign w:val="bottom"/>
          </w:tcPr>
          <w:p>
            <w:pPr>
              <w:spacing w:after="0"/>
              <w:rPr>
                <w:sz w:val="1"/>
                <w:szCs w:val="1"/>
                <w:color w:val="auto"/>
              </w:rPr>
            </w:pPr>
          </w:p>
        </w:tc>
      </w:t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Block,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21.9</w:t>
            </w:r>
          </w:p>
        </w:tc>
        <w:tc>
          <w:tcPr>
            <w:tcW w:w="10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40.0</w:t>
            </w:r>
          </w:p>
        </w:tc>
        <w:tc>
          <w:tcPr>
            <w:tcW w:w="0" w:type="dxa"/>
            <w:vAlign w:val="bottom"/>
          </w:tcPr>
          <w:p>
            <w:pPr>
              <w:spacing w:after="0"/>
              <w:rPr>
                <w:sz w:val="1"/>
                <w:szCs w:val="1"/>
                <w:color w:val="auto"/>
              </w:rPr>
            </w:pPr>
          </w:p>
        </w:tc>
      </w:tr>
      <w:tr>
        <w:trPr>
          <w:trHeight w:val="177"/>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Cadence Design Systems,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shd w:val="clear" w:color="auto" w:fill="CCCCCC"/>
          </w:tcPr>
          <w:p>
            <w:pPr>
              <w:spacing w:after="0"/>
              <w:rPr>
                <w:sz w:val="15"/>
                <w:szCs w:val="15"/>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78.4</w:t>
            </w:r>
          </w:p>
        </w:tc>
        <w:tc>
          <w:tcPr>
            <w:tcW w:w="0" w:type="dxa"/>
            <w:vAlign w:val="bottom"/>
          </w:tcPr>
          <w:p>
            <w:pPr>
              <w:spacing w:after="0"/>
              <w:rPr>
                <w:sz w:val="1"/>
                <w:szCs w:val="1"/>
                <w:color w:val="auto"/>
              </w:rPr>
            </w:pPr>
          </w:p>
        </w:tc>
      </w:tr>
      <w:tr>
        <w:trPr>
          <w:trHeight w:val="170"/>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Citrix Systems,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14"/>
                <w:szCs w:val="14"/>
                <w:color w:val="auto"/>
              </w:rPr>
            </w:pPr>
          </w:p>
        </w:tc>
        <w:tc>
          <w:tcPr>
            <w:tcW w:w="262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color w:val="auto"/>
                <w:w w:val="89"/>
              </w:rPr>
              <w:t xml:space="preserve">N/A </w:t>
            </w:r>
            <w:r>
              <w:rPr>
                <w:rFonts w:ascii="Times New Roman" w:cs="Times New Roman" w:eastAsia="Times New Roman" w:hAnsi="Times New Roman"/>
                <w:sz w:val="16"/>
                <w:szCs w:val="16"/>
                <w:color w:val="auto"/>
                <w:w w:val="89"/>
                <w:vertAlign w:val="superscript"/>
              </w:rPr>
              <w:t>(1)</w:t>
            </w:r>
          </w:p>
        </w:tc>
        <w:tc>
          <w:tcPr>
            <w:tcW w:w="0" w:type="dxa"/>
            <w:vAlign w:val="bottom"/>
          </w:tcPr>
          <w:p>
            <w:pPr>
              <w:spacing w:after="0"/>
              <w:rPr>
                <w:sz w:val="1"/>
                <w:szCs w:val="1"/>
                <w:color w:val="auto"/>
              </w:rPr>
            </w:pPr>
          </w:p>
        </w:tc>
      </w:tr>
      <w:tr>
        <w:trPr>
          <w:trHeight w:val="170"/>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DocuSign,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2.8</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12.5</w:t>
            </w:r>
          </w:p>
        </w:tc>
        <w:tc>
          <w:tcPr>
            <w:tcW w:w="0" w:type="dxa"/>
            <w:vAlign w:val="bottom"/>
          </w:tcPr>
          <w:p>
            <w:pPr>
              <w:spacing w:after="0"/>
              <w:rPr>
                <w:sz w:val="1"/>
                <w:szCs w:val="1"/>
                <w:color w:val="auto"/>
              </w:rPr>
            </w:pPr>
          </w:p>
        </w:tc>
      </w:tr>
      <w:tr>
        <w:trPr>
          <w:trHeight w:val="16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Electronic Arts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7.4</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36.9</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Fortinet,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5.3</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49.1</w:t>
            </w:r>
          </w:p>
        </w:tc>
        <w:tc>
          <w:tcPr>
            <w:tcW w:w="0" w:type="dxa"/>
            <w:vAlign w:val="bottom"/>
          </w:tcPr>
          <w:p>
            <w:pPr>
              <w:spacing w:after="0"/>
              <w:rPr>
                <w:sz w:val="1"/>
                <w:szCs w:val="1"/>
                <w:color w:val="auto"/>
              </w:rPr>
            </w:pPr>
          </w:p>
        </w:tc>
      </w:tr>
      <w:tr>
        <w:trPr>
          <w:trHeight w:val="16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 Digital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15.0</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Intuit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14.4</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176.8</w:t>
            </w:r>
          </w:p>
        </w:tc>
        <w:tc>
          <w:tcPr>
            <w:tcW w:w="0" w:type="dxa"/>
            <w:vAlign w:val="bottom"/>
          </w:tcPr>
          <w:p>
            <w:pPr>
              <w:spacing w:after="0"/>
              <w:rPr>
                <w:sz w:val="1"/>
                <w:szCs w:val="1"/>
                <w:color w:val="auto"/>
              </w:rPr>
            </w:pPr>
          </w:p>
        </w:tc>
      </w:tr>
      <w:tr>
        <w:trPr>
          <w:trHeight w:val="16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NetApp,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6.4</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18.0</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Palo Alto Networks,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6.9</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109.2</w:t>
            </w:r>
          </w:p>
        </w:tc>
        <w:tc>
          <w:tcPr>
            <w:tcW w:w="0" w:type="dxa"/>
            <w:vAlign w:val="bottom"/>
          </w:tcPr>
          <w:p>
            <w:pPr>
              <w:spacing w:after="0"/>
              <w:rPr>
                <w:sz w:val="1"/>
                <w:szCs w:val="1"/>
                <w:color w:val="auto"/>
              </w:rPr>
            </w:pPr>
          </w:p>
        </w:tc>
      </w:tr>
      <w:tr>
        <w:trPr>
          <w:trHeight w:val="16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PTC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21.6</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Salesforce,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34.9</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272.9</w:t>
            </w:r>
          </w:p>
        </w:tc>
        <w:tc>
          <w:tcPr>
            <w:tcW w:w="0" w:type="dxa"/>
            <w:vAlign w:val="bottom"/>
          </w:tcPr>
          <w:p>
            <w:pPr>
              <w:spacing w:after="0"/>
              <w:rPr>
                <w:sz w:val="1"/>
                <w:szCs w:val="1"/>
                <w:color w:val="auto"/>
              </w:rPr>
            </w:pPr>
          </w:p>
        </w:tc>
      </w:tr>
      <w:tr>
        <w:trPr>
          <w:trHeight w:val="16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ServiceNow,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9.0</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156.7</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CCCC"/>
          </w:tcPr>
          <w:p>
            <w:pPr>
              <w:spacing w:after="0" w:line="172" w:lineRule="exact"/>
              <w:rPr>
                <w:sz w:val="20"/>
                <w:szCs w:val="20"/>
                <w:color w:val="auto"/>
              </w:rPr>
            </w:pPr>
            <w:r>
              <w:rPr>
                <w:rFonts w:ascii="Times New Roman" w:cs="Times New Roman" w:eastAsia="Times New Roman" w:hAnsi="Times New Roman"/>
                <w:sz w:val="13"/>
                <w:szCs w:val="13"/>
                <w:color w:val="auto"/>
              </w:rPr>
              <w:t xml:space="preserve">Splunk Inc. </w:t>
            </w:r>
            <w:r>
              <w:rPr>
                <w:rFonts w:ascii="Times New Roman" w:cs="Times New Roman" w:eastAsia="Times New Roman" w:hAnsi="Times New Roman"/>
                <w:sz w:val="16"/>
                <w:szCs w:val="16"/>
                <w:color w:val="auto"/>
                <w:vertAlign w:val="superscript"/>
              </w:rPr>
              <w:t>(2)</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25.9</w:t>
            </w:r>
          </w:p>
        </w:tc>
        <w:tc>
          <w:tcPr>
            <w:tcW w:w="0" w:type="dxa"/>
            <w:vAlign w:val="bottom"/>
          </w:tcPr>
          <w:p>
            <w:pPr>
              <w:spacing w:after="0"/>
              <w:rPr>
                <w:sz w:val="1"/>
                <w:szCs w:val="1"/>
                <w:color w:val="auto"/>
              </w:rPr>
            </w:pPr>
          </w:p>
        </w:tc>
      </w:tr>
      <w:tr>
        <w:trPr>
          <w:trHeight w:val="16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Synopsys,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5.8</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81.4</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Workday, Inc.</w:t>
            </w:r>
          </w:p>
        </w:tc>
        <w:tc>
          <w:tcPr>
            <w:tcW w:w="26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7.3</w:t>
            </w:r>
          </w:p>
        </w:tc>
        <w:tc>
          <w:tcPr>
            <w:tcW w:w="100" w:type="dxa"/>
            <w:vAlign w:val="bottom"/>
            <w:shd w:val="clear" w:color="auto" w:fill="CCCCCC"/>
          </w:tcPr>
          <w:p>
            <w:pPr>
              <w:spacing w:after="0"/>
              <w:rPr>
                <w:sz w:val="14"/>
                <w:szCs w:val="14"/>
                <w:color w:val="auto"/>
              </w:rPr>
            </w:pP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76.8</w:t>
            </w:r>
          </w:p>
        </w:tc>
        <w:tc>
          <w:tcPr>
            <w:tcW w:w="0" w:type="dxa"/>
            <w:vAlign w:val="bottom"/>
          </w:tcPr>
          <w:p>
            <w:pPr>
              <w:spacing w:after="0"/>
              <w:rPr>
                <w:sz w:val="1"/>
                <w:szCs w:val="1"/>
                <w:color w:val="auto"/>
              </w:rPr>
            </w:pPr>
          </w:p>
        </w:tc>
      </w:tr>
      <w:tr>
        <w:trPr>
          <w:trHeight w:val="169"/>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Autodesk,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5.5</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54.3</w:t>
            </w:r>
          </w:p>
        </w:tc>
        <w:tc>
          <w:tcPr>
            <w:tcW w:w="0" w:type="dxa"/>
            <w:vAlign w:val="bottom"/>
          </w:tcPr>
          <w:p>
            <w:pPr>
              <w:spacing w:after="0"/>
              <w:rPr>
                <w:sz w:val="1"/>
                <w:szCs w:val="1"/>
                <w:color w:val="auto"/>
              </w:rPr>
            </w:pPr>
          </w:p>
        </w:tc>
      </w:tr>
      <w:tr>
        <w:trPr>
          <w:trHeight w:val="171"/>
        </w:trPr>
        <w:tc>
          <w:tcPr>
            <w:tcW w:w="5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b w:val="1"/>
                <w:bCs w:val="1"/>
                <w:color w:val="auto"/>
              </w:rPr>
              <w:t>Autodesk Percentile Ranking</w:t>
            </w:r>
          </w:p>
        </w:tc>
        <w:tc>
          <w:tcPr>
            <w:tcW w:w="2780" w:type="dxa"/>
            <w:vAlign w:val="bottom"/>
            <w:gridSpan w:val="2"/>
            <w:shd w:val="clear" w:color="auto" w:fill="CCCCCC"/>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47th</w:t>
            </w:r>
          </w:p>
        </w:tc>
        <w:tc>
          <w:tcPr>
            <w:tcW w:w="26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56th</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ind w:left="180" w:hanging="175"/>
        <w:spacing w:after="0"/>
        <w:tabs>
          <w:tab w:leader="none" w:pos="1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Citrix Systems was acquired in September 2022.</w:t>
      </w:r>
    </w:p>
    <w:p>
      <w:pPr>
        <w:spacing w:after="0" w:line="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Splunk Inc. was acquired by Cisco in March 2024.</w:t>
      </w:r>
    </w:p>
    <w:p>
      <w:pPr>
        <w:spacing w:after="0" w:line="172"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color w:val="auto"/>
        </w:rPr>
        <w:t>In September 2023, the Committee reviewed the compensation peer group that would be used for fiscal year 2025 compensation decision making. The Committee determined that for fiscal year 2025, all of the fiscal year 2024 peer group companies would still be appropriate to use except for Citrix Systems, which was removed from the peer group due to its acquisition in late 2022.</w:t>
      </w:r>
    </w:p>
    <w:p>
      <w:pPr>
        <w:spacing w:after="0" w:line="156" w:lineRule="exact"/>
        <w:rPr>
          <w:sz w:val="20"/>
          <w:szCs w:val="20"/>
          <w:color w:val="auto"/>
        </w:rPr>
      </w:pPr>
    </w:p>
    <w:p>
      <w:pPr>
        <w:ind w:right="180" w:firstLine="318"/>
        <w:spacing w:after="0" w:line="249" w:lineRule="auto"/>
        <w:rPr>
          <w:sz w:val="20"/>
          <w:szCs w:val="20"/>
          <w:color w:val="auto"/>
        </w:rPr>
      </w:pPr>
      <w:r>
        <w:rPr>
          <w:rFonts w:ascii="Times New Roman" w:cs="Times New Roman" w:eastAsia="Times New Roman" w:hAnsi="Times New Roman"/>
          <w:sz w:val="14"/>
          <w:szCs w:val="14"/>
          <w:color w:val="auto"/>
        </w:rPr>
        <w:t>When determining the base salary, incentive targets, equity grants, and target total direct compensation opportunity for each of our NEOs, the Committee references the median data from our compensation peer group for each component and in the aggregate. Actual compensation awards may be above or below the median levels, depending on Autodesk’s financial and operational performance and each executive officer’s experience, skills, and performance. The Committee believes that referencing the total compensation packages of the companies in the compensation peer group keeps Autodesk’s compensation competitive and within market norms. This also provides flexibility for variances in compensation where appropriate, based on each executive officer’s leadership, contributions, and particular skills or expertise as well as retention considerations.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Elements of the Executive Compensation Program</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principal elements of Autodesk’s fiscal year 2024 executive compensation program for the CEO and other NEOs are described below.</w:t>
      </w:r>
    </w:p>
    <w:p>
      <w:pPr>
        <w:spacing w:after="0" w:line="121"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2520" w:type="dxa"/>
            <w:vAlign w:val="bottom"/>
            <w:tcBorders>
              <w:bottom w:val="single" w:sz="8" w:color="666666"/>
            </w:tcBorders>
          </w:tcPr>
          <w:p>
            <w:pPr>
              <w:ind w:left="1260"/>
              <w:spacing w:after="0"/>
              <w:rPr>
                <w:sz w:val="20"/>
                <w:szCs w:val="20"/>
                <w:color w:val="auto"/>
              </w:rPr>
            </w:pPr>
            <w:r>
              <w:rPr>
                <w:rFonts w:ascii="Times New Roman" w:cs="Times New Roman" w:eastAsia="Times New Roman" w:hAnsi="Times New Roman"/>
                <w:sz w:val="11"/>
                <w:szCs w:val="11"/>
                <w:b w:val="1"/>
                <w:bCs w:val="1"/>
                <w:color w:val="auto"/>
              </w:rPr>
              <w:t>Component</w:t>
            </w:r>
          </w:p>
        </w:tc>
        <w:tc>
          <w:tcPr>
            <w:tcW w:w="2740" w:type="dxa"/>
            <w:vAlign w:val="bottom"/>
            <w:tcBorders>
              <w:bottom w:val="single" w:sz="8" w:color="666666"/>
            </w:tcBorders>
          </w:tcPr>
          <w:p>
            <w:pPr>
              <w:ind w:left="1560"/>
              <w:spacing w:after="0"/>
              <w:rPr>
                <w:sz w:val="20"/>
                <w:szCs w:val="20"/>
                <w:color w:val="auto"/>
              </w:rPr>
            </w:pPr>
            <w:r>
              <w:rPr>
                <w:rFonts w:ascii="Times New Roman" w:cs="Times New Roman" w:eastAsia="Times New Roman" w:hAnsi="Times New Roman"/>
                <w:sz w:val="11"/>
                <w:szCs w:val="11"/>
                <w:b w:val="1"/>
                <w:bCs w:val="1"/>
                <w:color w:val="auto"/>
              </w:rPr>
              <w:t>Purpose</w:t>
            </w:r>
          </w:p>
        </w:tc>
        <w:tc>
          <w:tcPr>
            <w:tcW w:w="3040" w:type="dxa"/>
            <w:vAlign w:val="bottom"/>
            <w:tcBorders>
              <w:bottom w:val="single" w:sz="8" w:color="666666"/>
            </w:tcBorders>
          </w:tcPr>
          <w:p>
            <w:pPr>
              <w:ind w:left="14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780" w:type="dxa"/>
            <w:vAlign w:val="bottom"/>
            <w:tcBorders>
              <w:bottom w:val="single" w:sz="8" w:color="666666"/>
            </w:tcBorders>
          </w:tcPr>
          <w:p>
            <w:pPr>
              <w:ind w:left="940"/>
              <w:spacing w:after="0"/>
              <w:rPr>
                <w:sz w:val="20"/>
                <w:szCs w:val="20"/>
                <w:color w:val="auto"/>
              </w:rPr>
            </w:pPr>
            <w:r>
              <w:rPr>
                <w:rFonts w:ascii="Times New Roman" w:cs="Times New Roman" w:eastAsia="Times New Roman" w:hAnsi="Times New Roman"/>
                <w:sz w:val="11"/>
                <w:szCs w:val="11"/>
                <w:b w:val="1"/>
                <w:bCs w:val="1"/>
                <w:color w:val="auto"/>
              </w:rPr>
              <w:t>Performance Measures</w:t>
            </w:r>
          </w:p>
        </w:tc>
      </w:tr>
      <w:tr>
        <w:trPr>
          <w:trHeight w:val="127"/>
        </w:trPr>
        <w:tc>
          <w:tcPr>
            <w:tcW w:w="2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2740" w:type="dxa"/>
            <w:vAlign w:val="bottom"/>
          </w:tcPr>
          <w:p>
            <w:pPr>
              <w:ind w:left="680"/>
              <w:spacing w:after="0" w:line="128" w:lineRule="exact"/>
              <w:rPr>
                <w:sz w:val="20"/>
                <w:szCs w:val="20"/>
                <w:color w:val="auto"/>
              </w:rPr>
            </w:pPr>
            <w:r>
              <w:rPr>
                <w:rFonts w:ascii="Times New Roman" w:cs="Times New Roman" w:eastAsia="Times New Roman" w:hAnsi="Times New Roman"/>
                <w:sz w:val="13"/>
                <w:szCs w:val="13"/>
                <w:color w:val="auto"/>
              </w:rPr>
              <w:t>Forms basis for overall competitive</w:t>
            </w:r>
          </w:p>
        </w:tc>
        <w:tc>
          <w:tcPr>
            <w:tcW w:w="304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auto"/>
              </w:rPr>
              <w:t>Reflects competitive market conditions, individual</w:t>
            </w:r>
          </w:p>
        </w:tc>
        <w:tc>
          <w:tcPr>
            <w:tcW w:w="27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auto"/>
                <w:w w:val="98"/>
              </w:rPr>
              <w:t>The Committee considers individual performance</w:t>
            </w:r>
          </w:p>
        </w:tc>
      </w:tr>
      <w:tr>
        <w:trPr>
          <w:trHeight w:val="138"/>
        </w:trPr>
        <w:tc>
          <w:tcPr>
            <w:tcW w:w="2520" w:type="dxa"/>
            <w:vAlign w:val="bottom"/>
          </w:tcPr>
          <w:p>
            <w:pPr>
              <w:spacing w:after="0"/>
              <w:rPr>
                <w:sz w:val="11"/>
                <w:szCs w:val="11"/>
                <w:color w:val="auto"/>
              </w:rPr>
            </w:pPr>
          </w:p>
        </w:tc>
        <w:tc>
          <w:tcPr>
            <w:tcW w:w="2740" w:type="dxa"/>
            <w:vAlign w:val="bottom"/>
          </w:tcPr>
          <w:p>
            <w:pPr>
              <w:ind w:left="680"/>
              <w:spacing w:after="0" w:line="138" w:lineRule="exact"/>
              <w:rPr>
                <w:sz w:val="20"/>
                <w:szCs w:val="20"/>
                <w:color w:val="auto"/>
              </w:rPr>
            </w:pPr>
            <w:r>
              <w:rPr>
                <w:rFonts w:ascii="Times New Roman" w:cs="Times New Roman" w:eastAsia="Times New Roman" w:hAnsi="Times New Roman"/>
                <w:sz w:val="13"/>
                <w:szCs w:val="13"/>
                <w:color w:val="auto"/>
              </w:rPr>
              <w:t>compensation package</w:t>
            </w:r>
          </w:p>
        </w:tc>
        <w:tc>
          <w:tcPr>
            <w:tcW w:w="3040" w:type="dxa"/>
            <w:vAlign w:val="bottom"/>
          </w:tcPr>
          <w:p>
            <w:pPr>
              <w:ind w:left="220"/>
              <w:spacing w:after="0" w:line="138" w:lineRule="exact"/>
              <w:rPr>
                <w:sz w:val="20"/>
                <w:szCs w:val="20"/>
                <w:color w:val="auto"/>
              </w:rPr>
            </w:pPr>
            <w:r>
              <w:rPr>
                <w:rFonts w:ascii="Times New Roman" w:cs="Times New Roman" w:eastAsia="Times New Roman" w:hAnsi="Times New Roman"/>
                <w:sz w:val="13"/>
                <w:szCs w:val="13"/>
                <w:color w:val="auto"/>
              </w:rPr>
              <w:t>performance, and internal alignment</w:t>
            </w:r>
          </w:p>
        </w:tc>
        <w:tc>
          <w:tcPr>
            <w:tcW w:w="2780" w:type="dxa"/>
            <w:vAlign w:val="bottom"/>
          </w:tcPr>
          <w:p>
            <w:pPr>
              <w:ind w:left="220"/>
              <w:spacing w:after="0" w:line="138" w:lineRule="exact"/>
              <w:rPr>
                <w:sz w:val="20"/>
                <w:szCs w:val="20"/>
                <w:color w:val="auto"/>
              </w:rPr>
            </w:pPr>
            <w:r>
              <w:rPr>
                <w:rFonts w:ascii="Times New Roman" w:cs="Times New Roman" w:eastAsia="Times New Roman" w:hAnsi="Times New Roman"/>
                <w:sz w:val="13"/>
                <w:szCs w:val="13"/>
                <w:color w:val="auto"/>
                <w:w w:val="97"/>
              </w:rPr>
              <w:t>when setting and reviewing base salary levels and</w:t>
            </w:r>
          </w:p>
        </w:tc>
      </w:tr>
      <w:tr>
        <w:trPr>
          <w:trHeight w:val="165"/>
        </w:trPr>
        <w:tc>
          <w:tcPr>
            <w:tcW w:w="2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7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merit increases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-178435</wp:posOffset>
            </wp:positionV>
            <wp:extent cx="7040245" cy="714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40245" cy="71437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tabs>
          <w:tab w:leader="none" w:pos="3280" w:val="left"/>
        </w:tabs>
        <w:rPr>
          <w:sz w:val="20"/>
          <w:szCs w:val="20"/>
          <w:color w:val="auto"/>
        </w:rPr>
      </w:pPr>
      <w:r>
        <w:rPr>
          <w:rFonts w:ascii="Times New Roman" w:cs="Times New Roman" w:eastAsia="Times New Roman" w:hAnsi="Times New Roman"/>
          <w:sz w:val="13"/>
          <w:szCs w:val="13"/>
          <w:color w:val="auto"/>
        </w:rPr>
        <w:t>Executive Incentive Plan (“EIP”), at Targeted Levels</w:t>
      </w:r>
      <w:r>
        <w:rPr>
          <w:sz w:val="20"/>
          <w:szCs w:val="20"/>
          <w:color w:val="auto"/>
        </w:rPr>
        <w:tab/>
      </w:r>
      <w:r>
        <w:rPr>
          <w:rFonts w:ascii="Times New Roman" w:cs="Times New Roman" w:eastAsia="Times New Roman" w:hAnsi="Times New Roman"/>
          <w:sz w:val="12"/>
          <w:szCs w:val="12"/>
          <w:color w:val="auto"/>
        </w:rPr>
        <w:t>Motivate achievement of annual strategic</w:t>
      </w:r>
    </w:p>
    <w:p>
      <w:pPr>
        <w:ind w:left="3300" w:right="20"/>
        <w:spacing w:after="0" w:line="223" w:lineRule="auto"/>
        <w:rPr>
          <w:sz w:val="20"/>
          <w:szCs w:val="20"/>
          <w:color w:val="auto"/>
        </w:rPr>
      </w:pPr>
      <w:r>
        <w:rPr>
          <w:rFonts w:ascii="Times New Roman" w:cs="Times New Roman" w:eastAsia="Times New Roman" w:hAnsi="Times New Roman"/>
          <w:sz w:val="13"/>
          <w:szCs w:val="13"/>
          <w:color w:val="auto"/>
        </w:rPr>
        <w:t>priorities relating to top- and bottom-line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-157480</wp:posOffset>
            </wp:positionV>
            <wp:extent cx="1239520" cy="6127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9520" cy="612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Target percentage based on competitive market practices and internal alignment</w:t>
      </w:r>
    </w:p>
    <w:p>
      <w:pPr>
        <w:spacing w:after="0" w:line="47"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2"/>
          <w:szCs w:val="12"/>
          <w:color w:val="auto"/>
        </w:rPr>
        <w:t>Actual bonus ranges from 0% to 200% of target and is determined by performance versus goals established at the beginning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324485</wp:posOffset>
            </wp:positionV>
            <wp:extent cx="704024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402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income from operations</w:t>
      </w:r>
    </w:p>
    <w:p>
      <w:pPr>
        <w:spacing w:after="0" w:line="611" w:lineRule="exact"/>
        <w:rPr>
          <w:sz w:val="20"/>
          <w:szCs w:val="20"/>
          <w:color w:val="auto"/>
        </w:rPr>
      </w:pPr>
    </w:p>
    <w:p>
      <w:pPr>
        <w:sectPr>
          <w:pgSz w:w="11900" w:h="16838" w:orient="portrait"/>
          <w:cols w:equalWidth="0" w:num="3">
            <w:col w:w="5420" w:space="160"/>
            <w:col w:w="2900" w:space="140"/>
            <w:col w:w="2580"/>
          </w:cols>
          <w:pgMar w:left="300" w:top="125" w:right="399" w:bottom="1440" w:gutter="0" w:footer="0" w:header="0"/>
          <w:type w:val="continuous"/>
        </w:sectPr>
      </w:pPr>
    </w:p>
    <w:p>
      <w:pPr>
        <w:spacing w:after="0" w:line="354" w:lineRule="exact"/>
        <w:rPr>
          <w:sz w:val="20"/>
          <w:szCs w:val="20"/>
          <w:color w:val="auto"/>
        </w:rPr>
      </w:pPr>
    </w:p>
    <w:p>
      <w:pPr>
        <w:ind w:left="120"/>
        <w:spacing w:after="0" w:line="264" w:lineRule="auto"/>
        <w:rPr>
          <w:sz w:val="20"/>
          <w:szCs w:val="20"/>
          <w:color w:val="auto"/>
        </w:rPr>
      </w:pPr>
      <w:r>
        <w:rPr>
          <w:rFonts w:ascii="Times New Roman" w:cs="Times New Roman" w:eastAsia="Times New Roman" w:hAnsi="Times New Roman"/>
          <w:sz w:val="13"/>
          <w:szCs w:val="13"/>
          <w:color w:val="auto"/>
        </w:rPr>
        <w:t>Long-Term Incentives —Performance Stock Units (“PSU”), at Grant-Date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114935</wp:posOffset>
            </wp:positionV>
            <wp:extent cx="1239520" cy="6064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39520" cy="606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Align compensation with key drivers of the business and relative total stockholder return</w:t>
      </w:r>
    </w:p>
    <w:p>
      <w:pPr>
        <w:spacing w:after="0" w:line="4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3"/>
          <w:szCs w:val="13"/>
          <w:color w:val="auto"/>
        </w:rPr>
        <w:t>Encourage focus on near-term and long-term strategic objectives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3"/>
          <w:szCs w:val="13"/>
          <w:color w:val="auto"/>
        </w:rPr>
        <w:t>Size of award based on competitive market practices, corporate and individual performance, and internal alignment</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Actual number of shares vested ranges from 0% to 200% of target and is determined by performance versus goals established at the beginning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499745</wp:posOffset>
            </wp:positionV>
            <wp:extent cx="704024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402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Free cash flow</w:t>
      </w:r>
    </w:p>
    <w:p>
      <w:pPr>
        <w:spacing w:after="0" w:line="63"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3"/>
          <w:szCs w:val="13"/>
          <w:color w:val="auto"/>
        </w:rPr>
        <w:t>Autodesk’s relative TSR over one-, two-, and three-year performance periods</w:t>
      </w:r>
    </w:p>
    <w:p>
      <w:pPr>
        <w:spacing w:after="0" w:line="47" w:lineRule="exact"/>
        <w:rPr>
          <w:sz w:val="20"/>
          <w:szCs w:val="20"/>
          <w:color w:val="auto"/>
        </w:rPr>
      </w:pPr>
    </w:p>
    <w:p>
      <w:pPr>
        <w:ind w:right="220"/>
        <w:spacing w:after="0" w:line="366" w:lineRule="auto"/>
        <w:rPr>
          <w:sz w:val="20"/>
          <w:szCs w:val="20"/>
          <w:color w:val="auto"/>
        </w:rPr>
      </w:pPr>
      <w:r>
        <w:rPr>
          <w:rFonts w:ascii="Times New Roman" w:cs="Times New Roman" w:eastAsia="Times New Roman" w:hAnsi="Times New Roman"/>
          <w:sz w:val="13"/>
          <w:szCs w:val="13"/>
          <w:color w:val="auto"/>
        </w:rPr>
        <w:t>Performance in relation to our ESG objectives Autodesk stock price</w:t>
      </w:r>
    </w:p>
    <w:p>
      <w:pPr>
        <w:spacing w:after="0" w:line="200" w:lineRule="exact"/>
        <w:rPr>
          <w:sz w:val="20"/>
          <w:szCs w:val="20"/>
          <w:color w:val="auto"/>
        </w:rPr>
      </w:pPr>
    </w:p>
    <w:p>
      <w:pPr>
        <w:sectPr>
          <w:pgSz w:w="11900" w:h="16838" w:orient="portrait"/>
          <w:cols w:equalWidth="0" w:num="4">
            <w:col w:w="3180" w:space="120"/>
            <w:col w:w="2140" w:space="140"/>
            <w:col w:w="2920" w:space="120"/>
            <w:col w:w="2580"/>
          </w:cols>
          <w:pgMar w:left="300" w:top="125" w:right="399" w:bottom="1440" w:gutter="0" w:footer="0" w:header="0"/>
          <w:type w:val="continuous"/>
        </w:sectPr>
      </w:pPr>
    </w:p>
    <w:p>
      <w:pPr>
        <w:spacing w:after="0" w:line="291" w:lineRule="exact"/>
        <w:rPr>
          <w:sz w:val="20"/>
          <w:szCs w:val="20"/>
          <w:color w:val="auto"/>
        </w:rPr>
      </w:pPr>
    </w:p>
    <w:p>
      <w:pPr>
        <w:ind w:left="120"/>
        <w:spacing w:after="0"/>
        <w:tabs>
          <w:tab w:leader="none" w:pos="3280" w:val="left"/>
        </w:tabs>
        <w:rPr>
          <w:sz w:val="20"/>
          <w:szCs w:val="20"/>
          <w:color w:val="auto"/>
        </w:rPr>
      </w:pPr>
      <w:r>
        <w:rPr>
          <w:rFonts w:ascii="Times New Roman" w:cs="Times New Roman" w:eastAsia="Times New Roman" w:hAnsi="Times New Roman"/>
          <w:sz w:val="13"/>
          <w:szCs w:val="13"/>
          <w:color w:val="auto"/>
        </w:rPr>
        <w:t>Long-Term Incentives — Restricted Stock Units (“RSU”)</w:t>
      </w:r>
      <w:r>
        <w:rPr>
          <w:sz w:val="20"/>
          <w:szCs w:val="20"/>
          <w:color w:val="auto"/>
        </w:rPr>
        <w:tab/>
      </w:r>
      <w:r>
        <w:rPr>
          <w:rFonts w:ascii="Times New Roman" w:cs="Times New Roman" w:eastAsia="Times New Roman" w:hAnsi="Times New Roman"/>
          <w:sz w:val="12"/>
          <w:szCs w:val="12"/>
          <w:color w:val="auto"/>
        </w:rPr>
        <w:t>Encourage focus on long-term</w:t>
      </w:r>
    </w:p>
    <w:p>
      <w:pPr>
        <w:ind w:left="3300"/>
        <w:spacing w:after="0"/>
        <w:rPr>
          <w:sz w:val="20"/>
          <w:szCs w:val="20"/>
          <w:color w:val="auto"/>
        </w:rPr>
      </w:pPr>
      <w:r>
        <w:rPr>
          <w:rFonts w:ascii="Times New Roman" w:cs="Times New Roman" w:eastAsia="Times New Roman" w:hAnsi="Times New Roman"/>
          <w:sz w:val="13"/>
          <w:szCs w:val="13"/>
          <w:color w:val="auto"/>
        </w:rPr>
        <w:t>stockholder value creation</w:t>
      </w:r>
    </w:p>
    <w:p>
      <w:pPr>
        <w:spacing w:after="0" w:line="4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color w:val="auto"/>
        </w:rPr>
        <w:t>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-93980</wp:posOffset>
            </wp:positionV>
            <wp:extent cx="1239520" cy="6064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39520" cy="606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3"/>
          <w:szCs w:val="13"/>
          <w:color w:val="auto"/>
        </w:rPr>
        <w:t>Size of award based on competitive market practices,</w:t>
      </w:r>
      <w:r>
        <w:rPr>
          <w:sz w:val="20"/>
          <w:szCs w:val="20"/>
          <w:color w:val="auto"/>
        </w:rPr>
        <w:tab/>
      </w:r>
      <w:r>
        <w:rPr>
          <w:rFonts w:ascii="Times New Roman" w:cs="Times New Roman" w:eastAsia="Times New Roman" w:hAnsi="Times New Roman"/>
          <w:sz w:val="12"/>
          <w:szCs w:val="12"/>
          <w:color w:val="auto"/>
        </w:rPr>
        <w:t>Autodesk stock price</w:t>
      </w:r>
    </w:p>
    <w:p>
      <w:pPr>
        <w:spacing w:after="0" w:line="204" w:lineRule="auto"/>
        <w:rPr>
          <w:sz w:val="20"/>
          <w:szCs w:val="20"/>
          <w:color w:val="auto"/>
        </w:rPr>
      </w:pPr>
      <w:r>
        <w:rPr>
          <w:rFonts w:ascii="Times New Roman" w:cs="Times New Roman" w:eastAsia="Times New Roman" w:hAnsi="Times New Roman"/>
          <w:sz w:val="13"/>
          <w:szCs w:val="13"/>
          <w:color w:val="auto"/>
        </w:rPr>
        <w:t>corporate and individual performance, internal</w:t>
      </w:r>
    </w:p>
    <w:p>
      <w:pPr>
        <w:spacing w:after="0"/>
        <w:rPr>
          <w:sz w:val="20"/>
          <w:szCs w:val="20"/>
          <w:color w:val="auto"/>
        </w:rPr>
      </w:pPr>
      <w:r>
        <w:rPr>
          <w:rFonts w:ascii="Times New Roman" w:cs="Times New Roman" w:eastAsia="Times New Roman" w:hAnsi="Times New Roman"/>
          <w:sz w:val="13"/>
          <w:szCs w:val="13"/>
          <w:color w:val="auto"/>
        </w:rPr>
        <w:t>alignment, and retention considerations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Recipients earn shares if they remain employed through</w:t>
      </w:r>
    </w:p>
    <w:p>
      <w:pPr>
        <w:spacing w:after="0"/>
        <w:rPr>
          <w:sz w:val="20"/>
          <w:szCs w:val="20"/>
          <w:color w:val="auto"/>
        </w:rPr>
      </w:pPr>
      <w:r>
        <w:rPr>
          <w:rFonts w:ascii="Times New Roman" w:cs="Times New Roman" w:eastAsia="Times New Roman" w:hAnsi="Times New Roman"/>
          <w:sz w:val="13"/>
          <w:szCs w:val="13"/>
          <w:color w:val="auto"/>
        </w:rPr>
        <w:t>the three-year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448945</wp:posOffset>
            </wp:positionV>
            <wp:extent cx="70402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402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20"/>
          </w:cols>
          <w:pgMar w:left="30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60" w:firstLine="318"/>
        <w:spacing w:after="0" w:line="261" w:lineRule="auto"/>
        <w:rPr>
          <w:sz w:val="20"/>
          <w:szCs w:val="20"/>
          <w:color w:val="auto"/>
        </w:rPr>
      </w:pPr>
      <w:r>
        <w:rPr>
          <w:rFonts w:ascii="Times New Roman" w:cs="Times New Roman" w:eastAsia="Times New Roman" w:hAnsi="Times New Roman"/>
          <w:sz w:val="14"/>
          <w:szCs w:val="14"/>
          <w:color w:val="auto"/>
        </w:rPr>
        <w:t>When setting the fiscal 2024 goals for the annual cash incentive opportunity and PSUs, the Committee considered the overlap of total revenue as a performance metric in both programs to be appropriate. Total revenue is a key metric indicator of Autodesk’s success, and the Committee believes it is important to incentivize performance in both the short-term and long-term timeframes by using this as a metric in both our annual and long-term plans, with multiple measurement periods. The use of non-GAAP income from operations in our annual cash incentive and free cash flow as well as relative TSR over one-, two-, and three-year performance periods against market indices as a modifier for the PSUs further differentiates the short- and long-term incentives and aligns those awards with the achievement of Autodesk’s strategic goals and the long-term interests of our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Base Salary</w:t>
      </w:r>
    </w:p>
    <w:p>
      <w:pPr>
        <w:spacing w:after="0" w:line="202"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Base salary is used to provide our executive officers with a competitive amount of fixed annual cash compensation. The Committee views base salary as a reliable source of income for the executive officers and an important recruiting and retention tool. The Committee sets base salaries at a competitive level that recognizes the scope, responsibility, and skills required of each position, as well as market conditions and internal pay alignment.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4"/>
          <w:szCs w:val="14"/>
          <w:color w:val="auto"/>
        </w:rPr>
        <w:t>As part of the annual review of base salaries, the Committee reviews a competitive benchmarking analyses for each executive role, and an assessment of each executive officer’s experience, skills, responsibilities, and performance level. For fiscal year 2024, after taking account of the above considerations, the Committee determined to hold Dr. Anagnost’s base salary flat, and otherwise made salary adjustments for our NEOs as shown in the table below. The Committee set Ms. Pearce’s base salary at the lower end of the competitive range last year because she was newly promoted to the Chief People Officer’s role. Given her accomplishments over the past year, the Committee adjusted her base salary to a position which more appropriately reflects her skills, experience and performance, and that better aligns with peer practices.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Fiscal Year 2023 Base Salary</w:t>
            </w:r>
          </w:p>
        </w:tc>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Fiscal Year 2024 Base Salary</w:t>
            </w:r>
          </w:p>
        </w:tc>
        <w:tc>
          <w:tcPr>
            <w:tcW w:w="232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 Change Compared to Prior Fiscal Year</w:t>
            </w:r>
          </w:p>
        </w:tc>
      </w:tr>
      <w:tr>
        <w:trPr>
          <w:trHeight w:val="170"/>
        </w:trPr>
        <w:tc>
          <w:tcPr>
            <w:tcW w:w="424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00" w:type="dxa"/>
            <w:vAlign w:val="bottom"/>
            <w:tcBorders>
              <w:top w:val="single" w:sz="8" w:color="CCCCCC"/>
            </w:tcBorders>
            <w:shd w:val="clear" w:color="auto" w:fill="CCCCCC"/>
          </w:tcPr>
          <w:p>
            <w:pPr>
              <w:spacing w:after="0"/>
              <w:rPr>
                <w:sz w:val="14"/>
                <w:szCs w:val="14"/>
                <w:color w:val="auto"/>
              </w:rPr>
            </w:pPr>
          </w:p>
        </w:tc>
        <w:tc>
          <w:tcPr>
            <w:tcW w:w="22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$1,040,000</w:t>
            </w:r>
          </w:p>
        </w:tc>
        <w:tc>
          <w:tcPr>
            <w:tcW w:w="80" w:type="dxa"/>
            <w:vAlign w:val="bottom"/>
            <w:tcBorders>
              <w:top w:val="single" w:sz="8" w:color="CCCCCC"/>
            </w:tcBorders>
            <w:shd w:val="clear" w:color="auto" w:fill="CCCCCC"/>
          </w:tcPr>
          <w:p>
            <w:pPr>
              <w:spacing w:after="0"/>
              <w:rPr>
                <w:sz w:val="14"/>
                <w:szCs w:val="14"/>
                <w:color w:val="auto"/>
              </w:rPr>
            </w:pPr>
          </w:p>
        </w:tc>
        <w:tc>
          <w:tcPr>
            <w:tcW w:w="22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9"/>
              </w:rPr>
              <w:t>$1,040,000</w:t>
            </w:r>
          </w:p>
        </w:tc>
        <w:tc>
          <w:tcPr>
            <w:tcW w:w="100" w:type="dxa"/>
            <w:vAlign w:val="bottom"/>
            <w:tcBorders>
              <w:top w:val="single" w:sz="8" w:color="CCCCCC"/>
            </w:tcBorders>
            <w:shd w:val="clear" w:color="auto" w:fill="CCCCCC"/>
          </w:tcPr>
          <w:p>
            <w:pPr>
              <w:spacing w:after="0"/>
              <w:rPr>
                <w:sz w:val="14"/>
                <w:szCs w:val="14"/>
                <w:color w:val="auto"/>
              </w:rPr>
            </w:pPr>
          </w:p>
        </w:tc>
        <w:tc>
          <w:tcPr>
            <w:tcW w:w="232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$625,000</w:t>
            </w:r>
          </w:p>
        </w:tc>
        <w:tc>
          <w:tcPr>
            <w:tcW w:w="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$650,000</w:t>
            </w:r>
          </w:p>
        </w:tc>
        <w:tc>
          <w:tcPr>
            <w:tcW w:w="1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72"/>
        </w:trPr>
        <w:tc>
          <w:tcPr>
            <w:tcW w:w="43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22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$700,000</w:t>
            </w:r>
          </w:p>
        </w:tc>
        <w:tc>
          <w:tcPr>
            <w:tcW w:w="80" w:type="dxa"/>
            <w:vAlign w:val="bottom"/>
            <w:shd w:val="clear" w:color="auto" w:fill="CCCCCC"/>
          </w:tcPr>
          <w:p>
            <w:pPr>
              <w:spacing w:after="0"/>
              <w:rPr>
                <w:sz w:val="14"/>
                <w:szCs w:val="14"/>
                <w:color w:val="auto"/>
              </w:rPr>
            </w:pPr>
          </w:p>
        </w:tc>
        <w:tc>
          <w:tcPr>
            <w:tcW w:w="22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$700,000</w:t>
            </w:r>
          </w:p>
        </w:tc>
        <w:tc>
          <w:tcPr>
            <w:tcW w:w="100" w:type="dxa"/>
            <w:vAlign w:val="bottom"/>
            <w:shd w:val="clear" w:color="auto" w:fill="CCCCCC"/>
          </w:tcPr>
          <w:p>
            <w:pPr>
              <w:spacing w:after="0"/>
              <w:rPr>
                <w:sz w:val="14"/>
                <w:szCs w:val="14"/>
                <w:color w:val="auto"/>
              </w:rPr>
            </w:pPr>
          </w:p>
        </w:tc>
        <w:tc>
          <w:tcPr>
            <w:tcW w:w="23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$530,000</w:t>
            </w:r>
          </w:p>
        </w:tc>
        <w:tc>
          <w:tcPr>
            <w:tcW w:w="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$540,000</w:t>
            </w:r>
          </w:p>
        </w:tc>
        <w:tc>
          <w:tcPr>
            <w:tcW w:w="1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43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 (1)</w:t>
            </w:r>
          </w:p>
        </w:tc>
        <w:tc>
          <w:tcPr>
            <w:tcW w:w="22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$381,300</w:t>
            </w:r>
          </w:p>
        </w:tc>
        <w:tc>
          <w:tcPr>
            <w:tcW w:w="80" w:type="dxa"/>
            <w:vAlign w:val="bottom"/>
            <w:shd w:val="clear" w:color="auto" w:fill="CCCCCC"/>
          </w:tcPr>
          <w:p>
            <w:pPr>
              <w:spacing w:after="0"/>
              <w:rPr>
                <w:sz w:val="14"/>
                <w:szCs w:val="14"/>
                <w:color w:val="auto"/>
              </w:rPr>
            </w:pPr>
          </w:p>
        </w:tc>
        <w:tc>
          <w:tcPr>
            <w:tcW w:w="22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$482,684</w:t>
            </w:r>
          </w:p>
        </w:tc>
        <w:tc>
          <w:tcPr>
            <w:tcW w:w="100" w:type="dxa"/>
            <w:vAlign w:val="bottom"/>
            <w:shd w:val="clear" w:color="auto" w:fill="CCCCCC"/>
          </w:tcPr>
          <w:p>
            <w:pPr>
              <w:spacing w:after="0"/>
              <w:rPr>
                <w:sz w:val="14"/>
                <w:szCs w:val="14"/>
                <w:color w:val="auto"/>
              </w:rPr>
            </w:pPr>
          </w:p>
        </w:tc>
        <w:tc>
          <w:tcPr>
            <w:tcW w:w="23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27 %</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ind w:left="260" w:right="260" w:hanging="255"/>
        <w:spacing w:after="0" w:line="264" w:lineRule="auto"/>
        <w:tabs>
          <w:tab w:leader="none" w:pos="185"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Pearce’s base salary is paid in British Pounds. The amounts represent the approximate dollar value of her base salary converted to U.S. dollars using the British Pound to dollar exchange rates of 1.23 and 1.25, which represent an average for fiscal years 2023 and 2024,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Short-Term Incentive Compensation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 the beginning of each fiscal year, the Committee establishes target award opportunities, payout metrics, and performance targets for the Autodesk, Inc., Executive Incentive Plan (“EIP”).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annual cash incentive is intended to motivate and reward participants for achieving company-wide annual financial and non-financial objectives as well as individual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Target Award Opportunities and Fiscal Year 2024 Executive Incentive Plan</w:t>
      </w:r>
    </w:p>
    <w:p>
      <w:pPr>
        <w:spacing w:after="0" w:line="202"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The Committee sets the target annual cash incentive award opportunity for each eligible executive officer based on competitive assessments, the executive’s particular role, and internal alignment considerations. These target opportunities are expressed as a percentage of the NEO’s annual base salary. Based on its review of these factors, the Committee maintained the CEO’s target annual incentive opportunity at 150% of his annual base salary for fiscal year 2024. The Committee increased other NEOs’ target opportunities from 75% to 80% of their annual base salaries for fiscal year 2024. An NEO may receive an earned award that is greater or less than the target award opportunity, depending upon Autodesk’s and the NEO’s performance.</w:t>
      </w:r>
    </w:p>
    <w:p>
      <w:pPr>
        <w:spacing w:after="0" w:line="162"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In fiscal year 2024, bonus awards for each of our NEOs were funded under the EIP program. At the beginning of the fiscal year, the Committee established funding performance thresholds, which, if achieved, would establish the maximum fiscal year 2024 EIP funding at 200% of target. For fiscal year 2024, the Committee selected total revenue, non-GAAP income from operations, and absolute TSR as the funding metrics. Autodesk’s fiscal year 2024 performance exceeded the funding threshold, resulting in the maximum bonus award funding for each executive. The Committee then exercised its negative discretion to reduce the actual bonus award for each of the participants based on pre-established performance measures,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Performance Measures and Performance</w:t>
      </w:r>
    </w:p>
    <w:p>
      <w:pPr>
        <w:spacing w:after="0" w:line="191"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4"/>
          <w:szCs w:val="14"/>
          <w:color w:val="auto"/>
        </w:rPr>
        <w:t>At the beginning of fiscal year 2024, the Committee approved fiscal year 2024 EIP performance measures to align our CEO’s and other NEOs’ bonus opportunities with our strategic priorities and key drivers of success. In its exercise of negative discretion, the Committee considered the performance attained versus the pre-established performance targets to determine payouts. For our CEO and other NEOs, the Committee assessed the performance of Autodesk against targets set at the beginning of the fiscal year based on the criteria below; the final award could range from 0% to 200% of the target award. This calculation yielded a bonus payout of 96.9% of target, as shown below:</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Metric (1)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Weighting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Attainment</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Funding</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Weighted EIP Funding %</w:t>
            </w:r>
          </w:p>
        </w:tc>
        <w:tc>
          <w:tcPr>
            <w:tcW w:w="0" w:type="dxa"/>
            <w:vAlign w:val="bottom"/>
          </w:tcPr>
          <w:p>
            <w:pPr>
              <w:spacing w:after="0"/>
              <w:rPr>
                <w:sz w:val="1"/>
                <w:szCs w:val="1"/>
                <w:color w:val="auto"/>
              </w:rPr>
            </w:pPr>
          </w:p>
        </w:tc>
      </w:tr>
      <w:tr>
        <w:trPr>
          <w:trHeight w:val="153"/>
        </w:trPr>
        <w:tc>
          <w:tcPr>
            <w:tcW w:w="346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tcBorders>
              <w:top w:val="single" w:sz="8" w:color="auto"/>
            </w:tcBorders>
            <w:shd w:val="clear" w:color="auto" w:fill="CCCCCC"/>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CCCCCC"/>
            </w:tcBorders>
            <w:shd w:val="clear" w:color="auto" w:fill="CCCCCC"/>
          </w:tcPr>
          <w:p>
            <w:pPr>
              <w:spacing w:after="0"/>
              <w:rPr>
                <w:sz w:val="14"/>
                <w:szCs w:val="14"/>
                <w:color w:val="auto"/>
              </w:rPr>
            </w:pPr>
          </w:p>
        </w:tc>
        <w:tc>
          <w:tcPr>
            <w:tcW w:w="110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top w:val="single" w:sz="8" w:color="CCCCCC"/>
            </w:tcBorders>
            <w:shd w:val="clear" w:color="auto" w:fill="CCCCCC"/>
          </w:tcPr>
          <w:p>
            <w:pPr>
              <w:spacing w:after="0"/>
              <w:rPr>
                <w:sz w:val="14"/>
                <w:szCs w:val="14"/>
                <w:color w:val="auto"/>
              </w:rPr>
            </w:pPr>
          </w:p>
        </w:tc>
        <w:tc>
          <w:tcPr>
            <w:tcW w:w="116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$5,497</w:t>
            </w:r>
          </w:p>
        </w:tc>
        <w:tc>
          <w:tcPr>
            <w:tcW w:w="80" w:type="dxa"/>
            <w:vAlign w:val="bottom"/>
            <w:tcBorders>
              <w:top w:val="single" w:sz="8" w:color="CCCCCC"/>
            </w:tcBorders>
            <w:shd w:val="clear" w:color="auto" w:fill="CCCCCC"/>
          </w:tcPr>
          <w:p>
            <w:pPr>
              <w:spacing w:after="0"/>
              <w:rPr>
                <w:sz w:val="14"/>
                <w:szCs w:val="14"/>
                <w:color w:val="auto"/>
              </w:rPr>
            </w:pPr>
          </w:p>
        </w:tc>
        <w:tc>
          <w:tcPr>
            <w:tcW w:w="11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$5,532</w:t>
            </w:r>
          </w:p>
        </w:tc>
        <w:tc>
          <w:tcPr>
            <w:tcW w:w="80" w:type="dxa"/>
            <w:vAlign w:val="bottom"/>
            <w:tcBorders>
              <w:top w:val="single" w:sz="8" w:color="CCCCCC"/>
            </w:tcBorders>
            <w:shd w:val="clear" w:color="auto" w:fill="CCCCCC"/>
          </w:tcPr>
          <w:p>
            <w:pPr>
              <w:spacing w:after="0"/>
              <w:rPr>
                <w:sz w:val="14"/>
                <w:szCs w:val="14"/>
                <w:color w:val="auto"/>
              </w:rPr>
            </w:pPr>
          </w:p>
        </w:tc>
        <w:tc>
          <w:tcPr>
            <w:tcW w:w="1260" w:type="dxa"/>
            <w:vAlign w:val="bottom"/>
            <w:tcBorders>
              <w:top w:val="single" w:sz="8" w:color="auto"/>
            </w:tcBorders>
            <w:shd w:val="clear" w:color="auto" w:fill="CCCCCC"/>
          </w:tcPr>
          <w:p>
            <w:pPr>
              <w:jc w:val="right"/>
              <w:ind w:right="400"/>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tcBorders>
              <w:top w:val="single" w:sz="8" w:color="CCCCCC"/>
            </w:tcBorders>
            <w:shd w:val="clear" w:color="auto" w:fill="CCCCCC"/>
          </w:tcPr>
          <w:p>
            <w:pPr>
              <w:spacing w:after="0"/>
              <w:rPr>
                <w:sz w:val="14"/>
                <w:szCs w:val="14"/>
                <w:color w:val="auto"/>
              </w:rPr>
            </w:pPr>
          </w:p>
        </w:tc>
        <w:tc>
          <w:tcPr>
            <w:tcW w:w="12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96.8%</w:t>
            </w:r>
          </w:p>
        </w:tc>
        <w:tc>
          <w:tcPr>
            <w:tcW w:w="100" w:type="dxa"/>
            <w:vAlign w:val="bottom"/>
            <w:tcBorders>
              <w:top w:val="single" w:sz="8" w:color="CCCCCC"/>
            </w:tcBorders>
            <w:shd w:val="clear" w:color="auto" w:fill="CCCCCC"/>
          </w:tcPr>
          <w:p>
            <w:pPr>
              <w:spacing w:after="0"/>
              <w:rPr>
                <w:sz w:val="14"/>
                <w:szCs w:val="14"/>
                <w:color w:val="auto"/>
              </w:rPr>
            </w:pPr>
          </w:p>
        </w:tc>
        <w:tc>
          <w:tcPr>
            <w:tcW w:w="136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58.1%</w:t>
            </w:r>
          </w:p>
        </w:tc>
        <w:tc>
          <w:tcPr>
            <w:tcW w:w="0" w:type="dxa"/>
            <w:vAlign w:val="bottom"/>
          </w:tcPr>
          <w:p>
            <w:pPr>
              <w:spacing w:after="0"/>
              <w:rPr>
                <w:sz w:val="1"/>
                <w:szCs w:val="1"/>
                <w:color w:val="auto"/>
              </w:rPr>
            </w:pP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Non-GAAP Income from Operations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$1,962</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4"/>
                <w:szCs w:val="14"/>
                <w:color w:val="auto"/>
              </w:rPr>
            </w:pPr>
          </w:p>
        </w:tc>
        <w:tc>
          <w:tcPr>
            <w:tcW w:w="1260" w:type="dxa"/>
            <w:vAlign w:val="bottom"/>
          </w:tcPr>
          <w:p>
            <w:pPr>
              <w:jc w:val="right"/>
              <w:ind w:right="400"/>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97.0%</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72"/>
        </w:trPr>
        <w:tc>
          <w:tcPr>
            <w:tcW w:w="346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100%</w:t>
            </w:r>
          </w:p>
        </w:tc>
        <w:tc>
          <w:tcPr>
            <w:tcW w:w="100" w:type="dxa"/>
            <w:vAlign w:val="bottom"/>
            <w:shd w:val="clear" w:color="auto" w:fill="CCCCCC"/>
          </w:tcPr>
          <w:p>
            <w:pPr>
              <w:spacing w:after="0"/>
              <w:rPr>
                <w:sz w:val="14"/>
                <w:szCs w:val="14"/>
                <w:color w:val="auto"/>
              </w:rPr>
            </w:pPr>
          </w:p>
        </w:tc>
        <w:tc>
          <w:tcPr>
            <w:tcW w:w="116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2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36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96.9%</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Consistent with our EIP administrative guidelines, the fiscal year 2024 total revenue and non-GAAP income from operations results were not adjusted for acquired entities.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Based on the level of achievement of the EIP program performance objectives,in March 2024 the Committee approved short-term incentive awards for the NEOs as shown below:</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Short-Term Incentive</w:t>
            </w: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Short-Term Incentive Payout as a</w:t>
            </w:r>
          </w:p>
        </w:tc>
        <w:tc>
          <w:tcPr>
            <w:tcW w:w="0" w:type="dxa"/>
            <w:vAlign w:val="bottom"/>
          </w:tcPr>
          <w:p>
            <w:pPr>
              <w:spacing w:after="0"/>
              <w:rPr>
                <w:sz w:val="1"/>
                <w:szCs w:val="1"/>
                <w:color w:val="auto"/>
              </w:rPr>
            </w:pPr>
          </w:p>
        </w:tc>
      </w:tr>
      <w:tr>
        <w:trPr>
          <w:trHeight w:val="11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212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Target as a Percentage of</w:t>
            </w:r>
          </w:p>
        </w:tc>
        <w:tc>
          <w:tcPr>
            <w:tcW w:w="2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Short-Term Incentive Target (1)</w:t>
            </w:r>
          </w:p>
        </w:tc>
        <w:tc>
          <w:tcPr>
            <w:tcW w:w="2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Short-Term Incentive Payout</w:t>
            </w: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40" w:type="dxa"/>
            <w:vAlign w:val="bottom"/>
            <w:gridSpan w:val="2"/>
            <w:vMerge w:val="continue"/>
          </w:tcPr>
          <w:p>
            <w:pPr>
              <w:spacing w:after="0"/>
              <w:rPr>
                <w:sz w:val="13"/>
                <w:szCs w:val="13"/>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Base Salary</w:t>
            </w:r>
          </w:p>
        </w:tc>
        <w:tc>
          <w:tcPr>
            <w:tcW w:w="2120" w:type="dxa"/>
            <w:vAlign w:val="bottom"/>
            <w:gridSpan w:val="2"/>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Target</w:t>
            </w:r>
          </w:p>
        </w:tc>
        <w:tc>
          <w:tcPr>
            <w:tcW w:w="0" w:type="dxa"/>
            <w:vAlign w:val="bottom"/>
          </w:tcPr>
          <w:p>
            <w:pPr>
              <w:spacing w:after="0"/>
              <w:rPr>
                <w:sz w:val="1"/>
                <w:szCs w:val="1"/>
                <w:color w:val="auto"/>
              </w:rPr>
            </w:pPr>
          </w:p>
        </w:tc>
      </w:tr>
      <w:tr>
        <w:trPr>
          <w:trHeight w:val="165"/>
        </w:trPr>
        <w:tc>
          <w:tcPr>
            <w:tcW w:w="306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80" w:type="dxa"/>
            <w:vAlign w:val="bottom"/>
            <w:tcBorders>
              <w:top w:val="single" w:sz="8" w:color="CCCCCC"/>
            </w:tcBorders>
            <w:shd w:val="clear" w:color="auto" w:fill="CCCCCC"/>
          </w:tcPr>
          <w:p>
            <w:pPr>
              <w:spacing w:after="0"/>
              <w:rPr>
                <w:sz w:val="14"/>
                <w:szCs w:val="14"/>
                <w:color w:val="auto"/>
              </w:rPr>
            </w:pPr>
          </w:p>
        </w:tc>
        <w:tc>
          <w:tcPr>
            <w:tcW w:w="20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150%</w:t>
            </w:r>
          </w:p>
        </w:tc>
        <w:tc>
          <w:tcPr>
            <w:tcW w:w="100" w:type="dxa"/>
            <w:vAlign w:val="bottom"/>
            <w:tcBorders>
              <w:top w:val="single" w:sz="8" w:color="CCCCCC"/>
            </w:tcBorders>
            <w:shd w:val="clear" w:color="auto" w:fill="CCCCCC"/>
          </w:tcPr>
          <w:p>
            <w:pPr>
              <w:spacing w:after="0"/>
              <w:rPr>
                <w:sz w:val="14"/>
                <w:szCs w:val="14"/>
                <w:color w:val="auto"/>
              </w:rPr>
            </w:pPr>
          </w:p>
        </w:tc>
        <w:tc>
          <w:tcPr>
            <w:tcW w:w="20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9"/>
              </w:rPr>
              <w:t>$1,560,000</w:t>
            </w:r>
          </w:p>
        </w:tc>
        <w:tc>
          <w:tcPr>
            <w:tcW w:w="100" w:type="dxa"/>
            <w:vAlign w:val="bottom"/>
            <w:tcBorders>
              <w:top w:val="single" w:sz="8" w:color="CCCCCC"/>
            </w:tcBorders>
            <w:shd w:val="clear" w:color="auto" w:fill="CCCCCC"/>
          </w:tcPr>
          <w:p>
            <w:pPr>
              <w:spacing w:after="0"/>
              <w:rPr>
                <w:sz w:val="14"/>
                <w:szCs w:val="14"/>
                <w:color w:val="auto"/>
              </w:rPr>
            </w:pPr>
          </w:p>
        </w:tc>
        <w:tc>
          <w:tcPr>
            <w:tcW w:w="19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$1,511,640</w:t>
            </w:r>
          </w:p>
        </w:tc>
        <w:tc>
          <w:tcPr>
            <w:tcW w:w="80" w:type="dxa"/>
            <w:vAlign w:val="bottom"/>
            <w:tcBorders>
              <w:top w:val="single" w:sz="8" w:color="CCCCCC"/>
            </w:tcBorders>
            <w:shd w:val="clear" w:color="auto" w:fill="CCCCCC"/>
          </w:tcPr>
          <w:p>
            <w:pPr>
              <w:spacing w:after="0"/>
              <w:rPr>
                <w:sz w:val="14"/>
                <w:szCs w:val="14"/>
                <w:color w:val="auto"/>
              </w:rPr>
            </w:pPr>
          </w:p>
        </w:tc>
        <w:tc>
          <w:tcPr>
            <w:tcW w:w="18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68"/>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$516,767</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$500,747</w:t>
            </w: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72"/>
        </w:trPr>
        <w:tc>
          <w:tcPr>
            <w:tcW w:w="31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20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CCCC"/>
          </w:tcPr>
          <w:p>
            <w:pPr>
              <w:spacing w:after="0"/>
              <w:rPr>
                <w:sz w:val="14"/>
                <w:szCs w:val="14"/>
                <w:color w:val="auto"/>
              </w:rPr>
            </w:pPr>
          </w:p>
        </w:tc>
        <w:tc>
          <w:tcPr>
            <w:tcW w:w="20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$560,000</w:t>
            </w:r>
          </w:p>
        </w:tc>
        <w:tc>
          <w:tcPr>
            <w:tcW w:w="100" w:type="dxa"/>
            <w:vAlign w:val="bottom"/>
            <w:shd w:val="clear" w:color="auto" w:fill="CCCCCC"/>
          </w:tcPr>
          <w:p>
            <w:pPr>
              <w:spacing w:after="0"/>
              <w:rPr>
                <w:sz w:val="14"/>
                <w:szCs w:val="14"/>
                <w:color w:val="auto"/>
              </w:rPr>
            </w:pPr>
          </w:p>
        </w:tc>
        <w:tc>
          <w:tcPr>
            <w:tcW w:w="19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$542,640</w:t>
            </w:r>
          </w:p>
        </w:tc>
        <w:tc>
          <w:tcPr>
            <w:tcW w:w="80" w:type="dxa"/>
            <w:vAlign w:val="bottom"/>
            <w:shd w:val="clear" w:color="auto" w:fill="CCCCCC"/>
          </w:tcPr>
          <w:p>
            <w:pPr>
              <w:spacing w:after="0"/>
              <w:rPr>
                <w:sz w:val="14"/>
                <w:szCs w:val="14"/>
                <w:color w:val="auto"/>
              </w:rPr>
            </w:pPr>
          </w:p>
        </w:tc>
        <w:tc>
          <w:tcPr>
            <w:tcW w:w="18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68"/>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$430,707</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$417,355</w:t>
            </w: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72"/>
        </w:trPr>
        <w:tc>
          <w:tcPr>
            <w:tcW w:w="31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20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CCCC"/>
          </w:tcPr>
          <w:p>
            <w:pPr>
              <w:spacing w:after="0"/>
              <w:rPr>
                <w:sz w:val="14"/>
                <w:szCs w:val="14"/>
                <w:color w:val="auto"/>
              </w:rPr>
            </w:pPr>
          </w:p>
        </w:tc>
        <w:tc>
          <w:tcPr>
            <w:tcW w:w="20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$372,798</w:t>
            </w:r>
          </w:p>
        </w:tc>
        <w:tc>
          <w:tcPr>
            <w:tcW w:w="100" w:type="dxa"/>
            <w:vAlign w:val="bottom"/>
            <w:shd w:val="clear" w:color="auto" w:fill="CCCCCC"/>
          </w:tcPr>
          <w:p>
            <w:pPr>
              <w:spacing w:after="0"/>
              <w:rPr>
                <w:sz w:val="14"/>
                <w:szCs w:val="14"/>
                <w:color w:val="auto"/>
              </w:rPr>
            </w:pPr>
          </w:p>
        </w:tc>
        <w:tc>
          <w:tcPr>
            <w:tcW w:w="19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$361,241</w:t>
            </w:r>
          </w:p>
        </w:tc>
        <w:tc>
          <w:tcPr>
            <w:tcW w:w="80" w:type="dxa"/>
            <w:vAlign w:val="bottom"/>
            <w:shd w:val="clear" w:color="auto" w:fill="CCCCCC"/>
          </w:tcPr>
          <w:p>
            <w:pPr>
              <w:spacing w:after="0"/>
              <w:rPr>
                <w:sz w:val="14"/>
                <w:szCs w:val="14"/>
                <w:color w:val="auto"/>
              </w:rPr>
            </w:pPr>
          </w:p>
        </w:tc>
        <w:tc>
          <w:tcPr>
            <w:tcW w:w="18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Short-term incentive target amounts are based on actual salary earnings during FY24, which may differ from approved FY24 salaries due to the effective date of salary increases.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2025 Short-Term Incentive Compensation</w:t>
      </w:r>
    </w:p>
    <w:p>
      <w:pPr>
        <w:spacing w:after="0" w:line="202"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In fiscal year 2025, the bonus awards for each of our NEOs will continue to be determined under the Autodesk, Inc. Executive Incentive Plan. Near the beginning of the fiscal year, the Committee approved the continuation of total revenue, non-GAAP income from operations, and absolute TSR as the threshold funding metrics. If the funding metrics are achieved, in its exercise of discretion, the Committee will consider Autodesk’s performance attainment versus pre-established targets to determine payouts against total revenue and non-GAAP income from operations, which have been retained as the performance metrics for the ultimate determination of bonus payments, with the following weighting: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80" w:type="dxa"/>
            <w:vAlign w:val="bottom"/>
            <w:gridSpan w:val="2"/>
          </w:tcPr>
          <w:p>
            <w:pPr>
              <w:ind w:left="2300"/>
              <w:spacing w:after="0"/>
              <w:rPr>
                <w:sz w:val="20"/>
                <w:szCs w:val="20"/>
                <w:color w:val="auto"/>
              </w:rPr>
            </w:pPr>
            <w:r>
              <w:rPr>
                <w:rFonts w:ascii="Times New Roman" w:cs="Times New Roman" w:eastAsia="Times New Roman" w:hAnsi="Times New Roman"/>
                <w:sz w:val="11"/>
                <w:szCs w:val="11"/>
                <w:b w:val="1"/>
                <w:bCs w:val="1"/>
                <w:color w:val="auto"/>
              </w:rPr>
              <w:t>Performance Metric</w:t>
            </w:r>
          </w:p>
        </w:tc>
        <w:tc>
          <w:tcPr>
            <w:tcW w:w="5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Weighting</w:t>
            </w:r>
          </w:p>
        </w:tc>
      </w:tr>
      <w:tr>
        <w:trPr>
          <w:trHeight w:val="170"/>
        </w:trPr>
        <w:tc>
          <w:tcPr>
            <w:tcW w:w="55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CCCCCC"/>
            </w:tcBorders>
            <w:shd w:val="clear" w:color="auto" w:fill="CCCCCC"/>
          </w:tcPr>
          <w:p>
            <w:pPr>
              <w:spacing w:after="0"/>
              <w:rPr>
                <w:sz w:val="14"/>
                <w:szCs w:val="14"/>
                <w:color w:val="auto"/>
              </w:rPr>
            </w:pPr>
          </w:p>
        </w:tc>
        <w:tc>
          <w:tcPr>
            <w:tcW w:w="560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60%</w:t>
            </w:r>
          </w:p>
        </w:tc>
      </w:tr>
      <w:tr>
        <w:trPr>
          <w:trHeight w:val="16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Non-GAAP Income from Operations</w:t>
            </w:r>
          </w:p>
        </w:tc>
        <w:tc>
          <w:tcPr>
            <w:tcW w:w="5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w:t>
            </w:r>
          </w:p>
        </w:tc>
      </w:tr>
    </w:tbl>
    <w:p>
      <w:pPr>
        <w:spacing w:after="0" w:line="255"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Committee believes that the metrics selected for the fiscal year 2025 EIP will align our incentives with key drivers of success. The final awards for our NEOs could range from 0% to 200% of target, depending on the performance achieved. In selecting total revenue and non-GAAP income from operations, the Committee also considered stockholder feedback in support of simplicity, metrics that reflect our evolved business model, and focus on profitability, as well as the practices of our peer companies. The Committee continuously assesses our compensation program structure and metrics to respond to business needs, industry practices, and the talent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p>
      <w:pPr>
        <w:spacing w:after="0" w:line="202"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Autodesk uses long-term incentive compensation in the form of equity awards to align executive pay opportunities with stockholder value creation and to motivate and reward executive officers for effectively executing longer-term strategic and operational objectives.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2024 Annual Long-Term Equity Awards</w:t>
      </w:r>
    </w:p>
    <w:p>
      <w:pPr>
        <w:spacing w:after="0" w:line="191"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During fiscal year 2024, the Committee approved annual equity awards in the form of PSUs and restricted stock units (“RSUs”) for our NEOs. The Committee elected to continue to use a mix of 60% PSUs and 40% RSUs for each of our NEOs, including our CEO, to complement the performance aspects of PSUs with the long-term retention element of RSUs.</w:t>
      </w:r>
    </w:p>
    <w:p>
      <w:pPr>
        <w:spacing w:after="0" w:line="135" w:lineRule="exact"/>
        <w:rPr>
          <w:sz w:val="20"/>
          <w:szCs w:val="20"/>
          <w:color w:val="auto"/>
        </w:rPr>
      </w:pPr>
    </w:p>
    <w:p>
      <w:pPr>
        <w:ind w:right="180" w:firstLine="318"/>
        <w:spacing w:after="0" w:line="271" w:lineRule="auto"/>
        <w:rPr>
          <w:sz w:val="20"/>
          <w:szCs w:val="20"/>
          <w:color w:val="auto"/>
        </w:rPr>
      </w:pPr>
      <w:r>
        <w:rPr>
          <w:rFonts w:ascii="Times New Roman" w:cs="Times New Roman" w:eastAsia="Times New Roman" w:hAnsi="Times New Roman"/>
          <w:sz w:val="14"/>
          <w:szCs w:val="14"/>
          <w:color w:val="auto"/>
        </w:rPr>
        <w:t>In arriving at the value of PSUs and RSUs to award each executive officer in fiscal year 2024, the Committee considered Autodesk’s performance in fiscal year 2023, competitive market data for the executive’s position, historical grants, unvested equity, individual performance of the executive, ESG performance and internal pay alignment.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4"/>
          <w:szCs w:val="14"/>
          <w:color w:val="auto"/>
        </w:rPr>
        <w:t>For fiscal year 2024, we added more structure to our approach to linking ESG to NEO long-term incentive awards. As part of this effort, we defined quantitative and qualitative measures that leaders were assessed against to inform the CEO’s recommendations to the Committee for the other NEOs and the Committee’s determination of the final awards for all NEOs. These metrics focus on diversity and belonging (D&amp;B) and environmental sustainability, including:</w:t>
      </w:r>
    </w:p>
    <w:p>
      <w:pPr>
        <w:spacing w:after="0" w:line="29" w:lineRule="exact"/>
        <w:rPr>
          <w:sz w:val="20"/>
          <w:szCs w:val="20"/>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Employee belonging and engagement outcomes</w:t>
      </w:r>
    </w:p>
    <w:p>
      <w:pPr>
        <w:spacing w:after="0" w:line="3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Turnover rates and representation of women and people of color</w:t>
      </w:r>
    </w:p>
    <w:p>
      <w:pPr>
        <w:spacing w:after="0" w:line="3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Achievement of decarbonization, greenhouse gas neutralization, and renewable energy goals</w:t>
      </w:r>
    </w:p>
    <w:p>
      <w:pPr>
        <w:spacing w:after="0" w:line="3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Executive involvement in and support of employee groups, external organizations, and other efforts that promote diversity, belonging, and environmental sustainability</w:t>
      </w:r>
    </w:p>
    <w:p>
      <w:pPr>
        <w:spacing w:after="0" w:line="156"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4"/>
          <w:szCs w:val="14"/>
          <w:color w:val="auto"/>
        </w:rPr>
        <w:t>Only when we significantly exceed our ESG goals or fail to achieve these metrics are long-term incentive awards adjusted upward or downward. For fiscal year 2024, the CEO and Committee concluded that the leadership team’s performance aligned with expectations for progress on ESG initiatives and therefore adjustments to NEO’s long-term incentive awards were not warranted.</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a result of this analysis, the following equity awards were approved in fiscal year 2024:</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Target Value of PSU and RSU Award</w:t>
            </w:r>
          </w:p>
        </w:tc>
        <w:tc>
          <w:tcPr>
            <w:tcW w:w="174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Target PSU Award (#) (1)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RSU Award (#) (1)</w:t>
            </w:r>
          </w:p>
        </w:tc>
      </w:tr>
      <w:tr>
        <w:trPr>
          <w:trHeight w:val="170"/>
        </w:trPr>
        <w:tc>
          <w:tcPr>
            <w:tcW w:w="400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00" w:type="dxa"/>
            <w:vAlign w:val="bottom"/>
            <w:tcBorders>
              <w:top w:val="single" w:sz="8" w:color="CCCCCC"/>
            </w:tcBorders>
            <w:shd w:val="clear" w:color="auto" w:fill="CCCCCC"/>
          </w:tcPr>
          <w:p>
            <w:pPr>
              <w:spacing w:after="0"/>
              <w:rPr>
                <w:sz w:val="14"/>
                <w:szCs w:val="14"/>
                <w:color w:val="auto"/>
              </w:rPr>
            </w:pPr>
          </w:p>
        </w:tc>
        <w:tc>
          <w:tcPr>
            <w:tcW w:w="25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$20,400,000</w:t>
            </w:r>
          </w:p>
        </w:tc>
        <w:tc>
          <w:tcPr>
            <w:tcW w:w="100" w:type="dxa"/>
            <w:vAlign w:val="bottom"/>
            <w:tcBorders>
              <w:top w:val="single" w:sz="8" w:color="CCCCCC"/>
            </w:tcBorders>
            <w:shd w:val="clear" w:color="auto" w:fill="CCCCCC"/>
          </w:tcPr>
          <w:p>
            <w:pPr>
              <w:spacing w:after="0"/>
              <w:rPr>
                <w:sz w:val="14"/>
                <w:szCs w:val="14"/>
                <w:color w:val="auto"/>
              </w:rPr>
            </w:pPr>
          </w:p>
        </w:tc>
        <w:tc>
          <w:tcPr>
            <w:tcW w:w="1740" w:type="dxa"/>
            <w:vAlign w:val="bottom"/>
            <w:tcBorders>
              <w:top w:val="single" w:sz="8" w:color="auto"/>
            </w:tcBorders>
            <w:shd w:val="clear" w:color="auto" w:fill="CCCCCC"/>
          </w:tcPr>
          <w:p>
            <w:pPr>
              <w:spacing w:after="0"/>
              <w:rPr>
                <w:sz w:val="14"/>
                <w:szCs w:val="14"/>
                <w:color w:val="auto"/>
              </w:rPr>
            </w:pPr>
          </w:p>
        </w:tc>
        <w:tc>
          <w:tcPr>
            <w:tcW w:w="4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61,129</w:t>
            </w:r>
          </w:p>
        </w:tc>
        <w:tc>
          <w:tcPr>
            <w:tcW w:w="80" w:type="dxa"/>
            <w:vAlign w:val="bottom"/>
            <w:tcBorders>
              <w:top w:val="single" w:sz="8" w:color="CCCCCC"/>
            </w:tcBorders>
            <w:shd w:val="clear" w:color="auto" w:fill="CCCCCC"/>
          </w:tcPr>
          <w:p>
            <w:pPr>
              <w:spacing w:after="0"/>
              <w:rPr>
                <w:sz w:val="14"/>
                <w:szCs w:val="14"/>
                <w:color w:val="auto"/>
              </w:rPr>
            </w:pPr>
          </w:p>
        </w:tc>
        <w:tc>
          <w:tcPr>
            <w:tcW w:w="21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40,753</w:t>
            </w:r>
          </w:p>
        </w:tc>
      </w:tr>
      <w:tr>
        <w:trPr>
          <w:trHeight w:val="1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2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$6,000,000</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17,979</w:t>
            </w:r>
          </w:p>
        </w:tc>
        <w:tc>
          <w:tcPr>
            <w:tcW w:w="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11,986</w:t>
            </w:r>
          </w:p>
        </w:tc>
      </w:tr>
      <w:tr>
        <w:trPr>
          <w:trHeight w:val="172"/>
        </w:trPr>
        <w:tc>
          <w:tcPr>
            <w:tcW w:w="41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2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100" w:type="dxa"/>
            <w:vAlign w:val="bottom"/>
            <w:shd w:val="clear" w:color="auto" w:fill="CCCCCC"/>
          </w:tcPr>
          <w:p>
            <w:pPr>
              <w:spacing w:after="0"/>
              <w:rPr>
                <w:sz w:val="14"/>
                <w:szCs w:val="14"/>
                <w:color w:val="auto"/>
              </w:rPr>
            </w:pPr>
          </w:p>
        </w:tc>
        <w:tc>
          <w:tcPr>
            <w:tcW w:w="1740" w:type="dxa"/>
            <w:vAlign w:val="bottom"/>
            <w:shd w:val="clear" w:color="auto" w:fill="CCCCCC"/>
          </w:tcPr>
          <w:p>
            <w:pPr>
              <w:spacing w:after="0"/>
              <w:rPr>
                <w:sz w:val="14"/>
                <w:szCs w:val="14"/>
                <w:color w:val="auto"/>
              </w:rPr>
            </w:pPr>
          </w:p>
        </w:tc>
        <w:tc>
          <w:tcPr>
            <w:tcW w:w="4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22,474</w:t>
            </w:r>
          </w:p>
        </w:tc>
        <w:tc>
          <w:tcPr>
            <w:tcW w:w="80" w:type="dxa"/>
            <w:vAlign w:val="bottom"/>
            <w:shd w:val="clear" w:color="auto" w:fill="CCCCCC"/>
          </w:tcPr>
          <w:p>
            <w:pPr>
              <w:spacing w:after="0"/>
              <w:rPr>
                <w:sz w:val="14"/>
                <w:szCs w:val="14"/>
                <w:color w:val="auto"/>
              </w:rPr>
            </w:pPr>
          </w:p>
        </w:tc>
        <w:tc>
          <w:tcPr>
            <w:tcW w:w="2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14,982</w:t>
            </w:r>
          </w:p>
        </w:tc>
      </w:tr>
      <w:tr>
        <w:trPr>
          <w:trHeight w:val="1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2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$3,800,000</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11,386</w:t>
            </w:r>
          </w:p>
        </w:tc>
        <w:tc>
          <w:tcPr>
            <w:tcW w:w="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7,591</w:t>
            </w:r>
          </w:p>
        </w:tc>
      </w:tr>
      <w:tr>
        <w:trPr>
          <w:trHeight w:val="172"/>
        </w:trPr>
        <w:tc>
          <w:tcPr>
            <w:tcW w:w="41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2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$3,800,000</w:t>
            </w:r>
          </w:p>
        </w:tc>
        <w:tc>
          <w:tcPr>
            <w:tcW w:w="100" w:type="dxa"/>
            <w:vAlign w:val="bottom"/>
            <w:shd w:val="clear" w:color="auto" w:fill="CCCCCC"/>
          </w:tcPr>
          <w:p>
            <w:pPr>
              <w:spacing w:after="0"/>
              <w:rPr>
                <w:sz w:val="14"/>
                <w:szCs w:val="14"/>
                <w:color w:val="auto"/>
              </w:rPr>
            </w:pPr>
          </w:p>
        </w:tc>
        <w:tc>
          <w:tcPr>
            <w:tcW w:w="1740" w:type="dxa"/>
            <w:vAlign w:val="bottom"/>
            <w:shd w:val="clear" w:color="auto" w:fill="CCCCCC"/>
          </w:tcPr>
          <w:p>
            <w:pPr>
              <w:spacing w:after="0"/>
              <w:rPr>
                <w:sz w:val="14"/>
                <w:szCs w:val="14"/>
                <w:color w:val="auto"/>
              </w:rPr>
            </w:pPr>
          </w:p>
        </w:tc>
        <w:tc>
          <w:tcPr>
            <w:tcW w:w="4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11,386</w:t>
            </w:r>
          </w:p>
        </w:tc>
        <w:tc>
          <w:tcPr>
            <w:tcW w:w="80" w:type="dxa"/>
            <w:vAlign w:val="bottom"/>
            <w:shd w:val="clear" w:color="auto" w:fill="CCCCCC"/>
          </w:tcPr>
          <w:p>
            <w:pPr>
              <w:spacing w:after="0"/>
              <w:rPr>
                <w:sz w:val="14"/>
                <w:szCs w:val="14"/>
                <w:color w:val="auto"/>
              </w:rPr>
            </w:pPr>
          </w:p>
        </w:tc>
        <w:tc>
          <w:tcPr>
            <w:tcW w:w="2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7,591</w:t>
            </w: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Number of shares determined by the weighting of PSUs and RSUs and the average closing stock price over the last 20 trading days prior to the date of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PSU Awards</w:t>
      </w:r>
    </w:p>
    <w:p>
      <w:pPr>
        <w:spacing w:after="0" w:line="191"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Our current PSU design was adopted following extensive stockholder outreach and incorporates a number of features our stockholders have identified as being most important, including multiple performance metrics, TSR relative to peers, and multi-year relative TSR measurement periods.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PSU awards provide for a minimum, target, and maximum number of shares to be earned based upon predetermined performance criteria.</w:t>
      </w:r>
    </w:p>
    <w:p>
      <w:pPr>
        <w:spacing w:after="0" w:line="94" w:lineRule="exact"/>
        <w:rPr>
          <w:sz w:val="20"/>
          <w:szCs w:val="20"/>
          <w:color w:val="auto"/>
        </w:rPr>
      </w:pPr>
    </w:p>
    <w:p>
      <w:pPr>
        <w:ind w:left="520" w:right="280" w:hanging="260"/>
        <w:spacing w:after="0" w:line="287"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2024 awards, PSU vesting will be based on achievement of performance goals adopted by the Committee (“Performance Results”) and Autodesk’s TSR compared against companies in the S&amp;P North American Technology Software Index with a market capitalization over $2 billion (“Relative TSR”) over one-, two-, and three-year performance periods.</w:t>
      </w:r>
    </w:p>
    <w:p>
      <w:pPr>
        <w:spacing w:after="0" w:line="28" w:lineRule="exact"/>
        <w:rPr>
          <w:rFonts w:ascii="Times New Roman" w:cs="Times New Roman" w:eastAsia="Times New Roman" w:hAnsi="Times New Roman"/>
          <w:sz w:val="14"/>
          <w:szCs w:val="14"/>
          <w:color w:val="auto"/>
        </w:rPr>
      </w:pPr>
    </w:p>
    <w:p>
      <w:pPr>
        <w:ind w:left="520" w:right="120" w:hanging="260"/>
        <w:spacing w:after="0" w:line="254"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year 2024, we measured Performance Results based on total revenue and free cash flow. To create a more predictable cash flow and align with industry standards for subscription business, Autodesk transitioned from up-front to annual billing for multi-year contracts in fiscal year 2024 with an understanding that this transition would create a significant headwind for free cash flow that fiscal year which would abate in fiscal year 2025. As a result, the free cash flow target was set at a level which was lower than fiscal year 2023.</w:t>
      </w:r>
    </w:p>
    <w:p>
      <w:pPr>
        <w:spacing w:after="0" w:line="61" w:lineRule="exact"/>
        <w:rPr>
          <w:rFonts w:ascii="Times New Roman" w:cs="Times New Roman" w:eastAsia="Times New Roman" w:hAnsi="Times New Roman"/>
          <w:sz w:val="14"/>
          <w:szCs w:val="14"/>
          <w:color w:val="auto"/>
        </w:rPr>
      </w:pPr>
    </w:p>
    <w:p>
      <w:pPr>
        <w:ind w:left="520" w:right="180" w:hanging="260"/>
        <w:spacing w:after="0" w:line="270"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multiple goals motivates management to drive Autodesk’s growth as well as focus on fundamental metrics used by investors to assess our performance. Combining a one-year financial performance period with one-, two-, and three-year Relative TSR performance periods provides a balance of short- and long-term focus, ensures sufficient line of sight and aligns stockholder interests.</w:t>
      </w:r>
    </w:p>
    <w:p>
      <w:pPr>
        <w:spacing w:after="0" w:line="157"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Performance Results for the relevant performance period could result in PSU attainment of 0% to 150% of target. Once the Performance Results percentage is established, it is multiplied by a percentage ranging from 67% to 133%, depending 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Autodesk’s Relative TSR for the period. The combined impact of these performance criteria is that PSUs could be earned from 0% to 200% of target. The chart below illustrates the attainment mechanics for the PSUs approved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41275</wp:posOffset>
            </wp:positionV>
            <wp:extent cx="38417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4175" cy="69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41275</wp:posOffset>
            </wp:positionV>
            <wp:extent cx="38417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4175" cy="6985"/>
                    </a:xfrm>
                    <a:prstGeom prst="rect">
                      <a:avLst/>
                    </a:prstGeom>
                    <a:noFill/>
                  </pic:spPr>
                </pic:pic>
              </a:graphicData>
            </a:graphic>
          </wp:anchor>
        </w:drawing>
      </w:r>
    </w:p>
    <w:p>
      <w:pPr>
        <w:spacing w:after="0" w:line="33" w:lineRule="exact"/>
        <w:rPr>
          <w:sz w:val="20"/>
          <w:szCs w:val="20"/>
          <w:color w:val="auto"/>
        </w:rPr>
      </w:pPr>
    </w:p>
    <w:tbl>
      <w:tblPr>
        <w:tblLayout w:type="fixed"/>
        <w:tblInd w:w="150" w:type="dxa"/>
        <w:tblCellMar>
          <w:top w:w="0" w:type="dxa"/>
          <w:left w:w="0" w:type="dxa"/>
          <w:bottom w:w="0" w:type="dxa"/>
          <w:right w:w="0" w:type="dxa"/>
        </w:tblCellMar>
      </w:tblPr>
      <w:tr>
        <w:trPr>
          <w:trHeight w:val="149"/>
        </w:trPr>
        <w:tc>
          <w:tcPr>
            <w:tcW w:w="3300" w:type="dxa"/>
            <w:vAlign w:val="bottom"/>
            <w:tcBorders>
              <w:left w:val="single" w:sz="8" w:color="auto"/>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Fiscal Year 2024</w:t>
            </w:r>
          </w:p>
        </w:tc>
        <w:tc>
          <w:tcPr>
            <w:tcW w:w="58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Fiscal Year 2025</w:t>
            </w:r>
          </w:p>
        </w:tc>
        <w:tc>
          <w:tcPr>
            <w:tcW w:w="600" w:type="dxa"/>
            <w:vAlign w:val="bottom"/>
            <w:tcBorders>
              <w:right w:val="single" w:sz="8" w:color="auto"/>
            </w:tcBorders>
          </w:tcPr>
          <w:p>
            <w:pPr>
              <w:spacing w:after="0"/>
              <w:rPr>
                <w:sz w:val="12"/>
                <w:szCs w:val="12"/>
                <w:color w:val="auto"/>
              </w:rPr>
            </w:pPr>
          </w:p>
        </w:tc>
        <w:tc>
          <w:tcPr>
            <w:tcW w:w="328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Fiscal Year 2026</w:t>
            </w:r>
          </w:p>
        </w:tc>
      </w:tr>
      <w:tr>
        <w:trPr>
          <w:trHeight w:val="180"/>
        </w:trPr>
        <w:tc>
          <w:tcPr>
            <w:tcW w:w="3300" w:type="dxa"/>
            <w:vAlign w:val="bottom"/>
            <w:tcBorders>
              <w:left w:val="single" w:sz="8" w:color="auto"/>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(First PSU Tranche)</w:t>
            </w:r>
          </w:p>
        </w:tc>
        <w:tc>
          <w:tcPr>
            <w:tcW w:w="58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(Second PSU Tranche)</w:t>
            </w:r>
          </w:p>
        </w:tc>
        <w:tc>
          <w:tcPr>
            <w:tcW w:w="6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(Third PSU Tranche)</w:t>
            </w:r>
          </w:p>
        </w:tc>
      </w:tr>
      <w:tr>
        <w:trPr>
          <w:trHeight w:val="335"/>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Fiscal Year 2024 Target Shares</w:t>
            </w:r>
          </w:p>
        </w:tc>
        <w:tc>
          <w:tcPr>
            <w:tcW w:w="58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Fiscal Year 2025 Target Shares</w:t>
            </w:r>
          </w:p>
        </w:tc>
        <w:tc>
          <w:tcPr>
            <w:tcW w:w="6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Fiscal Year 2026 Target Shares</w:t>
            </w:r>
          </w:p>
        </w:tc>
      </w:tr>
      <w:tr>
        <w:trPr>
          <w:trHeight w:val="212"/>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Multiplied by</w:t>
            </w:r>
            <w:r>
              <w:rPr>
                <w:rFonts w:ascii="Times New Roman" w:cs="Times New Roman" w:eastAsia="Times New Roman" w:hAnsi="Times New Roman"/>
                <w:sz w:val="13"/>
                <w:szCs w:val="13"/>
                <w:color w:val="auto"/>
                <w:w w:val="96"/>
              </w:rPr>
              <w:t>:</w:t>
            </w:r>
          </w:p>
        </w:tc>
        <w:tc>
          <w:tcPr>
            <w:tcW w:w="5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Multiplied by:</w:t>
            </w: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Multiplied by:</w:t>
            </w:r>
          </w:p>
        </w:tc>
      </w:tr>
      <w:tr>
        <w:trPr>
          <w:trHeight w:val="212"/>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Fiscal Year 2024 Financial Performance</w:t>
            </w:r>
          </w:p>
        </w:tc>
        <w:tc>
          <w:tcPr>
            <w:tcW w:w="5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Fiscal Year 2025 Financial Performance</w:t>
            </w: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Fiscal Year 2026 Financial Performance</w:t>
            </w:r>
          </w:p>
        </w:tc>
      </w:tr>
      <w:tr>
        <w:trPr>
          <w:trHeight w:val="212"/>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(0%-150% of Target)</w:t>
            </w:r>
          </w:p>
        </w:tc>
        <w:tc>
          <w:tcPr>
            <w:tcW w:w="5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(0%-150% of Target)</w:t>
            </w: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(0%-150% of Target)</w:t>
            </w:r>
          </w:p>
        </w:tc>
      </w:tr>
      <w:tr>
        <w:trPr>
          <w:trHeight w:val="212"/>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Multiplied by:</w:t>
            </w:r>
          </w:p>
        </w:tc>
        <w:tc>
          <w:tcPr>
            <w:tcW w:w="5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Multiplied by:</w:t>
            </w: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Multiplied by:</w:t>
            </w:r>
          </w:p>
        </w:tc>
      </w:tr>
      <w:tr>
        <w:trPr>
          <w:trHeight w:val="223"/>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Fiscal Year 2023-2024 Relative TSR</w:t>
            </w:r>
          </w:p>
        </w:tc>
        <w:tc>
          <w:tcPr>
            <w:tcW w:w="5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Fiscal Year 2023-2025 Relative TSR</w:t>
            </w: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Fiscal Year 2023-2026 Relative TSR</w:t>
            </w:r>
          </w:p>
        </w:tc>
      </w:tr>
      <w:tr>
        <w:trPr>
          <w:trHeight w:val="223"/>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(+/- 33%)</w:t>
            </w:r>
          </w:p>
        </w:tc>
        <w:tc>
          <w:tcPr>
            <w:tcW w:w="5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(+/- 33%)</w:t>
            </w: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(+/- 33%)</w:t>
            </w:r>
          </w:p>
        </w:tc>
      </w:tr>
      <w:tr>
        <w:trPr>
          <w:trHeight w:val="89"/>
        </w:trPr>
        <w:tc>
          <w:tcPr>
            <w:tcW w:w="3300" w:type="dxa"/>
            <w:vAlign w:val="bottom"/>
            <w:tcBorders>
              <w:left w:val="single" w:sz="8" w:color="auto"/>
              <w:bottom w:val="single" w:sz="8" w:color="auto"/>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-6350</wp:posOffset>
            </wp:positionV>
            <wp:extent cx="38417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4175" cy="69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-6350</wp:posOffset>
            </wp:positionV>
            <wp:extent cx="38417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417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-1050290</wp:posOffset>
            </wp:positionV>
            <wp:extent cx="700659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06590" cy="69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-1104265</wp:posOffset>
            </wp:positionV>
            <wp:extent cx="49250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25060" cy="6985"/>
                    </a:xfrm>
                    <a:prstGeom prst="rect">
                      <a:avLst/>
                    </a:prstGeom>
                    <a:noFill/>
                  </pic:spPr>
                </pic:pic>
              </a:graphicData>
            </a:graphic>
          </wp:anchor>
        </w:drawing>
      </w:r>
    </w:p>
    <w:p>
      <w:pPr>
        <w:spacing w:after="0" w:line="220"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An executive who has received PSU grants in three successive years will have a portion of the total PSU shares vesting in the third year based on each of 3-year, 2-year and 1-year Relative TSR (see “Vesting of PSUs” below for an illustration of this cumulative effect of multiple PSU grants).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Vesting of PSUs in 2024</w:t>
      </w:r>
    </w:p>
    <w:p>
      <w:pPr>
        <w:spacing w:after="0" w:line="202"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In March 2024, the Committee reviewed and certified the attainment levels for performance measures for the third tranche of PSUs awarded in April 2021, the second tranche of PSUs awarded in April 2022, and the first tranche of PSUs awarded in April 2023. For each award, the Committee certified the following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Metric (1)</w:t>
            </w:r>
          </w:p>
        </w:tc>
        <w:tc>
          <w:tcPr>
            <w:tcW w:w="1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Weighting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Performance Attainment</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Funding</w:t>
            </w:r>
          </w:p>
        </w:tc>
        <w:tc>
          <w:tcPr>
            <w:tcW w:w="14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Weighted Funding</w:t>
            </w:r>
          </w:p>
        </w:tc>
        <w:tc>
          <w:tcPr>
            <w:tcW w:w="0" w:type="dxa"/>
            <w:vAlign w:val="bottom"/>
          </w:tcPr>
          <w:p>
            <w:pPr>
              <w:spacing w:after="0"/>
              <w:rPr>
                <w:sz w:val="1"/>
                <w:szCs w:val="1"/>
                <w:color w:val="auto"/>
              </w:rPr>
            </w:pPr>
          </w:p>
        </w:tc>
      </w:tr>
      <w:tr>
        <w:trPr>
          <w:trHeight w:val="153"/>
        </w:trPr>
        <w:tc>
          <w:tcPr>
            <w:tcW w:w="234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60" w:type="dxa"/>
            <w:vAlign w:val="bottom"/>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4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CCCCCC"/>
            </w:tcBorders>
            <w:shd w:val="clear" w:color="auto" w:fill="CCCCCC"/>
          </w:tcPr>
          <w:p>
            <w:pPr>
              <w:spacing w:after="0"/>
              <w:rPr>
                <w:sz w:val="14"/>
                <w:szCs w:val="14"/>
                <w:color w:val="auto"/>
              </w:rPr>
            </w:pPr>
          </w:p>
        </w:tc>
        <w:tc>
          <w:tcPr>
            <w:tcW w:w="14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top w:val="single" w:sz="8" w:color="CCCCCC"/>
            </w:tcBorders>
            <w:shd w:val="clear" w:color="auto" w:fill="CCCCCC"/>
          </w:tcPr>
          <w:p>
            <w:pPr>
              <w:spacing w:after="0"/>
              <w:rPr>
                <w:sz w:val="14"/>
                <w:szCs w:val="14"/>
                <w:color w:val="auto"/>
              </w:rPr>
            </w:pPr>
          </w:p>
        </w:tc>
        <w:tc>
          <w:tcPr>
            <w:tcW w:w="13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$5,497</w:t>
            </w:r>
          </w:p>
        </w:tc>
        <w:tc>
          <w:tcPr>
            <w:tcW w:w="80" w:type="dxa"/>
            <w:vAlign w:val="bottom"/>
            <w:tcBorders>
              <w:top w:val="single" w:sz="8" w:color="CCCCCC"/>
            </w:tcBorders>
            <w:shd w:val="clear" w:color="auto" w:fill="CCCCCC"/>
          </w:tcPr>
          <w:p>
            <w:pPr>
              <w:spacing w:after="0"/>
              <w:rPr>
                <w:sz w:val="14"/>
                <w:szCs w:val="14"/>
                <w:color w:val="auto"/>
              </w:rPr>
            </w:pPr>
          </w:p>
        </w:tc>
        <w:tc>
          <w:tcPr>
            <w:tcW w:w="14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$5,532</w:t>
            </w:r>
          </w:p>
        </w:tc>
        <w:tc>
          <w:tcPr>
            <w:tcW w:w="80" w:type="dxa"/>
            <w:vAlign w:val="bottom"/>
            <w:tcBorders>
              <w:top w:val="single" w:sz="8" w:color="CCCCCC"/>
            </w:tcBorders>
            <w:shd w:val="clear" w:color="auto" w:fill="CCCCCC"/>
          </w:tcPr>
          <w:p>
            <w:pPr>
              <w:spacing w:after="0"/>
              <w:rPr>
                <w:sz w:val="14"/>
                <w:szCs w:val="14"/>
                <w:color w:val="auto"/>
              </w:rPr>
            </w:pPr>
          </w:p>
        </w:tc>
        <w:tc>
          <w:tcPr>
            <w:tcW w:w="1360" w:type="dxa"/>
            <w:vAlign w:val="bottom"/>
            <w:tcBorders>
              <w:top w:val="single" w:sz="8" w:color="auto"/>
            </w:tcBorders>
            <w:shd w:val="clear" w:color="auto" w:fill="CCCCCC"/>
          </w:tcPr>
          <w:p>
            <w:pPr>
              <w:jc w:val="right"/>
              <w:ind w:right="440"/>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tcBorders>
              <w:top w:val="single" w:sz="8" w:color="CCCCCC"/>
            </w:tcBorders>
            <w:shd w:val="clear" w:color="auto" w:fill="CCCCCC"/>
          </w:tcPr>
          <w:p>
            <w:pPr>
              <w:spacing w:after="0"/>
              <w:rPr>
                <w:sz w:val="14"/>
                <w:szCs w:val="14"/>
                <w:color w:val="auto"/>
              </w:rPr>
            </w:pPr>
          </w:p>
        </w:tc>
        <w:tc>
          <w:tcPr>
            <w:tcW w:w="1440" w:type="dxa"/>
            <w:vAlign w:val="bottom"/>
            <w:tcBorders>
              <w:top w:val="single" w:sz="8" w:color="auto"/>
            </w:tcBorders>
            <w:shd w:val="clear" w:color="auto" w:fill="CDCDCD"/>
          </w:tcPr>
          <w:p>
            <w:pPr>
              <w:jc w:val="center"/>
              <w:spacing w:after="0"/>
              <w:rPr>
                <w:sz w:val="20"/>
                <w:szCs w:val="20"/>
                <w:color w:val="auto"/>
              </w:rPr>
            </w:pPr>
            <w:r>
              <w:rPr>
                <w:rFonts w:ascii="Times New Roman" w:cs="Times New Roman" w:eastAsia="Times New Roman" w:hAnsi="Times New Roman"/>
                <w:sz w:val="13"/>
                <w:szCs w:val="13"/>
                <w:color w:val="auto"/>
                <w:w w:val="95"/>
              </w:rPr>
              <w:t>96.8%</w:t>
            </w:r>
          </w:p>
        </w:tc>
        <w:tc>
          <w:tcPr>
            <w:tcW w:w="80" w:type="dxa"/>
            <w:vAlign w:val="bottom"/>
            <w:tcBorders>
              <w:top w:val="single" w:sz="8" w:color="CDCDCD"/>
            </w:tcBorders>
            <w:shd w:val="clear" w:color="auto" w:fill="CDCDCD"/>
          </w:tcPr>
          <w:p>
            <w:pPr>
              <w:spacing w:after="0"/>
              <w:rPr>
                <w:sz w:val="14"/>
                <w:szCs w:val="14"/>
                <w:color w:val="auto"/>
              </w:rPr>
            </w:pPr>
          </w:p>
        </w:tc>
        <w:tc>
          <w:tcPr>
            <w:tcW w:w="1440" w:type="dxa"/>
            <w:vAlign w:val="bottom"/>
            <w:tcBorders>
              <w:top w:val="single" w:sz="8" w:color="auto"/>
            </w:tcBorders>
            <w:shd w:val="clear" w:color="auto" w:fill="CDCDCD"/>
          </w:tcPr>
          <w:p>
            <w:pPr>
              <w:jc w:val="center"/>
              <w:spacing w:after="0"/>
              <w:rPr>
                <w:sz w:val="20"/>
                <w:szCs w:val="20"/>
                <w:color w:val="auto"/>
              </w:rPr>
            </w:pPr>
            <w:r>
              <w:rPr>
                <w:rFonts w:ascii="Times New Roman" w:cs="Times New Roman" w:eastAsia="Times New Roman" w:hAnsi="Times New Roman"/>
                <w:sz w:val="13"/>
                <w:szCs w:val="13"/>
                <w:color w:val="auto"/>
                <w:w w:val="95"/>
              </w:rPr>
              <w:t>58.1%</w:t>
            </w:r>
          </w:p>
        </w:tc>
        <w:tc>
          <w:tcPr>
            <w:tcW w:w="0" w:type="dxa"/>
            <w:vAlign w:val="bottom"/>
          </w:tcPr>
          <w:p>
            <w:pPr>
              <w:spacing w:after="0"/>
              <w:rPr>
                <w:sz w:val="1"/>
                <w:szCs w:val="1"/>
                <w:color w:val="auto"/>
              </w:rPr>
            </w:pPr>
          </w:p>
        </w:tc>
      </w:tr>
      <w:tr>
        <w:trPr>
          <w:trHeight w:val="16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Free Cash Flow</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$1,282</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$1,300</w:t>
            </w:r>
          </w:p>
        </w:tc>
        <w:tc>
          <w:tcPr>
            <w:tcW w:w="80" w:type="dxa"/>
            <w:vAlign w:val="bottom"/>
          </w:tcPr>
          <w:p>
            <w:pPr>
              <w:spacing w:after="0"/>
              <w:rPr>
                <w:sz w:val="14"/>
                <w:szCs w:val="14"/>
                <w:color w:val="auto"/>
              </w:rPr>
            </w:pPr>
          </w:p>
        </w:tc>
        <w:tc>
          <w:tcPr>
            <w:tcW w:w="1360" w:type="dxa"/>
            <w:vAlign w:val="bottom"/>
          </w:tcPr>
          <w:p>
            <w:pPr>
              <w:jc w:val="right"/>
              <w:ind w:right="440"/>
              <w:spacing w:after="0"/>
              <w:rPr>
                <w:sz w:val="20"/>
                <w:szCs w:val="20"/>
                <w:color w:val="auto"/>
              </w:rPr>
            </w:pPr>
            <w:r>
              <w:rPr>
                <w:rFonts w:ascii="Times New Roman" w:cs="Times New Roman" w:eastAsia="Times New Roman" w:hAnsi="Times New Roman"/>
                <w:sz w:val="13"/>
                <w:szCs w:val="13"/>
                <w:color w:val="auto"/>
              </w:rPr>
              <w:t>98.6%</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98.6%</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39.4%</w:t>
            </w:r>
          </w:p>
        </w:tc>
        <w:tc>
          <w:tcPr>
            <w:tcW w:w="0" w:type="dxa"/>
            <w:vAlign w:val="bottom"/>
          </w:tcPr>
          <w:p>
            <w:pPr>
              <w:spacing w:after="0"/>
              <w:rPr>
                <w:sz w:val="1"/>
                <w:szCs w:val="1"/>
                <w:color w:val="auto"/>
              </w:rPr>
            </w:pPr>
          </w:p>
        </w:tc>
      </w:tr>
      <w:tr>
        <w:trPr>
          <w:trHeight w:val="172"/>
        </w:trPr>
        <w:tc>
          <w:tcPr>
            <w:tcW w:w="23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100%</w:t>
            </w:r>
          </w:p>
        </w:tc>
        <w:tc>
          <w:tcPr>
            <w:tcW w:w="8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48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3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44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44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b w:val="1"/>
                <w:bCs w:val="1"/>
                <w:color w:val="auto"/>
              </w:rPr>
              <w:t>97.5%</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16" w:lineRule="exact"/>
        <w:rPr>
          <w:sz w:val="20"/>
          <w:szCs w:val="20"/>
          <w:color w:val="auto"/>
        </w:rPr>
      </w:pPr>
    </w:p>
    <w:p>
      <w:pPr>
        <w:ind w:left="260" w:hanging="255"/>
        <w:spacing w:after="0"/>
        <w:tabs>
          <w:tab w:leader="none" w:pos="2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Consistent with administrative guidelines for PSUs, the fiscal year 2024 total revenue and free cash flow results were not adjusted for acquired entities.</w:t>
      </w:r>
    </w:p>
    <w:p>
      <w:pPr>
        <w:spacing w:after="0" w:line="179" w:lineRule="exact"/>
        <w:rPr>
          <w:rFonts w:ascii="Times New Roman" w:cs="Times New Roman" w:eastAsia="Times New Roman" w:hAnsi="Times New Roman"/>
          <w:sz w:val="13"/>
          <w:szCs w:val="13"/>
          <w:color w:val="auto"/>
        </w:rPr>
      </w:pP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Autodesk’s Relative TSR was based on: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Period</w:t>
            </w: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Autodesk TSR (1)</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Percentile Rank (2)</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Payout Multiplier</w:t>
            </w:r>
          </w:p>
        </w:tc>
        <w:tc>
          <w:tcPr>
            <w:tcW w:w="0" w:type="dxa"/>
            <w:vAlign w:val="bottom"/>
          </w:tcPr>
          <w:p>
            <w:pPr>
              <w:spacing w:after="0"/>
              <w:rPr>
                <w:sz w:val="1"/>
                <w:szCs w:val="1"/>
                <w:color w:val="auto"/>
              </w:rPr>
            </w:pPr>
          </w:p>
        </w:tc>
      </w:tr>
      <w:tr>
        <w:trPr>
          <w:trHeight w:val="73"/>
        </w:trPr>
        <w:tc>
          <w:tcPr>
            <w:tcW w:w="4280" w:type="dxa"/>
            <w:vAlign w:val="bottom"/>
            <w:gridSpan w:val="2"/>
            <w:vMerge w:val="continue"/>
          </w:tcPr>
          <w:p>
            <w:pPr>
              <w:spacing w:after="0"/>
              <w:rPr>
                <w:sz w:val="6"/>
                <w:szCs w:val="6"/>
                <w:color w:val="auto"/>
              </w:rPr>
            </w:pPr>
          </w:p>
        </w:tc>
        <w:tc>
          <w:tcPr>
            <w:tcW w:w="2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1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Fiscal Year 2022 - Fiscal Year 2024</w:t>
            </w:r>
          </w:p>
        </w:tc>
        <w:tc>
          <w:tcPr>
            <w:tcW w:w="100" w:type="dxa"/>
            <w:vAlign w:val="bottom"/>
            <w:tcBorders>
              <w:top w:val="single" w:sz="8" w:color="CCCCCC"/>
            </w:tcBorders>
            <w:shd w:val="clear" w:color="auto" w:fill="CCCCCC"/>
          </w:tcPr>
          <w:p>
            <w:pPr>
              <w:spacing w:after="0"/>
              <w:rPr>
                <w:sz w:val="14"/>
                <w:szCs w:val="14"/>
                <w:color w:val="auto"/>
              </w:rPr>
            </w:pPr>
          </w:p>
        </w:tc>
        <w:tc>
          <w:tcPr>
            <w:tcW w:w="21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9"/>
              </w:rPr>
              <w:t>-14%</w:t>
            </w:r>
          </w:p>
        </w:tc>
        <w:tc>
          <w:tcPr>
            <w:tcW w:w="100" w:type="dxa"/>
            <w:vAlign w:val="bottom"/>
            <w:tcBorders>
              <w:top w:val="single" w:sz="8" w:color="CCCCCC"/>
            </w:tcBorders>
            <w:shd w:val="clear" w:color="auto" w:fill="CCCCCC"/>
          </w:tcPr>
          <w:p>
            <w:pPr>
              <w:spacing w:after="0"/>
              <w:rPr>
                <w:sz w:val="14"/>
                <w:szCs w:val="14"/>
                <w:color w:val="auto"/>
              </w:rPr>
            </w:pPr>
          </w:p>
        </w:tc>
        <w:tc>
          <w:tcPr>
            <w:tcW w:w="2340" w:type="dxa"/>
            <w:vAlign w:val="bottom"/>
            <w:tcBorders>
              <w:top w:val="single" w:sz="8" w:color="auto"/>
            </w:tcBorders>
            <w:shd w:val="clear" w:color="auto" w:fill="CCCCCC"/>
          </w:tcPr>
          <w:p>
            <w:pPr>
              <w:jc w:val="center"/>
              <w:spacing w:after="0" w:line="170" w:lineRule="exact"/>
              <w:rPr>
                <w:sz w:val="20"/>
                <w:szCs w:val="20"/>
                <w:color w:val="auto"/>
              </w:rPr>
            </w:pPr>
            <w:r>
              <w:rPr>
                <w:rFonts w:ascii="Times New Roman" w:cs="Times New Roman" w:eastAsia="Times New Roman" w:hAnsi="Times New Roman"/>
                <w:sz w:val="13"/>
                <w:szCs w:val="13"/>
                <w:color w:val="auto"/>
                <w:w w:val="98"/>
              </w:rPr>
              <w:t>41</w:t>
            </w:r>
            <w:r>
              <w:rPr>
                <w:rFonts w:ascii="Times New Roman" w:cs="Times New Roman" w:eastAsia="Times New Roman" w:hAnsi="Times New Roman"/>
                <w:sz w:val="16"/>
                <w:szCs w:val="16"/>
                <w:color w:val="auto"/>
                <w:w w:val="98"/>
                <w:vertAlign w:val="superscript"/>
              </w:rPr>
              <w:t>st</w:t>
            </w:r>
            <w:r>
              <w:rPr>
                <w:rFonts w:ascii="Times New Roman" w:cs="Times New Roman" w:eastAsia="Times New Roman" w:hAnsi="Times New Roman"/>
                <w:sz w:val="13"/>
                <w:szCs w:val="13"/>
                <w:color w:val="auto"/>
                <w:w w:val="98"/>
              </w:rPr>
              <w:t xml:space="preserve"> Percentile</w:t>
            </w:r>
          </w:p>
        </w:tc>
        <w:tc>
          <w:tcPr>
            <w:tcW w:w="100" w:type="dxa"/>
            <w:vAlign w:val="bottom"/>
            <w:tcBorders>
              <w:top w:val="single" w:sz="8" w:color="CCCCCC"/>
            </w:tcBorders>
            <w:shd w:val="clear" w:color="auto" w:fill="CCCCCC"/>
          </w:tcPr>
          <w:p>
            <w:pPr>
              <w:spacing w:after="0"/>
              <w:rPr>
                <w:sz w:val="14"/>
                <w:szCs w:val="14"/>
                <w:color w:val="auto"/>
              </w:rPr>
            </w:pPr>
          </w:p>
        </w:tc>
        <w:tc>
          <w:tcPr>
            <w:tcW w:w="224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Fiscal Year 2023 - Fiscal Year 2024</w:t>
            </w: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spacing w:after="0"/>
              <w:rPr>
                <w:sz w:val="14"/>
                <w:szCs w:val="14"/>
                <w:color w:val="auto"/>
              </w:rPr>
            </w:pPr>
          </w:p>
        </w:tc>
        <w:tc>
          <w:tcPr>
            <w:tcW w:w="24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3"/>
                <w:szCs w:val="13"/>
                <w:color w:val="auto"/>
                <w:w w:val="96"/>
              </w:rPr>
              <w:t>48</w:t>
            </w:r>
            <w:r>
              <w:rPr>
                <w:rFonts w:ascii="Times New Roman" w:cs="Times New Roman" w:eastAsia="Times New Roman" w:hAnsi="Times New Roman"/>
                <w:sz w:val="16"/>
                <w:szCs w:val="16"/>
                <w:color w:val="auto"/>
                <w:w w:val="96"/>
                <w:vertAlign w:val="superscript"/>
              </w:rPr>
              <w:t>th</w:t>
            </w:r>
            <w:r>
              <w:rPr>
                <w:rFonts w:ascii="Times New Roman" w:cs="Times New Roman" w:eastAsia="Times New Roman" w:hAnsi="Times New Roman"/>
                <w:sz w:val="13"/>
                <w:szCs w:val="13"/>
                <w:color w:val="auto"/>
                <w:w w:val="96"/>
              </w:rPr>
              <w:t xml:space="preserve"> Percentile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70"/>
        </w:trPr>
        <w:tc>
          <w:tcPr>
            <w:tcW w:w="42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Fiscal Year 2024</w:t>
            </w:r>
          </w:p>
        </w:tc>
        <w:tc>
          <w:tcPr>
            <w:tcW w:w="21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CCCC"/>
          </w:tcPr>
          <w:p>
            <w:pPr>
              <w:spacing w:after="0"/>
              <w:rPr>
                <w:sz w:val="14"/>
                <w:szCs w:val="14"/>
                <w:color w:val="auto"/>
              </w:rPr>
            </w:pPr>
          </w:p>
        </w:tc>
        <w:tc>
          <w:tcPr>
            <w:tcW w:w="2440" w:type="dxa"/>
            <w:vAlign w:val="bottom"/>
            <w:gridSpan w:val="2"/>
            <w:shd w:val="clear" w:color="auto" w:fill="CCCCCC"/>
          </w:tcPr>
          <w:p>
            <w:pPr>
              <w:jc w:val="center"/>
              <w:ind w:right="100"/>
              <w:spacing w:after="0" w:line="170" w:lineRule="exact"/>
              <w:rPr>
                <w:sz w:val="20"/>
                <w:szCs w:val="20"/>
                <w:color w:val="auto"/>
              </w:rPr>
            </w:pPr>
            <w:r>
              <w:rPr>
                <w:rFonts w:ascii="Times New Roman" w:cs="Times New Roman" w:eastAsia="Times New Roman" w:hAnsi="Times New Roman"/>
                <w:sz w:val="13"/>
                <w:szCs w:val="13"/>
                <w:color w:val="auto"/>
                <w:w w:val="93"/>
              </w:rPr>
              <w:t>32</w:t>
            </w:r>
            <w:r>
              <w:rPr>
                <w:rFonts w:ascii="Times New Roman" w:cs="Times New Roman" w:eastAsia="Times New Roman" w:hAnsi="Times New Roman"/>
                <w:sz w:val="16"/>
                <w:szCs w:val="16"/>
                <w:color w:val="auto"/>
                <w:w w:val="93"/>
                <w:vertAlign w:val="superscript"/>
              </w:rPr>
              <w:t>nd</w:t>
            </w:r>
            <w:r>
              <w:rPr>
                <w:rFonts w:ascii="Times New Roman" w:cs="Times New Roman" w:eastAsia="Times New Roman" w:hAnsi="Times New Roman"/>
                <w:sz w:val="13"/>
                <w:szCs w:val="13"/>
                <w:color w:val="auto"/>
                <w:w w:val="93"/>
              </w:rPr>
              <w:t xml:space="preserve"> Percentile</w:t>
            </w:r>
          </w:p>
        </w:tc>
        <w:tc>
          <w:tcPr>
            <w:tcW w:w="224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12" w:lineRule="exact"/>
        <w:rPr>
          <w:sz w:val="20"/>
          <w:szCs w:val="20"/>
          <w:color w:val="auto"/>
        </w:rPr>
      </w:pPr>
    </w:p>
    <w:p>
      <w:pPr>
        <w:ind w:left="260" w:hanging="255"/>
        <w:spacing w:after="0"/>
        <w:tabs>
          <w:tab w:leader="none" w:pos="26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31-day average closing stock price (+/- 15 days) at the beginning of each period and the end of fiscal year 2024.</w:t>
      </w:r>
    </w:p>
    <w:p>
      <w:pPr>
        <w:ind w:left="260" w:hanging="255"/>
        <w:spacing w:after="0"/>
        <w:tabs>
          <w:tab w:leader="none" w:pos="26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TSR was measured against companies in the S&amp;P North American Technology Software Index with a market capitalization over $2 billion.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combination of financial attainment and Relative TSR results yielded the following PSU vesting in fiscal year 2024:</w:t>
      </w:r>
    </w:p>
    <w:p>
      <w:pPr>
        <w:sectPr>
          <w:pgSz w:w="11900" w:h="16838" w:orient="portrait"/>
          <w:cols w:equalWidth="0" w:num="1">
            <w:col w:w="11280"/>
          </w:cols>
          <w:pgMar w:left="300" w:top="125" w:right="319" w:bottom="1440" w:gutter="0" w:footer="0" w:header="0"/>
        </w:sectPr>
      </w:pP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2520" w:type="dxa"/>
            <w:vAlign w:val="bottom"/>
            <w:tcBorders>
              <w:top w:val="single" w:sz="8" w:color="auto"/>
              <w:left w:val="single" w:sz="8" w:color="auto"/>
              <w:right w:val="single" w:sz="8" w:color="auto"/>
            </w:tcBorders>
            <w:shd w:val="clear" w:color="auto" w:fill="666666"/>
          </w:tcPr>
          <w:p>
            <w:pPr>
              <w:jc w:val="center"/>
              <w:spacing w:after="0"/>
              <w:rPr>
                <w:sz w:val="20"/>
                <w:szCs w:val="20"/>
                <w:color w:val="auto"/>
              </w:rPr>
            </w:pPr>
            <w:r>
              <w:rPr>
                <w:rFonts w:ascii="Times New Roman" w:cs="Times New Roman" w:eastAsia="Times New Roman" w:hAnsi="Times New Roman"/>
                <w:sz w:val="14"/>
                <w:szCs w:val="14"/>
                <w:b w:val="1"/>
                <w:bCs w:val="1"/>
                <w:color w:val="FFFFFF"/>
              </w:rPr>
              <w:t>April 2021</w:t>
            </w:r>
          </w:p>
        </w:tc>
        <w:tc>
          <w:tcPr>
            <w:tcW w:w="34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2520" w:type="dxa"/>
            <w:vAlign w:val="bottom"/>
            <w:tcBorders>
              <w:top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Borders>
              <w:left w:val="single" w:sz="8" w:color="auto"/>
              <w:right w:val="single" w:sz="8" w:color="auto"/>
            </w:tcBorders>
            <w:shd w:val="clear" w:color="auto" w:fill="66666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w w:val="99"/>
              </w:rPr>
              <w:t>3rd Tranche of</w:t>
            </w:r>
          </w:p>
        </w:tc>
        <w:tc>
          <w:tcPr>
            <w:tcW w:w="340" w:type="dxa"/>
            <w:vAlign w:val="bottom"/>
            <w:tcBorders>
              <w:right w:val="single" w:sz="8" w:color="auto"/>
            </w:tcBorders>
            <w:vMerge w:val="continue"/>
          </w:tcPr>
          <w:p>
            <w:pPr>
              <w:spacing w:after="0"/>
              <w:rPr>
                <w:sz w:val="12"/>
                <w:szCs w:val="12"/>
                <w:color w:val="auto"/>
              </w:rPr>
            </w:pPr>
          </w:p>
        </w:tc>
        <w:tc>
          <w:tcPr>
            <w:tcW w:w="252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20" w:type="dxa"/>
            <w:vAlign w:val="bottom"/>
            <w:tcBorders>
              <w:left w:val="single" w:sz="8" w:color="auto"/>
              <w:right w:val="single" w:sz="8" w:color="auto"/>
            </w:tcBorders>
            <w:shd w:val="clear" w:color="auto" w:fill="666666"/>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Fiscal Year 2022 Award</w:t>
            </w:r>
          </w:p>
        </w:tc>
        <w:tc>
          <w:tcPr>
            <w:tcW w:w="34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20" w:type="dxa"/>
            <w:vAlign w:val="bottom"/>
            <w:tcBorders>
              <w:left w:val="single" w:sz="8" w:color="auto"/>
              <w:bottom w:val="single" w:sz="8" w:color="auto"/>
              <w:right w:val="single" w:sz="8" w:color="auto"/>
            </w:tcBorders>
            <w:shd w:val="clear" w:color="auto" w:fill="666666"/>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520" w:type="dxa"/>
            <w:vAlign w:val="bottom"/>
            <w:tcBorders>
              <w:bottom w:val="single" w:sz="8" w:color="CCCCCC"/>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2024 Financial</w:t>
            </w:r>
          </w:p>
        </w:tc>
        <w:tc>
          <w:tcPr>
            <w:tcW w:w="0" w:type="dxa"/>
            <w:vAlign w:val="bottom"/>
          </w:tcPr>
          <w:p>
            <w:pPr>
              <w:spacing w:after="0"/>
              <w:rPr>
                <w:sz w:val="1"/>
                <w:szCs w:val="1"/>
                <w:color w:val="auto"/>
              </w:rPr>
            </w:pPr>
          </w:p>
        </w:tc>
      </w:tr>
      <w:tr>
        <w:trPr>
          <w:trHeight w:val="97"/>
        </w:trPr>
        <w:tc>
          <w:tcPr>
            <w:tcW w:w="2520" w:type="dxa"/>
            <w:vAlign w:val="bottom"/>
            <w:tcBorders>
              <w:bottom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520" w:type="dxa"/>
            <w:vAlign w:val="bottom"/>
            <w:tcBorders>
              <w:bottom w:val="single" w:sz="8" w:color="CCCCCC"/>
              <w:right w:val="single" w:sz="8" w:color="auto"/>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right w:val="single" w:sz="8" w:color="auto"/>
            </w:tcBorders>
            <w:vMerge w:val="restart"/>
            <w:shd w:val="clear" w:color="auto" w:fill="666666"/>
          </w:tcPr>
          <w:p>
            <w:pPr>
              <w:jc w:val="center"/>
              <w:spacing w:after="0"/>
              <w:rPr>
                <w:sz w:val="20"/>
                <w:szCs w:val="20"/>
                <w:color w:val="auto"/>
              </w:rPr>
            </w:pPr>
            <w:r>
              <w:rPr>
                <w:rFonts w:ascii="Times New Roman" w:cs="Times New Roman" w:eastAsia="Times New Roman" w:hAnsi="Times New Roman"/>
                <w:sz w:val="14"/>
                <w:szCs w:val="14"/>
                <w:b w:val="1"/>
                <w:bCs w:val="1"/>
                <w:color w:val="FFFFFF"/>
              </w:rPr>
              <w:t>April 2022</w:t>
            </w:r>
          </w:p>
        </w:tc>
        <w:tc>
          <w:tcPr>
            <w:tcW w:w="3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vMerge w:val="continue"/>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520" w:type="dxa"/>
            <w:vAlign w:val="bottom"/>
            <w:tcBorders>
              <w:left w:val="single" w:sz="8" w:color="auto"/>
              <w:right w:val="single" w:sz="8" w:color="auto"/>
            </w:tcBorders>
            <w:vMerge w:val="continue"/>
            <w:shd w:val="clear" w:color="auto" w:fill="666666"/>
          </w:tcPr>
          <w:p>
            <w:pPr>
              <w:spacing w:after="0"/>
              <w:rPr>
                <w:sz w:val="4"/>
                <w:szCs w:val="4"/>
                <w:color w:val="auto"/>
              </w:rPr>
            </w:pPr>
          </w:p>
        </w:tc>
        <w:tc>
          <w:tcPr>
            <w:tcW w:w="340" w:type="dxa"/>
            <w:vAlign w:val="bottom"/>
            <w:tcBorders>
              <w:right w:val="single" w:sz="8" w:color="auto"/>
            </w:tcBorders>
            <w:vMerge w:val="restart"/>
          </w:tcPr>
          <w:p>
            <w:pPr>
              <w:jc w:val="right"/>
              <w:ind w:right="41"/>
              <w:spacing w:after="0" w:line="191" w:lineRule="exact"/>
              <w:rPr>
                <w:sz w:val="20"/>
                <w:szCs w:val="20"/>
                <w:color w:val="auto"/>
              </w:rPr>
            </w:pPr>
            <w:r>
              <w:rPr>
                <w:rFonts w:ascii="Times New Roman" w:cs="Times New Roman" w:eastAsia="Times New Roman" w:hAnsi="Times New Roman"/>
                <w:sz w:val="20"/>
                <w:szCs w:val="20"/>
                <w:b w:val="1"/>
                <w:bCs w:val="1"/>
                <w:color w:val="auto"/>
              </w:rPr>
              <w:t>:</w:t>
            </w:r>
          </w:p>
        </w:tc>
        <w:tc>
          <w:tcPr>
            <w:tcW w:w="2520" w:type="dxa"/>
            <w:vAlign w:val="bottom"/>
            <w:tcBorders>
              <w:right w:val="single" w:sz="8" w:color="auto"/>
            </w:tcBorders>
            <w:vMerge w:val="restart"/>
            <w:shd w:val="clear" w:color="auto" w:fill="CCCCCC"/>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Goal Funding</w:t>
            </w: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shd w:val="clear" w:color="auto" w:fill="666666"/>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FFFFFF"/>
              </w:rPr>
              <w:t>2nd Tranche of</w:t>
            </w:r>
          </w:p>
        </w:tc>
        <w:tc>
          <w:tcPr>
            <w:tcW w:w="34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vMerge w:val="restart"/>
            <w:shd w:val="clear" w:color="auto" w:fill="666666"/>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Fiscal Year 2023 Award</w:t>
            </w:r>
          </w:p>
        </w:tc>
        <w:tc>
          <w:tcPr>
            <w:tcW w:w="34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shd w:val="clear" w:color="auto" w:fill="CCCCCC"/>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97.5%</w:t>
            </w:r>
          </w:p>
        </w:tc>
        <w:tc>
          <w:tcPr>
            <w:tcW w:w="0" w:type="dxa"/>
            <w:vAlign w:val="bottom"/>
          </w:tcPr>
          <w:p>
            <w:pPr>
              <w:spacing w:after="0"/>
              <w:rPr>
                <w:sz w:val="1"/>
                <w:szCs w:val="1"/>
                <w:color w:val="auto"/>
              </w:rPr>
            </w:pPr>
          </w:p>
        </w:tc>
      </w:tr>
      <w:tr>
        <w:trPr>
          <w:trHeight w:val="48"/>
        </w:trPr>
        <w:tc>
          <w:tcPr>
            <w:tcW w:w="2520" w:type="dxa"/>
            <w:vAlign w:val="bottom"/>
            <w:tcBorders>
              <w:left w:val="single" w:sz="8" w:color="auto"/>
              <w:right w:val="single" w:sz="8" w:color="auto"/>
            </w:tcBorders>
            <w:vMerge w:val="continue"/>
            <w:shd w:val="clear" w:color="auto" w:fill="666666"/>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520" w:type="dxa"/>
            <w:vAlign w:val="bottom"/>
            <w:tcBorders>
              <w:right w:val="single" w:sz="8" w:color="auto"/>
            </w:tcBorders>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520" w:type="dxa"/>
            <w:vAlign w:val="bottom"/>
            <w:tcBorders>
              <w:left w:val="single" w:sz="8" w:color="auto"/>
              <w:bottom w:val="single" w:sz="8" w:color="auto"/>
              <w:right w:val="single" w:sz="8" w:color="auto"/>
            </w:tcBorders>
            <w:shd w:val="clear" w:color="auto" w:fill="666666"/>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520" w:type="dxa"/>
            <w:vAlign w:val="bottom"/>
            <w:tcBorders>
              <w:bottom w:val="single" w:sz="8" w:color="CCCCCC"/>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20" w:type="dxa"/>
            <w:vAlign w:val="bottom"/>
            <w:tcBorders>
              <w:bottom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2520" w:type="dxa"/>
            <w:vAlign w:val="bottom"/>
            <w:tcBorders>
              <w:bottom w:val="single" w:sz="8" w:color="CCCCCC"/>
              <w:right w:val="single" w:sz="8" w:color="auto"/>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20" w:type="dxa"/>
            <w:vAlign w:val="bottom"/>
            <w:tcBorders>
              <w:left w:val="single" w:sz="8" w:color="auto"/>
              <w:right w:val="single" w:sz="8" w:color="auto"/>
            </w:tcBorders>
            <w:shd w:val="clear" w:color="auto" w:fill="666666"/>
          </w:tcPr>
          <w:p>
            <w:pPr>
              <w:jc w:val="center"/>
              <w:spacing w:after="0"/>
              <w:rPr>
                <w:sz w:val="20"/>
                <w:szCs w:val="20"/>
                <w:color w:val="auto"/>
              </w:rPr>
            </w:pPr>
            <w:r>
              <w:rPr>
                <w:rFonts w:ascii="Times New Roman" w:cs="Times New Roman" w:eastAsia="Times New Roman" w:hAnsi="Times New Roman"/>
                <w:sz w:val="14"/>
                <w:szCs w:val="14"/>
                <w:b w:val="1"/>
                <w:bCs w:val="1"/>
                <w:color w:val="FFFFFF"/>
              </w:rPr>
              <w:t>April 2023</w:t>
            </w:r>
          </w:p>
        </w:tc>
        <w:tc>
          <w:tcPr>
            <w:tcW w:w="34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2520" w:type="dxa"/>
            <w:vAlign w:val="bottom"/>
            <w:tcBorders>
              <w:right w:val="single" w:sz="8" w:color="auto"/>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Borders>
              <w:left w:val="single" w:sz="8" w:color="auto"/>
              <w:right w:val="single" w:sz="8" w:color="auto"/>
            </w:tcBorders>
            <w:shd w:val="clear" w:color="auto" w:fill="666666"/>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FFFFFF"/>
              </w:rPr>
              <w:t>1</w:t>
            </w:r>
            <w:r>
              <w:rPr>
                <w:rFonts w:ascii="Times New Roman" w:cs="Times New Roman" w:eastAsia="Times New Roman" w:hAnsi="Times New Roman"/>
                <w:sz w:val="17"/>
                <w:szCs w:val="17"/>
                <w:b w:val="1"/>
                <w:bCs w:val="1"/>
                <w:color w:val="FFFFFF"/>
                <w:vertAlign w:val="superscript"/>
              </w:rPr>
              <w:t>st</w:t>
            </w:r>
            <w:r>
              <w:rPr>
                <w:rFonts w:ascii="Times New Roman" w:cs="Times New Roman" w:eastAsia="Times New Roman" w:hAnsi="Times New Roman"/>
                <w:sz w:val="13"/>
                <w:szCs w:val="13"/>
                <w:b w:val="1"/>
                <w:bCs w:val="1"/>
                <w:color w:val="FFFFFF"/>
              </w:rPr>
              <w:t xml:space="preserve"> Tranche of</w:t>
            </w:r>
          </w:p>
        </w:tc>
        <w:tc>
          <w:tcPr>
            <w:tcW w:w="340" w:type="dxa"/>
            <w:vAlign w:val="bottom"/>
            <w:tcBorders>
              <w:right w:val="single" w:sz="8" w:color="auto"/>
            </w:tcBorders>
            <w:vMerge w:val="continue"/>
          </w:tcPr>
          <w:p>
            <w:pPr>
              <w:spacing w:after="0"/>
              <w:rPr>
                <w:sz w:val="12"/>
                <w:szCs w:val="12"/>
                <w:color w:val="auto"/>
              </w:rPr>
            </w:pPr>
          </w:p>
        </w:tc>
        <w:tc>
          <w:tcPr>
            <w:tcW w:w="252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520" w:type="dxa"/>
            <w:vAlign w:val="bottom"/>
            <w:tcBorders>
              <w:left w:val="single" w:sz="8" w:color="auto"/>
              <w:bottom w:val="single" w:sz="8" w:color="666666"/>
              <w:right w:val="single" w:sz="8" w:color="auto"/>
            </w:tcBorders>
            <w:shd w:val="clear" w:color="auto" w:fill="666666"/>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Fiscal Year 2024 Award</w:t>
            </w:r>
          </w:p>
        </w:tc>
        <w:tc>
          <w:tcPr>
            <w:tcW w:w="340" w:type="dxa"/>
            <w:vAlign w:val="bottom"/>
            <w:tcBorders>
              <w:right w:val="single" w:sz="8" w:color="auto"/>
            </w:tcBorders>
          </w:tcPr>
          <w:p>
            <w:pPr>
              <w:spacing w:after="0"/>
              <w:rPr>
                <w:sz w:val="19"/>
                <w:szCs w:val="19"/>
                <w:color w:val="auto"/>
              </w:rPr>
            </w:pPr>
          </w:p>
        </w:tc>
        <w:tc>
          <w:tcPr>
            <w:tcW w:w="2520" w:type="dxa"/>
            <w:vAlign w:val="bottom"/>
            <w:tcBorders>
              <w:bottom w:val="single" w:sz="8" w:color="CCCCCC"/>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5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Based on this performance, the PSU awards were earned as follows: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6"/>
        </w:trPr>
        <w:tc>
          <w:tcPr>
            <w:tcW w:w="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X</w:t>
            </w:r>
          </w:p>
        </w:tc>
        <w:tc>
          <w:tcPr>
            <w:tcW w:w="2560" w:type="dxa"/>
            <w:vAlign w:val="bottom"/>
            <w:tcBorders>
              <w:top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2022 - Fiscal Year 2024</w:t>
            </w:r>
          </w:p>
        </w:tc>
        <w:tc>
          <w:tcPr>
            <w:tcW w:w="0" w:type="dxa"/>
            <w:vAlign w:val="bottom"/>
          </w:tcPr>
          <w:p>
            <w:pPr>
              <w:spacing w:after="0"/>
              <w:rPr>
                <w:sz w:val="1"/>
                <w:szCs w:val="1"/>
                <w:color w:val="auto"/>
              </w:rPr>
            </w:pPr>
          </w:p>
        </w:tc>
      </w:tr>
      <w:tr>
        <w:trPr>
          <w:trHeight w:val="149"/>
        </w:trPr>
        <w:tc>
          <w:tcPr>
            <w:tcW w:w="300" w:type="dxa"/>
            <w:vAlign w:val="bottom"/>
            <w:tcBorders>
              <w:right w:val="single" w:sz="8" w:color="auto"/>
            </w:tcBorders>
            <w:vMerge w:val="continue"/>
          </w:tcPr>
          <w:p>
            <w:pPr>
              <w:spacing w:after="0"/>
              <w:rPr>
                <w:sz w:val="12"/>
                <w:szCs w:val="12"/>
                <w:color w:val="auto"/>
              </w:rPr>
            </w:pPr>
          </w:p>
        </w:tc>
        <w:tc>
          <w:tcPr>
            <w:tcW w:w="2560" w:type="dxa"/>
            <w:vAlign w:val="bottom"/>
            <w:tcBorders>
              <w:right w:val="single" w:sz="8" w:color="auto"/>
            </w:tcBorders>
            <w:shd w:val="clear" w:color="auto" w:fill="CCCCC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Relative TSR</w:t>
            </w:r>
          </w:p>
        </w:tc>
        <w:tc>
          <w:tcPr>
            <w:tcW w:w="0" w:type="dxa"/>
            <w:vAlign w:val="bottom"/>
          </w:tcPr>
          <w:p>
            <w:pPr>
              <w:spacing w:after="0"/>
              <w:rPr>
                <w:sz w:val="1"/>
                <w:szCs w:val="1"/>
                <w:color w:val="auto"/>
              </w:rPr>
            </w:pPr>
          </w:p>
        </w:tc>
      </w:tr>
      <w:tr>
        <w:trPr>
          <w:trHeight w:val="186"/>
        </w:trPr>
        <w:tc>
          <w:tcPr>
            <w:tcW w:w="30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88%</w:t>
            </w:r>
          </w:p>
        </w:tc>
        <w:tc>
          <w:tcPr>
            <w:tcW w:w="0" w:type="dxa"/>
            <w:vAlign w:val="bottom"/>
          </w:tcPr>
          <w:p>
            <w:pPr>
              <w:spacing w:after="0"/>
              <w:rPr>
                <w:sz w:val="1"/>
                <w:szCs w:val="1"/>
                <w:color w:val="auto"/>
              </w:rPr>
            </w:pPr>
          </w:p>
        </w:tc>
      </w:tr>
      <w:tr>
        <w:trPr>
          <w:trHeight w:val="132"/>
        </w:trPr>
        <w:tc>
          <w:tcPr>
            <w:tcW w:w="300" w:type="dxa"/>
            <w:vAlign w:val="bottom"/>
            <w:tcBorders>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X</w:t>
            </w:r>
          </w:p>
        </w:tc>
        <w:tc>
          <w:tcPr>
            <w:tcW w:w="25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2023 - Fiscal Year 2024</w:t>
            </w:r>
          </w:p>
        </w:tc>
        <w:tc>
          <w:tcPr>
            <w:tcW w:w="0" w:type="dxa"/>
            <w:vAlign w:val="bottom"/>
          </w:tcPr>
          <w:p>
            <w:pPr>
              <w:spacing w:after="0"/>
              <w:rPr>
                <w:sz w:val="1"/>
                <w:szCs w:val="1"/>
                <w:color w:val="auto"/>
              </w:rPr>
            </w:pPr>
          </w:p>
        </w:tc>
      </w:tr>
      <w:tr>
        <w:trPr>
          <w:trHeight w:val="149"/>
        </w:trPr>
        <w:tc>
          <w:tcPr>
            <w:tcW w:w="300" w:type="dxa"/>
            <w:vAlign w:val="bottom"/>
            <w:tcBorders>
              <w:right w:val="single" w:sz="8" w:color="auto"/>
            </w:tcBorders>
            <w:vMerge w:val="continue"/>
          </w:tcPr>
          <w:p>
            <w:pPr>
              <w:spacing w:after="0"/>
              <w:rPr>
                <w:sz w:val="12"/>
                <w:szCs w:val="12"/>
                <w:color w:val="auto"/>
              </w:rPr>
            </w:pPr>
          </w:p>
        </w:tc>
        <w:tc>
          <w:tcPr>
            <w:tcW w:w="2560" w:type="dxa"/>
            <w:vAlign w:val="bottom"/>
            <w:tcBorders>
              <w:right w:val="single" w:sz="8" w:color="auto"/>
            </w:tcBorders>
            <w:shd w:val="clear" w:color="auto" w:fill="CCCCC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Relative TSR</w:t>
            </w:r>
          </w:p>
        </w:tc>
        <w:tc>
          <w:tcPr>
            <w:tcW w:w="0" w:type="dxa"/>
            <w:vAlign w:val="bottom"/>
          </w:tcPr>
          <w:p>
            <w:pPr>
              <w:spacing w:after="0"/>
              <w:rPr>
                <w:sz w:val="1"/>
                <w:szCs w:val="1"/>
                <w:color w:val="auto"/>
              </w:rPr>
            </w:pPr>
          </w:p>
        </w:tc>
      </w:tr>
      <w:tr>
        <w:trPr>
          <w:trHeight w:val="186"/>
        </w:trPr>
        <w:tc>
          <w:tcPr>
            <w:tcW w:w="30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98%</w:t>
            </w:r>
          </w:p>
        </w:tc>
        <w:tc>
          <w:tcPr>
            <w:tcW w:w="0" w:type="dxa"/>
            <w:vAlign w:val="bottom"/>
          </w:tcPr>
          <w:p>
            <w:pPr>
              <w:spacing w:after="0"/>
              <w:rPr>
                <w:sz w:val="1"/>
                <w:szCs w:val="1"/>
                <w:color w:val="auto"/>
              </w:rPr>
            </w:pPr>
          </w:p>
        </w:tc>
      </w:tr>
      <w:tr>
        <w:trPr>
          <w:trHeight w:val="132"/>
        </w:trPr>
        <w:tc>
          <w:tcPr>
            <w:tcW w:w="300" w:type="dxa"/>
            <w:vAlign w:val="bottom"/>
            <w:tcBorders>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X</w:t>
            </w:r>
          </w:p>
        </w:tc>
        <w:tc>
          <w:tcPr>
            <w:tcW w:w="25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Fiscal Year 2024</w:t>
            </w:r>
          </w:p>
        </w:tc>
        <w:tc>
          <w:tcPr>
            <w:tcW w:w="0" w:type="dxa"/>
            <w:vAlign w:val="bottom"/>
          </w:tcPr>
          <w:p>
            <w:pPr>
              <w:spacing w:after="0"/>
              <w:rPr>
                <w:sz w:val="1"/>
                <w:szCs w:val="1"/>
                <w:color w:val="auto"/>
              </w:rPr>
            </w:pPr>
          </w:p>
        </w:tc>
      </w:tr>
      <w:tr>
        <w:trPr>
          <w:trHeight w:val="159"/>
        </w:trPr>
        <w:tc>
          <w:tcPr>
            <w:tcW w:w="300" w:type="dxa"/>
            <w:vAlign w:val="bottom"/>
            <w:tcBorders>
              <w:right w:val="single" w:sz="8" w:color="auto"/>
            </w:tcBorders>
            <w:vMerge w:val="continue"/>
          </w:tcPr>
          <w:p>
            <w:pPr>
              <w:spacing w:after="0"/>
              <w:rPr>
                <w:sz w:val="13"/>
                <w:szCs w:val="13"/>
                <w:color w:val="auto"/>
              </w:rPr>
            </w:pPr>
          </w:p>
        </w:tc>
        <w:tc>
          <w:tcPr>
            <w:tcW w:w="2560" w:type="dxa"/>
            <w:vAlign w:val="bottom"/>
            <w:tcBorders>
              <w:right w:val="single" w:sz="8" w:color="auto"/>
            </w:tcBorders>
            <w:shd w:val="clear" w:color="auto" w:fill="CCCCCC"/>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Relative TSR</w:t>
            </w:r>
          </w:p>
        </w:tc>
        <w:tc>
          <w:tcPr>
            <w:tcW w:w="0" w:type="dxa"/>
            <w:vAlign w:val="bottom"/>
          </w:tcPr>
          <w:p>
            <w:pPr>
              <w:spacing w:after="0"/>
              <w:rPr>
                <w:sz w:val="1"/>
                <w:szCs w:val="1"/>
                <w:color w:val="auto"/>
              </w:rPr>
            </w:pPr>
          </w:p>
        </w:tc>
      </w:tr>
      <w:tr>
        <w:trPr>
          <w:trHeight w:val="220"/>
        </w:trPr>
        <w:tc>
          <w:tcPr>
            <w:tcW w:w="300" w:type="dxa"/>
            <w:vAlign w:val="bottom"/>
            <w:tcBorders>
              <w:right w:val="single" w:sz="8" w:color="auto"/>
            </w:tcBorders>
          </w:tcPr>
          <w:p>
            <w:pPr>
              <w:spacing w:after="0"/>
              <w:rPr>
                <w:sz w:val="19"/>
                <w:szCs w:val="19"/>
                <w:color w:val="auto"/>
              </w:rPr>
            </w:pPr>
          </w:p>
        </w:tc>
        <w:tc>
          <w:tcPr>
            <w:tcW w:w="2560" w:type="dxa"/>
            <w:vAlign w:val="bottom"/>
            <w:tcBorders>
              <w:bottom w:val="single" w:sz="8" w:color="CCCCCC"/>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77%</w:t>
            </w: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640" w:hanging="640"/>
        <w:spacing w:after="0"/>
        <w:tabs>
          <w:tab w:leader="none" w:pos="640" w:val="left"/>
        </w:tabs>
        <w:numPr>
          <w:ilvl w:val="0"/>
          <w:numId w:val="77"/>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3"/>
          <w:szCs w:val="13"/>
          <w:b w:val="1"/>
          <w:bCs w:val="1"/>
          <w:color w:val="FFFFFF"/>
        </w:rPr>
        <w:t>Percent of PSU Target Award</w:t>
      </w:r>
    </w:p>
    <w:p>
      <w:pPr>
        <w:ind w:left="1380"/>
        <w:spacing w:after="0"/>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4"/>
          <w:szCs w:val="14"/>
          <w:b w:val="1"/>
          <w:bCs w:val="1"/>
          <w:color w:val="FFFFFF"/>
        </w:rPr>
        <w:t>86%</w:t>
      </w:r>
    </w:p>
    <w:p>
      <w:pPr>
        <w:spacing w:after="0" w:line="249" w:lineRule="exact"/>
        <w:rPr>
          <w:rFonts w:ascii="Times New Roman" w:cs="Times New Roman" w:eastAsia="Times New Roman" w:hAnsi="Times New Roman"/>
          <w:sz w:val="35"/>
          <w:szCs w:val="35"/>
          <w:b w:val="1"/>
          <w:bCs w:val="1"/>
          <w:color w:val="auto"/>
          <w:vertAlign w:val="subscript"/>
        </w:rPr>
      </w:pPr>
    </w:p>
    <w:p>
      <w:pPr>
        <w:ind w:left="620" w:hanging="620"/>
        <w:spacing w:after="0"/>
        <w:tabs>
          <w:tab w:leader="none" w:pos="620" w:val="left"/>
        </w:tabs>
        <w:numPr>
          <w:ilvl w:val="0"/>
          <w:numId w:val="77"/>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4"/>
          <w:szCs w:val="14"/>
          <w:b w:val="1"/>
          <w:bCs w:val="1"/>
          <w:color w:val="FFFFFF"/>
        </w:rPr>
        <w:t>Percent of PSU Target Award</w:t>
      </w:r>
    </w:p>
    <w:p>
      <w:pPr>
        <w:ind w:left="138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4"/>
          <w:szCs w:val="14"/>
          <w:b w:val="1"/>
          <w:bCs w:val="1"/>
          <w:color w:val="FFFFFF"/>
        </w:rPr>
        <w:t>96%</w:t>
      </w:r>
    </w:p>
    <w:p>
      <w:pPr>
        <w:spacing w:after="0" w:line="227" w:lineRule="exact"/>
        <w:rPr>
          <w:rFonts w:ascii="Times New Roman" w:cs="Times New Roman" w:eastAsia="Times New Roman" w:hAnsi="Times New Roman"/>
          <w:sz w:val="40"/>
          <w:szCs w:val="40"/>
          <w:b w:val="1"/>
          <w:bCs w:val="1"/>
          <w:color w:val="auto"/>
          <w:vertAlign w:val="subscript"/>
        </w:rPr>
      </w:pPr>
    </w:p>
    <w:p>
      <w:pPr>
        <w:ind w:left="620" w:hanging="620"/>
        <w:spacing w:after="0"/>
        <w:tabs>
          <w:tab w:leader="none" w:pos="620" w:val="left"/>
        </w:tabs>
        <w:numPr>
          <w:ilvl w:val="0"/>
          <w:numId w:val="77"/>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4"/>
          <w:szCs w:val="14"/>
          <w:b w:val="1"/>
          <w:bCs w:val="1"/>
          <w:color w:val="FFFFFF"/>
        </w:rPr>
        <w:t>Percent of PSU Target Award</w:t>
      </w:r>
    </w:p>
    <w:p>
      <w:pPr>
        <w:ind w:left="138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4"/>
          <w:szCs w:val="14"/>
          <w:b w:val="1"/>
          <w:bCs w:val="1"/>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-284480</wp:posOffset>
            </wp:positionV>
            <wp:extent cx="1610360" cy="384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10360" cy="38417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-1423035</wp:posOffset>
            </wp:positionV>
            <wp:extent cx="1610360" cy="1037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10360" cy="103759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3">
            <w:col w:w="5380" w:space="120"/>
            <w:col w:w="2860" w:space="140"/>
            <w:col w:w="278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center"/>
              <w:ind w:left="779"/>
              <w:spacing w:after="0"/>
              <w:rPr>
                <w:sz w:val="20"/>
                <w:szCs w:val="20"/>
                <w:color w:val="auto"/>
              </w:rPr>
            </w:pPr>
            <w:r>
              <w:rPr>
                <w:rFonts w:ascii="Times New Roman" w:cs="Times New Roman" w:eastAsia="Times New Roman" w:hAnsi="Times New Roman"/>
                <w:sz w:val="11"/>
                <w:szCs w:val="11"/>
                <w:b w:val="1"/>
                <w:bCs w:val="1"/>
                <w:color w:val="auto"/>
              </w:rPr>
              <w:t>April 2021 Award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April 2022 Award</w:t>
            </w:r>
          </w:p>
        </w:tc>
        <w:tc>
          <w:tcPr>
            <w:tcW w:w="1740" w:type="dxa"/>
            <w:vAlign w:val="bottom"/>
            <w:gridSpan w:val="3"/>
          </w:tcPr>
          <w:p>
            <w:pPr>
              <w:jc w:val="center"/>
              <w:ind w:left="779"/>
              <w:spacing w:after="0"/>
              <w:rPr>
                <w:sz w:val="20"/>
                <w:szCs w:val="20"/>
                <w:color w:val="auto"/>
              </w:rPr>
            </w:pPr>
            <w:r>
              <w:rPr>
                <w:rFonts w:ascii="Times New Roman" w:cs="Times New Roman" w:eastAsia="Times New Roman" w:hAnsi="Times New Roman"/>
                <w:sz w:val="11"/>
                <w:szCs w:val="11"/>
                <w:b w:val="1"/>
                <w:bCs w:val="1"/>
                <w:color w:val="auto"/>
              </w:rPr>
              <w:t>April 2023 Award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tcPr>
          <w:p>
            <w:pPr>
              <w:jc w:val="center"/>
              <w:ind w:left="799"/>
              <w:spacing w:after="0" w:line="159" w:lineRule="exact"/>
              <w:rPr>
                <w:sz w:val="20"/>
                <w:szCs w:val="20"/>
                <w:color w:val="auto"/>
              </w:rPr>
            </w:pPr>
            <w:r>
              <w:rPr>
                <w:rFonts w:ascii="Times New Roman" w:cs="Times New Roman" w:eastAsia="Times New Roman" w:hAnsi="Times New Roman"/>
                <w:sz w:val="11"/>
                <w:szCs w:val="11"/>
                <w:b w:val="1"/>
                <w:bCs w:val="1"/>
                <w:color w:val="auto"/>
                <w:w w:val="97"/>
              </w:rPr>
              <w:t>3</w:t>
            </w:r>
            <w:r>
              <w:rPr>
                <w:rFonts w:ascii="Times New Roman" w:cs="Times New Roman" w:eastAsia="Times New Roman" w:hAnsi="Times New Roman"/>
                <w:sz w:val="14"/>
                <w:szCs w:val="14"/>
                <w:b w:val="1"/>
                <w:bCs w:val="1"/>
                <w:color w:val="auto"/>
                <w:w w:val="97"/>
                <w:vertAlign w:val="superscript"/>
              </w:rPr>
              <w:t>rd</w:t>
            </w:r>
            <w:r>
              <w:rPr>
                <w:rFonts w:ascii="Times New Roman" w:cs="Times New Roman" w:eastAsia="Times New Roman" w:hAnsi="Times New Roman"/>
                <w:sz w:val="11"/>
                <w:szCs w:val="11"/>
                <w:b w:val="1"/>
                <w:bCs w:val="1"/>
                <w:color w:val="auto"/>
                <w:w w:val="97"/>
              </w:rPr>
              <w:t xml:space="preserve"> Tranche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4"/>
          </w:tcPr>
          <w:p>
            <w:pPr>
              <w:jc w:val="center"/>
              <w:ind w:right="80"/>
              <w:spacing w:after="0" w:line="159" w:lineRule="exact"/>
              <w:rPr>
                <w:sz w:val="20"/>
                <w:szCs w:val="20"/>
                <w:color w:val="auto"/>
              </w:rPr>
            </w:pPr>
            <w:r>
              <w:rPr>
                <w:rFonts w:ascii="Times New Roman" w:cs="Times New Roman" w:eastAsia="Times New Roman" w:hAnsi="Times New Roman"/>
                <w:sz w:val="11"/>
                <w:szCs w:val="11"/>
                <w:b w:val="1"/>
                <w:bCs w:val="1"/>
                <w:color w:val="auto"/>
                <w:w w:val="99"/>
              </w:rPr>
              <w:t>2</w:t>
            </w:r>
            <w:r>
              <w:rPr>
                <w:rFonts w:ascii="Times New Roman" w:cs="Times New Roman" w:eastAsia="Times New Roman" w:hAnsi="Times New Roman"/>
                <w:sz w:val="14"/>
                <w:szCs w:val="14"/>
                <w:b w:val="1"/>
                <w:bCs w:val="1"/>
                <w:color w:val="auto"/>
                <w:w w:val="99"/>
                <w:vertAlign w:val="superscript"/>
              </w:rPr>
              <w:t>nd</w:t>
            </w:r>
            <w:r>
              <w:rPr>
                <w:rFonts w:ascii="Times New Roman" w:cs="Times New Roman" w:eastAsia="Times New Roman" w:hAnsi="Times New Roman"/>
                <w:sz w:val="11"/>
                <w:szCs w:val="11"/>
                <w:b w:val="1"/>
                <w:bCs w:val="1"/>
                <w:color w:val="auto"/>
                <w:w w:val="99"/>
              </w:rPr>
              <w:t xml:space="preserve"> Tranche</w:t>
            </w:r>
          </w:p>
        </w:tc>
        <w:tc>
          <w:tcPr>
            <w:tcW w:w="1740" w:type="dxa"/>
            <w:vAlign w:val="bottom"/>
            <w:gridSpan w:val="3"/>
          </w:tcPr>
          <w:p>
            <w:pPr>
              <w:jc w:val="center"/>
              <w:ind w:left="779"/>
              <w:spacing w:after="0" w:line="159" w:lineRule="exact"/>
              <w:rPr>
                <w:sz w:val="20"/>
                <w:szCs w:val="20"/>
                <w:color w:val="auto"/>
              </w:rPr>
            </w:pPr>
            <w:r>
              <w:rPr>
                <w:rFonts w:ascii="Times New Roman" w:cs="Times New Roman" w:eastAsia="Times New Roman" w:hAnsi="Times New Roman"/>
                <w:sz w:val="11"/>
                <w:szCs w:val="11"/>
                <w:b w:val="1"/>
                <w:bCs w:val="1"/>
                <w:color w:val="auto"/>
                <w:w w:val="98"/>
              </w:rPr>
              <w:t>1</w:t>
            </w:r>
            <w:r>
              <w:rPr>
                <w:rFonts w:ascii="Times New Roman" w:cs="Times New Roman" w:eastAsia="Times New Roman" w:hAnsi="Times New Roman"/>
                <w:sz w:val="14"/>
                <w:szCs w:val="14"/>
                <w:b w:val="1"/>
                <w:bCs w:val="1"/>
                <w:color w:val="auto"/>
                <w:w w:val="98"/>
                <w:vertAlign w:val="superscript"/>
              </w:rPr>
              <w:t>st</w:t>
            </w:r>
            <w:r>
              <w:rPr>
                <w:rFonts w:ascii="Times New Roman" w:cs="Times New Roman" w:eastAsia="Times New Roman" w:hAnsi="Times New Roman"/>
                <w:sz w:val="11"/>
                <w:szCs w:val="11"/>
                <w:b w:val="1"/>
                <w:bCs w:val="1"/>
                <w:color w:val="auto"/>
                <w:w w:val="98"/>
              </w:rPr>
              <w:t xml:space="preserve"> Tranche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Actual Number of PSUs</w:t>
            </w:r>
          </w:p>
        </w:tc>
        <w:tc>
          <w:tcPr>
            <w:tcW w:w="80" w:type="dxa"/>
            <w:vAlign w:val="bottom"/>
          </w:tcPr>
          <w:p>
            <w:pPr>
              <w:spacing w:after="0"/>
              <w:rPr>
                <w:sz w:val="8"/>
                <w:szCs w:val="8"/>
                <w:color w:val="auto"/>
              </w:rPr>
            </w:pPr>
          </w:p>
        </w:tc>
        <w:tc>
          <w:tcPr>
            <w:tcW w:w="1260" w:type="dxa"/>
            <w:vAlign w:val="bottom"/>
            <w:tcBorders>
              <w:top w:val="single" w:sz="8" w:color="auto"/>
            </w:tcBorders>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Target Number of</w:t>
            </w:r>
          </w:p>
        </w:tc>
        <w:tc>
          <w:tcPr>
            <w:tcW w:w="128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Actual Number of PSUs</w:t>
            </w:r>
          </w:p>
        </w:tc>
        <w:tc>
          <w:tcPr>
            <w:tcW w:w="8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Actual Number of PSUs</w:t>
            </w:r>
          </w:p>
        </w:tc>
        <w:tc>
          <w:tcPr>
            <w:tcW w:w="0" w:type="dxa"/>
            <w:vAlign w:val="bottom"/>
          </w:tcPr>
          <w:p>
            <w:pPr>
              <w:spacing w:after="0"/>
              <w:rPr>
                <w:sz w:val="1"/>
                <w:szCs w:val="1"/>
                <w:color w:val="auto"/>
              </w:rPr>
            </w:pPr>
          </w:p>
        </w:tc>
      </w:tr>
      <w:tr>
        <w:trPr>
          <w:trHeight w:val="155"/>
        </w:trPr>
        <w:tc>
          <w:tcPr>
            <w:tcW w:w="3420" w:type="dxa"/>
            <w:vAlign w:val="bottom"/>
            <w:gridSpan w:val="2"/>
            <w:vMerge w:val="continue"/>
          </w:tcPr>
          <w:p>
            <w:pPr>
              <w:spacing w:after="0"/>
              <w:rPr>
                <w:sz w:val="13"/>
                <w:szCs w:val="13"/>
                <w:color w:val="auto"/>
              </w:rPr>
            </w:pPr>
          </w:p>
        </w:tc>
        <w:tc>
          <w:tcPr>
            <w:tcW w:w="1740" w:type="dxa"/>
            <w:vAlign w:val="bottom"/>
            <w:gridSpan w:val="3"/>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rPr>
              <w:t>Target Number of PSUs</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PSUs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Target Number of PSUs</w:t>
            </w:r>
          </w:p>
        </w:tc>
        <w:tc>
          <w:tcPr>
            <w:tcW w:w="820" w:type="dxa"/>
            <w:vAlign w:val="bottom"/>
          </w:tcPr>
          <w:p>
            <w:pPr>
              <w:jc w:val="center"/>
              <w:ind w:right="398"/>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0" w:type="dxa"/>
            <w:vAlign w:val="bottom"/>
          </w:tcPr>
          <w:p>
            <w:pPr>
              <w:spacing w:after="0"/>
              <w:rPr>
                <w:sz w:val="1"/>
                <w:szCs w:val="1"/>
                <w:color w:val="auto"/>
              </w:rPr>
            </w:pPr>
          </w:p>
        </w:tc>
      </w:tr>
      <w:tr>
        <w:trPr>
          <w:trHeight w:val="165"/>
        </w:trPr>
        <w:tc>
          <w:tcPr>
            <w:tcW w:w="332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0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11,757</w:t>
            </w:r>
          </w:p>
        </w:tc>
        <w:tc>
          <w:tcPr>
            <w:tcW w:w="100" w:type="dxa"/>
            <w:vAlign w:val="bottom"/>
            <w:tcBorders>
              <w:top w:val="single" w:sz="8" w:color="CCCCCC"/>
            </w:tcBorders>
            <w:shd w:val="clear" w:color="auto" w:fill="CCCCCC"/>
          </w:tcPr>
          <w:p>
            <w:pPr>
              <w:spacing w:after="0"/>
              <w:rPr>
                <w:sz w:val="14"/>
                <w:szCs w:val="14"/>
                <w:color w:val="auto"/>
              </w:rPr>
            </w:pPr>
          </w:p>
        </w:tc>
        <w:tc>
          <w:tcPr>
            <w:tcW w:w="460" w:type="dxa"/>
            <w:vAlign w:val="bottom"/>
            <w:tcBorders>
              <w:top w:val="single" w:sz="8" w:color="auto"/>
            </w:tcBorders>
            <w:shd w:val="clear" w:color="auto" w:fill="CCCCCC"/>
          </w:tcPr>
          <w:p>
            <w:pPr>
              <w:spacing w:after="0"/>
              <w:rPr>
                <w:sz w:val="14"/>
                <w:szCs w:val="14"/>
                <w:color w:val="auto"/>
              </w:rPr>
            </w:pPr>
          </w:p>
        </w:tc>
        <w:tc>
          <w:tcPr>
            <w:tcW w:w="860" w:type="dxa"/>
            <w:vAlign w:val="bottom"/>
            <w:tcBorders>
              <w:top w:val="single" w:sz="8" w:color="auto"/>
            </w:tcBorders>
            <w:shd w:val="clear" w:color="auto" w:fill="CCCCCC"/>
          </w:tcPr>
          <w:p>
            <w:pPr>
              <w:jc w:val="center"/>
              <w:ind w:right="418"/>
              <w:spacing w:after="0"/>
              <w:rPr>
                <w:sz w:val="20"/>
                <w:szCs w:val="20"/>
                <w:color w:val="auto"/>
              </w:rPr>
            </w:pPr>
            <w:r>
              <w:rPr>
                <w:rFonts w:ascii="Times New Roman" w:cs="Times New Roman" w:eastAsia="Times New Roman" w:hAnsi="Times New Roman"/>
                <w:sz w:val="13"/>
                <w:szCs w:val="13"/>
                <w:color w:val="auto"/>
                <w:w w:val="94"/>
              </w:rPr>
              <w:t>10,111</w:t>
            </w:r>
          </w:p>
        </w:tc>
        <w:tc>
          <w:tcPr>
            <w:tcW w:w="8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17,047</w:t>
            </w:r>
          </w:p>
        </w:tc>
        <w:tc>
          <w:tcPr>
            <w:tcW w:w="80" w:type="dxa"/>
            <w:vAlign w:val="bottom"/>
            <w:tcBorders>
              <w:top w:val="single" w:sz="8" w:color="CCCCCC"/>
            </w:tcBorders>
            <w:shd w:val="clear" w:color="auto" w:fill="CCCCCC"/>
          </w:tcPr>
          <w:p>
            <w:pPr>
              <w:spacing w:after="0"/>
              <w:rPr>
                <w:sz w:val="14"/>
                <w:szCs w:val="14"/>
                <w:color w:val="auto"/>
              </w:rPr>
            </w:pPr>
          </w:p>
        </w:tc>
        <w:tc>
          <w:tcPr>
            <w:tcW w:w="12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16,365</w:t>
            </w:r>
          </w:p>
        </w:tc>
        <w:tc>
          <w:tcPr>
            <w:tcW w:w="80" w:type="dxa"/>
            <w:vAlign w:val="bottom"/>
            <w:tcBorders>
              <w:top w:val="single" w:sz="8" w:color="CCCCCC"/>
            </w:tcBorders>
            <w:shd w:val="clear" w:color="auto" w:fill="CCCCCC"/>
          </w:tcPr>
          <w:p>
            <w:pPr>
              <w:spacing w:after="0"/>
              <w:rPr>
                <w:sz w:val="14"/>
                <w:szCs w:val="14"/>
                <w:color w:val="auto"/>
              </w:rPr>
            </w:pPr>
          </w:p>
        </w:tc>
        <w:tc>
          <w:tcPr>
            <w:tcW w:w="120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20,377</w:t>
            </w:r>
          </w:p>
        </w:tc>
        <w:tc>
          <w:tcPr>
            <w:tcW w:w="80" w:type="dxa"/>
            <w:vAlign w:val="bottom"/>
            <w:tcBorders>
              <w:top w:val="single" w:sz="8" w:color="CCCCCC"/>
            </w:tcBorders>
            <w:shd w:val="clear" w:color="auto" w:fill="CCCCCC"/>
          </w:tcPr>
          <w:p>
            <w:pPr>
              <w:spacing w:after="0"/>
              <w:rPr>
                <w:sz w:val="14"/>
                <w:szCs w:val="14"/>
                <w:color w:val="auto"/>
              </w:rPr>
            </w:pPr>
          </w:p>
        </w:tc>
        <w:tc>
          <w:tcPr>
            <w:tcW w:w="460" w:type="dxa"/>
            <w:vAlign w:val="bottom"/>
            <w:tcBorders>
              <w:top w:val="single" w:sz="8" w:color="auto"/>
            </w:tcBorders>
            <w:shd w:val="clear" w:color="auto" w:fill="CCCCCC"/>
          </w:tcPr>
          <w:p>
            <w:pPr>
              <w:spacing w:after="0"/>
              <w:rPr>
                <w:sz w:val="14"/>
                <w:szCs w:val="14"/>
                <w:color w:val="auto"/>
              </w:rPr>
            </w:pPr>
          </w:p>
        </w:tc>
        <w:tc>
          <w:tcPr>
            <w:tcW w:w="820" w:type="dxa"/>
            <w:vAlign w:val="bottom"/>
            <w:tcBorders>
              <w:top w:val="single" w:sz="8" w:color="auto"/>
            </w:tcBorders>
            <w:shd w:val="clear" w:color="auto" w:fill="CCCCCC"/>
          </w:tcPr>
          <w:p>
            <w:pPr>
              <w:jc w:val="center"/>
              <w:ind w:right="378"/>
              <w:spacing w:after="0"/>
              <w:rPr>
                <w:sz w:val="20"/>
                <w:szCs w:val="20"/>
                <w:color w:val="auto"/>
              </w:rPr>
            </w:pPr>
            <w:r>
              <w:rPr>
                <w:rFonts w:ascii="Times New Roman" w:cs="Times New Roman" w:eastAsia="Times New Roman" w:hAnsi="Times New Roman"/>
                <w:sz w:val="13"/>
                <w:szCs w:val="13"/>
                <w:color w:val="auto"/>
                <w:w w:val="94"/>
              </w:rPr>
              <w:t>15,282</w:t>
            </w:r>
          </w:p>
        </w:tc>
        <w:tc>
          <w:tcPr>
            <w:tcW w:w="0" w:type="dxa"/>
            <w:vAlign w:val="bottom"/>
          </w:tcPr>
          <w:p>
            <w:pPr>
              <w:spacing w:after="0"/>
              <w:rPr>
                <w:sz w:val="1"/>
                <w:szCs w:val="1"/>
                <w:color w:val="auto"/>
              </w:rPr>
            </w:pPr>
          </w:p>
        </w:tc>
      </w:tr>
      <w:tr>
        <w:trPr>
          <w:trHeight w:val="16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3,057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ind w:right="398"/>
              <w:spacing w:after="0"/>
              <w:rPr>
                <w:sz w:val="20"/>
                <w:szCs w:val="20"/>
                <w:color w:val="auto"/>
              </w:rPr>
            </w:pPr>
            <w:r>
              <w:rPr>
                <w:rFonts w:ascii="Times New Roman" w:cs="Times New Roman" w:eastAsia="Times New Roman" w:hAnsi="Times New Roman"/>
                <w:sz w:val="13"/>
                <w:szCs w:val="13"/>
                <w:color w:val="auto"/>
                <w:w w:val="95"/>
              </w:rPr>
              <w:t>2,629</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4,762</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4,571</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5,993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ind w:right="398"/>
              <w:spacing w:after="0"/>
              <w:rPr>
                <w:sz w:val="20"/>
                <w:szCs w:val="20"/>
                <w:color w:val="auto"/>
              </w:rPr>
            </w:pPr>
            <w:r>
              <w:rPr>
                <w:rFonts w:ascii="Times New Roman" w:cs="Times New Roman" w:eastAsia="Times New Roman" w:hAnsi="Times New Roman"/>
                <w:sz w:val="13"/>
                <w:szCs w:val="13"/>
                <w:color w:val="auto"/>
                <w:w w:val="95"/>
              </w:rPr>
              <w:t>4,494</w:t>
            </w:r>
          </w:p>
        </w:tc>
        <w:tc>
          <w:tcPr>
            <w:tcW w:w="0" w:type="dxa"/>
            <w:vAlign w:val="bottom"/>
          </w:tcPr>
          <w:p>
            <w:pPr>
              <w:spacing w:after="0"/>
              <w:rPr>
                <w:sz w:val="1"/>
                <w:szCs w:val="1"/>
                <w:color w:val="auto"/>
              </w:rPr>
            </w:pPr>
          </w:p>
        </w:tc>
      </w:tr>
      <w:tr>
        <w:trPr>
          <w:trHeight w:val="172"/>
        </w:trPr>
        <w:tc>
          <w:tcPr>
            <w:tcW w:w="342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11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2,912</w:t>
            </w:r>
          </w:p>
        </w:tc>
        <w:tc>
          <w:tcPr>
            <w:tcW w:w="100" w:type="dxa"/>
            <w:vAlign w:val="bottom"/>
            <w:shd w:val="clear" w:color="auto" w:fill="CCCCCC"/>
          </w:tcPr>
          <w:p>
            <w:pPr>
              <w:spacing w:after="0"/>
              <w:rPr>
                <w:sz w:val="14"/>
                <w:szCs w:val="14"/>
                <w:color w:val="auto"/>
              </w:rPr>
            </w:pPr>
          </w:p>
        </w:tc>
        <w:tc>
          <w:tcPr>
            <w:tcW w:w="460" w:type="dxa"/>
            <w:vAlign w:val="bottom"/>
            <w:shd w:val="clear" w:color="auto" w:fill="CCCCCC"/>
          </w:tcPr>
          <w:p>
            <w:pPr>
              <w:spacing w:after="0"/>
              <w:rPr>
                <w:sz w:val="14"/>
                <w:szCs w:val="14"/>
                <w:color w:val="auto"/>
              </w:rPr>
            </w:pPr>
          </w:p>
        </w:tc>
        <w:tc>
          <w:tcPr>
            <w:tcW w:w="860" w:type="dxa"/>
            <w:vAlign w:val="bottom"/>
            <w:shd w:val="clear" w:color="auto" w:fill="CCCCCC"/>
          </w:tcPr>
          <w:p>
            <w:pPr>
              <w:jc w:val="center"/>
              <w:ind w:right="398"/>
              <w:spacing w:after="0"/>
              <w:rPr>
                <w:sz w:val="20"/>
                <w:szCs w:val="20"/>
                <w:color w:val="auto"/>
              </w:rPr>
            </w:pPr>
            <w:r>
              <w:rPr>
                <w:rFonts w:ascii="Times New Roman" w:cs="Times New Roman" w:eastAsia="Times New Roman" w:hAnsi="Times New Roman"/>
                <w:sz w:val="13"/>
                <w:szCs w:val="13"/>
                <w:color w:val="auto"/>
                <w:w w:val="95"/>
              </w:rPr>
              <w:t>2,504</w:t>
            </w:r>
          </w:p>
        </w:tc>
        <w:tc>
          <w:tcPr>
            <w:tcW w:w="80" w:type="dxa"/>
            <w:vAlign w:val="bottom"/>
            <w:shd w:val="clear" w:color="auto" w:fill="CCCCCC"/>
          </w:tcPr>
          <w:p>
            <w:pPr>
              <w:spacing w:after="0"/>
              <w:rPr>
                <w:sz w:val="14"/>
                <w:szCs w:val="14"/>
                <w:color w:val="auto"/>
              </w:rPr>
            </w:pPr>
          </w:p>
        </w:tc>
        <w:tc>
          <w:tcPr>
            <w:tcW w:w="11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5,809</w:t>
            </w:r>
          </w:p>
        </w:tc>
        <w:tc>
          <w:tcPr>
            <w:tcW w:w="80" w:type="dxa"/>
            <w:vAlign w:val="bottom"/>
            <w:shd w:val="clear" w:color="auto" w:fill="CCCCCC"/>
          </w:tcPr>
          <w:p>
            <w:pPr>
              <w:spacing w:after="0"/>
              <w:rPr>
                <w:sz w:val="14"/>
                <w:szCs w:val="14"/>
                <w:color w:val="auto"/>
              </w:rPr>
            </w:pPr>
          </w:p>
        </w:tc>
        <w:tc>
          <w:tcPr>
            <w:tcW w:w="12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5,576</w:t>
            </w:r>
          </w:p>
        </w:tc>
        <w:tc>
          <w:tcPr>
            <w:tcW w:w="80" w:type="dxa"/>
            <w:vAlign w:val="bottom"/>
            <w:shd w:val="clear" w:color="auto" w:fill="CCCCCC"/>
          </w:tcPr>
          <w:p>
            <w:pPr>
              <w:spacing w:after="0"/>
              <w:rPr>
                <w:sz w:val="14"/>
                <w:szCs w:val="14"/>
                <w:color w:val="auto"/>
              </w:rPr>
            </w:pPr>
          </w:p>
        </w:tc>
        <w:tc>
          <w:tcPr>
            <w:tcW w:w="12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7,492</w:t>
            </w:r>
          </w:p>
        </w:tc>
        <w:tc>
          <w:tcPr>
            <w:tcW w:w="80" w:type="dxa"/>
            <w:vAlign w:val="bottom"/>
            <w:shd w:val="clear" w:color="auto" w:fill="CCCCCC"/>
          </w:tcPr>
          <w:p>
            <w:pPr>
              <w:spacing w:after="0"/>
              <w:rPr>
                <w:sz w:val="14"/>
                <w:szCs w:val="14"/>
                <w:color w:val="auto"/>
              </w:rPr>
            </w:pPr>
          </w:p>
        </w:tc>
        <w:tc>
          <w:tcPr>
            <w:tcW w:w="460" w:type="dxa"/>
            <w:vAlign w:val="bottom"/>
            <w:shd w:val="clear" w:color="auto" w:fill="CCCCCC"/>
          </w:tcPr>
          <w:p>
            <w:pPr>
              <w:spacing w:after="0"/>
              <w:rPr>
                <w:sz w:val="14"/>
                <w:szCs w:val="14"/>
                <w:color w:val="auto"/>
              </w:rPr>
            </w:pPr>
          </w:p>
        </w:tc>
        <w:tc>
          <w:tcPr>
            <w:tcW w:w="820" w:type="dxa"/>
            <w:vAlign w:val="bottom"/>
            <w:shd w:val="clear" w:color="auto" w:fill="CCCCCC"/>
          </w:tcPr>
          <w:p>
            <w:pPr>
              <w:jc w:val="center"/>
              <w:ind w:right="398"/>
              <w:spacing w:after="0"/>
              <w:rPr>
                <w:sz w:val="20"/>
                <w:szCs w:val="20"/>
                <w:color w:val="auto"/>
              </w:rPr>
            </w:pPr>
            <w:r>
              <w:rPr>
                <w:rFonts w:ascii="Times New Roman" w:cs="Times New Roman" w:eastAsia="Times New Roman" w:hAnsi="Times New Roman"/>
                <w:sz w:val="13"/>
                <w:szCs w:val="13"/>
                <w:color w:val="auto"/>
                <w:w w:val="95"/>
              </w:rPr>
              <w:t>5,619</w:t>
            </w:r>
          </w:p>
        </w:tc>
        <w:tc>
          <w:tcPr>
            <w:tcW w:w="0" w:type="dxa"/>
            <w:vAlign w:val="bottom"/>
          </w:tcPr>
          <w:p>
            <w:pPr>
              <w:spacing w:after="0"/>
              <w:rPr>
                <w:sz w:val="1"/>
                <w:szCs w:val="1"/>
                <w:color w:val="auto"/>
              </w:rPr>
            </w:pPr>
          </w:p>
        </w:tc>
      </w:tr>
      <w:tr>
        <w:trPr>
          <w:trHeight w:val="16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1740" w:type="dxa"/>
            <w:vAlign w:val="bottom"/>
            <w:gridSpan w:val="3"/>
          </w:tcPr>
          <w:p>
            <w:pPr>
              <w:jc w:val="center"/>
              <w:ind w:right="503"/>
              <w:spacing w:after="0"/>
              <w:rPr>
                <w:sz w:val="20"/>
                <w:szCs w:val="20"/>
                <w:color w:val="auto"/>
              </w:rPr>
            </w:pPr>
            <w:r>
              <w:rPr>
                <w:rFonts w:ascii="Times New Roman" w:cs="Times New Roman" w:eastAsia="Times New Roman" w:hAnsi="Times New Roman"/>
                <w:sz w:val="13"/>
                <w:szCs w:val="13"/>
                <w:color w:val="auto"/>
                <w:w w:val="98"/>
              </w:rPr>
              <w:t>N/A</w:t>
            </w: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w w:val="98"/>
              </w:rPr>
              <w:t>N/A</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3,333</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3,199</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3,796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ind w:right="398"/>
              <w:spacing w:after="0"/>
              <w:rPr>
                <w:sz w:val="20"/>
                <w:szCs w:val="20"/>
                <w:color w:val="auto"/>
              </w:rPr>
            </w:pPr>
            <w:r>
              <w:rPr>
                <w:rFonts w:ascii="Times New Roman" w:cs="Times New Roman" w:eastAsia="Times New Roman" w:hAnsi="Times New Roman"/>
                <w:sz w:val="13"/>
                <w:szCs w:val="13"/>
                <w:color w:val="auto"/>
                <w:w w:val="95"/>
              </w:rPr>
              <w:t>2,847</w:t>
            </w:r>
          </w:p>
        </w:tc>
        <w:tc>
          <w:tcPr>
            <w:tcW w:w="0" w:type="dxa"/>
            <w:vAlign w:val="bottom"/>
          </w:tcPr>
          <w:p>
            <w:pPr>
              <w:spacing w:after="0"/>
              <w:rPr>
                <w:sz w:val="1"/>
                <w:szCs w:val="1"/>
                <w:color w:val="auto"/>
              </w:rPr>
            </w:pPr>
          </w:p>
        </w:tc>
      </w:tr>
      <w:tr>
        <w:trPr>
          <w:trHeight w:val="172"/>
        </w:trPr>
        <w:tc>
          <w:tcPr>
            <w:tcW w:w="342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11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shd w:val="clear" w:color="auto" w:fill="CCCCCC"/>
          </w:tcPr>
          <w:p>
            <w:pPr>
              <w:spacing w:after="0"/>
              <w:rPr>
                <w:sz w:val="14"/>
                <w:szCs w:val="14"/>
                <w:color w:val="auto"/>
              </w:rPr>
            </w:pPr>
          </w:p>
        </w:tc>
        <w:tc>
          <w:tcPr>
            <w:tcW w:w="460" w:type="dxa"/>
            <w:vAlign w:val="bottom"/>
            <w:shd w:val="clear" w:color="auto" w:fill="CCCCCC"/>
          </w:tcPr>
          <w:p>
            <w:pPr>
              <w:spacing w:after="0"/>
              <w:rPr>
                <w:sz w:val="14"/>
                <w:szCs w:val="14"/>
                <w:color w:val="auto"/>
              </w:rPr>
            </w:pPr>
          </w:p>
        </w:tc>
        <w:tc>
          <w:tcPr>
            <w:tcW w:w="860" w:type="dxa"/>
            <w:vAlign w:val="bottom"/>
            <w:shd w:val="clear" w:color="auto" w:fill="CCCCCC"/>
          </w:tcPr>
          <w:p>
            <w:pPr>
              <w:jc w:val="center"/>
              <w:ind w:right="398"/>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shd w:val="clear" w:color="auto" w:fill="CCCCCC"/>
          </w:tcPr>
          <w:p>
            <w:pPr>
              <w:spacing w:after="0"/>
              <w:rPr>
                <w:sz w:val="14"/>
                <w:szCs w:val="14"/>
                <w:color w:val="auto"/>
              </w:rPr>
            </w:pPr>
          </w:p>
        </w:tc>
        <w:tc>
          <w:tcPr>
            <w:tcW w:w="11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2,935</w:t>
            </w:r>
          </w:p>
        </w:tc>
        <w:tc>
          <w:tcPr>
            <w:tcW w:w="80" w:type="dxa"/>
            <w:vAlign w:val="bottom"/>
            <w:shd w:val="clear" w:color="auto" w:fill="CCCCCC"/>
          </w:tcPr>
          <w:p>
            <w:pPr>
              <w:spacing w:after="0"/>
              <w:rPr>
                <w:sz w:val="14"/>
                <w:szCs w:val="14"/>
                <w:color w:val="auto"/>
              </w:rPr>
            </w:pPr>
          </w:p>
        </w:tc>
        <w:tc>
          <w:tcPr>
            <w:tcW w:w="12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2,817</w:t>
            </w:r>
          </w:p>
        </w:tc>
        <w:tc>
          <w:tcPr>
            <w:tcW w:w="80" w:type="dxa"/>
            <w:vAlign w:val="bottom"/>
            <w:shd w:val="clear" w:color="auto" w:fill="CCCCCC"/>
          </w:tcPr>
          <w:p>
            <w:pPr>
              <w:spacing w:after="0"/>
              <w:rPr>
                <w:sz w:val="14"/>
                <w:szCs w:val="14"/>
                <w:color w:val="auto"/>
              </w:rPr>
            </w:pPr>
          </w:p>
        </w:tc>
        <w:tc>
          <w:tcPr>
            <w:tcW w:w="12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5"/>
              </w:rPr>
              <w:t>3,796</w:t>
            </w:r>
          </w:p>
        </w:tc>
        <w:tc>
          <w:tcPr>
            <w:tcW w:w="80" w:type="dxa"/>
            <w:vAlign w:val="bottom"/>
            <w:shd w:val="clear" w:color="auto" w:fill="CCCCCC"/>
          </w:tcPr>
          <w:p>
            <w:pPr>
              <w:spacing w:after="0"/>
              <w:rPr>
                <w:sz w:val="14"/>
                <w:szCs w:val="14"/>
                <w:color w:val="auto"/>
              </w:rPr>
            </w:pPr>
          </w:p>
        </w:tc>
        <w:tc>
          <w:tcPr>
            <w:tcW w:w="460" w:type="dxa"/>
            <w:vAlign w:val="bottom"/>
            <w:shd w:val="clear" w:color="auto" w:fill="CCCCCC"/>
          </w:tcPr>
          <w:p>
            <w:pPr>
              <w:spacing w:after="0"/>
              <w:rPr>
                <w:sz w:val="14"/>
                <w:szCs w:val="14"/>
                <w:color w:val="auto"/>
              </w:rPr>
            </w:pPr>
          </w:p>
        </w:tc>
        <w:tc>
          <w:tcPr>
            <w:tcW w:w="820" w:type="dxa"/>
            <w:vAlign w:val="bottom"/>
            <w:shd w:val="clear" w:color="auto" w:fill="CCCCCC"/>
          </w:tcPr>
          <w:p>
            <w:pPr>
              <w:jc w:val="center"/>
              <w:ind w:right="398"/>
              <w:spacing w:after="0"/>
              <w:rPr>
                <w:sz w:val="20"/>
                <w:szCs w:val="20"/>
                <w:color w:val="auto"/>
              </w:rPr>
            </w:pPr>
            <w:r>
              <w:rPr>
                <w:rFonts w:ascii="Times New Roman" w:cs="Times New Roman" w:eastAsia="Times New Roman" w:hAnsi="Times New Roman"/>
                <w:sz w:val="13"/>
                <w:szCs w:val="13"/>
                <w:color w:val="auto"/>
                <w:w w:val="95"/>
              </w:rPr>
              <w:t>2,847</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RSU Awards</w:t>
      </w:r>
    </w:p>
    <w:p>
      <w:pPr>
        <w:spacing w:after="0" w:line="191"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color w:val="auto"/>
        </w:rPr>
        <w:t>RSUs are a typical long-term incentive offered among our peers and in general industry, and these awards help us recruit and retain executives in a competitive environment and provide further incentive to focus on longer-term stockholder value creation. In April 2023, our NEOs received time-based RSU awards which vest in three equal annual installments, beginning in March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2025 Equity Awards</w:t>
      </w:r>
    </w:p>
    <w:p>
      <w:pPr>
        <w:spacing w:after="0" w:line="202" w:lineRule="exact"/>
        <w:rPr>
          <w:sz w:val="20"/>
          <w:szCs w:val="20"/>
          <w:color w:val="auto"/>
        </w:rPr>
      </w:pPr>
    </w:p>
    <w:p>
      <w:pPr>
        <w:ind w:right="200" w:firstLine="318"/>
        <w:spacing w:after="0" w:line="334" w:lineRule="auto"/>
        <w:rPr>
          <w:sz w:val="20"/>
          <w:szCs w:val="20"/>
          <w:color w:val="auto"/>
        </w:rPr>
      </w:pPr>
      <w:r>
        <w:rPr>
          <w:rFonts w:ascii="Times New Roman" w:cs="Times New Roman" w:eastAsia="Times New Roman" w:hAnsi="Times New Roman"/>
          <w:sz w:val="14"/>
          <w:szCs w:val="14"/>
          <w:color w:val="auto"/>
        </w:rPr>
        <w:t>For fiscal year 2025, the Committee elected to grant our NEOs 60% of their annual equity in PSUs and 40% in RSUs to align their compensation with Company performance. The fiscal year 2025 PSU awards are structured in the same manner as the fiscal year 2024 PSU awards. The Company’s financial performance will continue to be measured based on the following metrics: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680" w:type="dxa"/>
            <w:vAlign w:val="bottom"/>
            <w:gridSpan w:val="2"/>
          </w:tcPr>
          <w:p>
            <w:pPr>
              <w:ind w:left="2300"/>
              <w:spacing w:after="0"/>
              <w:rPr>
                <w:sz w:val="20"/>
                <w:szCs w:val="20"/>
                <w:color w:val="auto"/>
              </w:rPr>
            </w:pPr>
            <w:r>
              <w:rPr>
                <w:rFonts w:ascii="Times New Roman" w:cs="Times New Roman" w:eastAsia="Times New Roman" w:hAnsi="Times New Roman"/>
                <w:sz w:val="11"/>
                <w:szCs w:val="11"/>
                <w:b w:val="1"/>
                <w:bCs w:val="1"/>
                <w:color w:val="auto"/>
              </w:rPr>
              <w:t>Performance Metric</w:t>
            </w:r>
          </w:p>
        </w:tc>
        <w:tc>
          <w:tcPr>
            <w:tcW w:w="5580" w:type="dxa"/>
            <w:vAlign w:val="bottom"/>
          </w:tcPr>
          <w:p>
            <w:pPr>
              <w:jc w:val="right"/>
              <w:ind w:right="2359"/>
              <w:spacing w:after="0"/>
              <w:rPr>
                <w:sz w:val="20"/>
                <w:szCs w:val="20"/>
                <w:color w:val="auto"/>
              </w:rPr>
            </w:pPr>
            <w:r>
              <w:rPr>
                <w:rFonts w:ascii="Times New Roman" w:cs="Times New Roman" w:eastAsia="Times New Roman" w:hAnsi="Times New Roman"/>
                <w:sz w:val="11"/>
                <w:szCs w:val="11"/>
                <w:b w:val="1"/>
                <w:bCs w:val="1"/>
                <w:color w:val="auto"/>
              </w:rPr>
              <w:t>NEO Weighting</w:t>
            </w:r>
          </w:p>
        </w:tc>
      </w:tr>
      <w:tr>
        <w:trPr>
          <w:trHeight w:val="170"/>
        </w:trPr>
        <w:tc>
          <w:tcPr>
            <w:tcW w:w="5580" w:type="dxa"/>
            <w:vAlign w:val="bottom"/>
            <w:tcBorders>
              <w:top w:val="single" w:sz="8" w:color="auto"/>
            </w:tcBorders>
            <w:shd w:val="clear" w:color="auto" w:fill="CCCCCC"/>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CCCCCC"/>
            </w:tcBorders>
            <w:shd w:val="clear" w:color="auto" w:fill="CCCCCC"/>
          </w:tcPr>
          <w:p>
            <w:pPr>
              <w:spacing w:after="0"/>
              <w:rPr>
                <w:sz w:val="14"/>
                <w:szCs w:val="14"/>
                <w:color w:val="auto"/>
              </w:rPr>
            </w:pPr>
          </w:p>
        </w:tc>
        <w:tc>
          <w:tcPr>
            <w:tcW w:w="5580" w:type="dxa"/>
            <w:vAlign w:val="bottom"/>
            <w:tcBorders>
              <w:top w:val="single" w:sz="8" w:color="auto"/>
            </w:tcBorders>
            <w:shd w:val="clear" w:color="auto" w:fill="CCCCCC"/>
          </w:tcPr>
          <w:p>
            <w:pPr>
              <w:jc w:val="right"/>
              <w:ind w:right="2739"/>
              <w:spacing w:after="0"/>
              <w:rPr>
                <w:sz w:val="20"/>
                <w:szCs w:val="20"/>
                <w:color w:val="auto"/>
              </w:rPr>
            </w:pPr>
            <w:r>
              <w:rPr>
                <w:rFonts w:ascii="Times New Roman" w:cs="Times New Roman" w:eastAsia="Times New Roman" w:hAnsi="Times New Roman"/>
                <w:sz w:val="13"/>
                <w:szCs w:val="13"/>
                <w:color w:val="auto"/>
              </w:rPr>
              <w:t>60%</w:t>
            </w:r>
          </w:p>
        </w:tc>
      </w:tr>
      <w:tr>
        <w:trPr>
          <w:trHeight w:val="165"/>
        </w:trPr>
        <w:tc>
          <w:tcPr>
            <w:tcW w:w="5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5580" w:type="dxa"/>
            <w:vAlign w:val="bottom"/>
          </w:tcPr>
          <w:p>
            <w:pPr>
              <w:jc w:val="right"/>
              <w:ind w:right="2739"/>
              <w:spacing w:after="0"/>
              <w:rPr>
                <w:sz w:val="20"/>
                <w:szCs w:val="20"/>
                <w:color w:val="auto"/>
              </w:rPr>
            </w:pPr>
            <w:r>
              <w:rPr>
                <w:rFonts w:ascii="Times New Roman" w:cs="Times New Roman" w:eastAsia="Times New Roman" w:hAnsi="Times New Roman"/>
                <w:sz w:val="13"/>
                <w:szCs w:val="13"/>
                <w:color w:val="auto"/>
              </w:rPr>
              <w:t>40%</w:t>
            </w:r>
          </w:p>
        </w:tc>
      </w:tr>
    </w:tbl>
    <w:p>
      <w:pPr>
        <w:spacing w:after="0" w:line="234" w:lineRule="exact"/>
        <w:rPr>
          <w:sz w:val="20"/>
          <w:szCs w:val="20"/>
          <w:color w:val="auto"/>
        </w:rPr>
      </w:pPr>
    </w:p>
    <w:p>
      <w:pPr>
        <w:ind w:right="220" w:firstLine="318"/>
        <w:spacing w:after="0" w:line="248" w:lineRule="auto"/>
        <w:rPr>
          <w:sz w:val="20"/>
          <w:szCs w:val="20"/>
          <w:color w:val="auto"/>
        </w:rPr>
      </w:pPr>
      <w:r>
        <w:rPr>
          <w:rFonts w:ascii="Times New Roman" w:cs="Times New Roman" w:eastAsia="Times New Roman" w:hAnsi="Times New Roman"/>
          <w:sz w:val="14"/>
          <w:szCs w:val="14"/>
          <w:color w:val="auto"/>
        </w:rPr>
        <w:t>The Committee selected total revenue and free cash flow as the fiscal year 2025 PSU performance metrics to align our executives' incentives with these key drivers of stockholder value. The Committee determined the overlap of total revenue in the short-term incentive and the PSUs to be appropriate in light of the importance of this goal, the use of different second metrics in the two incentives, and the use of relative TSR modifiers for the PSUs. In fiscal year 2025, the Committee also considered progress and outcomes on diversity and belong (D&amp;B) and environmental sustainability when determining long-term incentive awards for NEOs.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color w:val="auto"/>
        </w:rPr>
        <w:t>The financial performance results will continue to be adjusted based on Autodesk’s Relative TSR over one-, two-, and three-year performance periods with a relative TSR modifier range of 67% to 133%. The payout of the PSUs will continue to range from 0% to 200% of target.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Benefits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Welfare and Other Employee Benefits</w:t>
      </w:r>
    </w:p>
    <w:p>
      <w:pPr>
        <w:spacing w:after="0" w:line="202" w:lineRule="exact"/>
        <w:rPr>
          <w:sz w:val="20"/>
          <w:szCs w:val="20"/>
          <w:color w:val="auto"/>
        </w:rPr>
      </w:pPr>
    </w:p>
    <w:p>
      <w:pPr>
        <w:jc w:val="both"/>
        <w:ind w:right="200" w:firstLine="318"/>
        <w:spacing w:after="0" w:line="270" w:lineRule="auto"/>
        <w:rPr>
          <w:sz w:val="20"/>
          <w:szCs w:val="20"/>
          <w:color w:val="auto"/>
        </w:rPr>
      </w:pPr>
      <w:r>
        <w:rPr>
          <w:rFonts w:ascii="Times New Roman" w:cs="Times New Roman" w:eastAsia="Times New Roman" w:hAnsi="Times New Roman"/>
          <w:sz w:val="14"/>
          <w:szCs w:val="14"/>
          <w:color w:val="auto"/>
        </w:rPr>
        <w:t>Benefits provided to our executive officers are generally the same as those provided to all other eligible Autodesk employees. In the United States, these benefits include medical, dental, and vision insurance, 401(k) retirement plan with company matching contributions, an employee stock purchase plan, health and dependent care flexible spending accounts, short-term disability salary continuation, long-term disability insurance, accidental death and dismemberment insurance, basic life insurance coverage, and various paid time off and leave programs.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Ms. Pearce is based in the UK and is eligible to participate in the local employee benefit plans made available to UK-based employees, including an employer pension scheme.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Perquisites and Other Personal Benefits</w:t>
      </w:r>
    </w:p>
    <w:p>
      <w:pPr>
        <w:spacing w:after="0" w:line="20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Autodesk does not, as a general practice, provide material benefits or special considerations to our executive officers that are not provided to other employees. However, from time to time, when deemed appropriate by the Committee, certain executive officers receive perquisites and other personal benefits that are competitively prudent or otherwise in Autodesk’s best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 Agreement and Post-Employment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 Agreement with CEO</w:t>
      </w:r>
    </w:p>
    <w:p>
      <w:pPr>
        <w:spacing w:after="0" w:line="191" w:lineRule="exact"/>
        <w:rPr>
          <w:sz w:val="20"/>
          <w:szCs w:val="20"/>
          <w:color w:val="auto"/>
        </w:rPr>
      </w:pPr>
    </w:p>
    <w:p>
      <w:pPr>
        <w:jc w:val="both"/>
        <w:ind w:right="20" w:firstLine="318"/>
        <w:spacing w:after="0" w:line="264" w:lineRule="auto"/>
        <w:rPr>
          <w:sz w:val="20"/>
          <w:szCs w:val="20"/>
          <w:color w:val="auto"/>
        </w:rPr>
      </w:pPr>
      <w:r>
        <w:rPr>
          <w:rFonts w:ascii="Times New Roman" w:cs="Times New Roman" w:eastAsia="Times New Roman" w:hAnsi="Times New Roman"/>
          <w:sz w:val="14"/>
          <w:szCs w:val="14"/>
          <w:color w:val="auto"/>
        </w:rPr>
        <w:t>The terms and conditions of Dr. Anagnost’s employment are set forth in his amended employment agreement, which defines the respective rights of Autodesk and Dr. Anagnost. This agreement provides general protection for Dr. Anagnost in the event of termination without cause or resignation for good reason and has been a valuable tool to incentivize Dr. Anagnost to become our CEO and to retain his services. We believe the protections afforded to our CEO in the event of a change in control promote continuity by helping our CEO maintain focus and dedication to enhance stockholder value. Details of the agreement with Dr. Anagnost can be found beginning on page 147.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Severance Plan</w:t>
      </w:r>
    </w:p>
    <w:p>
      <w:pPr>
        <w:spacing w:after="0" w:line="191"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4"/>
          <w:szCs w:val="14"/>
          <w:color w:val="auto"/>
        </w:rPr>
        <w:t>During fiscal year 2019, the Committee adopted the Autodesk, Inc. Severance Plan to establish standard executive severance terms that are competitive with our talent competitors and minimize the need to negotiate individualized executive severance terms in the future. Each of our NEOs (other than our CEO), as well as certain other senior executives, is a participant in the plan. If a participant’s employment is terminated without cause, or if a participant terminates his or her employment for good reason, then, in addition to payment of accrued base salary and vacation and any previously awarded but unpaid bonus, the participant is eligible to receive the following benefits:</w:t>
      </w:r>
    </w:p>
    <w:p>
      <w:pPr>
        <w:spacing w:after="0" w:line="67" w:lineRule="exact"/>
        <w:rPr>
          <w:sz w:val="20"/>
          <w:szCs w:val="20"/>
          <w:color w:val="auto"/>
        </w:rPr>
      </w:pPr>
    </w:p>
    <w:p>
      <w:pPr>
        <w:ind w:left="320" w:right="60" w:hanging="188"/>
        <w:spacing w:after="0" w:line="270" w:lineRule="auto"/>
        <w:tabs>
          <w:tab w:leader="none" w:pos="3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lump-sum payment equal to the sum of (a) 1.5 times the participant’s base pay in effect on the date of termination and (b) 1.5 times the participant’s target annual cash bonus incentive amount under our annual cash bonus incentive plan applicable to the participant in effect the date of termination (for Rebecca Pearce such lump-sum payment would be inclusive of any severance or payment received during or in relation to her notice period);</w:t>
      </w:r>
    </w:p>
    <w:p>
      <w:pPr>
        <w:spacing w:after="0" w:line="50" w:lineRule="exact"/>
        <w:rPr>
          <w:rFonts w:ascii="Times New Roman" w:cs="Times New Roman" w:eastAsia="Times New Roman" w:hAnsi="Times New Roman"/>
          <w:sz w:val="14"/>
          <w:szCs w:val="14"/>
          <w:color w:val="auto"/>
        </w:rPr>
      </w:pPr>
    </w:p>
    <w:p>
      <w:pPr>
        <w:ind w:left="320" w:hanging="188"/>
        <w:spacing w:after="0" w:line="287" w:lineRule="auto"/>
        <w:tabs>
          <w:tab w:leader="none" w:pos="3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of the participant’s time-based RSUs that would have become vested had the participant remained continuously employed by Autodesk for an additional 12 months following the termination;</w:t>
      </w:r>
    </w:p>
    <w:p>
      <w:pPr>
        <w:spacing w:after="0" w:line="39" w:lineRule="exact"/>
        <w:rPr>
          <w:rFonts w:ascii="Times New Roman" w:cs="Times New Roman" w:eastAsia="Times New Roman" w:hAnsi="Times New Roman"/>
          <w:sz w:val="14"/>
          <w:szCs w:val="14"/>
          <w:color w:val="auto"/>
        </w:rPr>
      </w:pPr>
    </w:p>
    <w:p>
      <w:pPr>
        <w:ind w:left="320" w:right="540" w:hanging="188"/>
        <w:spacing w:after="0" w:line="287" w:lineRule="auto"/>
        <w:tabs>
          <w:tab w:leader="none" w:pos="3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vesting of the participant’s PSUs that would have become vested had the participant remained continuously employed by Autodesk for an additional 12 months following the termination, based on the extent to which the underlying performance criteria, with respect to such awards, are satisfied for such performance period;</w:t>
      </w:r>
    </w:p>
    <w:p>
      <w:pPr>
        <w:spacing w:after="0" w:line="39" w:lineRule="exact"/>
        <w:rPr>
          <w:rFonts w:ascii="Times New Roman" w:cs="Times New Roman" w:eastAsia="Times New Roman" w:hAnsi="Times New Roman"/>
          <w:sz w:val="14"/>
          <w:szCs w:val="14"/>
          <w:color w:val="auto"/>
        </w:rPr>
      </w:pPr>
    </w:p>
    <w:p>
      <w:pPr>
        <w:ind w:left="320" w:hanging="188"/>
        <w:spacing w:after="0" w:line="287" w:lineRule="auto"/>
        <w:tabs>
          <w:tab w:leader="none" w:pos="3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lump-sum payment in an amount equal to 12 times the monthly premium that the participant would be required to pay to continue his or her group health coverage if the participant had made a timely election under the Consolidated Omnibus Budget Reconciliation Act of 1985, as amended (“COBRA”) (for Rebecca Pearce such payment is not applicable);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20" w:right="400" w:hanging="188"/>
        <w:spacing w:after="0" w:line="287" w:lineRule="auto"/>
        <w:tabs>
          <w:tab w:leader="none" w:pos="31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Company-provided outplacement services in accordance with Autodesk’s then-applicable outplacement service program or arrangements for 18 months immediately following the date of termination.</w:t>
      </w:r>
    </w:p>
    <w:p>
      <w:pPr>
        <w:spacing w:after="0" w:line="29" w:lineRule="exact"/>
        <w:rPr>
          <w:sz w:val="20"/>
          <w:szCs w:val="20"/>
          <w:color w:val="auto"/>
        </w:rPr>
      </w:pPr>
    </w:p>
    <w:p>
      <w:pPr>
        <w:ind w:right="140" w:firstLine="318"/>
        <w:spacing w:after="0" w:line="248" w:lineRule="auto"/>
        <w:rPr>
          <w:sz w:val="20"/>
          <w:szCs w:val="20"/>
          <w:color w:val="auto"/>
        </w:rPr>
      </w:pPr>
      <w:r>
        <w:rPr>
          <w:rFonts w:ascii="Times New Roman" w:cs="Times New Roman" w:eastAsia="Times New Roman" w:hAnsi="Times New Roman"/>
          <w:sz w:val="14"/>
          <w:szCs w:val="14"/>
          <w:color w:val="auto"/>
        </w:rPr>
        <w:t>In March 2021, we amended the Severance Plan to provide similar benefits as those set forth above to participants who voluntarily terminate employment for qualified retirement. However, in the case of qualified retirement, participants will receive a dollar amount that is equivalent to 18 times monthly COBRA premium and they will not be eligible for outplacement services. All payments and other benefits under the Autodesk, Inc. Severance Plan are subject to applicable withholding obligations, the participant’s release of all claims, compliance with certain confidentiality covenants and, in circumstances other than a qualified retirement, non-disparagement and non-solicitation covenants.</w:t>
      </w:r>
    </w:p>
    <w:p>
      <w:pPr>
        <w:spacing w:after="0" w:line="162" w:lineRule="exact"/>
        <w:rPr>
          <w:sz w:val="20"/>
          <w:szCs w:val="20"/>
          <w:color w:val="auto"/>
        </w:rPr>
      </w:pPr>
    </w:p>
    <w:p>
      <w:pPr>
        <w:jc w:val="both"/>
        <w:ind w:right="180" w:firstLine="318"/>
        <w:spacing w:after="0" w:line="254" w:lineRule="auto"/>
        <w:rPr>
          <w:sz w:val="20"/>
          <w:szCs w:val="20"/>
          <w:color w:val="auto"/>
        </w:rPr>
      </w:pPr>
      <w:r>
        <w:rPr>
          <w:rFonts w:ascii="Times New Roman" w:cs="Times New Roman" w:eastAsia="Times New Roman" w:hAnsi="Times New Roman"/>
          <w:sz w:val="14"/>
          <w:szCs w:val="14"/>
          <w:color w:val="auto"/>
        </w:rPr>
        <w:t>Estimates of the potential payments and benefits payable in the event of a termination of employment under the Severance Plan are set forth in “Change-in-Control Arrangements, Severance Plan, Retirement Arrangements, and Employment Agreement” below. We intend to enter into a confirmatory employment letter with Ms. Pearce which will confirm the terms and conditions of her executive severance terms, as well change in control terms discussed in the next section.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Control Program</w:t>
      </w:r>
    </w:p>
    <w:p>
      <w:pPr>
        <w:spacing w:after="0" w:line="20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To ensure the continued service of key executive officers in the event of a potential change in control of Autodesk, the Board has adopted the Autodesk, Inc. Executive Change in Control Program. Each of our NEOs, among other employees, is a participant in the program. The payments and benefits available under this program are designed to encourage the continued services of the NEOs in the event of a potential change in control of Autodesk and to allow for a smooth leadership transition thereafter. Further, these arrangements are intended to provide incentives to the NEOs to execute strategic initiatives that are aligned with stockholder value creation, even if these initiatives may result in the elimination of an NEO’s position.</w:t>
      </w:r>
    </w:p>
    <w:p>
      <w:pPr>
        <w:spacing w:after="0" w:line="162" w:lineRule="exact"/>
        <w:rPr>
          <w:sz w:val="20"/>
          <w:szCs w:val="20"/>
          <w:color w:val="auto"/>
        </w:rPr>
      </w:pPr>
    </w:p>
    <w:p>
      <w:pPr>
        <w:ind w:right="180" w:firstLine="318"/>
        <w:spacing w:after="0" w:line="270" w:lineRule="auto"/>
        <w:rPr>
          <w:sz w:val="20"/>
          <w:szCs w:val="20"/>
          <w:color w:val="auto"/>
        </w:rPr>
      </w:pPr>
      <w:r>
        <w:rPr>
          <w:rFonts w:ascii="Times New Roman" w:cs="Times New Roman" w:eastAsia="Times New Roman" w:hAnsi="Times New Roman"/>
          <w:sz w:val="14"/>
          <w:szCs w:val="14"/>
          <w:color w:val="auto"/>
        </w:rPr>
        <w:t>The Executive Change in Control Program provides continuity in the event of a change in control transaction, which is designed to enhance stockholder value further. Payment and benefits under the Executive Change in Control Program are provided only in the event of a qualifying termination of employment following a change in control (“double trigger”). Autodesk does not offer tax reimbursement or “gross-up” payments under the Executive Change in Control Program.</w:t>
      </w:r>
    </w:p>
    <w:p>
      <w:pPr>
        <w:spacing w:after="0" w:line="157"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The material terms and conditions of the Executive Change in Control Program, as well as an estimate of the potential payments and benefits payable in the event of a termination of employment in connection with a change in control of Autodesk, are set forth in “Change-in-Control Arrangements, Severance Plan, Retirement Arrangements, and Employment Agreement”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Provisions in RSU and PSU Agreements</w:t>
      </w:r>
    </w:p>
    <w:p>
      <w:pPr>
        <w:spacing w:after="0" w:line="202"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To ensure the continued long-term service of key executive officers through an orderly retirement, the Board has adopted retirement provisions in RSU and PSU agreements entered into with executive officers starting in March 2019. Each of our NEOs, among other employees, is eligible to participate in the program. The retirement benefit available under this program is limited to partial continued vesting of outstanding RSUs and PSUs following a qualified retirement and is designed to encourage the continued long-term services of the NEOs and to allow for a smooth leadership transition upon their retirement. Under the retirement provisions in RSU and PSU agreements, continued vesting is provided only in the event of a qualifying retirement.</w:t>
      </w:r>
    </w:p>
    <w:p>
      <w:pPr>
        <w:spacing w:after="0" w:line="162"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The material terms and conditions of the retirement provisions, as well as an estimate of the potential benefit payable in the event of a qualifying retirement, are set forth in “Change-in-Control Arrangements, Severance Plan, Retirement Arrangements, and Employment Agreement”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Mandatory Stock Ownership Guidelines</w:t>
      </w:r>
    </w:p>
    <w:p>
      <w:pPr>
        <w:spacing w:after="0" w:line="2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Board believes that stock ownership by our executive officers is important to promote a long-term perspective and align the interests of our executive officers with those of our stockholders. We have adopted mandatory stock ownership guidelines for our executive officers, which require each executive officer to hold shares of Autodesk’s common stock equivalent in value to a multiple of his or her base salary. This is intended to create clear guidelines that tie a portion of the executive officer’s net worth to the performance of Autodesk’s stock price. The current stock ownership guidelines are as follows:</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CEO</w:t>
            </w: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Other Senior Executives</w:t>
            </w:r>
          </w:p>
        </w:tc>
      </w:tr>
      <w:tr>
        <w:trPr>
          <w:trHeight w:val="170"/>
        </w:trPr>
        <w:tc>
          <w:tcPr>
            <w:tcW w:w="6600" w:type="dxa"/>
            <w:vAlign w:val="bottom"/>
            <w:tcBorders>
              <w:top w:val="single" w:sz="8" w:color="CCCCCC"/>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Multiple of Base Salary</w:t>
            </w:r>
          </w:p>
        </w:tc>
        <w:tc>
          <w:tcPr>
            <w:tcW w:w="220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6.0 times</w:t>
            </w:r>
          </w:p>
        </w:tc>
        <w:tc>
          <w:tcPr>
            <w:tcW w:w="100" w:type="dxa"/>
            <w:vAlign w:val="bottom"/>
            <w:tcBorders>
              <w:top w:val="single" w:sz="8" w:color="CCCCCC"/>
            </w:tcBorders>
            <w:shd w:val="clear" w:color="auto" w:fill="CCCCCC"/>
          </w:tcPr>
          <w:p>
            <w:pPr>
              <w:spacing w:after="0"/>
              <w:rPr>
                <w:sz w:val="14"/>
                <w:szCs w:val="14"/>
                <w:color w:val="auto"/>
              </w:rPr>
            </w:pPr>
          </w:p>
        </w:tc>
        <w:tc>
          <w:tcPr>
            <w:tcW w:w="22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6"/>
              </w:rPr>
              <w:t>3.0 times</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40" w:firstLine="318"/>
        <w:spacing w:after="0" w:line="264" w:lineRule="auto"/>
        <w:rPr>
          <w:sz w:val="20"/>
          <w:szCs w:val="20"/>
          <w:color w:val="auto"/>
        </w:rPr>
      </w:pPr>
      <w:r>
        <w:rPr>
          <w:rFonts w:ascii="Times New Roman" w:cs="Times New Roman" w:eastAsia="Times New Roman" w:hAnsi="Times New Roman"/>
          <w:sz w:val="14"/>
          <w:szCs w:val="14"/>
          <w:color w:val="auto"/>
        </w:rPr>
        <w:t>Executive officers have four years from their hire or promotion to a position subject to a higher ownership threshold to satisfy the required level of stock ownership. For purposes of satisfying the required stock ownership level, shares of common stock subject to outstanding RSU awards are counted as shares owned, but outstanding PSUs are not counted until the shares underlying these awards have been fully earned based on performance. The Board reviews progress against these guidelines and requirements annually and updates them as appropriate. As of the most recent review of attainment, each of our NEOs satisfied the ownership guidelines.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202"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On December 1, 2023, our Board adopted a clawback policy that complies with the updated Nasdaq listing standards that implement the new SEC rules under the Dodd-Frank Wall Street Reform and Consumer Protection Act relating to the recovery of excess incentive-based compensation from current and former executive offers in the event of an accounting restatement, whether or not the executive officer was at fault for the restatement. The clawback policy applies to our executive officers (as defined under the applicable SEC rules). This policy applies to all incentive-based compensation (as such term is defined under the new SEC rules), which includes performance-based awards granted under our equity incentive plan and the cash bonus payments under the annual cash incentive plan in which our executive officers participate.</w:t>
      </w:r>
    </w:p>
    <w:p>
      <w:pPr>
        <w:spacing w:after="0" w:line="164"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In addition to the adoption of the new clawback policy, our Board previously adopted a clawback policy, which is still in effect, which allows for an executive officer’s cash incentive-based compensation to be recovered at the discretion of the Board if that officer has engaged in fraudulent or other intentional misconduct and the misconduct caused a material restatement of our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Derivatives Trading and Anti-Hedging and Pledging Policy</w:t>
      </w:r>
    </w:p>
    <w:p>
      <w:pPr>
        <w:spacing w:after="0" w:line="2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Our insider trading policy prohibits executive officers, members of the Board, and all other employees from trading derivative securities related to Autodesk’s stock or engaging in short sales or other short-position transactions in shares of our stock. This policy does not restrict ownership of company-granted awards, such as options to purchase shares of our common stock or PSU or RSU awards, which have been granted by the Committee. The policy also prohibits all employees, including our executive officers, and members of the Board, from hedging Autodesk stock, holding it in a margin account, or otherwise pledging Autodesk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Award Grant Policy</w:t>
      </w:r>
    </w:p>
    <w:p>
      <w:pPr>
        <w:spacing w:after="0" w:line="202"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The Committee approves all equity awards granted to the executive officers. Approval of the equity awards for the executive officers generally occurs at the Committee’s regularly scheduled quarterly meeting for the first quarter of each year, although on occasion the Committee has approved new-hire, retention, or promotion grants outside of that cycle.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Risk Management</w:t>
      </w:r>
    </w:p>
    <w:p>
      <w:pPr>
        <w:spacing w:after="0" w:line="202"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Each year, the Committee evaluates Autodesk’s compensation-related risk profile. The Committee has concluded that our compensation programs do not create risks that are reasonably likely to have a material adverse effect on Autodesk.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Considerations and Practices</w:t>
      </w:r>
    </w:p>
    <w:p>
      <w:pPr>
        <w:spacing w:after="0" w:line="202" w:lineRule="exact"/>
        <w:rPr>
          <w:sz w:val="20"/>
          <w:szCs w:val="20"/>
          <w:color w:val="auto"/>
        </w:rPr>
      </w:pPr>
    </w:p>
    <w:p>
      <w:pPr>
        <w:ind w:right="200" w:firstLine="318"/>
        <w:spacing w:after="0" w:line="270" w:lineRule="auto"/>
        <w:rPr>
          <w:sz w:val="20"/>
          <w:szCs w:val="20"/>
          <w:color w:val="auto"/>
        </w:rPr>
      </w:pPr>
      <w:r>
        <w:rPr>
          <w:rFonts w:ascii="Times New Roman" w:cs="Times New Roman" w:eastAsia="Times New Roman" w:hAnsi="Times New Roman"/>
          <w:sz w:val="14"/>
          <w:szCs w:val="14"/>
          <w:color w:val="auto"/>
        </w:rPr>
        <w:t>Autodesk continuously reviews and evaluates the impact of tax laws, accounting practices and related interpretations on the executive compensation program. For example, the Committee considers Financial Accounting Standards Board Accounting Standards Codification Topic 718 (“ASC Topic 718”), which results in recognition of compensation expense for share-based payment awards, and Section 409A of the Code, which affects deferred compensation arrangements, as it evaluates, structures, and implements changes to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Deductibility Limitation</w:t>
      </w:r>
    </w:p>
    <w:p>
      <w:pPr>
        <w:spacing w:after="0" w:line="223" w:lineRule="exact"/>
        <w:rPr>
          <w:sz w:val="20"/>
          <w:szCs w:val="20"/>
          <w:color w:val="auto"/>
        </w:rPr>
      </w:pPr>
    </w:p>
    <w:p>
      <w:pPr>
        <w:ind w:right="80" w:firstLine="318"/>
        <w:spacing w:after="0" w:line="284" w:lineRule="auto"/>
        <w:rPr>
          <w:sz w:val="20"/>
          <w:szCs w:val="20"/>
          <w:color w:val="auto"/>
        </w:rPr>
      </w:pPr>
      <w:r>
        <w:rPr>
          <w:rFonts w:ascii="Times New Roman" w:cs="Times New Roman" w:eastAsia="Times New Roman" w:hAnsi="Times New Roman"/>
          <w:sz w:val="14"/>
          <w:szCs w:val="14"/>
          <w:color w:val="auto"/>
        </w:rPr>
        <w:t>Section 162(m) of the Internal Revenue Code limits the deductibility of compensation paid to certain executive officers to $1 million per year. The Committee has and will continue to consider Section 162(m) in establishing compensation of our executives but also considers other factors and business needs. Interpretations of and changes in applicable tax laws and regulations as well as</w:t>
      </w:r>
    </w:p>
    <w:p>
      <w:pPr>
        <w:spacing w:after="0" w:line="1"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4"/>
          <w:szCs w:val="14"/>
          <w:color w:val="auto"/>
        </w:rPr>
        <w:t>other factors beyond our control also can affect deductibility of compensation. For these and other reasons, the Committee has determined that it will not necessarily seek to limit executive compensation to the amount that is deductible under Section 162(m) of the Code.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of Deferred Compensation</w:t>
      </w:r>
    </w:p>
    <w:p>
      <w:pPr>
        <w:spacing w:after="0" w:line="2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Section 409A of the Code imposes significant additional taxes in the event an executive officer, director, or service provider receives “deferred compensation” that does not satisfy the restrictive conditions of the provision. Section 409A applies to a wide range of compensation arrangements, including traditional non-qualified deferred compensation plans, certain equity awards, and separation arrangements. To assist employees with avoiding additional taxes under Section 409A, Autodesk has structured equity awards in a manner intended to be exempt from or comply with the applicable Section 409A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of “Golden Parachute” Payments</w:t>
      </w:r>
    </w:p>
    <w:p>
      <w:pPr>
        <w:spacing w:after="0" w:line="191"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Sections 280G and 4999 of the Code provide that executive officers and directors who hold significant equity interests and certain other service providers may be subject to an excise tax if, in connection with a change in control, they receive payments or benefits that exceed certain prescribed limits. In addition, the relevant company or a successor may forfeit a deduction on the amounts subject to this additional tax. Autodesk did not provide any executive officer with a “gross-up” or other reimbursement payment for any tax liability the executive might owe as a result of the application of Sections 280G or 4999 during fiscal year 2024. In addition, Autodesk has not agreed and is not otherwise obligated to provide any NEO with such a “gross-up” or other reimbursement or to otherwise address the application of Sections 280G or 4999 in connection with payments or benefits arising from a change in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Stock-Based Compensation</w:t>
      </w:r>
    </w:p>
    <w:p>
      <w:pPr>
        <w:spacing w:after="0" w:line="202"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Autodesk follows Accounting Standards Codification (“ASC”) Topic 718 for stock-based compensation awards. ASC Topic 718 requires Autodesk to measure the compensation expense for all share-based payment awards made to employees (including executive officers) and members of the Board, including options to purchase shares of common stock, based on the grant date “fair value” of these awards. Fair value is calculated for accounting purposes and reported in the compensation tables below, even though the executive officers and directors may never realize any value from their awards. ASC Topic 718 also requires Autodesk to recognize the compensation cost of these share-based payment awards in the income statements over the period that an employee or director is required to render service in exchange for the stock option or other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Report</w:t>
      </w:r>
    </w:p>
    <w:p>
      <w:pPr>
        <w:spacing w:after="0" w:line="202"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The Compensation and Human Resources Committee of the Board of Directors, which is composed solely of independent members of the Board of Directors, assists the Board in fulfilling its responsibilities regarding compensation matters and, pursuant to its charter, is responsible for determining the compensation of Autodesk’s executive officers. The Compensation and Human Resources Committee has reviewed and discussed the Compensation Discussion and Analysis included in this Annual Report with management. Based on this review and discussion, the Compensation and Human Resources Committee has recommended to the Board of Directors that the Compensation Discussion and Analysis be included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AND HUMAN RESOURCES COMMITTEE OF THE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Mary T. McDowell, Chair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Reid French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Rami Rahim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Summary Compensation Table below presents information concerning the total compensation of our named executive officers for fiscal years 2024, 2023 and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00" w:type="dxa"/>
            <w:vAlign w:val="bottom"/>
          </w:tcPr>
          <w:p>
            <w:pPr>
              <w:spacing w:after="0"/>
              <w:rPr>
                <w:sz w:val="9"/>
                <w:szCs w:val="9"/>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11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260" w:type="dxa"/>
            <w:vAlign w:val="bottom"/>
            <w:gridSpan w:val="2"/>
            <w:vMerge w:val="continue"/>
          </w:tcPr>
          <w:p>
            <w:pPr>
              <w:spacing w:after="0"/>
              <w:rPr>
                <w:sz w:val="9"/>
                <w:szCs w:val="9"/>
                <w:color w:val="auto"/>
              </w:rPr>
            </w:pPr>
          </w:p>
        </w:tc>
        <w:tc>
          <w:tcPr>
            <w:tcW w:w="144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rPr>
              <w:t>Plan</w:t>
            </w:r>
          </w:p>
        </w:tc>
        <w:tc>
          <w:tcPr>
            <w:tcW w:w="1420" w:type="dxa"/>
            <w:vAlign w:val="bottom"/>
            <w:gridSpan w:val="2"/>
            <w:vMerge w:val="continue"/>
          </w:tcPr>
          <w:p>
            <w:pPr>
              <w:spacing w:after="0"/>
              <w:rPr>
                <w:sz w:val="9"/>
                <w:szCs w:val="9"/>
                <w:color w:val="auto"/>
              </w:rPr>
            </w:pPr>
          </w:p>
        </w:tc>
        <w:tc>
          <w:tcPr>
            <w:tcW w:w="1160" w:type="dxa"/>
            <w:vAlign w:val="bottom"/>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3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4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4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and Principal Position</w:t>
            </w: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 (1)</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(2)</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(3)</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(4)</w:t>
            </w:r>
          </w:p>
        </w:tc>
        <w:tc>
          <w:tcPr>
            <w:tcW w:w="80" w:type="dxa"/>
            <w:vAlign w:val="bottom"/>
          </w:tcPr>
          <w:p>
            <w:pPr>
              <w:spacing w:after="0"/>
              <w:rPr>
                <w:sz w:val="13"/>
                <w:szCs w:val="13"/>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0"/>
        </w:trPr>
        <w:tc>
          <w:tcPr>
            <w:tcW w:w="30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00" w:type="dxa"/>
            <w:vAlign w:val="bottom"/>
            <w:tcBorders>
              <w:top w:val="single" w:sz="8" w:color="CCCCCC"/>
            </w:tcBorders>
            <w:shd w:val="clear" w:color="auto" w:fill="CCCCCC"/>
          </w:tcPr>
          <w:p>
            <w:pPr>
              <w:spacing w:after="0"/>
              <w:rPr>
                <w:sz w:val="13"/>
                <w:szCs w:val="13"/>
                <w:color w:val="auto"/>
              </w:rPr>
            </w:pPr>
          </w:p>
        </w:tc>
        <w:tc>
          <w:tcPr>
            <w:tcW w:w="6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top w:val="single" w:sz="8" w:color="CCCCCC"/>
            </w:tcBorders>
            <w:shd w:val="clear" w:color="auto" w:fill="CCCCCC"/>
          </w:tcPr>
          <w:p>
            <w:pPr>
              <w:spacing w:after="0"/>
              <w:rPr>
                <w:sz w:val="13"/>
                <w:szCs w:val="13"/>
                <w:color w:val="auto"/>
              </w:rPr>
            </w:pPr>
          </w:p>
        </w:tc>
        <w:tc>
          <w:tcPr>
            <w:tcW w:w="10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1,046,066</w:t>
            </w:r>
          </w:p>
        </w:tc>
        <w:tc>
          <w:tcPr>
            <w:tcW w:w="100" w:type="dxa"/>
            <w:vAlign w:val="bottom"/>
            <w:tcBorders>
              <w:top w:val="single" w:sz="8" w:color="CCCCCC"/>
            </w:tcBorders>
            <w:shd w:val="clear" w:color="auto" w:fill="CCCCCC"/>
          </w:tcPr>
          <w:p>
            <w:pPr>
              <w:spacing w:after="0"/>
              <w:rPr>
                <w:sz w:val="13"/>
                <w:szCs w:val="13"/>
                <w:color w:val="auto"/>
              </w:rPr>
            </w:pPr>
          </w:p>
        </w:tc>
        <w:tc>
          <w:tcPr>
            <w:tcW w:w="8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CCCC"/>
            </w:tcBorders>
            <w:shd w:val="clear" w:color="auto" w:fill="CCCCCC"/>
          </w:tcPr>
          <w:p>
            <w:pPr>
              <w:spacing w:after="0"/>
              <w:rPr>
                <w:sz w:val="13"/>
                <w:szCs w:val="13"/>
                <w:color w:val="auto"/>
              </w:rPr>
            </w:pPr>
          </w:p>
        </w:tc>
        <w:tc>
          <w:tcPr>
            <w:tcW w:w="11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17,938,989</w:t>
            </w:r>
          </w:p>
        </w:tc>
        <w:tc>
          <w:tcPr>
            <w:tcW w:w="100" w:type="dxa"/>
            <w:vAlign w:val="bottom"/>
            <w:tcBorders>
              <w:top w:val="single" w:sz="8" w:color="CCCCCC"/>
            </w:tcBorders>
            <w:shd w:val="clear" w:color="auto" w:fill="CCCCCC"/>
          </w:tcPr>
          <w:p>
            <w:pPr>
              <w:spacing w:after="0"/>
              <w:rPr>
                <w:sz w:val="13"/>
                <w:szCs w:val="13"/>
                <w:color w:val="auto"/>
              </w:rPr>
            </w:pPr>
          </w:p>
        </w:tc>
        <w:tc>
          <w:tcPr>
            <w:tcW w:w="13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1,511,640</w:t>
            </w:r>
          </w:p>
        </w:tc>
        <w:tc>
          <w:tcPr>
            <w:tcW w:w="100" w:type="dxa"/>
            <w:vAlign w:val="bottom"/>
            <w:tcBorders>
              <w:top w:val="single" w:sz="8" w:color="CCCCCC"/>
            </w:tcBorders>
            <w:shd w:val="clear" w:color="auto" w:fill="CCCCCC"/>
          </w:tcPr>
          <w:p>
            <w:pPr>
              <w:spacing w:after="0"/>
              <w:rPr>
                <w:sz w:val="13"/>
                <w:szCs w:val="13"/>
                <w:color w:val="auto"/>
              </w:rPr>
            </w:pPr>
          </w:p>
        </w:tc>
        <w:tc>
          <w:tcPr>
            <w:tcW w:w="13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153,256</w:t>
            </w:r>
          </w:p>
        </w:tc>
        <w:tc>
          <w:tcPr>
            <w:tcW w:w="80" w:type="dxa"/>
            <w:vAlign w:val="bottom"/>
            <w:tcBorders>
              <w:top w:val="single" w:sz="8" w:color="CCCCCC"/>
            </w:tcBorders>
            <w:shd w:val="clear" w:color="auto" w:fill="CCCCCC"/>
          </w:tcPr>
          <w:p>
            <w:pPr>
              <w:spacing w:after="0"/>
              <w:rPr>
                <w:sz w:val="13"/>
                <w:szCs w:val="13"/>
                <w:color w:val="auto"/>
              </w:rPr>
            </w:pPr>
          </w:p>
        </w:tc>
        <w:tc>
          <w:tcPr>
            <w:tcW w:w="11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20,649,951</w:t>
            </w:r>
          </w:p>
        </w:tc>
        <w:tc>
          <w:tcPr>
            <w:tcW w:w="0" w:type="dxa"/>
            <w:vAlign w:val="bottom"/>
          </w:tcPr>
          <w:p>
            <w:pPr>
              <w:spacing w:after="0"/>
              <w:rPr>
                <w:sz w:val="1"/>
                <w:szCs w:val="1"/>
                <w:color w:val="auto"/>
              </w:rPr>
            </w:pPr>
          </w:p>
        </w:tc>
      </w:tr>
      <w:tr>
        <w:trPr>
          <w:trHeight w:val="170"/>
        </w:trPr>
        <w:tc>
          <w:tcPr>
            <w:tcW w:w="308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3"/>
                <w:szCs w:val="13"/>
                <w:color w:val="auto"/>
              </w:rPr>
              <w:t>President and Chief Executive</w:t>
            </w:r>
          </w:p>
        </w:tc>
        <w:tc>
          <w:tcPr>
            <w:tcW w:w="100" w:type="dxa"/>
            <w:vAlign w:val="bottom"/>
            <w:shd w:val="clear" w:color="auto" w:fill="CCCCCC"/>
          </w:tcPr>
          <w:p>
            <w:pPr>
              <w:spacing w:after="0"/>
              <w:rPr>
                <w:sz w:val="14"/>
                <w:szCs w:val="14"/>
                <w:color w:val="auto"/>
              </w:rPr>
            </w:pPr>
          </w:p>
        </w:tc>
        <w:tc>
          <w:tcPr>
            <w:tcW w:w="6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CCCC"/>
          </w:tcPr>
          <w:p>
            <w:pPr>
              <w:spacing w:after="0"/>
              <w:rPr>
                <w:sz w:val="14"/>
                <w:szCs w:val="14"/>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1,040,416</w:t>
            </w:r>
          </w:p>
        </w:tc>
        <w:tc>
          <w:tcPr>
            <w:tcW w:w="100" w:type="dxa"/>
            <w:vAlign w:val="bottom"/>
            <w:shd w:val="clear" w:color="auto" w:fill="CCCCCC"/>
          </w:tcPr>
          <w:p>
            <w:pPr>
              <w:spacing w:after="0"/>
              <w:rPr>
                <w:sz w:val="14"/>
                <w:szCs w:val="14"/>
                <w:color w:val="auto"/>
              </w:rPr>
            </w:pPr>
          </w:p>
        </w:tc>
        <w:tc>
          <w:tcPr>
            <w:tcW w:w="9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16,494,632</w:t>
            </w:r>
          </w:p>
        </w:tc>
        <w:tc>
          <w:tcPr>
            <w:tcW w:w="100" w:type="dxa"/>
            <w:vAlign w:val="bottom"/>
            <w:shd w:val="clear" w:color="auto" w:fill="CCCCCC"/>
          </w:tcPr>
          <w:p>
            <w:pPr>
              <w:spacing w:after="0"/>
              <w:rPr>
                <w:sz w:val="14"/>
                <w:szCs w:val="14"/>
                <w:color w:val="auto"/>
              </w:rPr>
            </w:pPr>
          </w:p>
        </w:tc>
        <w:tc>
          <w:tcPr>
            <w:tcW w:w="144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65,704</w:t>
            </w:r>
          </w:p>
        </w:tc>
        <w:tc>
          <w:tcPr>
            <w:tcW w:w="8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17,600,752</w:t>
            </w:r>
          </w:p>
        </w:tc>
        <w:tc>
          <w:tcPr>
            <w:tcW w:w="0" w:type="dxa"/>
            <w:vAlign w:val="bottom"/>
          </w:tcPr>
          <w:p>
            <w:pPr>
              <w:spacing w:after="0"/>
              <w:rPr>
                <w:sz w:val="1"/>
                <w:szCs w:val="1"/>
                <w:color w:val="auto"/>
              </w:rPr>
            </w:pPr>
          </w:p>
        </w:tc>
      </w:tr>
      <w:tr>
        <w:trPr>
          <w:trHeight w:val="174"/>
        </w:trPr>
        <w:tc>
          <w:tcPr>
            <w:tcW w:w="3080" w:type="dxa"/>
            <w:vAlign w:val="bottom"/>
            <w:shd w:val="clear" w:color="auto" w:fill="CCCCCC"/>
          </w:tcPr>
          <w:p>
            <w:pPr>
              <w:ind w:left="140"/>
              <w:spacing w:after="0"/>
              <w:rPr>
                <w:sz w:val="20"/>
                <w:szCs w:val="20"/>
                <w:color w:val="auto"/>
              </w:rPr>
            </w:pPr>
            <w:r>
              <w:rPr>
                <w:rFonts w:ascii="Times New Roman" w:cs="Times New Roman" w:eastAsia="Times New Roman" w:hAnsi="Times New Roman"/>
                <w:sz w:val="13"/>
                <w:szCs w:val="13"/>
                <w:color w:val="auto"/>
              </w:rPr>
              <w:t>Officer (5)</w:t>
            </w:r>
          </w:p>
        </w:tc>
        <w:tc>
          <w:tcPr>
            <w:tcW w:w="100" w:type="dxa"/>
            <w:vAlign w:val="bottom"/>
            <w:shd w:val="clear" w:color="auto" w:fill="CCCCCC"/>
          </w:tcPr>
          <w:p>
            <w:pPr>
              <w:spacing w:after="0"/>
              <w:rPr>
                <w:sz w:val="15"/>
                <w:szCs w:val="15"/>
                <w:color w:val="auto"/>
              </w:rPr>
            </w:pPr>
          </w:p>
        </w:tc>
        <w:tc>
          <w:tcPr>
            <w:tcW w:w="6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CCCCC"/>
          </w:tcPr>
          <w:p>
            <w:pPr>
              <w:spacing w:after="0"/>
              <w:rPr>
                <w:sz w:val="15"/>
                <w:szCs w:val="15"/>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1,000,452</w:t>
            </w:r>
          </w:p>
        </w:tc>
        <w:tc>
          <w:tcPr>
            <w:tcW w:w="100" w:type="dxa"/>
            <w:vAlign w:val="bottom"/>
            <w:shd w:val="clear" w:color="auto" w:fill="CCCCCC"/>
          </w:tcPr>
          <w:p>
            <w:pPr>
              <w:spacing w:after="0"/>
              <w:rPr>
                <w:sz w:val="15"/>
                <w:szCs w:val="15"/>
                <w:color w:val="auto"/>
              </w:rPr>
            </w:pPr>
          </w:p>
        </w:tc>
        <w:tc>
          <w:tcPr>
            <w:tcW w:w="9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21,095,069</w:t>
            </w:r>
          </w:p>
        </w:tc>
        <w:tc>
          <w:tcPr>
            <w:tcW w:w="100" w:type="dxa"/>
            <w:vAlign w:val="bottom"/>
            <w:shd w:val="clear" w:color="auto" w:fill="CCCCCC"/>
          </w:tcPr>
          <w:p>
            <w:pPr>
              <w:spacing w:after="0"/>
              <w:rPr>
                <w:sz w:val="15"/>
                <w:szCs w:val="15"/>
                <w:color w:val="auto"/>
              </w:rPr>
            </w:pPr>
          </w:p>
        </w:tc>
        <w:tc>
          <w:tcPr>
            <w:tcW w:w="144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22,095,521</w:t>
            </w:r>
          </w:p>
        </w:tc>
        <w:tc>
          <w:tcPr>
            <w:tcW w:w="0" w:type="dxa"/>
            <w:vAlign w:val="bottom"/>
          </w:tcPr>
          <w:p>
            <w:pPr>
              <w:spacing w:after="0"/>
              <w:rPr>
                <w:sz w:val="1"/>
                <w:szCs w:val="1"/>
                <w:color w:val="auto"/>
              </w:rPr>
            </w:pPr>
          </w:p>
        </w:tc>
      </w:tr>
      <w:tr>
        <w:trPr>
          <w:trHeight w:val="165"/>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649,461</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5,144,374</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500,747</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77,996</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6,372,578</w:t>
            </w:r>
          </w:p>
        </w:tc>
        <w:tc>
          <w:tcPr>
            <w:tcW w:w="0" w:type="dxa"/>
            <w:vAlign w:val="bottom"/>
          </w:tcPr>
          <w:p>
            <w:pPr>
              <w:spacing w:after="0"/>
              <w:rPr>
                <w:sz w:val="1"/>
                <w:szCs w:val="1"/>
                <w:color w:val="auto"/>
              </w:rPr>
            </w:pPr>
          </w:p>
        </w:tc>
      </w:tr>
      <w:tr>
        <w:trPr>
          <w:trHeight w:val="132"/>
        </w:trPr>
        <w:tc>
          <w:tcPr>
            <w:tcW w:w="30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Former Executive Vice President and Chief Financial</w:t>
            </w:r>
          </w:p>
        </w:tc>
        <w:tc>
          <w:tcPr>
            <w:tcW w:w="7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1"/>
                <w:szCs w:val="11"/>
                <w:color w:val="auto"/>
              </w:rPr>
            </w:pPr>
          </w:p>
        </w:tc>
        <w:tc>
          <w:tcPr>
            <w:tcW w:w="10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626,318</w:t>
            </w:r>
          </w:p>
        </w:tc>
        <w:tc>
          <w:tcPr>
            <w:tcW w:w="100" w:type="dxa"/>
            <w:vAlign w:val="bottom"/>
          </w:tcPr>
          <w:p>
            <w:pPr>
              <w:spacing w:after="0"/>
              <w:rPr>
                <w:sz w:val="11"/>
                <w:szCs w:val="11"/>
                <w:color w:val="auto"/>
              </w:rPr>
            </w:pPr>
          </w:p>
        </w:tc>
        <w:tc>
          <w:tcPr>
            <w:tcW w:w="8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91,233</w:t>
            </w:r>
          </w:p>
        </w:tc>
        <w:tc>
          <w:tcPr>
            <w:tcW w:w="100" w:type="dxa"/>
            <w:vAlign w:val="bottom"/>
          </w:tcPr>
          <w:p>
            <w:pPr>
              <w:spacing w:after="0"/>
              <w:rPr>
                <w:sz w:val="11"/>
                <w:szCs w:val="11"/>
                <w:color w:val="auto"/>
              </w:rPr>
            </w:pPr>
          </w:p>
        </w:tc>
        <w:tc>
          <w:tcPr>
            <w:tcW w:w="11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3,781,422</w:t>
            </w:r>
          </w:p>
        </w:tc>
        <w:tc>
          <w:tcPr>
            <w:tcW w:w="100" w:type="dxa"/>
            <w:vAlign w:val="bottom"/>
          </w:tcPr>
          <w:p>
            <w:pPr>
              <w:spacing w:after="0"/>
              <w:rPr>
                <w:sz w:val="11"/>
                <w:szCs w:val="11"/>
                <w:color w:val="auto"/>
              </w:rPr>
            </w:pPr>
          </w:p>
        </w:tc>
        <w:tc>
          <w:tcPr>
            <w:tcW w:w="144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69,449</w:t>
            </w:r>
          </w:p>
        </w:tc>
        <w:tc>
          <w:tcPr>
            <w:tcW w:w="80" w:type="dxa"/>
            <w:vAlign w:val="bottom"/>
          </w:tcPr>
          <w:p>
            <w:pPr>
              <w:spacing w:after="0"/>
              <w:rPr>
                <w:sz w:val="11"/>
                <w:szCs w:val="11"/>
                <w:color w:val="auto"/>
              </w:rPr>
            </w:pPr>
          </w:p>
        </w:tc>
        <w:tc>
          <w:tcPr>
            <w:tcW w:w="11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4,568,422</w:t>
            </w:r>
          </w:p>
        </w:tc>
        <w:tc>
          <w:tcPr>
            <w:tcW w:w="0" w:type="dxa"/>
            <w:vAlign w:val="bottom"/>
          </w:tcPr>
          <w:p>
            <w:pPr>
              <w:spacing w:after="0"/>
              <w:rPr>
                <w:sz w:val="1"/>
                <w:szCs w:val="1"/>
                <w:color w:val="auto"/>
              </w:rPr>
            </w:pPr>
          </w:p>
        </w:tc>
      </w:tr>
      <w:tr>
        <w:trPr>
          <w:trHeight w:val="165"/>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Officer;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Chief Strategy Officer (6)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540,247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9,943,056</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420,300</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10,903,603</w:t>
            </w:r>
          </w:p>
        </w:tc>
        <w:tc>
          <w:tcPr>
            <w:tcW w:w="0" w:type="dxa"/>
            <w:vAlign w:val="bottom"/>
          </w:tcPr>
          <w:p>
            <w:pPr>
              <w:spacing w:after="0"/>
              <w:rPr>
                <w:sz w:val="1"/>
                <w:szCs w:val="1"/>
                <w:color w:val="auto"/>
              </w:rPr>
            </w:pPr>
          </w:p>
        </w:tc>
      </w:tr>
      <w:tr>
        <w:trPr>
          <w:trHeight w:val="168"/>
        </w:trPr>
        <w:tc>
          <w:tcPr>
            <w:tcW w:w="308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7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CCCC"/>
          </w:tcPr>
          <w:p>
            <w:pPr>
              <w:spacing w:after="0"/>
              <w:rPr>
                <w:sz w:val="14"/>
                <w:szCs w:val="14"/>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704,005</w:t>
            </w:r>
          </w:p>
        </w:tc>
        <w:tc>
          <w:tcPr>
            <w:tcW w:w="100" w:type="dxa"/>
            <w:vAlign w:val="bottom"/>
            <w:shd w:val="clear" w:color="auto" w:fill="CCCCCC"/>
          </w:tcPr>
          <w:p>
            <w:pPr>
              <w:spacing w:after="0"/>
              <w:rPr>
                <w:sz w:val="14"/>
                <w:szCs w:val="14"/>
                <w:color w:val="auto"/>
              </w:rPr>
            </w:pPr>
          </w:p>
        </w:tc>
        <w:tc>
          <w:tcPr>
            <w:tcW w:w="9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6,223,689</w:t>
            </w:r>
          </w:p>
        </w:tc>
        <w:tc>
          <w:tcPr>
            <w:tcW w:w="100" w:type="dxa"/>
            <w:vAlign w:val="bottom"/>
            <w:shd w:val="clear" w:color="auto" w:fill="CCCCCC"/>
          </w:tcPr>
          <w:p>
            <w:pPr>
              <w:spacing w:after="0"/>
              <w:rPr>
                <w:sz w:val="14"/>
                <w:szCs w:val="14"/>
                <w:color w:val="auto"/>
              </w:rPr>
            </w:pP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542,640</w:t>
            </w:r>
          </w:p>
        </w:tc>
        <w:tc>
          <w:tcPr>
            <w:tcW w:w="100" w:type="dxa"/>
            <w:vAlign w:val="bottom"/>
            <w:shd w:val="clear" w:color="auto" w:fill="CCCCCC"/>
          </w:tcPr>
          <w:p>
            <w:pPr>
              <w:spacing w:after="0"/>
              <w:rPr>
                <w:sz w:val="14"/>
                <w:szCs w:val="14"/>
                <w:color w:val="auto"/>
              </w:rPr>
            </w:pP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156,411</w:t>
            </w:r>
          </w:p>
        </w:tc>
        <w:tc>
          <w:tcPr>
            <w:tcW w:w="8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7,626,745</w:t>
            </w:r>
          </w:p>
        </w:tc>
        <w:tc>
          <w:tcPr>
            <w:tcW w:w="0" w:type="dxa"/>
            <w:vAlign w:val="bottom"/>
          </w:tcPr>
          <w:p>
            <w:pPr>
              <w:spacing w:after="0"/>
              <w:rPr>
                <w:sz w:val="1"/>
                <w:szCs w:val="1"/>
                <w:color w:val="auto"/>
              </w:rPr>
            </w:pPr>
          </w:p>
        </w:tc>
      </w:tr>
      <w:tr>
        <w:trPr>
          <w:trHeight w:val="170"/>
        </w:trPr>
        <w:tc>
          <w:tcPr>
            <w:tcW w:w="308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3"/>
                <w:szCs w:val="13"/>
                <w:color w:val="auto"/>
              </w:rPr>
              <w:t>Executive Vice President and</w:t>
            </w:r>
          </w:p>
        </w:tc>
        <w:tc>
          <w:tcPr>
            <w:tcW w:w="100" w:type="dxa"/>
            <w:vAlign w:val="bottom"/>
            <w:shd w:val="clear" w:color="auto" w:fill="CCCCCC"/>
          </w:tcPr>
          <w:p>
            <w:pPr>
              <w:spacing w:after="0"/>
              <w:rPr>
                <w:sz w:val="14"/>
                <w:szCs w:val="14"/>
                <w:color w:val="auto"/>
              </w:rPr>
            </w:pPr>
          </w:p>
        </w:tc>
        <w:tc>
          <w:tcPr>
            <w:tcW w:w="6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CCCC"/>
          </w:tcPr>
          <w:p>
            <w:pPr>
              <w:spacing w:after="0"/>
              <w:rPr>
                <w:sz w:val="14"/>
                <w:szCs w:val="14"/>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704,586</w:t>
            </w:r>
          </w:p>
        </w:tc>
        <w:tc>
          <w:tcPr>
            <w:tcW w:w="100" w:type="dxa"/>
            <w:vAlign w:val="bottom"/>
            <w:shd w:val="clear" w:color="auto" w:fill="CCCCCC"/>
          </w:tcPr>
          <w:p>
            <w:pPr>
              <w:spacing w:after="0"/>
              <w:rPr>
                <w:sz w:val="14"/>
                <w:szCs w:val="14"/>
                <w:color w:val="auto"/>
              </w:rPr>
            </w:pPr>
          </w:p>
        </w:tc>
        <w:tc>
          <w:tcPr>
            <w:tcW w:w="9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7,363,064</w:t>
            </w:r>
          </w:p>
        </w:tc>
        <w:tc>
          <w:tcPr>
            <w:tcW w:w="100" w:type="dxa"/>
            <w:vAlign w:val="bottom"/>
            <w:shd w:val="clear" w:color="auto" w:fill="CCCCCC"/>
          </w:tcPr>
          <w:p>
            <w:pPr>
              <w:spacing w:after="0"/>
              <w:rPr>
                <w:sz w:val="14"/>
                <w:szCs w:val="14"/>
                <w:color w:val="auto"/>
              </w:rPr>
            </w:pPr>
          </w:p>
        </w:tc>
        <w:tc>
          <w:tcPr>
            <w:tcW w:w="144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92,992</w:t>
            </w:r>
          </w:p>
        </w:tc>
        <w:tc>
          <w:tcPr>
            <w:tcW w:w="8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8,160,642</w:t>
            </w:r>
          </w:p>
        </w:tc>
        <w:tc>
          <w:tcPr>
            <w:tcW w:w="0" w:type="dxa"/>
            <w:vAlign w:val="bottom"/>
          </w:tcPr>
          <w:p>
            <w:pPr>
              <w:spacing w:after="0"/>
              <w:rPr>
                <w:sz w:val="1"/>
                <w:szCs w:val="1"/>
                <w:color w:val="auto"/>
              </w:rPr>
            </w:pPr>
          </w:p>
        </w:tc>
      </w:tr>
      <w:tr>
        <w:trPr>
          <w:trHeight w:val="174"/>
        </w:trPr>
        <w:tc>
          <w:tcPr>
            <w:tcW w:w="308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3"/>
                <w:szCs w:val="13"/>
                <w:color w:val="auto"/>
              </w:rPr>
              <w:t>Chief Operating Officer (7)</w:t>
            </w:r>
          </w:p>
        </w:tc>
        <w:tc>
          <w:tcPr>
            <w:tcW w:w="100" w:type="dxa"/>
            <w:vAlign w:val="bottom"/>
            <w:shd w:val="clear" w:color="auto" w:fill="CCCCCC"/>
          </w:tcPr>
          <w:p>
            <w:pPr>
              <w:spacing w:after="0"/>
              <w:rPr>
                <w:sz w:val="15"/>
                <w:szCs w:val="15"/>
                <w:color w:val="auto"/>
              </w:rPr>
            </w:pPr>
          </w:p>
        </w:tc>
        <w:tc>
          <w:tcPr>
            <w:tcW w:w="6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CCCCC"/>
          </w:tcPr>
          <w:p>
            <w:pPr>
              <w:spacing w:after="0"/>
              <w:rPr>
                <w:sz w:val="15"/>
                <w:szCs w:val="15"/>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610,909</w:t>
            </w:r>
          </w:p>
        </w:tc>
        <w:tc>
          <w:tcPr>
            <w:tcW w:w="100" w:type="dxa"/>
            <w:vAlign w:val="bottom"/>
            <w:shd w:val="clear" w:color="auto" w:fill="CCCCCC"/>
          </w:tcPr>
          <w:p>
            <w:pPr>
              <w:spacing w:after="0"/>
              <w:rPr>
                <w:sz w:val="15"/>
                <w:szCs w:val="15"/>
                <w:color w:val="auto"/>
              </w:rPr>
            </w:pPr>
          </w:p>
        </w:tc>
        <w:tc>
          <w:tcPr>
            <w:tcW w:w="9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6,140,367</w:t>
            </w:r>
          </w:p>
        </w:tc>
        <w:tc>
          <w:tcPr>
            <w:tcW w:w="100" w:type="dxa"/>
            <w:vAlign w:val="bottom"/>
            <w:shd w:val="clear" w:color="auto" w:fill="CCCCCC"/>
          </w:tcPr>
          <w:p>
            <w:pPr>
              <w:spacing w:after="0"/>
              <w:rPr>
                <w:sz w:val="15"/>
                <w:szCs w:val="15"/>
                <w:color w:val="auto"/>
              </w:rPr>
            </w:pPr>
          </w:p>
        </w:tc>
        <w:tc>
          <w:tcPr>
            <w:tcW w:w="144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6,751,276</w:t>
            </w:r>
          </w:p>
        </w:tc>
        <w:tc>
          <w:tcPr>
            <w:tcW w:w="0" w:type="dxa"/>
            <w:vAlign w:val="bottom"/>
          </w:tcPr>
          <w:p>
            <w:pPr>
              <w:spacing w:after="0"/>
              <w:rPr>
                <w:sz w:val="1"/>
                <w:szCs w:val="1"/>
                <w:color w:val="auto"/>
              </w:rPr>
            </w:pPr>
          </w:p>
        </w:tc>
      </w:tr>
      <w:tr>
        <w:trPr>
          <w:trHeight w:val="165"/>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541,473</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2,951,566</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417,355</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55,354</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3,965,748</w:t>
            </w:r>
          </w:p>
        </w:tc>
        <w:tc>
          <w:tcPr>
            <w:tcW w:w="0" w:type="dxa"/>
            <w:vAlign w:val="bottom"/>
          </w:tcPr>
          <w:p>
            <w:pPr>
              <w:spacing w:after="0"/>
              <w:rPr>
                <w:sz w:val="1"/>
                <w:szCs w:val="1"/>
                <w:color w:val="auto"/>
              </w:rPr>
            </w:pPr>
          </w:p>
        </w:tc>
      </w:tr>
      <w:tr>
        <w:trPr>
          <w:trHeight w:val="170"/>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Executive Vice President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536,982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2,324,237</w:t>
            </w:r>
          </w:p>
        </w:tc>
        <w:tc>
          <w:tcPr>
            <w:tcW w:w="10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59,977</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2,921,196</w:t>
            </w:r>
          </w:p>
        </w:tc>
        <w:tc>
          <w:tcPr>
            <w:tcW w:w="0" w:type="dxa"/>
            <w:vAlign w:val="bottom"/>
          </w:tcPr>
          <w:p>
            <w:pPr>
              <w:spacing w:after="0"/>
              <w:rPr>
                <w:sz w:val="1"/>
                <w:szCs w:val="1"/>
                <w:color w:val="auto"/>
              </w:rPr>
            </w:pPr>
          </w:p>
        </w:tc>
      </w:tr>
      <w:tr>
        <w:trPr>
          <w:trHeight w:val="132"/>
        </w:trPr>
        <w:tc>
          <w:tcPr>
            <w:tcW w:w="30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Corporate Affairs, Chief Legal Officer and Corporate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Secretary (8)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7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CCCC"/>
          </w:tcPr>
          <w:p>
            <w:pPr>
              <w:spacing w:after="0"/>
              <w:rPr>
                <w:sz w:val="14"/>
                <w:szCs w:val="14"/>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465,521</w:t>
            </w:r>
          </w:p>
        </w:tc>
        <w:tc>
          <w:tcPr>
            <w:tcW w:w="100" w:type="dxa"/>
            <w:vAlign w:val="bottom"/>
            <w:shd w:val="clear" w:color="auto" w:fill="CCCCCC"/>
          </w:tcPr>
          <w:p>
            <w:pPr>
              <w:spacing w:after="0"/>
              <w:rPr>
                <w:sz w:val="14"/>
                <w:szCs w:val="14"/>
                <w:color w:val="auto"/>
              </w:rPr>
            </w:pPr>
          </w:p>
        </w:tc>
        <w:tc>
          <w:tcPr>
            <w:tcW w:w="9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2,936,488</w:t>
            </w:r>
          </w:p>
        </w:tc>
        <w:tc>
          <w:tcPr>
            <w:tcW w:w="100" w:type="dxa"/>
            <w:vAlign w:val="bottom"/>
            <w:shd w:val="clear" w:color="auto" w:fill="CCCCCC"/>
          </w:tcPr>
          <w:p>
            <w:pPr>
              <w:spacing w:after="0"/>
              <w:rPr>
                <w:sz w:val="14"/>
                <w:szCs w:val="14"/>
                <w:color w:val="auto"/>
              </w:rPr>
            </w:pP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361,241</w:t>
            </w:r>
          </w:p>
        </w:tc>
        <w:tc>
          <w:tcPr>
            <w:tcW w:w="100" w:type="dxa"/>
            <w:vAlign w:val="bottom"/>
            <w:shd w:val="clear" w:color="auto" w:fill="CCCCCC"/>
          </w:tcPr>
          <w:p>
            <w:pPr>
              <w:spacing w:after="0"/>
              <w:rPr>
                <w:sz w:val="14"/>
                <w:szCs w:val="14"/>
                <w:color w:val="auto"/>
              </w:rPr>
            </w:pP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81,024</w:t>
            </w:r>
          </w:p>
        </w:tc>
        <w:tc>
          <w:tcPr>
            <w:tcW w:w="8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3,844,274</w:t>
            </w:r>
          </w:p>
        </w:tc>
        <w:tc>
          <w:tcPr>
            <w:tcW w:w="0" w:type="dxa"/>
            <w:vAlign w:val="bottom"/>
          </w:tcPr>
          <w:p>
            <w:pPr>
              <w:spacing w:after="0"/>
              <w:rPr>
                <w:sz w:val="1"/>
                <w:szCs w:val="1"/>
                <w:color w:val="auto"/>
              </w:rPr>
            </w:pPr>
          </w:p>
        </w:tc>
      </w:tr>
      <w:tr>
        <w:trPr>
          <w:trHeight w:val="170"/>
        </w:trPr>
        <w:tc>
          <w:tcPr>
            <w:tcW w:w="308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3"/>
                <w:szCs w:val="13"/>
                <w:color w:val="auto"/>
              </w:rPr>
              <w:t>Executive Vice President and</w:t>
            </w:r>
          </w:p>
        </w:tc>
        <w:tc>
          <w:tcPr>
            <w:tcW w:w="100" w:type="dxa"/>
            <w:vAlign w:val="bottom"/>
            <w:shd w:val="clear" w:color="auto" w:fill="CCCCCC"/>
          </w:tcPr>
          <w:p>
            <w:pPr>
              <w:spacing w:after="0"/>
              <w:rPr>
                <w:sz w:val="14"/>
                <w:szCs w:val="14"/>
                <w:color w:val="auto"/>
              </w:rPr>
            </w:pPr>
          </w:p>
        </w:tc>
        <w:tc>
          <w:tcPr>
            <w:tcW w:w="6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CCCC"/>
          </w:tcPr>
          <w:p>
            <w:pPr>
              <w:spacing w:after="0"/>
              <w:rPr>
                <w:sz w:val="14"/>
                <w:szCs w:val="14"/>
                <w:color w:val="auto"/>
              </w:rPr>
            </w:pPr>
          </w:p>
        </w:tc>
        <w:tc>
          <w:tcPr>
            <w:tcW w:w="10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371,859</w:t>
            </w:r>
          </w:p>
        </w:tc>
        <w:tc>
          <w:tcPr>
            <w:tcW w:w="10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2,040,421</w:t>
            </w:r>
          </w:p>
        </w:tc>
        <w:tc>
          <w:tcPr>
            <w:tcW w:w="100" w:type="dxa"/>
            <w:vAlign w:val="bottom"/>
            <w:shd w:val="clear" w:color="auto" w:fill="CCCCCC"/>
          </w:tcPr>
          <w:p>
            <w:pPr>
              <w:spacing w:after="0"/>
              <w:rPr>
                <w:sz w:val="14"/>
                <w:szCs w:val="14"/>
                <w:color w:val="auto"/>
              </w:rPr>
            </w:pPr>
          </w:p>
        </w:tc>
        <w:tc>
          <w:tcPr>
            <w:tcW w:w="144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151,614</w:t>
            </w:r>
          </w:p>
        </w:tc>
        <w:tc>
          <w:tcPr>
            <w:tcW w:w="8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2,563,894</w:t>
            </w:r>
          </w:p>
        </w:tc>
        <w:tc>
          <w:tcPr>
            <w:tcW w:w="0" w:type="dxa"/>
            <w:vAlign w:val="bottom"/>
          </w:tcPr>
          <w:p>
            <w:pPr>
              <w:spacing w:after="0"/>
              <w:rPr>
                <w:sz w:val="1"/>
                <w:szCs w:val="1"/>
                <w:color w:val="auto"/>
              </w:rPr>
            </w:pPr>
          </w:p>
        </w:tc>
      </w:tr>
      <w:tr>
        <w:trPr>
          <w:trHeight w:val="174"/>
        </w:trPr>
        <w:tc>
          <w:tcPr>
            <w:tcW w:w="308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3"/>
                <w:szCs w:val="13"/>
                <w:color w:val="auto"/>
              </w:rPr>
              <w:t>Chief People Officer (9)</w:t>
            </w:r>
          </w:p>
        </w:tc>
        <w:tc>
          <w:tcPr>
            <w:tcW w:w="100" w:type="dxa"/>
            <w:vAlign w:val="bottom"/>
            <w:shd w:val="clear" w:color="auto" w:fill="CCCCCC"/>
          </w:tcPr>
          <w:p>
            <w:pPr>
              <w:spacing w:after="0"/>
              <w:rPr>
                <w:sz w:val="15"/>
                <w:szCs w:val="15"/>
                <w:color w:val="auto"/>
              </w:rPr>
            </w:pPr>
          </w:p>
        </w:tc>
        <w:tc>
          <w:tcPr>
            <w:tcW w:w="64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104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8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1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34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34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116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15" w:lineRule="exact"/>
        <w:rPr>
          <w:sz w:val="20"/>
          <w:szCs w:val="20"/>
          <w:color w:val="auto"/>
        </w:rPr>
      </w:pPr>
    </w:p>
    <w:p>
      <w:pPr>
        <w:ind w:left="260" w:hanging="25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payments made to our named executive officers for amounts that relate to: signing bonuses and payments made in recognition of years of service as part of an Autodesk company-wide program.</w:t>
      </w:r>
    </w:p>
    <w:p>
      <w:pPr>
        <w:ind w:left="260" w:right="40" w:hanging="255"/>
        <w:spacing w:after="0" w:line="230" w:lineRule="auto"/>
        <w:tabs>
          <w:tab w:leader="none" w:pos="246" w:val="left"/>
        </w:tabs>
        <w:numPr>
          <w:ilvl w:val="0"/>
          <w:numId w:val="80"/>
        </w:numPr>
        <w:rPr>
          <w:rFonts w:ascii="Arial" w:cs="Arial" w:eastAsia="Arial" w:hAnsi="Arial"/>
          <w:sz w:val="13"/>
          <w:szCs w:val="13"/>
          <w:color w:val="auto"/>
        </w:rPr>
      </w:pPr>
      <w:r>
        <w:rPr>
          <w:rFonts w:ascii="Times New Roman" w:cs="Times New Roman" w:eastAsia="Times New Roman" w:hAnsi="Times New Roman"/>
          <w:sz w:val="13"/>
          <w:szCs w:val="13"/>
          <w:color w:val="auto"/>
        </w:rPr>
        <w:t>Amounts consist of the aggregate grant date value for PSU and RSU awards computed in accordance with FASB ASC Topic 718, based on target levels of achievement (the probable outcome at grant) in the case of PSUs and does not reflect actual amounts earned. The assumptions used in the valuation of these awards are set forth in Part II, Item 8, Financial Statements and Supplementary Data, Note 1, “Business and Summary of Significant Accounting Policies,” in this Annual Report on Form 10-K. The maximum value of PSU awards generally is capped at 200% of target for fiscal year 2022 through fiscal year 2024. The maximum values for PSU awards granted in fiscal year 2024 are as follows: Dr. Anagnost: $19,728,378; Ms. Clifford: $5,538,935; Mr. Blum: $6,510,311; Ms. Keene: $2,894,970, and Ms. Pearce: $2,864,814. Actual PSU awards earned in fiscal year 2024 by the named executive officers are shown in “Long-Term Incentive Compensation" in the Compensation Discussion and Analysis. Amounts also include grant date for value for PSUs issued pursuant to the bonus to equity exchange program discussed in “Annual Short-Term Incentive Compensation” in the Compensation Discussion and Analysis.</w:t>
      </w:r>
    </w:p>
    <w:p>
      <w:pPr>
        <w:spacing w:after="0" w:line="2" w:lineRule="exact"/>
        <w:rPr>
          <w:rFonts w:ascii="Arial" w:cs="Arial" w:eastAsia="Arial" w:hAnsi="Arial"/>
          <w:sz w:val="13"/>
          <w:szCs w:val="13"/>
          <w:color w:val="auto"/>
        </w:rPr>
      </w:pPr>
    </w:p>
    <w:p>
      <w:pPr>
        <w:ind w:left="260" w:right="300" w:hanging="255"/>
        <w:spacing w:after="0" w:line="244"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amounts earned for services performed during the relevant fiscal year pursuant to our short-term cash incentive plan (“EIP”) for all executive officers shown. The amounts shown reflect the total cash amounts awarded under the EIP, which are payable in the first quarter of the following fiscal year.</w:t>
      </w:r>
    </w:p>
    <w:p>
      <w:pPr>
        <w:jc w:val="both"/>
        <w:ind w:left="260" w:right="160" w:hanging="255"/>
        <w:spacing w:after="0" w:line="245"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all other compensation for the relevant fiscal year not reported in the previous columns, authorized familial travel in connection with business trips, Autodesk’s matching contributions to pre-tax savings plans, Autodesk’s donation matching, insurance premiums, personal gifts and related tax gross ups. Generally, unless the items included in this category exceed the greater of $25,000 or 10% of the total amount of perquisites received by a given named executive officer, individual perquisites are not separately identified and quantified.</w:t>
      </w:r>
    </w:p>
    <w:p>
      <w:pPr>
        <w:spacing w:after="0" w:line="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Anagnost's other compensation for fiscal 2024 includes $71,805 authorized executive and spouse travel in connection with a business trip and tax gross-ups of $70,825 for certain perquisites.</w:t>
      </w:r>
    </w:p>
    <w:p>
      <w:pPr>
        <w:spacing w:after="0" w:line="6"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Clifford’s other compensation for fiscal 2024 includes $33,681 authorized executive and spouse travel in connection with a business trip and tax gross-ups of $33,326 for certain perquisites.</w:t>
      </w:r>
    </w:p>
    <w:p>
      <w:pPr>
        <w:spacing w:after="0" w:line="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Blum</w:t>
      </w:r>
      <w:r>
        <w:rPr>
          <w:rFonts w:ascii="Times New Roman" w:cs="Times New Roman" w:eastAsia="Times New Roman" w:hAnsi="Times New Roman"/>
          <w:sz w:val="14"/>
          <w:szCs w:val="14"/>
          <w:color w:val="auto"/>
        </w:rPr>
        <w:t>’s</w:t>
      </w:r>
      <w:r>
        <w:rPr>
          <w:rFonts w:ascii="Times New Roman" w:cs="Times New Roman" w:eastAsia="Times New Roman" w:hAnsi="Times New Roman"/>
          <w:sz w:val="13"/>
          <w:szCs w:val="13"/>
          <w:color w:val="auto"/>
        </w:rPr>
        <w:t xml:space="preserve"> other compensation for fiscal 2024 includes $84,350 authorized executive and spouse travel in connection with business trips and tax gross-ups of $55,485 for certain perquisites.</w:t>
      </w:r>
    </w:p>
    <w:p>
      <w:pPr>
        <w:spacing w:after="0" w:line="2" w:lineRule="exact"/>
        <w:rPr>
          <w:rFonts w:ascii="Times New Roman" w:cs="Times New Roman" w:eastAsia="Times New Roman" w:hAnsi="Times New Roman"/>
          <w:sz w:val="13"/>
          <w:szCs w:val="13"/>
          <w:color w:val="auto"/>
        </w:rPr>
      </w:pPr>
    </w:p>
    <w:p>
      <w:pPr>
        <w:ind w:left="260" w:right="160" w:hanging="255"/>
        <w:spacing w:after="0" w:line="249"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Keene’s other compensation for fiscal 2024 includes $22,279 authorized executive and spouse travel in connection with a business trip and tax gross-ups of $22,113 for certain perquisites. Ms. Keene was not a named executive officer during fiscal 2022.</w:t>
      </w:r>
    </w:p>
    <w:p>
      <w:pPr>
        <w:spacing w:after="0" w:line="1" w:lineRule="exact"/>
        <w:rPr>
          <w:rFonts w:ascii="Times New Roman" w:cs="Times New Roman" w:eastAsia="Times New Roman" w:hAnsi="Times New Roman"/>
          <w:sz w:val="13"/>
          <w:szCs w:val="13"/>
          <w:color w:val="auto"/>
        </w:rPr>
      </w:pPr>
    </w:p>
    <w:p>
      <w:pPr>
        <w:ind w:left="260" w:right="120" w:hanging="255"/>
        <w:spacing w:after="0" w:line="248"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Pearce’s salary and other compensation are paid or provided in British Pounds. The amounts represent the approximate dollar value of her base salary converted to U.S. dollars using the British Pound to dollar exchange rates of 1.23 and 1.25, which represent an average for fiscal years 2023 and 2024, respectively. Ms. Pearce’s other compensation for fiscal 2024 includes $46,552 for employer contributions to UK pension plan. Ms. Pearce’s other compensation for fiscal 2024 also includes a car allowance and health insurance premiums. Ms. Pearce was not a named executive officer during fiscal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Grants of Plan-Based Awards in Fiscal Year 2024</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Grants of plan-based awards reflect grants made to our named executive officers under our non-equity incentive plans and equity compensation plans during fiscal year 2024. The following tables include potential threshold, target, and maximum amounts payable under our EIP for performance during fiscal year 2024, and do not constitute compensation on top of the amounts included in the Summary Compensation Table. However, these amounts do not reflect amounts actually earned for fiscal year 2024. The following table also includes amounts relating to PSUs and RSUs issued under our 2012 Stock Plan and 2022 Equity Incentive Plan. See “Annual Short-Term Incentive Compensation" and “Long-Term Incentive Compensation" in the Compensation Discussion and Analysis for actual amounts earned in fiscal year 2024 by the named executive officers and further discussion of plan-based and other awards.</w:t>
      </w:r>
    </w:p>
    <w:p>
      <w:pPr>
        <w:sectPr>
          <w:pgSz w:w="11900" w:h="16838" w:orient="portrait"/>
          <w:cols w:equalWidth="0" w:num="1">
            <w:col w:w="11280"/>
          </w:cols>
          <w:pgMar w:left="300" w:top="125" w:right="319" w:bottom="1440" w:gutter="0" w:footer="0" w:header="0"/>
        </w:sectPr>
      </w:pP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information concerning grants of plan-based awards to each of the named executive officers during fiscal year 2024:</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8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Estimated Future Payouts Under Non-</w:t>
            </w:r>
          </w:p>
        </w:tc>
        <w:tc>
          <w:tcPr>
            <w:tcW w:w="2120" w:type="dxa"/>
            <w:vAlign w:val="bottom"/>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w w:val="97"/>
              </w:rPr>
              <w:t>Estimated Future Payouts Under</w:t>
            </w:r>
          </w:p>
        </w:tc>
        <w:tc>
          <w:tcPr>
            <w:tcW w:w="720" w:type="dxa"/>
            <w:vAlign w:val="bottom"/>
          </w:tcPr>
          <w:p>
            <w:pPr>
              <w:spacing w:after="0"/>
              <w:rPr>
                <w:sz w:val="10"/>
                <w:szCs w:val="10"/>
                <w:color w:val="auto"/>
              </w:rPr>
            </w:pPr>
          </w:p>
        </w:tc>
      </w:tr>
      <w:tr>
        <w:trPr>
          <w:trHeight w:val="139"/>
        </w:trPr>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Equity Incentive Plan Awards (2)</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w w:val="96"/>
              </w:rPr>
              <w:t>Equity Incentive Plan Awards (3)</w:t>
            </w:r>
          </w:p>
        </w:tc>
        <w:tc>
          <w:tcPr>
            <w:tcW w:w="720" w:type="dxa"/>
            <w:vAlign w:val="bottom"/>
            <w:tcBorders>
              <w:bottom w:val="single" w:sz="8" w:color="auto"/>
            </w:tcBorders>
          </w:tcPr>
          <w:p>
            <w:pPr>
              <w:spacing w:after="0"/>
              <w:rPr>
                <w:sz w:val="12"/>
                <w:szCs w:val="12"/>
                <w:color w:val="auto"/>
              </w:rPr>
            </w:pPr>
          </w:p>
        </w:tc>
      </w:tr>
      <w:tr>
        <w:trPr>
          <w:trHeight w:val="212"/>
        </w:trPr>
        <w:tc>
          <w:tcPr>
            <w:tcW w:w="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Named Executive</w:t>
            </w:r>
          </w:p>
        </w:tc>
        <w:tc>
          <w:tcPr>
            <w:tcW w:w="102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0"/>
                <w:szCs w:val="10"/>
                <w:b w:val="1"/>
                <w:bCs w:val="1"/>
                <w:color w:val="auto"/>
                <w:w w:val="98"/>
              </w:rPr>
              <w:t>Maximum</w:t>
            </w:r>
          </w:p>
        </w:tc>
      </w:tr>
      <w:tr>
        <w:trPr>
          <w:trHeight w:val="136"/>
        </w:trPr>
        <w:tc>
          <w:tcPr>
            <w:tcW w:w="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Officer</w:t>
            </w:r>
          </w:p>
        </w:tc>
        <w:tc>
          <w:tcPr>
            <w:tcW w:w="10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Award Type</w:t>
            </w: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99"/>
              </w:rPr>
              <w:t>Date (1)</w:t>
            </w:r>
          </w:p>
        </w:tc>
        <w:tc>
          <w:tcPr>
            <w:tcW w:w="7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w w:val="99"/>
              </w:rPr>
              <w:t>Threshold ($)</w:t>
            </w:r>
          </w:p>
        </w:tc>
        <w:tc>
          <w:tcPr>
            <w:tcW w:w="1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Target ($)</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Maximum ($)</w:t>
            </w:r>
          </w:p>
        </w:tc>
        <w:tc>
          <w:tcPr>
            <w:tcW w:w="9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Threshold (#)</w:t>
            </w:r>
          </w:p>
        </w:tc>
        <w:tc>
          <w:tcPr>
            <w:tcW w:w="116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Target (#)</w:t>
            </w:r>
          </w:p>
        </w:tc>
        <w:tc>
          <w:tcPr>
            <w:tcW w:w="720" w:type="dxa"/>
            <w:vAlign w:val="bottom"/>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0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800" w:type="dxa"/>
            <w:vAlign w:val="bottom"/>
            <w:vMerge w:val="restart"/>
          </w:tcPr>
          <w:p>
            <w:pPr>
              <w:jc w:val="center"/>
              <w:ind w:left="271"/>
              <w:spacing w:after="0"/>
              <w:rPr>
                <w:sz w:val="20"/>
                <w:szCs w:val="20"/>
                <w:color w:val="auto"/>
              </w:rPr>
            </w:pPr>
            <w:r>
              <w:rPr>
                <w:rFonts w:ascii="Times New Roman" w:cs="Times New Roman" w:eastAsia="Times New Roman" w:hAnsi="Times New Roman"/>
                <w:sz w:val="10"/>
                <w:szCs w:val="10"/>
                <w:b w:val="1"/>
                <w:bCs w:val="1"/>
                <w:color w:val="auto"/>
                <w:w w:val="98"/>
              </w:rPr>
              <w:t>Grant Date</w:t>
            </w:r>
          </w:p>
        </w:tc>
        <w:tc>
          <w:tcPr>
            <w:tcW w:w="0" w:type="dxa"/>
            <w:vAlign w:val="bottom"/>
          </w:tcPr>
          <w:p>
            <w:pPr>
              <w:spacing w:after="0"/>
              <w:rPr>
                <w:sz w:val="1"/>
                <w:szCs w:val="1"/>
                <w:color w:val="auto"/>
              </w:rPr>
            </w:pPr>
          </w:p>
        </w:tc>
      </w:tr>
      <w:tr>
        <w:trPr>
          <w:trHeight w:val="95"/>
        </w:trPr>
        <w:tc>
          <w:tcPr>
            <w:tcW w:w="800" w:type="dxa"/>
            <w:vAlign w:val="bottom"/>
          </w:tcPr>
          <w:p>
            <w:pPr>
              <w:jc w:val="center"/>
              <w:ind w:right="271"/>
              <w:spacing w:after="0" w:line="96" w:lineRule="exact"/>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tcPr>
          <w:p>
            <w:pPr>
              <w:jc w:val="center"/>
              <w:ind w:right="271"/>
              <w:spacing w:after="0" w:line="96"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800" w:type="dxa"/>
            <w:vAlign w:val="bottom"/>
          </w:tcPr>
          <w:p>
            <w:pPr>
              <w:jc w:val="center"/>
              <w:ind w:left="251"/>
              <w:spacing w:after="0" w:line="96"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6"/>
        </w:trPr>
        <w:tc>
          <w:tcPr>
            <w:tcW w:w="800" w:type="dxa"/>
            <w:vAlign w:val="bottom"/>
          </w:tcPr>
          <w:p>
            <w:pPr>
              <w:jc w:val="center"/>
              <w:ind w:right="291"/>
              <w:spacing w:after="0" w:line="106"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800" w:type="dxa"/>
            <w:vAlign w:val="bottom"/>
          </w:tcPr>
          <w:p>
            <w:pPr>
              <w:jc w:val="center"/>
              <w:ind w:left="251"/>
              <w:spacing w:after="0" w:line="106" w:lineRule="exact"/>
              <w:rPr>
                <w:sz w:val="20"/>
                <w:szCs w:val="20"/>
                <w:color w:val="auto"/>
              </w:rPr>
            </w:pPr>
            <w:r>
              <w:rPr>
                <w:rFonts w:ascii="Times New Roman" w:cs="Times New Roman" w:eastAsia="Times New Roman" w:hAnsi="Times New Roman"/>
                <w:sz w:val="10"/>
                <w:szCs w:val="10"/>
                <w:b w:val="1"/>
                <w:bCs w:val="1"/>
                <w:color w:val="auto"/>
                <w:w w:val="97"/>
              </w:rPr>
              <w:t>of Stock</w:t>
            </w:r>
          </w:p>
        </w:tc>
        <w:tc>
          <w:tcPr>
            <w:tcW w:w="0" w:type="dxa"/>
            <w:vAlign w:val="bottom"/>
          </w:tcPr>
          <w:p>
            <w:pPr>
              <w:spacing w:after="0"/>
              <w:rPr>
                <w:sz w:val="1"/>
                <w:szCs w:val="1"/>
                <w:color w:val="auto"/>
              </w:rPr>
            </w:pPr>
          </w:p>
        </w:tc>
      </w:tr>
      <w:tr>
        <w:trPr>
          <w:trHeight w:val="95"/>
        </w:trPr>
        <w:tc>
          <w:tcPr>
            <w:tcW w:w="800" w:type="dxa"/>
            <w:vAlign w:val="bottom"/>
          </w:tcPr>
          <w:p>
            <w:pPr>
              <w:jc w:val="center"/>
              <w:ind w:right="271"/>
              <w:spacing w:after="0" w:line="96"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800" w:type="dxa"/>
            <w:vAlign w:val="bottom"/>
          </w:tcPr>
          <w:p>
            <w:pPr>
              <w:jc w:val="center"/>
              <w:ind w:left="251"/>
              <w:spacing w:after="0" w:line="96" w:lineRule="exact"/>
              <w:rPr>
                <w:sz w:val="20"/>
                <w:szCs w:val="20"/>
                <w:color w:val="auto"/>
              </w:rPr>
            </w:pPr>
            <w:r>
              <w:rPr>
                <w:rFonts w:ascii="Times New Roman" w:cs="Times New Roman" w:eastAsia="Times New Roman" w:hAnsi="Times New Roman"/>
                <w:sz w:val="10"/>
                <w:szCs w:val="10"/>
                <w:b w:val="1"/>
                <w:bCs w:val="1"/>
                <w:color w:val="auto"/>
                <w:w w:val="96"/>
              </w:rPr>
              <w:t>Awards ($)</w:t>
            </w:r>
          </w:p>
        </w:tc>
        <w:tc>
          <w:tcPr>
            <w:tcW w:w="0" w:type="dxa"/>
            <w:vAlign w:val="bottom"/>
          </w:tcPr>
          <w:p>
            <w:pPr>
              <w:spacing w:after="0"/>
              <w:rPr>
                <w:sz w:val="1"/>
                <w:szCs w:val="1"/>
                <w:color w:val="auto"/>
              </w:rPr>
            </w:pPr>
          </w:p>
        </w:tc>
      </w:tr>
      <w:tr>
        <w:trPr>
          <w:trHeight w:val="130"/>
        </w:trPr>
        <w:tc>
          <w:tcPr>
            <w:tcW w:w="80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6"/>
              </w:rPr>
              <w:t>Stock (#)(4)</w:t>
            </w:r>
          </w:p>
        </w:tc>
        <w:tc>
          <w:tcPr>
            <w:tcW w:w="800" w:type="dxa"/>
            <w:vAlign w:val="bottom"/>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85"/>
              </w:rPr>
              <w:t>(5)</w:t>
            </w: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2">
            <w:col w:w="9060" w:space="320"/>
            <w:col w:w="19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06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1"/>
                <w:szCs w:val="11"/>
                <w:color w:val="auto"/>
              </w:rPr>
              <w:t>Andrew</w:t>
            </w:r>
          </w:p>
        </w:tc>
        <w:tc>
          <w:tcPr>
            <w:tcW w:w="100" w:type="dxa"/>
            <w:vAlign w:val="bottom"/>
            <w:tcBorders>
              <w:top w:val="single" w:sz="8" w:color="CCCCCC"/>
            </w:tcBorders>
            <w:shd w:val="clear" w:color="auto" w:fill="CCCCCC"/>
          </w:tcPr>
          <w:p>
            <w:pPr>
              <w:spacing w:after="0"/>
              <w:rPr>
                <w:sz w:val="15"/>
                <w:szCs w:val="15"/>
                <w:color w:val="auto"/>
              </w:rPr>
            </w:pPr>
          </w:p>
        </w:tc>
        <w:tc>
          <w:tcPr>
            <w:tcW w:w="640" w:type="dxa"/>
            <w:vAlign w:val="bottom"/>
            <w:tcBorders>
              <w:top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1"/>
                <w:szCs w:val="11"/>
                <w:color w:val="auto"/>
              </w:rPr>
              <w:t>EIP</w:t>
            </w:r>
          </w:p>
        </w:tc>
        <w:tc>
          <w:tcPr>
            <w:tcW w:w="100" w:type="dxa"/>
            <w:vAlign w:val="bottom"/>
            <w:tcBorders>
              <w:top w:val="single" w:sz="8" w:color="CCCCCC"/>
            </w:tcBorders>
            <w:shd w:val="clear" w:color="auto" w:fill="CCCCCC"/>
          </w:tcPr>
          <w:p>
            <w:pPr>
              <w:spacing w:after="0"/>
              <w:rPr>
                <w:sz w:val="15"/>
                <w:szCs w:val="15"/>
                <w:color w:val="auto"/>
              </w:rPr>
            </w:pPr>
          </w:p>
        </w:tc>
        <w:tc>
          <w:tcPr>
            <w:tcW w:w="11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CCCC"/>
            </w:tcBorders>
            <w:shd w:val="clear" w:color="auto" w:fill="CCCCCC"/>
          </w:tcPr>
          <w:p>
            <w:pPr>
              <w:spacing w:after="0"/>
              <w:rPr>
                <w:sz w:val="15"/>
                <w:szCs w:val="15"/>
                <w:color w:val="auto"/>
              </w:rPr>
            </w:pPr>
          </w:p>
        </w:tc>
        <w:tc>
          <w:tcPr>
            <w:tcW w:w="900" w:type="dxa"/>
            <w:vAlign w:val="bottom"/>
            <w:tcBorders>
              <w:top w:val="single" w:sz="8" w:color="auto"/>
            </w:tcBorders>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CCCC"/>
            </w:tcBorders>
            <w:shd w:val="clear" w:color="auto" w:fill="CCCCCC"/>
          </w:tcPr>
          <w:p>
            <w:pPr>
              <w:spacing w:after="0"/>
              <w:rPr>
                <w:sz w:val="15"/>
                <w:szCs w:val="15"/>
                <w:color w:val="auto"/>
              </w:rPr>
            </w:pPr>
          </w:p>
        </w:tc>
        <w:tc>
          <w:tcPr>
            <w:tcW w:w="9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1,560,000</w:t>
            </w:r>
          </w:p>
        </w:tc>
        <w:tc>
          <w:tcPr>
            <w:tcW w:w="100" w:type="dxa"/>
            <w:vAlign w:val="bottom"/>
            <w:tcBorders>
              <w:top w:val="single" w:sz="8" w:color="CCCCCC"/>
            </w:tcBorders>
            <w:shd w:val="clear" w:color="auto" w:fill="CCCCCC"/>
          </w:tcPr>
          <w:p>
            <w:pPr>
              <w:spacing w:after="0"/>
              <w:rPr>
                <w:sz w:val="15"/>
                <w:szCs w:val="15"/>
                <w:color w:val="auto"/>
              </w:rPr>
            </w:pPr>
          </w:p>
        </w:tc>
        <w:tc>
          <w:tcPr>
            <w:tcW w:w="90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2,080,000</w:t>
            </w:r>
          </w:p>
        </w:tc>
        <w:tc>
          <w:tcPr>
            <w:tcW w:w="100" w:type="dxa"/>
            <w:vAlign w:val="bottom"/>
            <w:tcBorders>
              <w:top w:val="single" w:sz="8" w:color="CCCCCC"/>
            </w:tcBorders>
            <w:shd w:val="clear" w:color="auto" w:fill="CCCCCC"/>
          </w:tcPr>
          <w:p>
            <w:pPr>
              <w:spacing w:after="0"/>
              <w:rPr>
                <w:sz w:val="15"/>
                <w:szCs w:val="15"/>
                <w:color w:val="auto"/>
              </w:rPr>
            </w:pPr>
          </w:p>
        </w:tc>
        <w:tc>
          <w:tcPr>
            <w:tcW w:w="900" w:type="dxa"/>
            <w:vAlign w:val="bottom"/>
            <w:tcBorders>
              <w:top w:val="single" w:sz="8" w:color="auto"/>
            </w:tcBorders>
            <w:shd w:val="clear" w:color="auto" w:fill="CCCCC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CCCC"/>
            </w:tcBorders>
            <w:shd w:val="clear" w:color="auto" w:fill="CCCCCC"/>
          </w:tcPr>
          <w:p>
            <w:pPr>
              <w:spacing w:after="0"/>
              <w:rPr>
                <w:sz w:val="15"/>
                <w:szCs w:val="15"/>
                <w:color w:val="auto"/>
              </w:rPr>
            </w:pPr>
          </w:p>
        </w:tc>
        <w:tc>
          <w:tcPr>
            <w:tcW w:w="780" w:type="dxa"/>
            <w:vAlign w:val="bottom"/>
            <w:tcBorders>
              <w:top w:val="single" w:sz="8" w:color="auto"/>
            </w:tcBorders>
            <w:shd w:val="clear" w:color="auto" w:fill="CCCCC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CCCC"/>
            </w:tcBorders>
            <w:shd w:val="clear" w:color="auto" w:fill="CCCCCC"/>
          </w:tcPr>
          <w:p>
            <w:pPr>
              <w:spacing w:after="0"/>
              <w:rPr>
                <w:sz w:val="15"/>
                <w:szCs w:val="15"/>
                <w:color w:val="auto"/>
              </w:rPr>
            </w:pPr>
          </w:p>
        </w:tc>
        <w:tc>
          <w:tcPr>
            <w:tcW w:w="980" w:type="dxa"/>
            <w:vAlign w:val="bottom"/>
            <w:tcBorders>
              <w:top w:val="single" w:sz="8" w:color="auto"/>
            </w:tcBorders>
            <w:shd w:val="clear" w:color="auto" w:fill="CCCCC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CCCC"/>
            </w:tcBorders>
            <w:shd w:val="clear" w:color="auto" w:fill="CCCCCC"/>
          </w:tcPr>
          <w:p>
            <w:pPr>
              <w:spacing w:after="0"/>
              <w:rPr>
                <w:sz w:val="15"/>
                <w:szCs w:val="15"/>
                <w:color w:val="auto"/>
              </w:rPr>
            </w:pPr>
          </w:p>
        </w:tc>
        <w:tc>
          <w:tcPr>
            <w:tcW w:w="920" w:type="dxa"/>
            <w:vAlign w:val="bottom"/>
            <w:tcBorders>
              <w:top w:val="single" w:sz="8" w:color="auto"/>
            </w:tcBorders>
            <w:shd w:val="clear" w:color="auto" w:fill="CCCCC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CCCC"/>
            </w:tcBorders>
            <w:shd w:val="clear" w:color="auto" w:fill="CCCCCC"/>
          </w:tcPr>
          <w:p>
            <w:pPr>
              <w:spacing w:after="0"/>
              <w:rPr>
                <w:sz w:val="15"/>
                <w:szCs w:val="15"/>
                <w:color w:val="auto"/>
              </w:rPr>
            </w:pPr>
          </w:p>
        </w:tc>
        <w:tc>
          <w:tcPr>
            <w:tcW w:w="110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1060" w:type="dxa"/>
            <w:vAlign w:val="bottom"/>
            <w:shd w:val="clear" w:color="auto" w:fill="CCCCCC"/>
          </w:tcPr>
          <w:p>
            <w:pPr>
              <w:ind w:left="140"/>
              <w:spacing w:after="0"/>
              <w:rPr>
                <w:sz w:val="20"/>
                <w:szCs w:val="20"/>
                <w:color w:val="auto"/>
              </w:rPr>
            </w:pPr>
            <w:r>
              <w:rPr>
                <w:rFonts w:ascii="Times New Roman" w:cs="Times New Roman" w:eastAsia="Times New Roman" w:hAnsi="Times New Roman"/>
                <w:sz w:val="11"/>
                <w:szCs w:val="11"/>
                <w:color w:val="auto"/>
              </w:rPr>
              <w:t>Anagnost</w:t>
            </w:r>
          </w:p>
        </w:tc>
        <w:tc>
          <w:tcPr>
            <w:tcW w:w="100" w:type="dxa"/>
            <w:vAlign w:val="bottom"/>
            <w:shd w:val="clear" w:color="auto" w:fill="CCCCCC"/>
          </w:tcPr>
          <w:p>
            <w:pPr>
              <w:spacing w:after="0"/>
              <w:rPr>
                <w:sz w:val="12"/>
                <w:szCs w:val="12"/>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RSU</w:t>
            </w:r>
          </w:p>
        </w:tc>
        <w:tc>
          <w:tcPr>
            <w:tcW w:w="12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2"/>
                <w:szCs w:val="12"/>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40,753</w:t>
            </w:r>
          </w:p>
        </w:tc>
        <w:tc>
          <w:tcPr>
            <w:tcW w:w="100" w:type="dxa"/>
            <w:vAlign w:val="bottom"/>
            <w:shd w:val="clear" w:color="auto" w:fill="CCCCCC"/>
          </w:tcPr>
          <w:p>
            <w:pPr>
              <w:spacing w:after="0"/>
              <w:rPr>
                <w:sz w:val="12"/>
                <w:szCs w:val="12"/>
                <w:color w:val="auto"/>
              </w:rPr>
            </w:pP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8,074,799</w:t>
            </w:r>
          </w:p>
        </w:tc>
      </w:tr>
      <w:tr>
        <w:trPr>
          <w:trHeight w:val="152"/>
        </w:trPr>
        <w:tc>
          <w:tcPr>
            <w:tcW w:w="10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11,757</w:t>
            </w:r>
          </w:p>
        </w:tc>
        <w:tc>
          <w:tcPr>
            <w:tcW w:w="80" w:type="dxa"/>
            <w:vAlign w:val="bottom"/>
            <w:shd w:val="clear" w:color="auto" w:fill="CCCCCC"/>
          </w:tcPr>
          <w:p>
            <w:pPr>
              <w:spacing w:after="0"/>
              <w:rPr>
                <w:sz w:val="13"/>
                <w:szCs w:val="13"/>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23,514</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2,275,567</w:t>
            </w:r>
          </w:p>
        </w:tc>
      </w:tr>
      <w:tr>
        <w:trPr>
          <w:trHeight w:val="159"/>
        </w:trPr>
        <w:tc>
          <w:tcPr>
            <w:tcW w:w="10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00" w:type="dxa"/>
            <w:vAlign w:val="bottom"/>
            <w:shd w:val="clear" w:color="auto" w:fill="CCCCCC"/>
          </w:tcPr>
          <w:p>
            <w:pPr>
              <w:spacing w:after="0"/>
              <w:rPr>
                <w:sz w:val="13"/>
                <w:szCs w:val="13"/>
                <w:color w:val="auto"/>
              </w:rPr>
            </w:pPr>
          </w:p>
        </w:tc>
        <w:tc>
          <w:tcPr>
            <w:tcW w:w="1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17,047</w:t>
            </w:r>
          </w:p>
        </w:tc>
        <w:tc>
          <w:tcPr>
            <w:tcW w:w="80" w:type="dxa"/>
            <w:vAlign w:val="bottom"/>
            <w:shd w:val="clear" w:color="auto" w:fill="CCCCCC"/>
          </w:tcPr>
          <w:p>
            <w:pPr>
              <w:spacing w:after="0"/>
              <w:rPr>
                <w:sz w:val="13"/>
                <w:szCs w:val="13"/>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34,094</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3,663,400</w:t>
            </w:r>
          </w:p>
        </w:tc>
      </w:tr>
      <w:tr>
        <w:trPr>
          <w:trHeight w:val="178"/>
        </w:trPr>
        <w:tc>
          <w:tcPr>
            <w:tcW w:w="10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00" w:type="dxa"/>
            <w:vAlign w:val="bottom"/>
            <w:shd w:val="clear" w:color="auto" w:fill="CCCCCC"/>
          </w:tcPr>
          <w:p>
            <w:pPr>
              <w:spacing w:after="0"/>
              <w:rPr>
                <w:sz w:val="15"/>
                <w:szCs w:val="15"/>
                <w:color w:val="auto"/>
              </w:rPr>
            </w:pPr>
          </w:p>
        </w:tc>
        <w:tc>
          <w:tcPr>
            <w:tcW w:w="1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5"/>
                <w:szCs w:val="15"/>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20,377</w:t>
            </w:r>
          </w:p>
        </w:tc>
        <w:tc>
          <w:tcPr>
            <w:tcW w:w="80" w:type="dxa"/>
            <w:vAlign w:val="bottom"/>
            <w:shd w:val="clear" w:color="auto" w:fill="CCCCCC"/>
          </w:tcPr>
          <w:p>
            <w:pPr>
              <w:spacing w:after="0"/>
              <w:rPr>
                <w:sz w:val="15"/>
                <w:szCs w:val="15"/>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40,754</w:t>
            </w:r>
          </w:p>
        </w:tc>
        <w:tc>
          <w:tcPr>
            <w:tcW w:w="100" w:type="dxa"/>
            <w:vAlign w:val="bottom"/>
            <w:shd w:val="clear" w:color="auto" w:fill="CCCCCC"/>
          </w:tcPr>
          <w:p>
            <w:pPr>
              <w:spacing w:after="0"/>
              <w:rPr>
                <w:sz w:val="15"/>
                <w:szCs w:val="15"/>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3,925,222</w:t>
            </w:r>
          </w:p>
        </w:tc>
      </w:tr>
      <w:tr>
        <w:trPr>
          <w:trHeight w:val="147"/>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Deborah L.</w:t>
            </w:r>
          </w:p>
        </w:tc>
        <w:tc>
          <w:tcPr>
            <w:tcW w:w="100" w:type="dxa"/>
            <w:vAlign w:val="bottom"/>
          </w:tcPr>
          <w:p>
            <w:pPr>
              <w:spacing w:after="0"/>
              <w:rPr>
                <w:sz w:val="12"/>
                <w:szCs w:val="12"/>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EIP</w:t>
            </w:r>
          </w:p>
        </w:tc>
        <w:tc>
          <w:tcPr>
            <w:tcW w:w="1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516,767</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1,291,918</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1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Clifford</w:t>
            </w:r>
          </w:p>
        </w:tc>
        <w:tc>
          <w:tcPr>
            <w:tcW w:w="1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11,986</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2,374,906</w:t>
            </w:r>
          </w:p>
        </w:tc>
      </w:tr>
      <w:tr>
        <w:trPr>
          <w:trHeight w:val="159"/>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3,057</w:t>
            </w: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6,114</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591,682</w:t>
            </w:r>
          </w:p>
        </w:tc>
      </w:tr>
      <w:tr>
        <w:trPr>
          <w:trHeight w:val="159"/>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4,762</w:t>
            </w: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9,524</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1,023,354</w:t>
            </w: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5,993</w:t>
            </w:r>
          </w:p>
        </w:tc>
        <w:tc>
          <w:tcPr>
            <w:tcW w:w="8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11,986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1,154,432</w:t>
            </w:r>
          </w:p>
        </w:tc>
      </w:tr>
      <w:tr>
        <w:trPr>
          <w:trHeight w:val="156"/>
        </w:trPr>
        <w:tc>
          <w:tcPr>
            <w:tcW w:w="106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1"/>
                <w:szCs w:val="11"/>
                <w:color w:val="auto"/>
              </w:rPr>
              <w:t>Steve M.</w:t>
            </w: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40"/>
              <w:spacing w:after="0"/>
              <w:rPr>
                <w:sz w:val="20"/>
                <w:szCs w:val="20"/>
                <w:color w:val="auto"/>
              </w:rPr>
            </w:pPr>
            <w:r>
              <w:rPr>
                <w:rFonts w:ascii="Times New Roman" w:cs="Times New Roman" w:eastAsia="Times New Roman" w:hAnsi="Times New Roman"/>
                <w:sz w:val="11"/>
                <w:szCs w:val="11"/>
                <w:color w:val="auto"/>
              </w:rPr>
              <w:t>EIP</w:t>
            </w:r>
          </w:p>
        </w:tc>
        <w:tc>
          <w:tcPr>
            <w:tcW w:w="100" w:type="dxa"/>
            <w:vAlign w:val="bottom"/>
            <w:shd w:val="clear" w:color="auto" w:fill="CCCCCC"/>
          </w:tcPr>
          <w:p>
            <w:pPr>
              <w:spacing w:after="0"/>
              <w:rPr>
                <w:sz w:val="13"/>
                <w:szCs w:val="13"/>
                <w:color w:val="auto"/>
              </w:rPr>
            </w:pPr>
          </w:p>
        </w:tc>
        <w:tc>
          <w:tcPr>
            <w:tcW w:w="12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560,000</w:t>
            </w:r>
          </w:p>
        </w:tc>
        <w:tc>
          <w:tcPr>
            <w:tcW w:w="100" w:type="dxa"/>
            <w:vAlign w:val="bottom"/>
            <w:shd w:val="clear" w:color="auto" w:fill="CCCCCC"/>
          </w:tcPr>
          <w:p>
            <w:pPr>
              <w:spacing w:after="0"/>
              <w:rPr>
                <w:sz w:val="13"/>
                <w:szCs w:val="13"/>
                <w:color w:val="auto"/>
              </w:rPr>
            </w:pPr>
          </w:p>
        </w:tc>
        <w:tc>
          <w:tcPr>
            <w:tcW w:w="9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1,400,000</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106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1"/>
                <w:szCs w:val="11"/>
                <w:color w:val="auto"/>
              </w:rPr>
              <w:t>Blum</w:t>
            </w: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RSU</w:t>
            </w:r>
          </w:p>
        </w:tc>
        <w:tc>
          <w:tcPr>
            <w:tcW w:w="12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14,982</w:t>
            </w:r>
          </w:p>
        </w:tc>
        <w:tc>
          <w:tcPr>
            <w:tcW w:w="100" w:type="dxa"/>
            <w:vAlign w:val="bottom"/>
            <w:shd w:val="clear" w:color="auto" w:fill="CCCCCC"/>
          </w:tcPr>
          <w:p>
            <w:pPr>
              <w:spacing w:after="0"/>
              <w:rPr>
                <w:sz w:val="13"/>
                <w:szCs w:val="13"/>
                <w:color w:val="auto"/>
              </w:rPr>
            </w:pP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2,968,533</w:t>
            </w:r>
          </w:p>
        </w:tc>
      </w:tr>
      <w:tr>
        <w:trPr>
          <w:trHeight w:val="159"/>
        </w:trPr>
        <w:tc>
          <w:tcPr>
            <w:tcW w:w="10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2,912</w:t>
            </w:r>
          </w:p>
        </w:tc>
        <w:tc>
          <w:tcPr>
            <w:tcW w:w="80" w:type="dxa"/>
            <w:vAlign w:val="bottom"/>
            <w:shd w:val="clear" w:color="auto" w:fill="CCCCCC"/>
          </w:tcPr>
          <w:p>
            <w:pPr>
              <w:spacing w:after="0"/>
              <w:rPr>
                <w:sz w:val="13"/>
                <w:szCs w:val="13"/>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5,824</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563,618</w:t>
            </w:r>
          </w:p>
        </w:tc>
      </w:tr>
      <w:tr>
        <w:trPr>
          <w:trHeight w:val="159"/>
        </w:trPr>
        <w:tc>
          <w:tcPr>
            <w:tcW w:w="10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00" w:type="dxa"/>
            <w:vAlign w:val="bottom"/>
            <w:shd w:val="clear" w:color="auto" w:fill="CCCCCC"/>
          </w:tcPr>
          <w:p>
            <w:pPr>
              <w:spacing w:after="0"/>
              <w:rPr>
                <w:sz w:val="13"/>
                <w:szCs w:val="13"/>
                <w:color w:val="auto"/>
              </w:rPr>
            </w:pPr>
          </w:p>
        </w:tc>
        <w:tc>
          <w:tcPr>
            <w:tcW w:w="1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5,809</w:t>
            </w:r>
          </w:p>
        </w:tc>
        <w:tc>
          <w:tcPr>
            <w:tcW w:w="80" w:type="dxa"/>
            <w:vAlign w:val="bottom"/>
            <w:shd w:val="clear" w:color="auto" w:fill="CCCCCC"/>
          </w:tcPr>
          <w:p>
            <w:pPr>
              <w:spacing w:after="0"/>
              <w:rPr>
                <w:sz w:val="13"/>
                <w:szCs w:val="13"/>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11,618</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1,248,354</w:t>
            </w:r>
          </w:p>
        </w:tc>
      </w:tr>
      <w:tr>
        <w:trPr>
          <w:trHeight w:val="178"/>
        </w:trPr>
        <w:tc>
          <w:tcPr>
            <w:tcW w:w="10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00" w:type="dxa"/>
            <w:vAlign w:val="bottom"/>
            <w:shd w:val="clear" w:color="auto" w:fill="CCCCCC"/>
          </w:tcPr>
          <w:p>
            <w:pPr>
              <w:spacing w:after="0"/>
              <w:rPr>
                <w:sz w:val="15"/>
                <w:szCs w:val="15"/>
                <w:color w:val="auto"/>
              </w:rPr>
            </w:pPr>
          </w:p>
        </w:tc>
        <w:tc>
          <w:tcPr>
            <w:tcW w:w="1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5"/>
                <w:szCs w:val="15"/>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7,492</w:t>
            </w:r>
          </w:p>
        </w:tc>
        <w:tc>
          <w:tcPr>
            <w:tcW w:w="80" w:type="dxa"/>
            <w:vAlign w:val="bottom"/>
            <w:shd w:val="clear" w:color="auto" w:fill="CCCCCC"/>
          </w:tcPr>
          <w:p>
            <w:pPr>
              <w:spacing w:after="0"/>
              <w:rPr>
                <w:sz w:val="15"/>
                <w:szCs w:val="15"/>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14,984</w:t>
            </w:r>
          </w:p>
        </w:tc>
        <w:tc>
          <w:tcPr>
            <w:tcW w:w="100" w:type="dxa"/>
            <w:vAlign w:val="bottom"/>
            <w:shd w:val="clear" w:color="auto" w:fill="CCCCCC"/>
          </w:tcPr>
          <w:p>
            <w:pPr>
              <w:spacing w:after="0"/>
              <w:rPr>
                <w:sz w:val="15"/>
                <w:szCs w:val="15"/>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1,443,184</w:t>
            </w:r>
          </w:p>
        </w:tc>
      </w:tr>
      <w:tr>
        <w:trPr>
          <w:trHeight w:val="147"/>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Ruth Ann</w:t>
            </w:r>
          </w:p>
        </w:tc>
        <w:tc>
          <w:tcPr>
            <w:tcW w:w="100" w:type="dxa"/>
            <w:vAlign w:val="bottom"/>
          </w:tcPr>
          <w:p>
            <w:pPr>
              <w:spacing w:after="0"/>
              <w:rPr>
                <w:sz w:val="12"/>
                <w:szCs w:val="12"/>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EIP</w:t>
            </w:r>
          </w:p>
        </w:tc>
        <w:tc>
          <w:tcPr>
            <w:tcW w:w="1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430,707</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1,076,768</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1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Keene</w:t>
            </w:r>
          </w:p>
        </w:tc>
        <w:tc>
          <w:tcPr>
            <w:tcW w:w="1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7,591</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1,504,081</w:t>
            </w:r>
          </w:p>
        </w:tc>
      </w:tr>
      <w:tr>
        <w:trPr>
          <w:trHeight w:val="159"/>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3,333</w:t>
            </w: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6,666</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716,262</w:t>
            </w: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3,796</w:t>
            </w:r>
          </w:p>
        </w:tc>
        <w:tc>
          <w:tcPr>
            <w:tcW w:w="8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7,592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731,223</w:t>
            </w:r>
          </w:p>
        </w:tc>
      </w:tr>
      <w:tr>
        <w:trPr>
          <w:trHeight w:val="156"/>
        </w:trPr>
        <w:tc>
          <w:tcPr>
            <w:tcW w:w="106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1"/>
                <w:szCs w:val="11"/>
                <w:color w:val="auto"/>
              </w:rPr>
              <w:t>Rebecca</w:t>
            </w: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40"/>
              <w:spacing w:after="0"/>
              <w:rPr>
                <w:sz w:val="20"/>
                <w:szCs w:val="20"/>
                <w:color w:val="auto"/>
              </w:rPr>
            </w:pPr>
            <w:r>
              <w:rPr>
                <w:rFonts w:ascii="Times New Roman" w:cs="Times New Roman" w:eastAsia="Times New Roman" w:hAnsi="Times New Roman"/>
                <w:sz w:val="11"/>
                <w:szCs w:val="11"/>
                <w:color w:val="auto"/>
              </w:rPr>
              <w:t>EIP</w:t>
            </w:r>
          </w:p>
        </w:tc>
        <w:tc>
          <w:tcPr>
            <w:tcW w:w="100" w:type="dxa"/>
            <w:vAlign w:val="bottom"/>
            <w:shd w:val="clear" w:color="auto" w:fill="CCCCCC"/>
          </w:tcPr>
          <w:p>
            <w:pPr>
              <w:spacing w:after="0"/>
              <w:rPr>
                <w:sz w:val="13"/>
                <w:szCs w:val="13"/>
                <w:color w:val="auto"/>
              </w:rPr>
            </w:pPr>
          </w:p>
        </w:tc>
        <w:tc>
          <w:tcPr>
            <w:tcW w:w="12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372,798</w:t>
            </w:r>
          </w:p>
        </w:tc>
        <w:tc>
          <w:tcPr>
            <w:tcW w:w="100" w:type="dxa"/>
            <w:vAlign w:val="bottom"/>
            <w:shd w:val="clear" w:color="auto" w:fill="CCCCCC"/>
          </w:tcPr>
          <w:p>
            <w:pPr>
              <w:spacing w:after="0"/>
              <w:rPr>
                <w:sz w:val="13"/>
                <w:szCs w:val="13"/>
                <w:color w:val="auto"/>
              </w:rPr>
            </w:pPr>
          </w:p>
        </w:tc>
        <w:tc>
          <w:tcPr>
            <w:tcW w:w="9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931,996</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1060" w:type="dxa"/>
            <w:vAlign w:val="bottom"/>
            <w:shd w:val="clear" w:color="auto" w:fill="CCCCCC"/>
          </w:tcPr>
          <w:p>
            <w:pPr>
              <w:ind w:left="120"/>
              <w:spacing w:after="0"/>
              <w:rPr>
                <w:sz w:val="20"/>
                <w:szCs w:val="20"/>
                <w:color w:val="auto"/>
              </w:rPr>
            </w:pPr>
            <w:r>
              <w:rPr>
                <w:rFonts w:ascii="Times New Roman" w:cs="Times New Roman" w:eastAsia="Times New Roman" w:hAnsi="Times New Roman"/>
                <w:sz w:val="11"/>
                <w:szCs w:val="11"/>
                <w:color w:val="auto"/>
              </w:rPr>
              <w:t>Pearce (6)</w:t>
            </w: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RSU</w:t>
            </w:r>
          </w:p>
        </w:tc>
        <w:tc>
          <w:tcPr>
            <w:tcW w:w="12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7,591</w:t>
            </w:r>
          </w:p>
        </w:tc>
        <w:tc>
          <w:tcPr>
            <w:tcW w:w="100" w:type="dxa"/>
            <w:vAlign w:val="bottom"/>
            <w:shd w:val="clear" w:color="auto" w:fill="CCCCCC"/>
          </w:tcPr>
          <w:p>
            <w:pPr>
              <w:spacing w:after="0"/>
              <w:rPr>
                <w:sz w:val="13"/>
                <w:szCs w:val="13"/>
                <w:color w:val="auto"/>
              </w:rPr>
            </w:pP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1,504,081</w:t>
            </w:r>
          </w:p>
        </w:tc>
      </w:tr>
      <w:tr>
        <w:trPr>
          <w:trHeight w:val="159"/>
        </w:trPr>
        <w:tc>
          <w:tcPr>
            <w:tcW w:w="10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2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shd w:val="clear" w:color="auto" w:fill="CCCCCC"/>
          </w:tcPr>
          <w:p>
            <w:pPr>
              <w:spacing w:after="0"/>
              <w:rPr>
                <w:sz w:val="13"/>
                <w:szCs w:val="13"/>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70,452</w:t>
            </w:r>
          </w:p>
        </w:tc>
      </w:tr>
      <w:tr>
        <w:trPr>
          <w:trHeight w:val="159"/>
        </w:trPr>
        <w:tc>
          <w:tcPr>
            <w:tcW w:w="10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00" w:type="dxa"/>
            <w:vAlign w:val="bottom"/>
            <w:shd w:val="clear" w:color="auto" w:fill="CCCCCC"/>
          </w:tcPr>
          <w:p>
            <w:pPr>
              <w:spacing w:after="0"/>
              <w:rPr>
                <w:sz w:val="13"/>
                <w:szCs w:val="13"/>
                <w:color w:val="auto"/>
              </w:rPr>
            </w:pPr>
          </w:p>
        </w:tc>
        <w:tc>
          <w:tcPr>
            <w:tcW w:w="1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3"/>
                <w:szCs w:val="13"/>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2,935</w:t>
            </w:r>
          </w:p>
        </w:tc>
        <w:tc>
          <w:tcPr>
            <w:tcW w:w="80" w:type="dxa"/>
            <w:vAlign w:val="bottom"/>
            <w:shd w:val="clear" w:color="auto" w:fill="CCCCCC"/>
          </w:tcPr>
          <w:p>
            <w:pPr>
              <w:spacing w:after="0"/>
              <w:rPr>
                <w:sz w:val="13"/>
                <w:szCs w:val="13"/>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5,870</w:t>
            </w:r>
          </w:p>
        </w:tc>
        <w:tc>
          <w:tcPr>
            <w:tcW w:w="100" w:type="dxa"/>
            <w:vAlign w:val="bottom"/>
            <w:shd w:val="clear" w:color="auto" w:fill="CCCCCC"/>
          </w:tcPr>
          <w:p>
            <w:pPr>
              <w:spacing w:after="0"/>
              <w:rPr>
                <w:sz w:val="13"/>
                <w:szCs w:val="13"/>
                <w:color w:val="auto"/>
              </w:rPr>
            </w:pPr>
          </w:p>
        </w:tc>
        <w:tc>
          <w:tcPr>
            <w:tcW w:w="10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630,732</w:t>
            </w:r>
          </w:p>
        </w:tc>
      </w:tr>
      <w:tr>
        <w:trPr>
          <w:trHeight w:val="178"/>
        </w:trPr>
        <w:tc>
          <w:tcPr>
            <w:tcW w:w="10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640" w:type="dxa"/>
            <w:vAlign w:val="bottom"/>
            <w:shd w:val="clear" w:color="auto" w:fill="CCCCCC"/>
          </w:tcPr>
          <w:p>
            <w:pPr>
              <w:ind w:left="220"/>
              <w:spacing w:after="0"/>
              <w:rPr>
                <w:sz w:val="20"/>
                <w:szCs w:val="20"/>
                <w:color w:val="auto"/>
              </w:rPr>
            </w:pPr>
            <w:r>
              <w:rPr>
                <w:rFonts w:ascii="Times New Roman" w:cs="Times New Roman" w:eastAsia="Times New Roman" w:hAnsi="Times New Roman"/>
                <w:sz w:val="11"/>
                <w:szCs w:val="11"/>
                <w:color w:val="auto"/>
              </w:rPr>
              <w:t>PSU</w:t>
            </w:r>
          </w:p>
        </w:tc>
        <w:tc>
          <w:tcPr>
            <w:tcW w:w="100" w:type="dxa"/>
            <w:vAlign w:val="bottom"/>
            <w:shd w:val="clear" w:color="auto" w:fill="CCCCCC"/>
          </w:tcPr>
          <w:p>
            <w:pPr>
              <w:spacing w:after="0"/>
              <w:rPr>
                <w:sz w:val="15"/>
                <w:szCs w:val="15"/>
                <w:color w:val="auto"/>
              </w:rPr>
            </w:pPr>
          </w:p>
        </w:tc>
        <w:tc>
          <w:tcPr>
            <w:tcW w:w="11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4/10/2023</w:t>
            </w:r>
          </w:p>
        </w:tc>
        <w:tc>
          <w:tcPr>
            <w:tcW w:w="100" w:type="dxa"/>
            <w:vAlign w:val="bottom"/>
            <w:shd w:val="clear" w:color="auto" w:fill="CCCCCC"/>
          </w:tcPr>
          <w:p>
            <w:pPr>
              <w:spacing w:after="0"/>
              <w:rPr>
                <w:sz w:val="15"/>
                <w:szCs w:val="15"/>
                <w:color w:val="auto"/>
              </w:rPr>
            </w:pPr>
          </w:p>
        </w:tc>
        <w:tc>
          <w:tcPr>
            <w:tcW w:w="1000" w:type="dxa"/>
            <w:vAlign w:val="bottom"/>
            <w:gridSpan w:val="2"/>
            <w:shd w:val="clear" w:color="auto" w:fill="CCCCCC"/>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3,796</w:t>
            </w:r>
          </w:p>
        </w:tc>
        <w:tc>
          <w:tcPr>
            <w:tcW w:w="80" w:type="dxa"/>
            <w:vAlign w:val="bottom"/>
            <w:shd w:val="clear" w:color="auto" w:fill="CCCCCC"/>
          </w:tcPr>
          <w:p>
            <w:pPr>
              <w:spacing w:after="0"/>
              <w:rPr>
                <w:sz w:val="15"/>
                <w:szCs w:val="15"/>
                <w:color w:val="auto"/>
              </w:rPr>
            </w:pPr>
          </w:p>
        </w:tc>
        <w:tc>
          <w:tcPr>
            <w:tcW w:w="980" w:type="dxa"/>
            <w:vAlign w:val="bottom"/>
            <w:shd w:val="clear" w:color="auto" w:fill="CCCCCC"/>
          </w:tcPr>
          <w:p>
            <w:pPr>
              <w:jc w:val="right"/>
              <w:ind w:right="3"/>
              <w:spacing w:after="0"/>
              <w:rPr>
                <w:sz w:val="20"/>
                <w:szCs w:val="20"/>
                <w:color w:val="auto"/>
              </w:rPr>
            </w:pPr>
            <w:r>
              <w:rPr>
                <w:rFonts w:ascii="Times New Roman" w:cs="Times New Roman" w:eastAsia="Times New Roman" w:hAnsi="Times New Roman"/>
                <w:sz w:val="11"/>
                <w:szCs w:val="11"/>
                <w:color w:val="auto"/>
              </w:rPr>
              <w:t>7,592</w:t>
            </w:r>
          </w:p>
        </w:tc>
        <w:tc>
          <w:tcPr>
            <w:tcW w:w="100" w:type="dxa"/>
            <w:vAlign w:val="bottom"/>
            <w:shd w:val="clear" w:color="auto" w:fill="CCCCCC"/>
          </w:tcPr>
          <w:p>
            <w:pPr>
              <w:spacing w:after="0"/>
              <w:rPr>
                <w:sz w:val="15"/>
                <w:szCs w:val="15"/>
                <w:color w:val="auto"/>
              </w:rPr>
            </w:pPr>
          </w:p>
        </w:tc>
        <w:tc>
          <w:tcPr>
            <w:tcW w:w="92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1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1"/>
                <w:szCs w:val="11"/>
                <w:color w:val="auto"/>
              </w:rPr>
              <w:t>731,223</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ind w:left="260" w:right="80" w:hanging="255"/>
        <w:spacing w:after="0" w:line="241" w:lineRule="auto"/>
        <w:tabs>
          <w:tab w:leader="none" w:pos="2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date on which the Committee approved the grant of an equity award or, if later in the case of a PSU award, the date on which the Committee established the performance metric underlying such award or a component thereof.</w:t>
      </w:r>
    </w:p>
    <w:p>
      <w:pPr>
        <w:ind w:left="260" w:right="140" w:hanging="255"/>
        <w:spacing w:after="0" w:line="227" w:lineRule="auto"/>
        <w:tabs>
          <w:tab w:leader="none" w:pos="2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target and maximum dollar amounts payable under the EIP for performance during fiscal year 2024, as described in “Compensation Discussion and Analysis—Principal Elements of the Executive Compensation Program.” “Threshold” refers to the minimum amount payable for a certain level of performance; “Target” refers to the amount payable if specified performance targets are reached; and “Maximum” refers to the maximum payout possible.</w:t>
      </w:r>
    </w:p>
    <w:p>
      <w:pPr>
        <w:ind w:left="260" w:hanging="255"/>
        <w:spacing w:after="0" w:line="231" w:lineRule="auto"/>
        <w:tabs>
          <w:tab w:leader="none" w:pos="2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described below, represents shares of our common stock subject to each of the PSU awards granted to the named executive officers in fiscal year 2024 under both the 2012 Stock Plan and 2022 Equity Incentive Plan. These columns show the awards that were possible at the threshold, target, and maximum levels of performance. Shares were to be earned based upon a total revenue and free cash flow goal for fiscal year 2024 adopted by the Committee (the “Annual Financial Results”), as well as TSR compared against the companies in the S&amp;P Computer Software Select Index or the S&amp;P North American Technology Software Index with a market capitalization over $2 billion (“Relative TSR”). In each case, Annual Financial Results for the relevant performance period could result in PSU attainment, subject to the Relative TSR modifier, of 0%-150% of target. Once the Annual Financial Results percentage is established, it is multiplied by a percentage ranging from 67%-133%, depending on Autodesk's Relative TSR performance for the period. Ultimately, PSUs could be earned from 0%-200% of target. Actual PSU awards earned in fiscal year 2024 by the named executive officers under this program are shown in “Long-Term Incentive Compensation” in the Compensation Discussion and Analysis.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left="260" w:hanging="255"/>
        <w:spacing w:after="0"/>
        <w:tabs>
          <w:tab w:leader="none" w:pos="26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RSUs granted on April 10, 2023 vest in three equal annual installments beginning on March 26, 2024.</w:t>
      </w:r>
    </w:p>
    <w:p>
      <w:pPr>
        <w:spacing w:after="0" w:line="13" w:lineRule="exact"/>
        <w:rPr>
          <w:rFonts w:ascii="Times New Roman" w:cs="Times New Roman" w:eastAsia="Times New Roman" w:hAnsi="Times New Roman"/>
          <w:sz w:val="13"/>
          <w:szCs w:val="13"/>
          <w:color w:val="auto"/>
        </w:rPr>
      </w:pPr>
    </w:p>
    <w:p>
      <w:pPr>
        <w:ind w:left="240" w:hanging="235"/>
        <w:spacing w:after="0"/>
        <w:tabs>
          <w:tab w:leader="none" w:pos="240" w:val="left"/>
        </w:tabs>
        <w:numPr>
          <w:ilvl w:val="0"/>
          <w:numId w:val="82"/>
        </w:numPr>
        <w:rPr>
          <w:rFonts w:ascii="Arial" w:cs="Arial" w:eastAsia="Arial" w:hAnsi="Arial"/>
          <w:sz w:val="13"/>
          <w:szCs w:val="13"/>
          <w:color w:val="auto"/>
        </w:rPr>
      </w:pPr>
      <w:r>
        <w:rPr>
          <w:rFonts w:ascii="Times New Roman" w:cs="Times New Roman" w:eastAsia="Times New Roman" w:hAnsi="Times New Roman"/>
          <w:sz w:val="13"/>
          <w:szCs w:val="13"/>
          <w:color w:val="auto"/>
        </w:rPr>
        <w:t>Reflects the grant date fair value of each equity award. The assumptions used in the valuation of these awards are set forth in Part II, Item 8, Financial Statements and Supplementary Data, Note 1, “Business and</w:t>
      </w:r>
    </w:p>
    <w:p>
      <w:pPr>
        <w:spacing w:after="0" w:line="3" w:lineRule="exact"/>
        <w:rPr>
          <w:sz w:val="20"/>
          <w:szCs w:val="20"/>
          <w:color w:val="auto"/>
        </w:rPr>
      </w:pPr>
    </w:p>
    <w:p>
      <w:pPr>
        <w:ind w:left="260" w:right="40"/>
        <w:spacing w:after="0" w:line="245" w:lineRule="auto"/>
        <w:rPr>
          <w:sz w:val="20"/>
          <w:szCs w:val="20"/>
          <w:color w:val="auto"/>
        </w:rPr>
      </w:pPr>
      <w:r>
        <w:rPr>
          <w:rFonts w:ascii="Times New Roman" w:cs="Times New Roman" w:eastAsia="Times New Roman" w:hAnsi="Times New Roman"/>
          <w:sz w:val="13"/>
          <w:szCs w:val="13"/>
          <w:color w:val="auto"/>
        </w:rPr>
        <w:t>Summary of Significant Accounting Policies,” in the Notes to Consolidated Financial Statements in this Annual Report on Form 10-K. These amounts do not correspond to the actual value that will be realized by the named executive officers upon the vesting of RSUs or the sale of the common stock underlying such awards.</w:t>
      </w:r>
    </w:p>
    <w:p>
      <w:pPr>
        <w:ind w:left="260" w:right="120" w:hanging="255"/>
        <w:spacing w:after="0" w:line="253" w:lineRule="auto"/>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Pearce’s base salary is paid in British Pounds. The amounts in the last row represent the approximate dollar value of her target and maximum dollar amounts payable under the EIP for performance during fiscal year 2024 using her base salary converted to U.S. dollars using the British Pound to dollar exchange rate of 1.25, which represent an average for fiscal year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 2024 Year End</w:t>
      </w:r>
    </w:p>
    <w:p>
      <w:pPr>
        <w:spacing w:after="0" w:line="191" w:lineRule="exact"/>
        <w:rPr>
          <w:sz w:val="20"/>
          <w:szCs w:val="20"/>
          <w:color w:val="auto"/>
        </w:rPr>
      </w:pPr>
    </w:p>
    <w:p>
      <w:pPr>
        <w:ind w:right="160" w:firstLine="318"/>
        <w:spacing w:after="0" w:line="265" w:lineRule="auto"/>
        <w:rPr>
          <w:sz w:val="20"/>
          <w:szCs w:val="20"/>
          <w:color w:val="auto"/>
        </w:rPr>
      </w:pPr>
      <w:r>
        <w:rPr>
          <w:rFonts w:ascii="Times New Roman" w:cs="Times New Roman" w:eastAsia="Times New Roman" w:hAnsi="Times New Roman"/>
          <w:sz w:val="14"/>
          <w:szCs w:val="14"/>
          <w:color w:val="auto"/>
        </w:rPr>
        <w:t>The following table presents information concerning outstanding unvested RSU and PSU awards for each named executive officer as of January 31, 2024. This table includes RSUs and PSUs granted under the 2012 and 2022 Stock Plans. Unless otherwise indicated, all RSU awards vest in three equal annual installments beginning on the first anniversary of the date of grant.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2"/>
          </w:tcPr>
          <w:p>
            <w:pPr>
              <w:jc w:val="right"/>
              <w:ind w:right="2037"/>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10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00" w:type="dxa"/>
            <w:vAlign w:val="bottom"/>
          </w:tcPr>
          <w:p>
            <w:pPr>
              <w:spacing w:after="0"/>
              <w:rPr>
                <w:sz w:val="9"/>
                <w:szCs w:val="9"/>
                <w:color w:val="auto"/>
              </w:rPr>
            </w:pPr>
          </w:p>
        </w:tc>
        <w:tc>
          <w:tcPr>
            <w:tcW w:w="1240" w:type="dxa"/>
            <w:vAlign w:val="bottom"/>
          </w:tcPr>
          <w:p>
            <w:pPr>
              <w:jc w:val="right"/>
              <w:ind w:right="417"/>
              <w:spacing w:after="0" w:line="108" w:lineRule="exact"/>
              <w:rPr>
                <w:sz w:val="20"/>
                <w:szCs w:val="20"/>
                <w:color w:val="auto"/>
              </w:rPr>
            </w:pPr>
            <w:r>
              <w:rPr>
                <w:rFonts w:ascii="Times New Roman" w:cs="Times New Roman" w:eastAsia="Times New Roman" w:hAnsi="Times New Roman"/>
                <w:sz w:val="11"/>
                <w:szCs w:val="11"/>
                <w:b w:val="1"/>
                <w:bCs w:val="1"/>
                <w:color w:val="auto"/>
              </w:rPr>
              <w:t>Grant</w:t>
            </w:r>
          </w:p>
        </w:tc>
        <w:tc>
          <w:tcPr>
            <w:tcW w:w="100" w:type="dxa"/>
            <w:vAlign w:val="bottom"/>
          </w:tcPr>
          <w:p>
            <w:pPr>
              <w:spacing w:after="0"/>
              <w:rPr>
                <w:sz w:val="9"/>
                <w:szCs w:val="9"/>
                <w:color w:val="auto"/>
              </w:rPr>
            </w:pPr>
          </w:p>
        </w:tc>
        <w:tc>
          <w:tcPr>
            <w:tcW w:w="19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Number of Shares of Stock That Have</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3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Market Value of Shares of Stock That Have Not</w:t>
            </w:r>
          </w:p>
        </w:tc>
        <w:tc>
          <w:tcPr>
            <w:tcW w:w="0" w:type="dxa"/>
            <w:vAlign w:val="bottom"/>
          </w:tcPr>
          <w:p>
            <w:pPr>
              <w:spacing w:after="0"/>
              <w:rPr>
                <w:sz w:val="1"/>
                <w:szCs w:val="1"/>
                <w:color w:val="auto"/>
              </w:rPr>
            </w:pPr>
          </w:p>
        </w:tc>
      </w:tr>
      <w:tr>
        <w:trPr>
          <w:trHeight w:val="153"/>
        </w:trPr>
        <w:tc>
          <w:tcPr>
            <w:tcW w:w="4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CCCC"/>
            </w:tcBorders>
          </w:tcPr>
          <w:p>
            <w:pPr>
              <w:spacing w:after="0"/>
              <w:rPr>
                <w:sz w:val="13"/>
                <w:szCs w:val="13"/>
                <w:color w:val="auto"/>
              </w:rPr>
            </w:pPr>
          </w:p>
        </w:tc>
        <w:tc>
          <w:tcPr>
            <w:tcW w:w="12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0" w:type="dxa"/>
            <w:vAlign w:val="bottom"/>
            <w:tcBorders>
              <w:bottom w:val="single" w:sz="8" w:color="CCCCCC"/>
            </w:tcBorders>
          </w:tcPr>
          <w:p>
            <w:pPr>
              <w:spacing w:after="0"/>
              <w:rPr>
                <w:sz w:val="13"/>
                <w:szCs w:val="13"/>
                <w:color w:val="auto"/>
              </w:rPr>
            </w:pPr>
          </w:p>
        </w:tc>
        <w:tc>
          <w:tcPr>
            <w:tcW w:w="19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Not Vested (#)</w:t>
            </w: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CCCCCC"/>
            </w:tcBorders>
          </w:tcPr>
          <w:p>
            <w:pPr>
              <w:spacing w:after="0"/>
              <w:rPr>
                <w:sz w:val="13"/>
                <w:szCs w:val="13"/>
                <w:color w:val="auto"/>
              </w:rPr>
            </w:pPr>
          </w:p>
        </w:tc>
        <w:tc>
          <w:tcPr>
            <w:tcW w:w="23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1"/>
                <w:szCs w:val="11"/>
                <w:b w:val="1"/>
                <w:bCs w:val="1"/>
                <w:color w:val="auto"/>
              </w:rPr>
              <w:t>Vested ($) (1)</w:t>
            </w:r>
          </w:p>
        </w:tc>
        <w:tc>
          <w:tcPr>
            <w:tcW w:w="0" w:type="dxa"/>
            <w:vAlign w:val="bottom"/>
          </w:tcPr>
          <w:p>
            <w:pPr>
              <w:spacing w:after="0"/>
              <w:rPr>
                <w:sz w:val="1"/>
                <w:szCs w:val="1"/>
                <w:color w:val="auto"/>
              </w:rPr>
            </w:pPr>
          </w:p>
        </w:tc>
      </w:tr>
      <w:tr>
        <w:trPr>
          <w:trHeight w:val="160"/>
        </w:trPr>
        <w:tc>
          <w:tcPr>
            <w:tcW w:w="496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00" w:type="dxa"/>
            <w:vAlign w:val="bottom"/>
            <w:shd w:val="clear" w:color="auto" w:fill="CCCCCC"/>
          </w:tcPr>
          <w:p>
            <w:pPr>
              <w:spacing w:after="0"/>
              <w:rPr>
                <w:sz w:val="13"/>
                <w:szCs w:val="13"/>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100" w:type="dxa"/>
            <w:vAlign w:val="bottom"/>
            <w:shd w:val="clear" w:color="auto" w:fill="CCCCCC"/>
          </w:tcPr>
          <w:p>
            <w:pPr>
              <w:spacing w:after="0"/>
              <w:rPr>
                <w:sz w:val="13"/>
                <w:szCs w:val="13"/>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10,111</w:t>
            </w:r>
          </w:p>
        </w:tc>
        <w:tc>
          <w:tcPr>
            <w:tcW w:w="20" w:type="dxa"/>
            <w:vAlign w:val="bottom"/>
            <w:shd w:val="clear" w:color="auto" w:fill="CCCCCC"/>
          </w:tcPr>
          <w:p>
            <w:pPr>
              <w:spacing w:after="0"/>
              <w:rPr>
                <w:sz w:val="13"/>
                <w:szCs w:val="13"/>
                <w:color w:val="auto"/>
              </w:rPr>
            </w:pPr>
          </w:p>
        </w:tc>
        <w:tc>
          <w:tcPr>
            <w:tcW w:w="560" w:type="dxa"/>
            <w:vAlign w:val="bottom"/>
            <w:shd w:val="clear" w:color="auto" w:fill="CCCCCC"/>
          </w:tcPr>
          <w:p>
            <w:pPr>
              <w:jc w:val="right"/>
              <w:ind w:right="138"/>
              <w:spacing w:after="0"/>
              <w:rPr>
                <w:sz w:val="20"/>
                <w:szCs w:val="20"/>
                <w:color w:val="auto"/>
              </w:rPr>
            </w:pPr>
            <w:r>
              <w:rPr>
                <w:rFonts w:ascii="Times New Roman" w:cs="Times New Roman" w:eastAsia="Times New Roman" w:hAnsi="Times New Roman"/>
                <w:sz w:val="13"/>
                <w:szCs w:val="13"/>
                <w:color w:val="auto"/>
              </w:rPr>
              <w:t>(2)</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2,566,273</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7,838</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1,989,363</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33,411</w:t>
            </w:r>
          </w:p>
        </w:tc>
        <w:tc>
          <w:tcPr>
            <w:tcW w:w="580" w:type="dxa"/>
            <w:vAlign w:val="bottom"/>
            <w:gridSpan w:val="2"/>
            <w:shd w:val="clear" w:color="auto" w:fill="CCCCCC"/>
          </w:tcPr>
          <w:p>
            <w:pPr>
              <w:jc w:val="right"/>
              <w:ind w:right="138"/>
              <w:spacing w:after="0"/>
              <w:rPr>
                <w:sz w:val="20"/>
                <w:szCs w:val="20"/>
                <w:color w:val="auto"/>
              </w:rPr>
            </w:pPr>
            <w:r>
              <w:rPr>
                <w:rFonts w:ascii="Times New Roman" w:cs="Times New Roman" w:eastAsia="Times New Roman" w:hAnsi="Times New Roman"/>
                <w:sz w:val="13"/>
                <w:szCs w:val="13"/>
                <w:color w:val="auto"/>
              </w:rPr>
              <w:t>(3)</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8,480,046</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22,728</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5,768,594</w:t>
            </w:r>
          </w:p>
        </w:tc>
        <w:tc>
          <w:tcPr>
            <w:tcW w:w="0" w:type="dxa"/>
            <w:vAlign w:val="bottom"/>
          </w:tcPr>
          <w:p>
            <w:pPr>
              <w:spacing w:after="0"/>
              <w:rPr>
                <w:sz w:val="1"/>
                <w:szCs w:val="1"/>
                <w:color w:val="auto"/>
              </w:rPr>
            </w:pPr>
          </w:p>
        </w:tc>
      </w:tr>
      <w:tr>
        <w:trPr>
          <w:trHeight w:val="184"/>
        </w:trPr>
        <w:tc>
          <w:tcPr>
            <w:tcW w:w="496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100" w:type="dxa"/>
            <w:vAlign w:val="bottom"/>
            <w:shd w:val="clear" w:color="auto" w:fill="CCCCCC"/>
          </w:tcPr>
          <w:p>
            <w:pPr>
              <w:spacing w:after="0"/>
              <w:rPr>
                <w:sz w:val="16"/>
                <w:szCs w:val="16"/>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56,034</w:t>
            </w:r>
          </w:p>
        </w:tc>
        <w:tc>
          <w:tcPr>
            <w:tcW w:w="580" w:type="dxa"/>
            <w:vAlign w:val="bottom"/>
            <w:gridSpan w:val="2"/>
            <w:shd w:val="clear" w:color="auto" w:fill="CCCCCC"/>
          </w:tcPr>
          <w:p>
            <w:pPr>
              <w:jc w:val="right"/>
              <w:ind w:right="138"/>
              <w:spacing w:after="0"/>
              <w:rPr>
                <w:sz w:val="20"/>
                <w:szCs w:val="20"/>
                <w:color w:val="auto"/>
              </w:rPr>
            </w:pPr>
            <w:r>
              <w:rPr>
                <w:rFonts w:ascii="Times New Roman" w:cs="Times New Roman" w:eastAsia="Times New Roman" w:hAnsi="Times New Roman"/>
                <w:sz w:val="14"/>
                <w:szCs w:val="14"/>
                <w:color w:val="auto"/>
              </w:rPr>
              <w:t>(4)</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14,221,990</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40,753</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10,343,519</w:t>
            </w:r>
          </w:p>
        </w:tc>
        <w:tc>
          <w:tcPr>
            <w:tcW w:w="0" w:type="dxa"/>
            <w:vAlign w:val="bottom"/>
          </w:tcPr>
          <w:p>
            <w:pPr>
              <w:spacing w:after="0"/>
              <w:rPr>
                <w:sz w:val="1"/>
                <w:szCs w:val="1"/>
                <w:color w:val="auto"/>
              </w:rPr>
            </w:pPr>
          </w:p>
        </w:tc>
      </w:tr>
      <w:tr>
        <w:trPr>
          <w:trHeight w:val="167"/>
        </w:trPr>
        <w:tc>
          <w:tcPr>
            <w:tcW w:w="4960" w:type="dxa"/>
            <w:vAlign w:val="bottom"/>
          </w:tcPr>
          <w:p>
            <w:pPr>
              <w:ind w:left="20"/>
              <w:spacing w:after="0"/>
              <w:rPr>
                <w:sz w:val="20"/>
                <w:szCs w:val="20"/>
                <w:color w:val="auto"/>
              </w:rPr>
            </w:pPr>
            <w:r>
              <w:rPr>
                <w:rFonts w:ascii="Arial" w:cs="Arial" w:eastAsia="Arial" w:hAnsi="Arial"/>
                <w:sz w:val="13"/>
                <w:szCs w:val="13"/>
                <w:color w:val="auto"/>
              </w:rPr>
              <w:t>Deborah L. Clifford</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667,266</w:t>
            </w:r>
          </w:p>
        </w:tc>
        <w:tc>
          <w:tcPr>
            <w:tcW w:w="0" w:type="dxa"/>
            <w:vAlign w:val="bottom"/>
          </w:tcPr>
          <w:p>
            <w:pPr>
              <w:spacing w:after="0"/>
              <w:rPr>
                <w:sz w:val="1"/>
                <w:szCs w:val="1"/>
                <w:color w:val="auto"/>
              </w:rPr>
            </w:pPr>
          </w:p>
        </w:tc>
      </w:tr>
      <w:tr>
        <w:trPr>
          <w:trHeight w:val="168"/>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517,265</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9,332</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2,368,555</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1,611,186</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16,480</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4,182,789</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11,986</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3,042,167</w:t>
            </w:r>
          </w:p>
        </w:tc>
        <w:tc>
          <w:tcPr>
            <w:tcW w:w="0" w:type="dxa"/>
            <w:vAlign w:val="bottom"/>
          </w:tcPr>
          <w:p>
            <w:pPr>
              <w:spacing w:after="0"/>
              <w:rPr>
                <w:sz w:val="1"/>
                <w:szCs w:val="1"/>
                <w:color w:val="auto"/>
              </w:rPr>
            </w:pPr>
          </w:p>
        </w:tc>
      </w:tr>
      <w:tr>
        <w:trPr>
          <w:trHeight w:val="168"/>
        </w:trPr>
        <w:tc>
          <w:tcPr>
            <w:tcW w:w="496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13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580" w:type="dxa"/>
            <w:vAlign w:val="bottom"/>
            <w:gridSpan w:val="2"/>
            <w:shd w:val="clear" w:color="auto" w:fill="CCCCCC"/>
          </w:tcPr>
          <w:p>
            <w:pPr>
              <w:jc w:val="right"/>
              <w:ind w:right="238"/>
              <w:spacing w:after="0"/>
              <w:rPr>
                <w:sz w:val="20"/>
                <w:szCs w:val="20"/>
                <w:color w:val="auto"/>
              </w:rPr>
            </w:pPr>
            <w:r>
              <w:rPr>
                <w:rFonts w:ascii="Times New Roman" w:cs="Times New Roman" w:eastAsia="Times New Roman" w:hAnsi="Times New Roman"/>
                <w:sz w:val="13"/>
                <w:szCs w:val="13"/>
                <w:color w:val="auto"/>
              </w:rPr>
              <w:t>(2)</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635,540</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492,645</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11,385</w:t>
            </w:r>
          </w:p>
        </w:tc>
        <w:tc>
          <w:tcPr>
            <w:tcW w:w="580" w:type="dxa"/>
            <w:vAlign w:val="bottom"/>
            <w:gridSpan w:val="2"/>
            <w:shd w:val="clear" w:color="auto" w:fill="CCCCCC"/>
          </w:tcPr>
          <w:p>
            <w:pPr>
              <w:jc w:val="right"/>
              <w:ind w:right="238"/>
              <w:spacing w:after="0"/>
              <w:rPr>
                <w:sz w:val="20"/>
                <w:szCs w:val="20"/>
                <w:color w:val="auto"/>
              </w:rPr>
            </w:pPr>
            <w:r>
              <w:rPr>
                <w:rFonts w:ascii="Times New Roman" w:cs="Times New Roman" w:eastAsia="Times New Roman" w:hAnsi="Times New Roman"/>
                <w:sz w:val="13"/>
                <w:szCs w:val="13"/>
                <w:color w:val="auto"/>
              </w:rPr>
              <w:t>(3)</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2,889,627</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2/1/2022</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5,225</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1,326,157</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7,745</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1,965,758</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20,601</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jc w:val="right"/>
              <w:ind w:right="238"/>
              <w:spacing w:after="0"/>
              <w:rPr>
                <w:sz w:val="20"/>
                <w:szCs w:val="20"/>
                <w:color w:val="auto"/>
              </w:rPr>
            </w:pPr>
            <w:r>
              <w:rPr>
                <w:rFonts w:ascii="Times New Roman" w:cs="Times New Roman" w:eastAsia="Times New Roman" w:hAnsi="Times New Roman"/>
                <w:sz w:val="13"/>
                <w:szCs w:val="13"/>
                <w:color w:val="auto"/>
              </w:rPr>
              <w:t>(4)</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5,228,740</w:t>
            </w:r>
          </w:p>
        </w:tc>
        <w:tc>
          <w:tcPr>
            <w:tcW w:w="0" w:type="dxa"/>
            <w:vAlign w:val="bottom"/>
          </w:tcPr>
          <w:p>
            <w:pPr>
              <w:spacing w:after="0"/>
              <w:rPr>
                <w:sz w:val="1"/>
                <w:szCs w:val="1"/>
                <w:color w:val="auto"/>
              </w:rPr>
            </w:pPr>
          </w:p>
        </w:tc>
      </w:tr>
      <w:tr>
        <w:trPr>
          <w:trHeight w:val="174"/>
        </w:trPr>
        <w:tc>
          <w:tcPr>
            <w:tcW w:w="49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100" w:type="dxa"/>
            <w:vAlign w:val="bottom"/>
            <w:shd w:val="clear" w:color="auto" w:fill="CCCCCC"/>
          </w:tcPr>
          <w:p>
            <w:pPr>
              <w:spacing w:after="0"/>
              <w:rPr>
                <w:sz w:val="15"/>
                <w:szCs w:val="15"/>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14,982</w:t>
            </w:r>
          </w:p>
        </w:tc>
        <w:tc>
          <w:tcPr>
            <w:tcW w:w="20" w:type="dxa"/>
            <w:vAlign w:val="bottom"/>
            <w:shd w:val="clear" w:color="auto" w:fill="CCCCCC"/>
          </w:tcPr>
          <w:p>
            <w:pPr>
              <w:spacing w:after="0"/>
              <w:rPr>
                <w:sz w:val="15"/>
                <w:szCs w:val="15"/>
                <w:color w:val="auto"/>
              </w:rPr>
            </w:pPr>
          </w:p>
        </w:tc>
        <w:tc>
          <w:tcPr>
            <w:tcW w:w="560" w:type="dxa"/>
            <w:vAlign w:val="bottom"/>
            <w:shd w:val="clear" w:color="auto" w:fill="CCCCCC"/>
          </w:tcPr>
          <w:p>
            <w:pPr>
              <w:spacing w:after="0"/>
              <w:rPr>
                <w:sz w:val="15"/>
                <w:szCs w:val="15"/>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3,802,581</w:t>
            </w:r>
          </w:p>
        </w:tc>
        <w:tc>
          <w:tcPr>
            <w:tcW w:w="0" w:type="dxa"/>
            <w:vAlign w:val="bottom"/>
          </w:tcPr>
          <w:p>
            <w:pPr>
              <w:spacing w:after="0"/>
              <w:rPr>
                <w:sz w:val="1"/>
                <w:szCs w:val="1"/>
                <w:color w:val="auto"/>
              </w:rPr>
            </w:pPr>
          </w:p>
        </w:tc>
      </w:tr>
      <w:tr>
        <w:trPr>
          <w:trHeight w:val="165"/>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1/27/2022</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22,942</w:t>
            </w:r>
          </w:p>
        </w:tc>
        <w:tc>
          <w:tcPr>
            <w:tcW w:w="20" w:type="dxa"/>
            <w:vAlign w:val="bottom"/>
          </w:tcPr>
          <w:p>
            <w:pPr>
              <w:spacing w:after="0"/>
              <w:rPr>
                <w:sz w:val="14"/>
                <w:szCs w:val="14"/>
                <w:color w:val="auto"/>
              </w:rPr>
            </w:pPr>
          </w:p>
        </w:tc>
        <w:tc>
          <w:tcPr>
            <w:tcW w:w="560" w:type="dxa"/>
            <w:vAlign w:val="bottom"/>
          </w:tcPr>
          <w:p>
            <w:pPr>
              <w:jc w:val="right"/>
              <w:ind w:right="238"/>
              <w:spacing w:after="0"/>
              <w:rPr>
                <w:sz w:val="20"/>
                <w:szCs w:val="20"/>
                <w:color w:val="auto"/>
              </w:rPr>
            </w:pPr>
            <w:r>
              <w:rPr>
                <w:rFonts w:ascii="Times New Roman" w:cs="Times New Roman" w:eastAsia="Times New Roman" w:hAnsi="Times New Roman"/>
                <w:sz w:val="13"/>
                <w:szCs w:val="13"/>
                <w:color w:val="auto"/>
              </w:rPr>
              <w:t>(5)</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5,245,918</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1,657,887</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4,444</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1,127,932</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10,437</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2,649,015</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7,591</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1,926,672</w:t>
            </w:r>
          </w:p>
        </w:tc>
        <w:tc>
          <w:tcPr>
            <w:tcW w:w="0" w:type="dxa"/>
            <w:vAlign w:val="bottom"/>
          </w:tcPr>
          <w:p>
            <w:pPr>
              <w:spacing w:after="0"/>
              <w:rPr>
                <w:sz w:val="1"/>
                <w:szCs w:val="1"/>
                <w:color w:val="auto"/>
              </w:rPr>
            </w:pPr>
          </w:p>
        </w:tc>
      </w:tr>
      <w:tr>
        <w:trPr>
          <w:trHeight w:val="168"/>
        </w:trPr>
        <w:tc>
          <w:tcPr>
            <w:tcW w:w="496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13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580" w:type="dxa"/>
            <w:vAlign w:val="bottom"/>
            <w:gridSpan w:val="2"/>
            <w:shd w:val="clear" w:color="auto" w:fill="CCCCCC"/>
          </w:tcPr>
          <w:p>
            <w:pPr>
              <w:jc w:val="right"/>
              <w:ind w:right="238"/>
              <w:spacing w:after="0"/>
              <w:rPr>
                <w:sz w:val="20"/>
                <w:szCs w:val="20"/>
                <w:color w:val="auto"/>
              </w:rPr>
            </w:pPr>
            <w:r>
              <w:rPr>
                <w:rFonts w:ascii="Times New Roman" w:cs="Times New Roman" w:eastAsia="Times New Roman" w:hAnsi="Times New Roman"/>
                <w:sz w:val="13"/>
                <w:szCs w:val="13"/>
                <w:color w:val="auto"/>
              </w:rPr>
              <w:t>(2)</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79,443</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4/10/2021</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92,387</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1/4/2022</w:t>
            </w:r>
          </w:p>
        </w:tc>
        <w:tc>
          <w:tcPr>
            <w:tcW w:w="204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411,680</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5,752</w:t>
            </w:r>
          </w:p>
        </w:tc>
        <w:tc>
          <w:tcPr>
            <w:tcW w:w="580" w:type="dxa"/>
            <w:vAlign w:val="bottom"/>
            <w:gridSpan w:val="2"/>
            <w:shd w:val="clear" w:color="auto" w:fill="CCCCCC"/>
          </w:tcPr>
          <w:p>
            <w:pPr>
              <w:jc w:val="right"/>
              <w:ind w:right="238"/>
              <w:spacing w:after="0"/>
              <w:rPr>
                <w:sz w:val="20"/>
                <w:szCs w:val="20"/>
                <w:color w:val="auto"/>
              </w:rPr>
            </w:pPr>
            <w:r>
              <w:rPr>
                <w:rFonts w:ascii="Times New Roman" w:cs="Times New Roman" w:eastAsia="Times New Roman" w:hAnsi="Times New Roman"/>
                <w:sz w:val="13"/>
                <w:szCs w:val="13"/>
                <w:color w:val="auto"/>
              </w:rPr>
              <w:t>(3)</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1,459,915</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4/10/2022</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3,913</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spacing w:after="0"/>
              <w:rPr>
                <w:sz w:val="14"/>
                <w:szCs w:val="14"/>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993,159</w:t>
            </w:r>
          </w:p>
        </w:tc>
        <w:tc>
          <w:tcPr>
            <w:tcW w:w="0" w:type="dxa"/>
            <w:vAlign w:val="bottom"/>
          </w:tcPr>
          <w:p>
            <w:pPr>
              <w:spacing w:after="0"/>
              <w:rPr>
                <w:sz w:val="1"/>
                <w:szCs w:val="1"/>
                <w:color w:val="auto"/>
              </w:rPr>
            </w:pPr>
          </w:p>
        </w:tc>
      </w:tr>
      <w:tr>
        <w:trPr>
          <w:trHeight w:val="170"/>
        </w:trPr>
        <w:tc>
          <w:tcPr>
            <w:tcW w:w="496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10,437</w:t>
            </w:r>
          </w:p>
        </w:tc>
        <w:tc>
          <w:tcPr>
            <w:tcW w:w="20" w:type="dxa"/>
            <w:vAlign w:val="bottom"/>
            <w:shd w:val="clear" w:color="auto" w:fill="CCCCCC"/>
          </w:tcPr>
          <w:p>
            <w:pPr>
              <w:spacing w:after="0"/>
              <w:rPr>
                <w:sz w:val="14"/>
                <w:szCs w:val="14"/>
                <w:color w:val="auto"/>
              </w:rPr>
            </w:pPr>
          </w:p>
        </w:tc>
        <w:tc>
          <w:tcPr>
            <w:tcW w:w="560" w:type="dxa"/>
            <w:vAlign w:val="bottom"/>
            <w:shd w:val="clear" w:color="auto" w:fill="CCCCCC"/>
          </w:tcPr>
          <w:p>
            <w:pPr>
              <w:jc w:val="right"/>
              <w:ind w:right="238"/>
              <w:spacing w:after="0"/>
              <w:rPr>
                <w:sz w:val="20"/>
                <w:szCs w:val="20"/>
                <w:color w:val="auto"/>
              </w:rPr>
            </w:pPr>
            <w:r>
              <w:rPr>
                <w:rFonts w:ascii="Times New Roman" w:cs="Times New Roman" w:eastAsia="Times New Roman" w:hAnsi="Times New Roman"/>
                <w:sz w:val="13"/>
                <w:szCs w:val="13"/>
                <w:color w:val="auto"/>
              </w:rPr>
              <w:t>(4)</w:t>
            </w: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2,649,015</w:t>
            </w:r>
          </w:p>
        </w:tc>
        <w:tc>
          <w:tcPr>
            <w:tcW w:w="0" w:type="dxa"/>
            <w:vAlign w:val="bottom"/>
          </w:tcPr>
          <w:p>
            <w:pPr>
              <w:spacing w:after="0"/>
              <w:rPr>
                <w:sz w:val="1"/>
                <w:szCs w:val="1"/>
                <w:color w:val="auto"/>
              </w:rPr>
            </w:pPr>
          </w:p>
        </w:tc>
      </w:tr>
      <w:tr>
        <w:trPr>
          <w:trHeight w:val="174"/>
        </w:trPr>
        <w:tc>
          <w:tcPr>
            <w:tcW w:w="496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2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100" w:type="dxa"/>
            <w:vAlign w:val="bottom"/>
            <w:shd w:val="clear" w:color="auto" w:fill="CCCCCC"/>
          </w:tcPr>
          <w:p>
            <w:pPr>
              <w:spacing w:after="0"/>
              <w:rPr>
                <w:sz w:val="15"/>
                <w:szCs w:val="15"/>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7,591</w:t>
            </w:r>
          </w:p>
        </w:tc>
        <w:tc>
          <w:tcPr>
            <w:tcW w:w="20" w:type="dxa"/>
            <w:vAlign w:val="bottom"/>
            <w:shd w:val="clear" w:color="auto" w:fill="CCCCCC"/>
          </w:tcPr>
          <w:p>
            <w:pPr>
              <w:spacing w:after="0"/>
              <w:rPr>
                <w:sz w:val="15"/>
                <w:szCs w:val="15"/>
                <w:color w:val="auto"/>
              </w:rPr>
            </w:pPr>
          </w:p>
        </w:tc>
        <w:tc>
          <w:tcPr>
            <w:tcW w:w="560" w:type="dxa"/>
            <w:vAlign w:val="bottom"/>
            <w:shd w:val="clear" w:color="auto" w:fill="CCCCCC"/>
          </w:tcPr>
          <w:p>
            <w:pPr>
              <w:spacing w:after="0"/>
              <w:rPr>
                <w:sz w:val="15"/>
                <w:szCs w:val="15"/>
                <w:color w:val="auto"/>
              </w:rPr>
            </w:pPr>
          </w:p>
        </w:tc>
        <w:tc>
          <w:tcPr>
            <w:tcW w:w="2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1,926,672</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ind w:left="260" w:right="60" w:hanging="255"/>
        <w:spacing w:after="0" w:line="243" w:lineRule="auto"/>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value of RSUs and PSUs that have not vested is computed by multiplying (i) $253.81, the closing price on the Nasdaq of Autodesk common stock on January 31, 2024, the last trading day of fiscal year 2024, by (ii) the number of shares of stock underlying the applicable award.</w:t>
      </w:r>
    </w:p>
    <w:p>
      <w:pPr>
        <w:ind w:left="260" w:right="80" w:hanging="255"/>
        <w:spacing w:after="0" w:line="253" w:lineRule="auto"/>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Awards relate to the third-year tranche of PSU awards granted on April 10, 2021, under the 2012 Plan. These PSUs were subject to achievement of a total revenue and free cash flow goal for fiscal year 2024 adopted by the Committee, as well as Relative TSR. This tranche was earned as of January 31, 2024, and subject to vest on March 26, 2024.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left="260" w:right="220" w:hanging="255"/>
        <w:spacing w:after="0" w:line="252" w:lineRule="auto"/>
        <w:tabs>
          <w:tab w:leader="none" w:pos="26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Awards related to the second- and third-year tranches of PSU awards granted on April 10, 2022, under the 2012 Plan. The second-year tranche of these PSUs was subject to achievement of a total revenue and free cash flow goal for fiscal year 2024 adopted by the Committee, as well as Relative TSR. The second-year tranche was earned as of January 31, 2024, and subject to vest on March 26, 2024.</w:t>
      </w:r>
    </w:p>
    <w:p>
      <w:pPr>
        <w:ind w:left="260" w:right="200" w:hanging="255"/>
        <w:spacing w:after="0" w:line="244" w:lineRule="auto"/>
        <w:tabs>
          <w:tab w:leader="none" w:pos="26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Awards related to the first-, second-, and third-year tranches of PSU awards granted on April 10, 2023, under the 2022 Plan. The first-year tranche of these PSUs were subject to achievement of a total revenue and free cash flow goal for fiscal year 2024 adopted by the Committee, as well as Relative TSR. The first-year tranche was earned as of January 31, 2024, and subject to vest on March 26, 2024.</w:t>
      </w:r>
    </w:p>
    <w:p>
      <w:pPr>
        <w:ind w:left="260" w:hanging="255"/>
        <w:spacing w:after="0"/>
        <w:tabs>
          <w:tab w:leader="none" w:pos="26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RSUs granted to Ms. Keene on January 27, 2022 vest per the terms of her employment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 Exercises and Stock Vested in Fiscal Year 2024</w:t>
      </w:r>
    </w:p>
    <w:p>
      <w:pPr>
        <w:spacing w:after="0" w:line="202"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There were no stock options exercised by any of the named executive officers during fiscal year 2024. The following table presents information concerning the vesting of stock awards held by each of the named executive officers during fiscal year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tcBorders>
              <w:bottom w:val="single" w:sz="8" w:color="auto"/>
            </w:tcBorders>
            <w:gridSpan w:val="2"/>
          </w:tcPr>
          <w:p>
            <w:pPr>
              <w:ind w:left="180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660" w:type="dxa"/>
            <w:vAlign w:val="bottom"/>
            <w:tcBorders>
              <w:bottom w:val="single" w:sz="8" w:color="auto"/>
            </w:tcBorders>
          </w:tcPr>
          <w:p>
            <w:pPr>
              <w:spacing w:after="0"/>
              <w:rPr>
                <w:sz w:val="13"/>
                <w:szCs w:val="13"/>
                <w:color w:val="auto"/>
              </w:rPr>
            </w:pPr>
          </w:p>
        </w:tc>
      </w:tr>
      <w:tr>
        <w:trPr>
          <w:trHeight w:val="15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Number of Shares Acquired on Vesting (#)</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Value Realized on Vesting ($) (1)</w:t>
            </w:r>
          </w:p>
        </w:tc>
      </w:tr>
      <w:tr>
        <w:trPr>
          <w:trHeight w:val="166"/>
        </w:trPr>
        <w:tc>
          <w:tcPr>
            <w:tcW w:w="696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80" w:type="dxa"/>
            <w:vAlign w:val="bottom"/>
            <w:tcBorders>
              <w:top w:val="single" w:sz="8" w:color="CCCCCC"/>
            </w:tcBorders>
            <w:shd w:val="clear" w:color="auto" w:fill="CCCCCC"/>
          </w:tcPr>
          <w:p>
            <w:pPr>
              <w:spacing w:after="0"/>
              <w:rPr>
                <w:sz w:val="14"/>
                <w:szCs w:val="14"/>
                <w:color w:val="auto"/>
              </w:rPr>
            </w:pPr>
          </w:p>
        </w:tc>
        <w:tc>
          <w:tcPr>
            <w:tcW w:w="24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80,790</w:t>
            </w:r>
          </w:p>
        </w:tc>
        <w:tc>
          <w:tcPr>
            <w:tcW w:w="100" w:type="dxa"/>
            <w:vAlign w:val="bottom"/>
            <w:tcBorders>
              <w:top w:val="single" w:sz="8" w:color="CCCCCC"/>
            </w:tcBorders>
            <w:shd w:val="clear" w:color="auto" w:fill="CCCCCC"/>
          </w:tcPr>
          <w:p>
            <w:pPr>
              <w:spacing w:after="0"/>
              <w:rPr>
                <w:sz w:val="14"/>
                <w:szCs w:val="14"/>
                <w:color w:val="auto"/>
              </w:rPr>
            </w:pPr>
          </w:p>
        </w:tc>
        <w:tc>
          <w:tcPr>
            <w:tcW w:w="16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16,181,189</w:t>
            </w:r>
          </w:p>
        </w:tc>
      </w:tr>
      <w:tr>
        <w:trPr>
          <w:trHeight w:val="16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2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19,899</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4,009,357</w:t>
            </w:r>
          </w:p>
        </w:tc>
      </w:tr>
      <w:tr>
        <w:trPr>
          <w:trHeight w:val="172"/>
        </w:trPr>
        <w:tc>
          <w:tcPr>
            <w:tcW w:w="70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24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28,021</w:t>
            </w:r>
          </w:p>
        </w:tc>
        <w:tc>
          <w:tcPr>
            <w:tcW w:w="100" w:type="dxa"/>
            <w:vAlign w:val="bottom"/>
            <w:shd w:val="clear" w:color="auto" w:fill="CCCCCC"/>
          </w:tcPr>
          <w:p>
            <w:pPr>
              <w:spacing w:after="0"/>
              <w:rPr>
                <w:sz w:val="14"/>
                <w:szCs w:val="14"/>
                <w:color w:val="auto"/>
              </w:rPr>
            </w:pPr>
          </w:p>
        </w:tc>
        <w:tc>
          <w:tcPr>
            <w:tcW w:w="16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5,651,069</w:t>
            </w:r>
          </w:p>
        </w:tc>
      </w:tr>
      <w:tr>
        <w:trPr>
          <w:trHeight w:val="16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2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30,625</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5,955,314</w:t>
            </w:r>
          </w:p>
        </w:tc>
      </w:tr>
      <w:tr>
        <w:trPr>
          <w:trHeight w:val="172"/>
        </w:trPr>
        <w:tc>
          <w:tcPr>
            <w:tcW w:w="70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24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11,396</w:t>
            </w:r>
          </w:p>
        </w:tc>
        <w:tc>
          <w:tcPr>
            <w:tcW w:w="100" w:type="dxa"/>
            <w:vAlign w:val="bottom"/>
            <w:shd w:val="clear" w:color="auto" w:fill="CCCCCC"/>
          </w:tcPr>
          <w:p>
            <w:pPr>
              <w:spacing w:after="0"/>
              <w:rPr>
                <w:sz w:val="14"/>
                <w:szCs w:val="14"/>
                <w:color w:val="auto"/>
              </w:rPr>
            </w:pPr>
          </w:p>
        </w:tc>
        <w:tc>
          <w:tcPr>
            <w:tcW w:w="16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2,337,452</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Reflects the number of shares acquired on vesting of RSUs or PSUs multiplied by the closing market price of our common stock as reported on the Nasdaq on the vesting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Nonqualified Deferred Compensation for Fiscal Year 2024</w:t>
      </w:r>
    </w:p>
    <w:p>
      <w:pPr>
        <w:spacing w:after="0" w:line="202"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Under our Nonqualified Deferred Compensation Plan, certain U.S.-based officers (including named executive officers) may defer compensation earned such as salary or awards under the EIP. Deferral elections are made by eligible executive officers each year during an open enrollment period for amounts to be earned in the following year. Autodesk does not make any contribution for executive officers under the Nonqualified Deferred Compensation Plan. Prior to April 2013, we maintained the Autodesk, Inc. Equity Incentive Deferral Plan, which permitted certain executive officers to defer up to 50% of their EIP award.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information regarding non-qualified deferred compensation activity for each listed officer during fiscal year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Executive Contributions (Distributions)</w:t>
            </w:r>
          </w:p>
        </w:tc>
        <w:tc>
          <w:tcPr>
            <w:tcW w:w="19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2060" w:type="dxa"/>
            <w:vAlign w:val="bottom"/>
            <w:gridSpan w:val="2"/>
            <w:vMerge w:val="continue"/>
          </w:tcPr>
          <w:p>
            <w:pPr>
              <w:spacing w:after="0"/>
              <w:rPr>
                <w:sz w:val="9"/>
                <w:szCs w:val="9"/>
                <w:color w:val="auto"/>
              </w:rPr>
            </w:pPr>
          </w:p>
        </w:tc>
        <w:tc>
          <w:tcPr>
            <w:tcW w:w="19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(Losses) in</w:t>
            </w:r>
          </w:p>
        </w:tc>
        <w:tc>
          <w:tcPr>
            <w:tcW w:w="17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55"/>
        </w:trPr>
        <w:tc>
          <w:tcPr>
            <w:tcW w:w="5540" w:type="dxa"/>
            <w:vAlign w:val="bottom"/>
            <w:gridSpan w:val="2"/>
            <w:vMerge w:val="continue"/>
          </w:tcPr>
          <w:p>
            <w:pPr>
              <w:spacing w:after="0"/>
              <w:rPr>
                <w:sz w:val="13"/>
                <w:szCs w:val="13"/>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 Fiscal Year ($)</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Fiscal Year ($) (1)</w:t>
            </w: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 End ($)</w:t>
            </w:r>
          </w:p>
        </w:tc>
        <w:tc>
          <w:tcPr>
            <w:tcW w:w="0" w:type="dxa"/>
            <w:vAlign w:val="bottom"/>
          </w:tcPr>
          <w:p>
            <w:pPr>
              <w:spacing w:after="0"/>
              <w:rPr>
                <w:sz w:val="1"/>
                <w:szCs w:val="1"/>
                <w:color w:val="auto"/>
              </w:rPr>
            </w:pPr>
          </w:p>
        </w:tc>
      </w:tr>
      <w:tr>
        <w:trPr>
          <w:trHeight w:val="165"/>
        </w:trPr>
        <w:tc>
          <w:tcPr>
            <w:tcW w:w="544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00" w:type="dxa"/>
            <w:vAlign w:val="bottom"/>
            <w:tcBorders>
              <w:top w:val="single" w:sz="8" w:color="CCCCCC"/>
            </w:tcBorders>
            <w:shd w:val="clear" w:color="auto" w:fill="CCCCCC"/>
          </w:tcPr>
          <w:p>
            <w:pPr>
              <w:spacing w:after="0"/>
              <w:rPr>
                <w:sz w:val="14"/>
                <w:szCs w:val="14"/>
                <w:color w:val="auto"/>
              </w:rPr>
            </w:pPr>
          </w:p>
        </w:tc>
        <w:tc>
          <w:tcPr>
            <w:tcW w:w="19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249,600</w:t>
            </w:r>
          </w:p>
        </w:tc>
        <w:tc>
          <w:tcPr>
            <w:tcW w:w="100" w:type="dxa"/>
            <w:vAlign w:val="bottom"/>
            <w:tcBorders>
              <w:top w:val="single" w:sz="8" w:color="CCCCCC"/>
            </w:tcBorders>
            <w:shd w:val="clear" w:color="auto" w:fill="CCCCCC"/>
          </w:tcPr>
          <w:p>
            <w:pPr>
              <w:spacing w:after="0"/>
              <w:rPr>
                <w:sz w:val="14"/>
                <w:szCs w:val="14"/>
                <w:color w:val="auto"/>
              </w:rPr>
            </w:pPr>
          </w:p>
        </w:tc>
        <w:tc>
          <w:tcPr>
            <w:tcW w:w="180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478,974</w:t>
            </w:r>
          </w:p>
        </w:tc>
        <w:tc>
          <w:tcPr>
            <w:tcW w:w="100" w:type="dxa"/>
            <w:vAlign w:val="bottom"/>
            <w:tcBorders>
              <w:top w:val="single" w:sz="8" w:color="CCCCCC"/>
            </w:tcBorders>
            <w:shd w:val="clear" w:color="auto" w:fill="CCCCCC"/>
          </w:tcPr>
          <w:p>
            <w:pPr>
              <w:spacing w:after="0"/>
              <w:rPr>
                <w:sz w:val="14"/>
                <w:szCs w:val="14"/>
                <w:color w:val="auto"/>
              </w:rPr>
            </w:pPr>
          </w:p>
        </w:tc>
        <w:tc>
          <w:tcPr>
            <w:tcW w:w="17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5,909,513</w:t>
            </w:r>
          </w:p>
        </w:tc>
        <w:tc>
          <w:tcPr>
            <w:tcW w:w="0" w:type="dxa"/>
            <w:vAlign w:val="bottom"/>
          </w:tcPr>
          <w:p>
            <w:pPr>
              <w:spacing w:after="0"/>
              <w:rPr>
                <w:sz w:val="1"/>
                <w:szCs w:val="1"/>
                <w:color w:val="auto"/>
              </w:rPr>
            </w:pPr>
          </w:p>
        </w:tc>
      </w:tr>
      <w:tr>
        <w:trPr>
          <w:trHeight w:val="168"/>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65,375</w:t>
            </w: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46,324</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385,573</w:t>
            </w:r>
          </w:p>
        </w:tc>
        <w:tc>
          <w:tcPr>
            <w:tcW w:w="0" w:type="dxa"/>
            <w:vAlign w:val="bottom"/>
          </w:tcPr>
          <w:p>
            <w:pPr>
              <w:spacing w:after="0"/>
              <w:rPr>
                <w:sz w:val="1"/>
                <w:szCs w:val="1"/>
                <w:color w:val="auto"/>
              </w:rPr>
            </w:pPr>
          </w:p>
        </w:tc>
      </w:tr>
      <w:tr>
        <w:trPr>
          <w:trHeight w:val="172"/>
        </w:trPr>
        <w:tc>
          <w:tcPr>
            <w:tcW w:w="55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Steven M. Blum</w:t>
            </w:r>
          </w:p>
        </w:tc>
        <w:tc>
          <w:tcPr>
            <w:tcW w:w="20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211,773</w:t>
            </w:r>
          </w:p>
        </w:tc>
        <w:tc>
          <w:tcPr>
            <w:tcW w:w="100" w:type="dxa"/>
            <w:vAlign w:val="bottom"/>
            <w:shd w:val="clear" w:color="auto" w:fill="CCCCCC"/>
          </w:tcPr>
          <w:p>
            <w:pPr>
              <w:spacing w:after="0"/>
              <w:rPr>
                <w:sz w:val="14"/>
                <w:szCs w:val="14"/>
                <w:color w:val="auto"/>
              </w:rPr>
            </w:pPr>
          </w:p>
        </w:tc>
        <w:tc>
          <w:tcPr>
            <w:tcW w:w="1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2,448,467</w:t>
            </w:r>
          </w:p>
        </w:tc>
        <w:tc>
          <w:tcPr>
            <w:tcW w:w="0" w:type="dxa"/>
            <w:vAlign w:val="bottom"/>
          </w:tcPr>
          <w:p>
            <w:pPr>
              <w:spacing w:after="0"/>
              <w:rPr>
                <w:sz w:val="1"/>
                <w:szCs w:val="1"/>
                <w:color w:val="auto"/>
              </w:rPr>
            </w:pPr>
          </w:p>
        </w:tc>
      </w:tr>
      <w:tr>
        <w:trPr>
          <w:trHeight w:val="168"/>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5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206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2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None of the earnings or losses in this column are reflected in the Summary Compensation Table because they are not considered preferential or above market.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CEO Pay Ratio</w:t>
      </w:r>
    </w:p>
    <w:p>
      <w:pPr>
        <w:spacing w:after="0" w:line="202"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In accordance with SEC rules, we are providing the ratio of the annual total compensation of our CEO to the annual total compensation of our median employee (excluding our CEO). The fiscal year 2024 annual total compensation of our CEO was 20,649,951. The fiscal year 2024 annual total compensation of our median compensated employee was $146,199, and the ratio of these amounts was 141.2 to 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To identify the median employee, we examined the compensation of our full- and part-time employees (other than our CEO) as of the last day of our fiscal year. We used target total direct compensation as our consistently applied compensation measure. Target total direct compensation for this purpose consisted of each employee’s estimated salary earnings, target non-equity incentive opportunity, and the fair market value price of his or her equity incentive awards granted in fiscal year 2024. We also converted all employee compensation, on a country-by-country basis, to U.S. dollars based on the applicable year-end exchange rate. After identifying the median employee, we calculated the annual total compensation for such employee using the same methodology that we used for our NEOs as set forth in the Summary Compensation Table. In fiscal year 2024 the pay ratio increased year-over-year based largely upon an increase in variable stock-based compensation for our CEO.</w:t>
      </w:r>
    </w:p>
    <w:p>
      <w:pPr>
        <w:spacing w:after="0" w:line="167"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Change-in-Control Arrangements, Severance Plan, Retirement Arrangements, and Employment Agreement</w:t>
      </w:r>
    </w:p>
    <w:p>
      <w:pPr>
        <w:spacing w:after="0" w:line="191" w:lineRule="exact"/>
        <w:rPr>
          <w:sz w:val="20"/>
          <w:szCs w:val="20"/>
          <w:color w:val="auto"/>
        </w:rPr>
      </w:pPr>
    </w:p>
    <w:p>
      <w:pPr>
        <w:ind w:right="60" w:firstLine="318"/>
        <w:spacing w:after="0" w:line="239" w:lineRule="auto"/>
        <w:rPr>
          <w:sz w:val="20"/>
          <w:szCs w:val="20"/>
          <w:color w:val="auto"/>
        </w:rPr>
      </w:pPr>
      <w:r>
        <w:rPr>
          <w:rFonts w:ascii="Times New Roman" w:cs="Times New Roman" w:eastAsia="Times New Roman" w:hAnsi="Times New Roman"/>
          <w:sz w:val="14"/>
          <w:szCs w:val="14"/>
          <w:color w:val="auto"/>
        </w:rPr>
        <w:t>In an effort to ensure the continued service of our executive officers in the event of a change in control, each of our executive officers (other than our CEO) participates in an Executive Change in Control Program (the “Program”) that was initially approved by the Board in March 2006, and most recently amended and restated by the Committee in April 2022. Dr. Anagnost has a change-in-control provision in his employment agreement, as noted below. Additionally, in August 2018, the Committee adopted the Autodesk, Inc. Severance Plan (the “Severance Plan”) to establish standard executive severance terms and to minimize the need to negotiate individualized executive severance terms in the future. Each of our current executive officers (other than our CEO) has been designated by the Committee to participate in the Severance Plan. The Board adopted retirement provisions in RSU and PSU agreements entered into with executive officers starting in March 2019 and amended the Severance Plan in March 2021 to provide benefits for executive officers who voluntarily terminate their employment for a “qualified retirement” as defined under the Severance Plan. Each of our current executive officers is eligible to receive the retirement benefits, although only two of our executive officers currently meet the requirements to have a qualifying retirement under the provisions.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Change in Control Program</w:t>
      </w:r>
    </w:p>
    <w:p>
      <w:pPr>
        <w:spacing w:after="0" w:line="202"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Under the terms of the Program, if, within 60 days prior or 12 months following a “change in control,” an executive officer who participates in the Program is terminated without “cause,” or voluntarily terminates his or her employment for “good reason” (as those terms are defined in the Program), the executive officer will receive (among other benefits), following execution of a release and non-solicitation agreement:</w:t>
      </w:r>
    </w:p>
    <w:p>
      <w:pPr>
        <w:spacing w:after="0" w:line="40" w:lineRule="exact"/>
        <w:rPr>
          <w:sz w:val="20"/>
          <w:szCs w:val="20"/>
          <w:color w:val="auto"/>
        </w:rPr>
      </w:pPr>
    </w:p>
    <w:p>
      <w:pPr>
        <w:ind w:left="260" w:right="220" w:hanging="255"/>
        <w:spacing w:after="0" w:line="254"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1.5 times the sum of the participant’s annual base salary and target annual bonus, plus the participant’s pro-rata target bonus, provided the executive officer was eligible to receive such bonus in cash, payable in a lump sum (for Rebecca Pearce such lump-sum payment would be inclusive of any severance or payment received during or in relation to her notice period);</w:t>
      </w:r>
    </w:p>
    <w:p>
      <w:pPr>
        <w:spacing w:after="0" w:line="61" w:lineRule="exact"/>
        <w:rPr>
          <w:rFonts w:ascii="Times New Roman" w:cs="Times New Roman" w:eastAsia="Times New Roman" w:hAnsi="Times New Roman"/>
          <w:sz w:val="14"/>
          <w:szCs w:val="14"/>
          <w:color w:val="auto"/>
        </w:rPr>
      </w:pPr>
    </w:p>
    <w:p>
      <w:pPr>
        <w:ind w:left="260" w:right="420" w:hanging="255"/>
        <w:spacing w:after="0" w:line="287"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all of the participant’s outstanding incentive equity awards, including stock options, RSUs, and PSUs (which PSUs shall become vested at the “target” level set forth in the applicable notice of grant);</w:t>
      </w:r>
    </w:p>
    <w:p>
      <w:pPr>
        <w:spacing w:after="0" w:line="28" w:lineRule="exact"/>
        <w:rPr>
          <w:rFonts w:ascii="Times New Roman" w:cs="Times New Roman" w:eastAsia="Times New Roman" w:hAnsi="Times New Roman"/>
          <w:sz w:val="14"/>
          <w:szCs w:val="14"/>
          <w:color w:val="auto"/>
        </w:rPr>
      </w:pPr>
    </w:p>
    <w:p>
      <w:pPr>
        <w:ind w:left="260" w:right="60" w:hanging="255"/>
        <w:spacing w:after="0" w:line="271"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the total applicable premium cost for medical and dental coverage for the participant and his or her eligible spouse and dependents until the earlier of 18 months from the date of termination or when the participant becomes covered under another employer’s employee benefit plans (for Rebecca Pearce such payment is not applicable); and</w:t>
      </w:r>
    </w:p>
    <w:p>
      <w:pPr>
        <w:spacing w:after="0" w:line="50" w:lineRule="exact"/>
        <w:rPr>
          <w:rFonts w:ascii="Times New Roman" w:cs="Times New Roman" w:eastAsia="Times New Roman" w:hAnsi="Times New Roman"/>
          <w:sz w:val="14"/>
          <w:szCs w:val="14"/>
          <w:color w:val="auto"/>
        </w:rPr>
      </w:pPr>
    </w:p>
    <w:p>
      <w:pPr>
        <w:ind w:left="260" w:right="20" w:hanging="255"/>
        <w:spacing w:after="0" w:line="264" w:lineRule="auto"/>
        <w:tabs>
          <w:tab w:leader="none" w:pos="25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executive officer who is terminated for any other reason will receive severance or other benefits only to the extent the executive would be entitled to receive them under our then-existing benefit plans and policies. If the benefits provided under the Program constitute parachute payments under Section 280G of the Code and are subject to the excise tax imposed by Section 4999 of the Code, then such benefits will be (1) delivered in full, or (2) delivered to such lesser extent that would result in no portion of the benefits being subject to the excise tax, whichever results in the executive officer receiving the greatest amount of benefits.</w:t>
      </w:r>
    </w:p>
    <w:p>
      <w:pPr>
        <w:spacing w:after="0" w:line="5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defined in the Program, a “change in control” occurs if any person acquires 50% or more of the total voting power represented by voting securities, if Autodesk sells all or substantially all its assets, if Autodesk merges or consolidates with another corporation, or if the composition of the Board changes substantially.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Severance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Termination Without Cause or for Good Reason</w:t>
      </w:r>
    </w:p>
    <w:p>
      <w:pPr>
        <w:spacing w:after="0" w:line="202"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Under the terms of the Severance Plan, if a participant in the Severance Plan is terminated without “cause” or voluntarily terminates his or her employment for “good reason” (as those terms are defined in the Severance Plan) then, in addition to payment of accrued base salary, vacation, and any previously awarded but unpaid bonus, the participant will be eligible to receive the following benefits under the Severance Plan, subject to execution of a release and compliance with certain non-disparagement, non-solicitation and confidentiality covenants:</w:t>
      </w:r>
    </w:p>
    <w:p>
      <w:pPr>
        <w:spacing w:after="0" w:line="40" w:lineRule="exact"/>
        <w:rPr>
          <w:sz w:val="20"/>
          <w:szCs w:val="20"/>
          <w:color w:val="auto"/>
        </w:rPr>
      </w:pPr>
    </w:p>
    <w:p>
      <w:pPr>
        <w:ind w:left="320" w:right="100" w:hanging="188"/>
        <w:spacing w:after="0" w:line="254" w:lineRule="auto"/>
        <w:tabs>
          <w:tab w:leader="none" w:pos="3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the sum of (a) 1.5 times the participant's base pay as in effect on the date of termination, and (b) 1.5 times the participant’s target annual cash bonus incentive amount under Autodesk’s annual cash bonus incentive plan applicable to the participant as in effect on the date of termination (for Rebecca Pearce such lump-sum payment would be inclusive of any severance or payment received during or in relation to her notice period);</w:t>
      </w:r>
    </w:p>
    <w:p>
      <w:pPr>
        <w:spacing w:after="0" w:line="61" w:lineRule="exact"/>
        <w:rPr>
          <w:rFonts w:ascii="Times New Roman" w:cs="Times New Roman" w:eastAsia="Times New Roman" w:hAnsi="Times New Roman"/>
          <w:sz w:val="14"/>
          <w:szCs w:val="14"/>
          <w:color w:val="auto"/>
        </w:rPr>
      </w:pPr>
    </w:p>
    <w:p>
      <w:pPr>
        <w:ind w:left="320" w:right="520" w:hanging="188"/>
        <w:spacing w:after="0" w:line="287" w:lineRule="auto"/>
        <w:tabs>
          <w:tab w:leader="none" w:pos="3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of the participant’s time-based RSUs that would have become vested had the participant remained continuously employed by Autodesk for an additional 12 months following the termination;</w:t>
      </w:r>
    </w:p>
    <w:p>
      <w:pPr>
        <w:spacing w:after="0" w:line="39" w:lineRule="exact"/>
        <w:rPr>
          <w:rFonts w:ascii="Times New Roman" w:cs="Times New Roman" w:eastAsia="Times New Roman" w:hAnsi="Times New Roman"/>
          <w:sz w:val="14"/>
          <w:szCs w:val="14"/>
          <w:color w:val="auto"/>
        </w:rPr>
      </w:pPr>
    </w:p>
    <w:p>
      <w:pPr>
        <w:ind w:left="320" w:right="480" w:hanging="188"/>
        <w:spacing w:after="0" w:line="287" w:lineRule="auto"/>
        <w:tabs>
          <w:tab w:leader="none" w:pos="3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vesting of the participant’s PSUs that would have become vested had the participant remained continuously employed by Autodesk for an additional 12 months following the termination, based on the extent to which the underlying performance criteria with respect to such awards are satisfied for such performance period;</w:t>
      </w:r>
    </w:p>
    <w:p>
      <w:pPr>
        <w:spacing w:after="0" w:line="28" w:lineRule="exact"/>
        <w:rPr>
          <w:rFonts w:ascii="Times New Roman" w:cs="Times New Roman" w:eastAsia="Times New Roman" w:hAnsi="Times New Roman"/>
          <w:sz w:val="14"/>
          <w:szCs w:val="14"/>
          <w:color w:val="auto"/>
        </w:rPr>
      </w:pPr>
    </w:p>
    <w:p>
      <w:pPr>
        <w:ind w:left="320" w:right="200" w:hanging="188"/>
        <w:spacing w:after="0" w:line="271" w:lineRule="auto"/>
        <w:tabs>
          <w:tab w:leader="none" w:pos="3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taxable lump sum payment in an amount equal to 12 times the monthly premium that the participant would be required to pay to continue their group health coverage if the participant had made a timely election under COBRA (for Rebecca Pearce such payment is not applicable); and</w:t>
      </w:r>
    </w:p>
    <w:p>
      <w:pPr>
        <w:spacing w:after="0" w:line="50" w:lineRule="exact"/>
        <w:rPr>
          <w:rFonts w:ascii="Times New Roman" w:cs="Times New Roman" w:eastAsia="Times New Roman" w:hAnsi="Times New Roman"/>
          <w:sz w:val="14"/>
          <w:szCs w:val="14"/>
          <w:color w:val="auto"/>
        </w:rPr>
      </w:pPr>
    </w:p>
    <w:p>
      <w:pPr>
        <w:ind w:left="320" w:right="360" w:hanging="188"/>
        <w:spacing w:after="0" w:line="287" w:lineRule="auto"/>
        <w:tabs>
          <w:tab w:leader="none" w:pos="3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Company-provided outplacement services in accordance with Autodesk’s then-applicable outplacement service program or arrangements for 18 months immediately following the date of termination.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w:t>
      </w:r>
    </w:p>
    <w:p>
      <w:pPr>
        <w:spacing w:after="0" w:line="202"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4"/>
          <w:szCs w:val="14"/>
          <w:color w:val="auto"/>
        </w:rPr>
        <w:t>In March 2021, we amended the Severance Plan to provide additional benefits to participants who voluntarily terminate employment for qualified retirement. If a participant’s termination is considered a qualified retirement, then, in addition to payment of accrued base salary, vacation, and any previously awarded but unpaid bonus, the participant will be eligible to receive the following benefits under the Severance Plan:</w:t>
      </w:r>
    </w:p>
    <w:p>
      <w:pPr>
        <w:spacing w:after="0" w:line="62" w:lineRule="exact"/>
        <w:rPr>
          <w:sz w:val="20"/>
          <w:szCs w:val="20"/>
          <w:color w:val="auto"/>
        </w:rPr>
      </w:pPr>
    </w:p>
    <w:p>
      <w:pPr>
        <w:ind w:left="320" w:hanging="188"/>
        <w:spacing w:after="0" w:line="254" w:lineRule="auto"/>
        <w:tabs>
          <w:tab w:leader="none" w:pos="3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the sum of (a) 1.5 times the participant's base pay, (b) 1.5 times the participant’s target annual cash bonus incentive amount under Autodesk’s annual cash bonus incentive plan applicable to the participant as in effect as of the qualified retirement, and (c) a pro-rata portion of the participant’s target annual cash bonus incentive amount as in effect as of the qualified retirement, for the fiscal year in which the qualified retirement occurs;</w:t>
      </w:r>
    </w:p>
    <w:p>
      <w:pPr>
        <w:spacing w:after="0" w:line="61" w:lineRule="exact"/>
        <w:rPr>
          <w:rFonts w:ascii="Times New Roman" w:cs="Times New Roman" w:eastAsia="Times New Roman" w:hAnsi="Times New Roman"/>
          <w:sz w:val="14"/>
          <w:szCs w:val="14"/>
          <w:color w:val="auto"/>
        </w:rPr>
      </w:pPr>
    </w:p>
    <w:p>
      <w:pPr>
        <w:ind w:left="320" w:right="520" w:hanging="188"/>
        <w:spacing w:after="0" w:line="271" w:lineRule="auto"/>
        <w:tabs>
          <w:tab w:leader="none" w:pos="3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of the participant’s time-based RSUs that would have become vested had the participant remained continuously employed by Autodesk for an additional 12 months following the qualified retirement;</w:t>
      </w:r>
    </w:p>
    <w:p>
      <w:pPr>
        <w:spacing w:after="0" w:line="39" w:lineRule="exact"/>
        <w:rPr>
          <w:rFonts w:ascii="Times New Roman" w:cs="Times New Roman" w:eastAsia="Times New Roman" w:hAnsi="Times New Roman"/>
          <w:sz w:val="14"/>
          <w:szCs w:val="14"/>
          <w:color w:val="auto"/>
        </w:rPr>
      </w:pPr>
    </w:p>
    <w:p>
      <w:pPr>
        <w:ind w:left="320" w:right="480" w:hanging="188"/>
        <w:spacing w:after="0" w:line="287" w:lineRule="auto"/>
        <w:tabs>
          <w:tab w:leader="none" w:pos="3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vesting of the participant’s PSUs that would have become vested had the participant remained continuously employed by Autodesk for an additional 12 months following the qualified retirement, based on the extent to which the underlying performance criteria with respect to such awards are satisfied for such performance period; and</w:t>
      </w:r>
    </w:p>
    <w:p>
      <w:pPr>
        <w:spacing w:after="0" w:line="39" w:lineRule="exact"/>
        <w:rPr>
          <w:rFonts w:ascii="Times New Roman" w:cs="Times New Roman" w:eastAsia="Times New Roman" w:hAnsi="Times New Roman"/>
          <w:sz w:val="14"/>
          <w:szCs w:val="14"/>
          <w:color w:val="auto"/>
        </w:rPr>
      </w:pPr>
    </w:p>
    <w:p>
      <w:pPr>
        <w:ind w:left="320" w:right="200" w:hanging="188"/>
        <w:spacing w:after="0" w:line="287" w:lineRule="auto"/>
        <w:tabs>
          <w:tab w:leader="none" w:pos="3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taxable lump sum payment in an amount equal to 18 times the monthly premium that the participant would be required to pay to continue their group health coverage if the participant had made a timely election under COBRA.</w:t>
      </w:r>
    </w:p>
    <w:p>
      <w:pPr>
        <w:spacing w:after="0" w:line="39"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For the purposes of the Severance Plan, “qualified retirement” is defined as a voluntary termination of employment by an executive officer, which meets either of the following requirements: (i) one’s combined total age plus years of employment with Autodesk is equal to or greater than 75 or (ii) one is at least 55 years of age and completes at least 10 years of employment with Autodesk. Unless waived by the administrator of the plan or the Chief Executive Officer, in order for such voluntary termination to be deemed a qualified retirement, one must properly deliver written notice of his or her intent to resign employment with Autodesk in a qualified retirement at least three months prior to the effective date of such qualified retirement.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Revenue Code Section 280G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The Severance Plan does not provide for any excise tax payment. In the event that any payment or benefit payable to a participant under the Severance Plan would result in the imposition of excise taxes under the “golden parachute” provisions of Section 280G of the Code, then such payments and benefits will be (1) delivered in full, or (2) delivered to such lesser extent that would result in no portion of the benefits being subject to the excise tax, whichever results in the participant receiving the greatest amount of benefits.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 Agreement with Andrew Anagnost</w:t>
      </w:r>
    </w:p>
    <w:p>
      <w:pPr>
        <w:spacing w:after="0" w:line="202"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In connection with Dr. Anagnost’s appointment as CEO, in June 2017, Dr. Anagnost entered into an employment agreement with Autodesk, which was amended in April 2022, which provides for, among other things, certain payments and benefits to be provided to Dr. Anagnost in the event his employment is terminated without “cause” or he resigns for “good reason,” including in connection with a “change of control,” as each such term is defined in Dr. Anagnost's employment agreement.</w:t>
      </w:r>
    </w:p>
    <w:p>
      <w:pPr>
        <w:spacing w:after="0" w:line="157"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In the event Dr. Anagnost's employment is terminated by Autodesk without cause or if Dr. Anagnost resigns for good reason and in each case such termination is not in connection with a change of control, Dr. Anagnost would receive (i) payment of 200% of his then current base salary for 12 months; (ii) payout of his pro-rata bonus for the fiscal year in which termination occurs, provided Autodesk bonus targets are satisfied, to be paid in one lump sum on or before March 15 of the succeeding fiscal year; (iii) fully accelerated vesting of all of his then outstanding, unvested equity awards (other than any awards that vest in whole or in part based on performance); (iv) with respect to his then outstanding unvested equity awards that vest in whole or in part based on performance, those awards will vest as if he had remained continuously employed by Autodesk through the end of the performance period in which his employment is terminated, based on the extent, if any, that the underlying performance criteria for those awards are satisfied for that performance period, as prorated to reflect the number of days in which he was employed during such period; and</w:t>
      </w:r>
    </w:p>
    <w:p>
      <w:pPr>
        <w:spacing w:after="0" w:line="2" w:lineRule="exact"/>
        <w:rPr>
          <w:sz w:val="20"/>
          <w:szCs w:val="20"/>
          <w:color w:val="auto"/>
        </w:rPr>
      </w:pPr>
    </w:p>
    <w:p>
      <w:pPr>
        <w:ind w:right="20" w:firstLine="5"/>
        <w:spacing w:after="0" w:line="259" w:lineRule="auto"/>
        <w:tabs>
          <w:tab w:leader="none" w:pos="2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for premiums paid for continued health benefits for Dr. Anagnost and his eligible dependents until the earlier of 12 months following termination or the date Dr. Anagnost becomes covered under similar health plans. In addition, Dr. Anagnost is subject to non-solicitation and non-competition covenants for 12 months following a termination that gives rise to the severance benefits discussed above.</w:t>
      </w:r>
    </w:p>
    <w:p>
      <w:pPr>
        <w:spacing w:after="0" w:line="165" w:lineRule="exact"/>
        <w:rPr>
          <w:sz w:val="20"/>
          <w:szCs w:val="20"/>
          <w:color w:val="auto"/>
        </w:rPr>
      </w:pPr>
    </w:p>
    <w:p>
      <w:pPr>
        <w:ind w:right="140" w:firstLine="318"/>
        <w:spacing w:after="0" w:line="261" w:lineRule="auto"/>
        <w:rPr>
          <w:sz w:val="20"/>
          <w:szCs w:val="20"/>
          <w:color w:val="auto"/>
        </w:rPr>
      </w:pPr>
      <w:r>
        <w:rPr>
          <w:rFonts w:ascii="Times New Roman" w:cs="Times New Roman" w:eastAsia="Times New Roman" w:hAnsi="Times New Roman"/>
          <w:sz w:val="14"/>
          <w:szCs w:val="14"/>
          <w:color w:val="auto"/>
        </w:rPr>
        <w:t>If, in connection with a change of control, Dr. Anagnost’s employment is terminated by Autodesk without cause or if Dr. Anagnost resigns for good reason, Dr. Anagnost would receive (i) a lump sum payment in an amount equal to 200% of his annual base salary and target annual bonus; (ii) payout of his pro-rata target bonus for the fiscal year in which termination occurs to be paid in one lump sum on or before March 15 of the succeeding fiscal year; (iii) fully accelerated vesting of all of his then outstanding unvested equity awards, including awards that would otherwise vest only upon satisfaction of performance criteria; and (iv) reimbursement for premiums paid for continued health benefits for Dr. Anagnost and his eligible dependents until the earlier of 18 months following termination or the date Dr. Anagnost becomes covered under similar health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Provisions in RSU and PSU Agreements</w:t>
      </w:r>
    </w:p>
    <w:p>
      <w:pPr>
        <w:spacing w:after="0" w:line="20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RSU and PSU agreements entered into with our executive officers in March 2019 and after contain provisions that permit partial continued vesting of outstanding RSUs and PSUs following a qualified retirement, as follows:</w:t>
      </w:r>
    </w:p>
    <w:p>
      <w:pPr>
        <w:spacing w:after="0" w:line="145" w:lineRule="exact"/>
        <w:rPr>
          <w:sz w:val="20"/>
          <w:szCs w:val="20"/>
          <w:color w:val="auto"/>
        </w:rPr>
      </w:pPr>
    </w:p>
    <w:p>
      <w:pPr>
        <w:ind w:left="320" w:right="60" w:hanging="188"/>
        <w:spacing w:after="0" w:line="287" w:lineRule="auto"/>
        <w:tabs>
          <w:tab w:leader="none" w:pos="31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RSUs that would otherwise vest within 12 months following the qualified retirement will fully accelerate and become vested as of the date of the qualified retirement, and any time-based RSUs that remain unvested after application of this provision will immediately be forfeited and cancelled for no additional consideration upon the qualified retirement; and</w:t>
      </w:r>
    </w:p>
    <w:p>
      <w:pPr>
        <w:spacing w:after="0" w:line="39" w:lineRule="exact"/>
        <w:rPr>
          <w:rFonts w:ascii="Times New Roman" w:cs="Times New Roman" w:eastAsia="Times New Roman" w:hAnsi="Times New Roman"/>
          <w:sz w:val="14"/>
          <w:szCs w:val="14"/>
          <w:color w:val="auto"/>
        </w:rPr>
      </w:pPr>
    </w:p>
    <w:p>
      <w:pPr>
        <w:ind w:left="320" w:right="60" w:hanging="188"/>
        <w:spacing w:after="0" w:line="270" w:lineRule="auto"/>
        <w:tabs>
          <w:tab w:leader="none" w:pos="31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that would otherwise vest within 12 months following the qualified retirement will continue to vest as if the executive officer had remained continuously employed by Autodesk through the vest date next following the qualified retirement, based on the extent, if any, that the underlying performance criteria with respect to such awards are satisfied for the applicable performance period, and the remainder of such PSUs that do not become vested pursuant to this provision, if any, shall be forfeited and canceled for no additional consideration.</w:t>
      </w:r>
    </w:p>
    <w:p>
      <w:pPr>
        <w:spacing w:after="0" w:line="51" w:lineRule="exact"/>
        <w:rPr>
          <w:sz w:val="20"/>
          <w:szCs w:val="20"/>
          <w:color w:val="auto"/>
        </w:rPr>
      </w:pPr>
    </w:p>
    <w:p>
      <w:pPr>
        <w:jc w:val="both"/>
        <w:ind w:right="300" w:firstLine="318"/>
        <w:spacing w:after="0" w:line="270" w:lineRule="auto"/>
        <w:rPr>
          <w:sz w:val="20"/>
          <w:szCs w:val="20"/>
          <w:color w:val="auto"/>
        </w:rPr>
      </w:pPr>
      <w:r>
        <w:rPr>
          <w:rFonts w:ascii="Times New Roman" w:cs="Times New Roman" w:eastAsia="Times New Roman" w:hAnsi="Times New Roman"/>
          <w:sz w:val="14"/>
          <w:szCs w:val="14"/>
          <w:color w:val="auto"/>
        </w:rPr>
        <w:t>For the purposes of this provision, “qualified retirement” has the same definition as in the Severance Plan. Unless waived by the administrator of the applicable stock plan, in order for such voluntary termination to be deemed a qualified retirement, one must properly deliver written notice of his or her intent to resign from employment with Autodesk in a qualified retirement at least three months prior to the effective date of such qualified retirement.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tables below list the estimated amount of compensation payable to each of the named executive officers in the event of voluntary termination, involuntary not-for-cause termination, for-cause termination, termination following a change in control, and termination in the event of disability or death of the executive. The amounts shown assume that such termination was effective as of January 31, 2024, and include all components of compensation, benefits, and perquisites payable under the Severance Plan and Executive Change in Control Program effective during the 2024 fiscal year or, in the case of Dr. Anagnost, pursuant to his employment agreement, discussed above.</w:t>
      </w:r>
    </w:p>
    <w:p>
      <w:pPr>
        <w:spacing w:after="0" w:line="162"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Estimated amounts for share-based compensation are based on the closing price of our common stock on the Nasdaq on Monday, January 31, 2024, which was $253.81 per share. The actual amounts for all named executive officers to be paid out can only be determined at the time of such executive’s separation.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Andrew Anagnost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for Good</w:t>
            </w: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Voluntary</w:t>
            </w:r>
          </w:p>
        </w:tc>
        <w:tc>
          <w:tcPr>
            <w:tcW w:w="14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(Except</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Cause</w:t>
            </w:r>
          </w:p>
        </w:tc>
        <w:tc>
          <w:tcPr>
            <w:tcW w:w="14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Reason</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Change</w:t>
            </w:r>
          </w:p>
        </w:tc>
        <w:tc>
          <w:tcPr>
            <w:tcW w:w="1380" w:type="dxa"/>
            <w:vAlign w:val="bottom"/>
            <w:gridSpan w:val="2"/>
            <w:vMerge w:val="continue"/>
          </w:tcPr>
          <w:p>
            <w:pPr>
              <w:spacing w:after="0"/>
              <w:rPr>
                <w:sz w:val="9"/>
                <w:szCs w:val="9"/>
                <w:color w:val="auto"/>
              </w:rPr>
            </w:pPr>
          </w:p>
        </w:tc>
        <w:tc>
          <w:tcPr>
            <w:tcW w:w="14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in Control)</w:t>
            </w:r>
          </w:p>
        </w:tc>
        <w:tc>
          <w:tcPr>
            <w:tcW w:w="1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Control)</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Disability on</w:t>
            </w:r>
          </w:p>
        </w:tc>
        <w:tc>
          <w:tcPr>
            <w:tcW w:w="1300" w:type="dxa"/>
            <w:vAlign w:val="bottom"/>
            <w:vMerge w:val="restart"/>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Death on</w:t>
            </w:r>
          </w:p>
        </w:tc>
        <w:tc>
          <w:tcPr>
            <w:tcW w:w="0" w:type="dxa"/>
            <w:vAlign w:val="bottom"/>
          </w:tcPr>
          <w:p>
            <w:pPr>
              <w:spacing w:after="0"/>
              <w:rPr>
                <w:sz w:val="1"/>
                <w:szCs w:val="1"/>
                <w:color w:val="auto"/>
              </w:rPr>
            </w:pPr>
          </w:p>
        </w:tc>
      </w:tr>
      <w:tr>
        <w:trPr>
          <w:trHeight w:val="117"/>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Benefits and Payments</w:t>
            </w:r>
          </w:p>
        </w:tc>
        <w:tc>
          <w:tcPr>
            <w:tcW w:w="14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4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4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000" w:type="dxa"/>
            <w:vAlign w:val="bottom"/>
            <w:gridSpan w:val="2"/>
            <w:vMerge w:val="continue"/>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30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0" w:type="dxa"/>
            <w:vAlign w:val="bottom"/>
          </w:tcPr>
          <w:p>
            <w:pPr>
              <w:spacing w:after="0"/>
              <w:rPr>
                <w:sz w:val="1"/>
                <w:szCs w:val="1"/>
                <w:color w:val="auto"/>
              </w:rPr>
            </w:pPr>
          </w:p>
        </w:tc>
      </w:tr>
      <w:tr>
        <w:trPr>
          <w:trHeight w:val="166"/>
        </w:trPr>
        <w:tc>
          <w:tcPr>
            <w:tcW w:w="292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Severance (1)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2,080,000</w:t>
            </w:r>
          </w:p>
        </w:tc>
        <w:tc>
          <w:tcPr>
            <w:tcW w:w="100" w:type="dxa"/>
            <w:vAlign w:val="bottom"/>
          </w:tcPr>
          <w:p>
            <w:pPr>
              <w:spacing w:after="0"/>
              <w:rPr>
                <w:sz w:val="14"/>
                <w:szCs w:val="14"/>
                <w:color w:val="auto"/>
              </w:rPr>
            </w:pP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5,200,000</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Pro-Rata Bonus (2)</w:t>
            </w: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1,511,640</w:t>
            </w:r>
          </w:p>
        </w:tc>
        <w:tc>
          <w:tcPr>
            <w:tcW w:w="100" w:type="dxa"/>
            <w:vAlign w:val="bottom"/>
            <w:shd w:val="clear" w:color="auto" w:fill="CCCCCC"/>
          </w:tcPr>
          <w:p>
            <w:pPr>
              <w:spacing w:after="0"/>
              <w:rPr>
                <w:sz w:val="14"/>
                <w:szCs w:val="14"/>
                <w:color w:val="auto"/>
              </w:rPr>
            </w:pPr>
          </w:p>
        </w:tc>
        <w:tc>
          <w:tcPr>
            <w:tcW w:w="1380" w:type="dxa"/>
            <w:vAlign w:val="bottom"/>
            <w:gridSpan w:val="2"/>
            <w:shd w:val="clear" w:color="auto" w:fill="CCCCCC"/>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1,560,000</w:t>
            </w:r>
          </w:p>
        </w:tc>
        <w:tc>
          <w:tcPr>
            <w:tcW w:w="100" w:type="dxa"/>
            <w:vAlign w:val="bottom"/>
            <w:shd w:val="clear" w:color="auto" w:fill="CCCCCC"/>
          </w:tcPr>
          <w:p>
            <w:pPr>
              <w:spacing w:after="0"/>
              <w:rPr>
                <w:sz w:val="14"/>
                <w:szCs w:val="14"/>
                <w:color w:val="auto"/>
              </w:rPr>
            </w:pP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Equity Awards (3)</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18,920,492</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28,700,299</w:t>
            </w:r>
          </w:p>
        </w:tc>
        <w:tc>
          <w:tcPr>
            <w:tcW w:w="100" w:type="dxa"/>
            <w:vAlign w:val="bottom"/>
          </w:tcPr>
          <w:p>
            <w:pPr>
              <w:spacing w:after="0"/>
              <w:rPr>
                <w:sz w:val="14"/>
                <w:szCs w:val="14"/>
                <w:color w:val="auto"/>
              </w:rPr>
            </w:pP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45,253,815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45,253,815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45,253,815</w:t>
            </w:r>
          </w:p>
        </w:tc>
        <w:tc>
          <w:tcPr>
            <w:tcW w:w="0" w:type="dxa"/>
            <w:vAlign w:val="bottom"/>
          </w:tcPr>
          <w:p>
            <w:pPr>
              <w:spacing w:after="0"/>
              <w:rPr>
                <w:sz w:val="1"/>
                <w:szCs w:val="1"/>
                <w:color w:val="auto"/>
              </w:rPr>
            </w:pPr>
          </w:p>
        </w:tc>
      </w:tr>
      <w:tr>
        <w:trPr>
          <w:trHeight w:val="172"/>
        </w:trPr>
        <w:tc>
          <w:tcPr>
            <w:tcW w:w="30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perquisites:</w:t>
            </w:r>
          </w:p>
        </w:tc>
        <w:tc>
          <w:tcPr>
            <w:tcW w:w="13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3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3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3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3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3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Health Insurance (4)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36,724</w:t>
            </w:r>
          </w:p>
        </w:tc>
        <w:tc>
          <w:tcPr>
            <w:tcW w:w="100" w:type="dxa"/>
            <w:vAlign w:val="bottom"/>
          </w:tcPr>
          <w:p>
            <w:pPr>
              <w:spacing w:after="0"/>
              <w:rPr>
                <w:sz w:val="14"/>
                <w:szCs w:val="14"/>
                <w:color w:val="auto"/>
              </w:rPr>
            </w:pP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55,086</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Disability Income (5)</w:t>
            </w: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CCCC"/>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1,665,045</w:t>
            </w:r>
          </w:p>
        </w:tc>
        <w:tc>
          <w:tcPr>
            <w:tcW w:w="100" w:type="dxa"/>
            <w:vAlign w:val="bottom"/>
            <w:shd w:val="clear" w:color="auto" w:fill="CCCCCC"/>
          </w:tcPr>
          <w:p>
            <w:pPr>
              <w:spacing w:after="0"/>
              <w:rPr>
                <w:sz w:val="14"/>
                <w:szCs w:val="14"/>
                <w:color w:val="auto"/>
              </w:rPr>
            </w:pPr>
          </w:p>
        </w:tc>
        <w:tc>
          <w:tcPr>
            <w:tcW w:w="13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Accidental Death or Dismemberment (6)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72"/>
        </w:trPr>
        <w:tc>
          <w:tcPr>
            <w:tcW w:w="30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Life Insurance (7)</w:t>
            </w:r>
          </w:p>
        </w:tc>
        <w:tc>
          <w:tcPr>
            <w:tcW w:w="13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3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300" w:type="dxa"/>
            <w:vAlign w:val="bottom"/>
            <w:tcBorders>
              <w:bottom w:val="single" w:sz="8" w:color="auto"/>
            </w:tcBorders>
            <w:shd w:val="clear" w:color="auto" w:fill="CCCCCC"/>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CCCC"/>
          </w:tcPr>
          <w:p>
            <w:pPr>
              <w:spacing w:after="0"/>
              <w:rPr>
                <w:sz w:val="14"/>
                <w:szCs w:val="14"/>
                <w:color w:val="auto"/>
              </w:rPr>
            </w:pPr>
          </w:p>
        </w:tc>
        <w:tc>
          <w:tcPr>
            <w:tcW w:w="13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3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3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07"/>
        </w:trPr>
        <w:tc>
          <w:tcPr>
            <w:tcW w:w="300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Executive Benefits and Payments Upon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18,920,492</w:t>
            </w:r>
          </w:p>
        </w:tc>
        <w:tc>
          <w:tcPr>
            <w:tcW w:w="10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32,328,663</w:t>
            </w:r>
          </w:p>
        </w:tc>
        <w:tc>
          <w:tcPr>
            <w:tcW w:w="100" w:type="dxa"/>
            <w:vAlign w:val="bottom"/>
          </w:tcPr>
          <w:p>
            <w:pPr>
              <w:spacing w:after="0"/>
              <w:rPr>
                <w:sz w:val="9"/>
                <w:szCs w:val="9"/>
                <w:color w:val="auto"/>
              </w:rPr>
            </w:pPr>
          </w:p>
        </w:tc>
        <w:tc>
          <w:tcPr>
            <w:tcW w:w="130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52,068,901</w:t>
            </w:r>
          </w:p>
        </w:tc>
        <w:tc>
          <w:tcPr>
            <w:tcW w:w="10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48,918,860</w:t>
            </w:r>
          </w:p>
        </w:tc>
        <w:tc>
          <w:tcPr>
            <w:tcW w:w="10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49,253,815</w:t>
            </w:r>
          </w:p>
        </w:tc>
        <w:tc>
          <w:tcPr>
            <w:tcW w:w="0" w:type="dxa"/>
            <w:vAlign w:val="bottom"/>
          </w:tcPr>
          <w:p>
            <w:pPr>
              <w:spacing w:after="0"/>
              <w:rPr>
                <w:sz w:val="1"/>
                <w:szCs w:val="1"/>
                <w:color w:val="auto"/>
              </w:rPr>
            </w:pPr>
          </w:p>
        </w:tc>
      </w:tr>
      <w:tr>
        <w:trPr>
          <w:trHeight w:val="17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Separation</w:t>
            </w: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Deborah L. Clifford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Reason</w:t>
            </w: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Voluntary</w:t>
            </w:r>
          </w:p>
        </w:tc>
        <w:tc>
          <w:tcPr>
            <w:tcW w:w="16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(Except</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Cause</w:t>
            </w:r>
          </w:p>
        </w:tc>
        <w:tc>
          <w:tcPr>
            <w:tcW w:w="15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Reason</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Change</w:t>
            </w:r>
          </w:p>
        </w:tc>
        <w:tc>
          <w:tcPr>
            <w:tcW w:w="1300" w:type="dxa"/>
            <w:vAlign w:val="bottom"/>
            <w:gridSpan w:val="2"/>
            <w:vMerge w:val="continue"/>
          </w:tcPr>
          <w:p>
            <w:pPr>
              <w:spacing w:after="0"/>
              <w:rPr>
                <w:sz w:val="10"/>
                <w:szCs w:val="10"/>
                <w:color w:val="auto"/>
              </w:rPr>
            </w:pPr>
          </w:p>
        </w:tc>
        <w:tc>
          <w:tcPr>
            <w:tcW w:w="158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6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 Control)</w:t>
            </w:r>
          </w:p>
        </w:tc>
        <w:tc>
          <w:tcPr>
            <w:tcW w:w="13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5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Control)</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Disability on</w:t>
            </w:r>
          </w:p>
        </w:tc>
        <w:tc>
          <w:tcPr>
            <w:tcW w:w="116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Death on</w:t>
            </w:r>
          </w:p>
        </w:tc>
        <w:tc>
          <w:tcPr>
            <w:tcW w:w="0" w:type="dxa"/>
            <w:vAlign w:val="bottom"/>
          </w:tcPr>
          <w:p>
            <w:pPr>
              <w:spacing w:after="0"/>
              <w:rPr>
                <w:sz w:val="1"/>
                <w:szCs w:val="1"/>
                <w:color w:val="auto"/>
              </w:rPr>
            </w:pPr>
          </w:p>
        </w:tc>
      </w:tr>
      <w:tr>
        <w:trPr>
          <w:trHeight w:val="11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Benefits and Payments</w:t>
            </w:r>
          </w:p>
        </w:tc>
        <w:tc>
          <w:tcPr>
            <w:tcW w:w="13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on</w:t>
            </w:r>
          </w:p>
        </w:tc>
        <w:tc>
          <w:tcPr>
            <w:tcW w:w="16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3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on</w:t>
            </w:r>
          </w:p>
        </w:tc>
        <w:tc>
          <w:tcPr>
            <w:tcW w:w="15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40" w:type="dxa"/>
            <w:vAlign w:val="bottom"/>
            <w:gridSpan w:val="2"/>
            <w:vMerge w:val="continue"/>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0" w:type="dxa"/>
            <w:vAlign w:val="bottom"/>
          </w:tcPr>
          <w:p>
            <w:pPr>
              <w:spacing w:after="0"/>
              <w:rPr>
                <w:sz w:val="1"/>
                <w:szCs w:val="1"/>
                <w:color w:val="auto"/>
              </w:rPr>
            </w:pPr>
          </w:p>
        </w:tc>
      </w:tr>
      <w:tr>
        <w:trPr>
          <w:trHeight w:val="165"/>
        </w:trPr>
        <w:tc>
          <w:tcPr>
            <w:tcW w:w="284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Borders>
              <w:top w:val="single" w:sz="8" w:color="CCCCCC"/>
            </w:tcBorders>
            <w:shd w:val="clear" w:color="auto" w:fill="CCCCCC"/>
          </w:tcPr>
          <w:p>
            <w:pPr>
              <w:spacing w:after="0"/>
              <w:rPr>
                <w:sz w:val="14"/>
                <w:szCs w:val="14"/>
                <w:color w:val="auto"/>
              </w:rPr>
            </w:pPr>
          </w:p>
        </w:tc>
        <w:tc>
          <w:tcPr>
            <w:tcW w:w="128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56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2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48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160" w:type="dxa"/>
            <w:vAlign w:val="bottom"/>
            <w:tcBorders>
              <w:top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Severance (1)</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1,755,000</w:t>
            </w:r>
          </w:p>
        </w:tc>
        <w:tc>
          <w:tcPr>
            <w:tcW w:w="8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1,755,000</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Pro-Rata Bonus (2)</w:t>
            </w:r>
          </w:p>
        </w:tc>
        <w:tc>
          <w:tcPr>
            <w:tcW w:w="1380" w:type="dxa"/>
            <w:vAlign w:val="bottom"/>
            <w:gridSpan w:val="2"/>
            <w:shd w:val="clear" w:color="auto" w:fill="CCCCCC"/>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CCC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520,000</w:t>
            </w:r>
          </w:p>
        </w:tc>
        <w:tc>
          <w:tcPr>
            <w:tcW w:w="100" w:type="dxa"/>
            <w:vAlign w:val="bottom"/>
            <w:shd w:val="clear" w:color="auto" w:fill="CCCCCC"/>
          </w:tcPr>
          <w:p>
            <w:pPr>
              <w:spacing w:after="0"/>
              <w:rPr>
                <w:sz w:val="14"/>
                <w:szCs w:val="14"/>
                <w:color w:val="auto"/>
              </w:rPr>
            </w:pPr>
          </w:p>
        </w:tc>
        <w:tc>
          <w:tcPr>
            <w:tcW w:w="128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Equity Awards (3)</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5,305,464</w:t>
            </w:r>
          </w:p>
        </w:tc>
        <w:tc>
          <w:tcPr>
            <w:tcW w:w="8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12,926,797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12,926,797</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12,926,797</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perquisites:</w:t>
            </w:r>
          </w:p>
        </w:tc>
        <w:tc>
          <w:tcPr>
            <w:tcW w:w="128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48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16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Health Insurance (4)</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7,483</w:t>
            </w:r>
          </w:p>
        </w:tc>
        <w:tc>
          <w:tcPr>
            <w:tcW w:w="8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Disability Income (5)</w:t>
            </w:r>
          </w:p>
        </w:tc>
        <w:tc>
          <w:tcPr>
            <w:tcW w:w="1380" w:type="dxa"/>
            <w:vAlign w:val="bottom"/>
            <w:gridSpan w:val="2"/>
            <w:shd w:val="clear" w:color="auto" w:fill="CCCCCC"/>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CCC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2,878,795</w:t>
            </w:r>
          </w:p>
        </w:tc>
        <w:tc>
          <w:tcPr>
            <w:tcW w:w="100" w:type="dxa"/>
            <w:vAlign w:val="bottom"/>
            <w:shd w:val="clear" w:color="auto" w:fill="CCCCCC"/>
          </w:tcPr>
          <w:p>
            <w:pPr>
              <w:spacing w:after="0"/>
              <w:rPr>
                <w:sz w:val="14"/>
                <w:szCs w:val="14"/>
                <w:color w:val="auto"/>
              </w:rPr>
            </w:pPr>
          </w:p>
        </w:tc>
        <w:tc>
          <w:tcPr>
            <w:tcW w:w="11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Accidental Death or Dismemberment (6)</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Life Insurance (7)</w:t>
            </w:r>
          </w:p>
        </w:tc>
        <w:tc>
          <w:tcPr>
            <w:tcW w:w="1280" w:type="dxa"/>
            <w:vAlign w:val="bottom"/>
            <w:tcBorders>
              <w:bottom w:val="single" w:sz="8" w:color="auto"/>
            </w:tcBorders>
            <w:shd w:val="clear" w:color="auto" w:fill="CCCCCC"/>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56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CCCC"/>
          </w:tcPr>
          <w:p>
            <w:pPr>
              <w:spacing w:after="0"/>
              <w:rPr>
                <w:sz w:val="14"/>
                <w:szCs w:val="14"/>
                <w:color w:val="auto"/>
              </w:rPr>
            </w:pPr>
          </w:p>
        </w:tc>
        <w:tc>
          <w:tcPr>
            <w:tcW w:w="1200" w:type="dxa"/>
            <w:vAlign w:val="bottom"/>
            <w:tcBorders>
              <w:bottom w:val="single" w:sz="8" w:color="auto"/>
            </w:tcBorders>
            <w:shd w:val="clear" w:color="auto" w:fill="CCCCC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48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18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16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0" w:type="dxa"/>
            <w:vAlign w:val="bottom"/>
          </w:tcPr>
          <w:p>
            <w:pPr>
              <w:spacing w:after="0"/>
              <w:rPr>
                <w:sz w:val="1"/>
                <w:szCs w:val="1"/>
                <w:color w:val="auto"/>
              </w:rPr>
            </w:pPr>
          </w:p>
        </w:tc>
      </w:tr>
      <w:tr>
        <w:trPr>
          <w:trHeight w:val="107"/>
        </w:trPr>
        <w:tc>
          <w:tcPr>
            <w:tcW w:w="29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Executive Benefits and Payments Upon</w:t>
            </w:r>
          </w:p>
        </w:tc>
        <w:tc>
          <w:tcPr>
            <w:tcW w:w="12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9"/>
                <w:szCs w:val="9"/>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7,067,947</w:t>
            </w:r>
          </w:p>
        </w:tc>
        <w:tc>
          <w:tcPr>
            <w:tcW w:w="80" w:type="dxa"/>
            <w:vAlign w:val="bottom"/>
          </w:tcPr>
          <w:p>
            <w:pPr>
              <w:spacing w:after="0"/>
              <w:rPr>
                <w:sz w:val="9"/>
                <w:szCs w:val="9"/>
                <w:color w:val="auto"/>
              </w:rPr>
            </w:pPr>
          </w:p>
        </w:tc>
        <w:tc>
          <w:tcPr>
            <w:tcW w:w="1200" w:type="dxa"/>
            <w:vAlign w:val="bottom"/>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15,206,862</w:t>
            </w:r>
          </w:p>
        </w:tc>
        <w:tc>
          <w:tcPr>
            <w:tcW w:w="10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16,455,592</w:t>
            </w:r>
          </w:p>
        </w:tc>
        <w:tc>
          <w:tcPr>
            <w:tcW w:w="10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14,226,797</w:t>
            </w:r>
          </w:p>
        </w:tc>
        <w:tc>
          <w:tcPr>
            <w:tcW w:w="0" w:type="dxa"/>
            <w:vAlign w:val="bottom"/>
          </w:tcPr>
          <w:p>
            <w:pPr>
              <w:spacing w:after="0"/>
              <w:rPr>
                <w:sz w:val="1"/>
                <w:szCs w:val="1"/>
                <w:color w:val="auto"/>
              </w:rPr>
            </w:pPr>
          </w:p>
        </w:tc>
      </w:tr>
      <w:tr>
        <w:trPr>
          <w:trHeight w:val="17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Separation</w:t>
            </w: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Steven M. Blum</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Reason</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Voluntary</w:t>
            </w:r>
          </w:p>
        </w:tc>
        <w:tc>
          <w:tcPr>
            <w:tcW w:w="16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(Except</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Cause</w:t>
            </w:r>
          </w:p>
        </w:tc>
        <w:tc>
          <w:tcPr>
            <w:tcW w:w="15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Reason</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Change</w:t>
            </w:r>
          </w:p>
        </w:tc>
        <w:tc>
          <w:tcPr>
            <w:tcW w:w="1280" w:type="dxa"/>
            <w:vAlign w:val="bottom"/>
            <w:gridSpan w:val="2"/>
            <w:vMerge w:val="continue"/>
          </w:tcPr>
          <w:p>
            <w:pPr>
              <w:spacing w:after="0"/>
              <w:rPr>
                <w:sz w:val="9"/>
                <w:szCs w:val="9"/>
                <w:color w:val="auto"/>
              </w:rPr>
            </w:pPr>
          </w:p>
        </w:tc>
        <w:tc>
          <w:tcPr>
            <w:tcW w:w="15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62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in Control)</w:t>
            </w:r>
          </w:p>
        </w:tc>
        <w:tc>
          <w:tcPr>
            <w:tcW w:w="12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5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9"/>
              </w:rPr>
              <w:t>Control)</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Disability on</w:t>
            </w:r>
          </w:p>
        </w:tc>
        <w:tc>
          <w:tcPr>
            <w:tcW w:w="118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Death on</w:t>
            </w:r>
          </w:p>
        </w:tc>
        <w:tc>
          <w:tcPr>
            <w:tcW w:w="0" w:type="dxa"/>
            <w:vAlign w:val="bottom"/>
          </w:tcPr>
          <w:p>
            <w:pPr>
              <w:spacing w:after="0"/>
              <w:rPr>
                <w:sz w:val="1"/>
                <w:szCs w:val="1"/>
                <w:color w:val="auto"/>
              </w:rPr>
            </w:pPr>
          </w:p>
        </w:tc>
      </w:tr>
      <w:tr>
        <w:trPr>
          <w:trHeight w:val="11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Benefits and Payments</w:t>
            </w:r>
          </w:p>
        </w:tc>
        <w:tc>
          <w:tcPr>
            <w:tcW w:w="13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6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5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900" w:type="dxa"/>
            <w:vAlign w:val="bottom"/>
            <w:gridSpan w:val="2"/>
            <w:vMerge w:val="continue"/>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0" w:type="dxa"/>
            <w:vAlign w:val="bottom"/>
          </w:tcPr>
          <w:p>
            <w:pPr>
              <w:spacing w:after="0"/>
              <w:rPr>
                <w:sz w:val="1"/>
                <w:szCs w:val="1"/>
                <w:color w:val="auto"/>
              </w:rPr>
            </w:pPr>
          </w:p>
        </w:tc>
      </w:tr>
      <w:tr>
        <w:trPr>
          <w:trHeight w:val="166"/>
        </w:trPr>
        <w:tc>
          <w:tcPr>
            <w:tcW w:w="280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Borders>
              <w:top w:val="single" w:sz="8" w:color="CCCCCC"/>
            </w:tcBorders>
            <w:shd w:val="clear" w:color="auto" w:fill="CCCCCC"/>
          </w:tcPr>
          <w:p>
            <w:pPr>
              <w:spacing w:after="0"/>
              <w:rPr>
                <w:sz w:val="14"/>
                <w:szCs w:val="14"/>
                <w:color w:val="auto"/>
              </w:rPr>
            </w:pPr>
          </w:p>
        </w:tc>
        <w:tc>
          <w:tcPr>
            <w:tcW w:w="128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52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44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Severance (1)</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1,890,000</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1,890,000</w:t>
            </w:r>
          </w:p>
        </w:tc>
        <w:tc>
          <w:tcPr>
            <w:tcW w:w="10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1,890,000</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60"/>
              <w:spacing w:after="0"/>
              <w:rPr>
                <w:sz w:val="20"/>
                <w:szCs w:val="20"/>
                <w:color w:val="auto"/>
              </w:rPr>
            </w:pPr>
            <w:r>
              <w:rPr>
                <w:rFonts w:ascii="Times New Roman" w:cs="Times New Roman" w:eastAsia="Times New Roman" w:hAnsi="Times New Roman"/>
                <w:sz w:val="13"/>
                <w:szCs w:val="13"/>
                <w:color w:val="auto"/>
              </w:rPr>
              <w:t>Pro-Rata Bonus (2)</w:t>
            </w:r>
          </w:p>
        </w:tc>
        <w:tc>
          <w:tcPr>
            <w:tcW w:w="12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560,000</w:t>
            </w:r>
          </w:p>
        </w:tc>
        <w:tc>
          <w:tcPr>
            <w:tcW w:w="100" w:type="dxa"/>
            <w:vAlign w:val="bottom"/>
            <w:shd w:val="clear" w:color="auto" w:fill="CCCCCC"/>
          </w:tcPr>
          <w:p>
            <w:pPr>
              <w:spacing w:after="0"/>
              <w:rPr>
                <w:sz w:val="14"/>
                <w:szCs w:val="14"/>
                <w:color w:val="auto"/>
              </w:rPr>
            </w:pPr>
          </w:p>
        </w:tc>
        <w:tc>
          <w:tcPr>
            <w:tcW w:w="15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560,000</w:t>
            </w:r>
          </w:p>
        </w:tc>
        <w:tc>
          <w:tcPr>
            <w:tcW w:w="100" w:type="dxa"/>
            <w:vAlign w:val="bottom"/>
            <w:shd w:val="clear" w:color="auto" w:fill="CCCCCC"/>
          </w:tcPr>
          <w:p>
            <w:pPr>
              <w:spacing w:after="0"/>
              <w:rPr>
                <w:sz w:val="14"/>
                <w:szCs w:val="14"/>
                <w:color w:val="auto"/>
              </w:rPr>
            </w:pPr>
          </w:p>
        </w:tc>
        <w:tc>
          <w:tcPr>
            <w:tcW w:w="1280" w:type="dxa"/>
            <w:vAlign w:val="bottom"/>
            <w:gridSpan w:val="2"/>
            <w:shd w:val="clear" w:color="auto" w:fill="CCCCCC"/>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560,000</w:t>
            </w:r>
          </w:p>
        </w:tc>
        <w:tc>
          <w:tcPr>
            <w:tcW w:w="100" w:type="dxa"/>
            <w:vAlign w:val="bottom"/>
            <w:shd w:val="clear" w:color="auto" w:fill="CCCCCC"/>
          </w:tcPr>
          <w:p>
            <w:pPr>
              <w:spacing w:after="0"/>
              <w:rPr>
                <w:sz w:val="14"/>
                <w:szCs w:val="14"/>
                <w:color w:val="auto"/>
              </w:rPr>
            </w:pPr>
          </w:p>
        </w:tc>
        <w:tc>
          <w:tcPr>
            <w:tcW w:w="12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Equity Awards (3)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6,883,571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6,883,571</w:t>
            </w:r>
          </w:p>
        </w:tc>
        <w:tc>
          <w:tcPr>
            <w:tcW w:w="10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16,979,128</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16,979,128</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16,979,128</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perquisites:</w:t>
            </w:r>
          </w:p>
        </w:tc>
        <w:tc>
          <w:tcPr>
            <w:tcW w:w="128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52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44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Health Insurance (4)</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74,223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49,482</w:t>
            </w:r>
          </w:p>
        </w:tc>
        <w:tc>
          <w:tcPr>
            <w:tcW w:w="10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41,083</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60"/>
              <w:spacing w:after="0"/>
              <w:rPr>
                <w:sz w:val="20"/>
                <w:szCs w:val="20"/>
                <w:color w:val="auto"/>
              </w:rPr>
            </w:pPr>
            <w:r>
              <w:rPr>
                <w:rFonts w:ascii="Times New Roman" w:cs="Times New Roman" w:eastAsia="Times New Roman" w:hAnsi="Times New Roman"/>
                <w:sz w:val="13"/>
                <w:szCs w:val="13"/>
                <w:color w:val="auto"/>
              </w:rPr>
              <w:t>Disability Income (5)</w:t>
            </w:r>
          </w:p>
        </w:tc>
        <w:tc>
          <w:tcPr>
            <w:tcW w:w="13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CCCC"/>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1,624,352</w:t>
            </w:r>
          </w:p>
        </w:tc>
        <w:tc>
          <w:tcPr>
            <w:tcW w:w="100" w:type="dxa"/>
            <w:vAlign w:val="bottom"/>
            <w:shd w:val="clear" w:color="auto" w:fill="CCCCCC"/>
          </w:tcPr>
          <w:p>
            <w:pPr>
              <w:spacing w:after="0"/>
              <w:rPr>
                <w:sz w:val="14"/>
                <w:szCs w:val="14"/>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Accidental Death or Dismemberment (6)</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60"/>
              <w:spacing w:after="0"/>
              <w:rPr>
                <w:sz w:val="20"/>
                <w:szCs w:val="20"/>
                <w:color w:val="auto"/>
              </w:rPr>
            </w:pPr>
            <w:r>
              <w:rPr>
                <w:rFonts w:ascii="Times New Roman" w:cs="Times New Roman" w:eastAsia="Times New Roman" w:hAnsi="Times New Roman"/>
                <w:sz w:val="13"/>
                <w:szCs w:val="13"/>
                <w:color w:val="auto"/>
              </w:rPr>
              <w:t>Life Insurance (7)</w:t>
            </w:r>
          </w:p>
        </w:tc>
        <w:tc>
          <w:tcPr>
            <w:tcW w:w="128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52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180" w:type="dxa"/>
            <w:vAlign w:val="bottom"/>
            <w:tcBorders>
              <w:bottom w:val="single" w:sz="8" w:color="auto"/>
            </w:tcBorders>
            <w:shd w:val="clear" w:color="auto" w:fill="CCCCCC"/>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44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18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18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07"/>
        </w:trPr>
        <w:tc>
          <w:tcPr>
            <w:tcW w:w="290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Executive Benefits and Payments Upon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9,407,794</w:t>
            </w:r>
          </w:p>
        </w:tc>
        <w:tc>
          <w:tcPr>
            <w:tcW w:w="100" w:type="dxa"/>
            <w:vAlign w:val="bottom"/>
          </w:tcPr>
          <w:p>
            <w:pPr>
              <w:spacing w:after="0"/>
              <w:rPr>
                <w:sz w:val="9"/>
                <w:szCs w:val="9"/>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9,383,053</w:t>
            </w:r>
          </w:p>
        </w:tc>
        <w:tc>
          <w:tcPr>
            <w:tcW w:w="100" w:type="dxa"/>
            <w:vAlign w:val="bottom"/>
          </w:tcPr>
          <w:p>
            <w:pPr>
              <w:spacing w:after="0"/>
              <w:rPr>
                <w:sz w:val="9"/>
                <w:szCs w:val="9"/>
                <w:color w:val="auto"/>
              </w:rPr>
            </w:pPr>
          </w:p>
        </w:tc>
        <w:tc>
          <w:tcPr>
            <w:tcW w:w="118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19,470,211</w:t>
            </w:r>
          </w:p>
        </w:tc>
        <w:tc>
          <w:tcPr>
            <w:tcW w:w="10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20,603,480</w:t>
            </w:r>
          </w:p>
        </w:tc>
        <w:tc>
          <w:tcPr>
            <w:tcW w:w="10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20,979,128</w:t>
            </w:r>
          </w:p>
        </w:tc>
        <w:tc>
          <w:tcPr>
            <w:tcW w:w="0" w:type="dxa"/>
            <w:vAlign w:val="bottom"/>
          </w:tcPr>
          <w:p>
            <w:pPr>
              <w:spacing w:after="0"/>
              <w:rPr>
                <w:sz w:val="1"/>
                <w:szCs w:val="1"/>
                <w:color w:val="auto"/>
              </w:rPr>
            </w:pPr>
          </w:p>
        </w:tc>
      </w:tr>
      <w:tr>
        <w:trPr>
          <w:trHeight w:val="174"/>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Separation</w:t>
            </w: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Ruth Ann Keene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for Good</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Voluntary</w:t>
            </w:r>
          </w:p>
        </w:tc>
        <w:tc>
          <w:tcPr>
            <w:tcW w:w="16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(Except</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Cause</w:t>
            </w:r>
          </w:p>
        </w:tc>
        <w:tc>
          <w:tcPr>
            <w:tcW w:w="15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Change</w:t>
            </w:r>
          </w:p>
        </w:tc>
        <w:tc>
          <w:tcPr>
            <w:tcW w:w="1280" w:type="dxa"/>
            <w:vAlign w:val="bottom"/>
            <w:gridSpan w:val="2"/>
            <w:vMerge w:val="continue"/>
          </w:tcPr>
          <w:p>
            <w:pPr>
              <w:spacing w:after="0"/>
              <w:rPr>
                <w:sz w:val="9"/>
                <w:szCs w:val="9"/>
                <w:color w:val="auto"/>
              </w:rPr>
            </w:pPr>
          </w:p>
        </w:tc>
        <w:tc>
          <w:tcPr>
            <w:tcW w:w="15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in Control)</w:t>
            </w:r>
          </w:p>
        </w:tc>
        <w:tc>
          <w:tcPr>
            <w:tcW w:w="12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5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Control)</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Disability on</w:t>
            </w:r>
          </w:p>
        </w:tc>
        <w:tc>
          <w:tcPr>
            <w:tcW w:w="118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Death on</w:t>
            </w:r>
          </w:p>
        </w:tc>
        <w:tc>
          <w:tcPr>
            <w:tcW w:w="0" w:type="dxa"/>
            <w:vAlign w:val="bottom"/>
          </w:tcPr>
          <w:p>
            <w:pPr>
              <w:spacing w:after="0"/>
              <w:rPr>
                <w:sz w:val="1"/>
                <w:szCs w:val="1"/>
                <w:color w:val="auto"/>
              </w:rPr>
            </w:pPr>
          </w:p>
        </w:tc>
      </w:tr>
      <w:tr>
        <w:trPr>
          <w:trHeight w:val="11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Benefits and Payments</w:t>
            </w:r>
          </w:p>
        </w:tc>
        <w:tc>
          <w:tcPr>
            <w:tcW w:w="14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6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5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00" w:type="dxa"/>
            <w:vAlign w:val="bottom"/>
            <w:gridSpan w:val="2"/>
            <w:vMerge w:val="continue"/>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0" w:type="dxa"/>
            <w:vAlign w:val="bottom"/>
          </w:tcPr>
          <w:p>
            <w:pPr>
              <w:spacing w:after="0"/>
              <w:rPr>
                <w:sz w:val="1"/>
                <w:szCs w:val="1"/>
                <w:color w:val="auto"/>
              </w:rPr>
            </w:pPr>
          </w:p>
        </w:tc>
      </w:tr>
      <w:tr>
        <w:trPr>
          <w:trHeight w:val="165"/>
        </w:trPr>
        <w:tc>
          <w:tcPr>
            <w:tcW w:w="280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5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20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46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20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Severance (1)</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1,458,000</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1,458,000</w:t>
            </w:r>
          </w:p>
        </w:tc>
        <w:tc>
          <w:tcPr>
            <w:tcW w:w="100" w:type="dxa"/>
            <w:vAlign w:val="bottom"/>
          </w:tcPr>
          <w:p>
            <w:pPr>
              <w:spacing w:after="0"/>
              <w:rPr>
                <w:sz w:val="14"/>
                <w:szCs w:val="14"/>
                <w:color w:val="auto"/>
              </w:rPr>
            </w:pP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1,458,000</w:t>
            </w:r>
          </w:p>
        </w:tc>
        <w:tc>
          <w:tcPr>
            <w:tcW w:w="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29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Pro-Rata Bonus (2)</w:t>
            </w:r>
          </w:p>
        </w:tc>
        <w:tc>
          <w:tcPr>
            <w:tcW w:w="13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432,000</w:t>
            </w:r>
          </w:p>
        </w:tc>
        <w:tc>
          <w:tcPr>
            <w:tcW w:w="100" w:type="dxa"/>
            <w:vAlign w:val="bottom"/>
            <w:shd w:val="clear" w:color="auto" w:fill="CCCCCC"/>
          </w:tcPr>
          <w:p>
            <w:pPr>
              <w:spacing w:after="0"/>
              <w:rPr>
                <w:sz w:val="14"/>
                <w:szCs w:val="14"/>
                <w:color w:val="auto"/>
              </w:rPr>
            </w:pPr>
          </w:p>
        </w:tc>
        <w:tc>
          <w:tcPr>
            <w:tcW w:w="15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432,000</w:t>
            </w:r>
          </w:p>
        </w:tc>
        <w:tc>
          <w:tcPr>
            <w:tcW w:w="100" w:type="dxa"/>
            <w:vAlign w:val="bottom"/>
            <w:shd w:val="clear" w:color="auto" w:fill="CCCCCC"/>
          </w:tcPr>
          <w:p>
            <w:pPr>
              <w:spacing w:after="0"/>
              <w:rPr>
                <w:sz w:val="14"/>
                <w:szCs w:val="14"/>
                <w:color w:val="auto"/>
              </w:rPr>
            </w:pPr>
          </w:p>
        </w:tc>
        <w:tc>
          <w:tcPr>
            <w:tcW w:w="1280" w:type="dxa"/>
            <w:vAlign w:val="bottom"/>
            <w:gridSpan w:val="2"/>
            <w:shd w:val="clear" w:color="auto" w:fill="CCCCC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432,000</w:t>
            </w:r>
          </w:p>
        </w:tc>
        <w:tc>
          <w:tcPr>
            <w:tcW w:w="80" w:type="dxa"/>
            <w:vAlign w:val="bottom"/>
            <w:shd w:val="clear" w:color="auto" w:fill="CCCCCC"/>
          </w:tcPr>
          <w:p>
            <w:pPr>
              <w:spacing w:after="0"/>
              <w:rPr>
                <w:sz w:val="14"/>
                <w:szCs w:val="14"/>
                <w:color w:val="auto"/>
              </w:rPr>
            </w:pPr>
          </w:p>
        </w:tc>
        <w:tc>
          <w:tcPr>
            <w:tcW w:w="12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Equity Awards (3)</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8,563,976</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8,563,976</w:t>
            </w:r>
          </w:p>
        </w:tc>
        <w:tc>
          <w:tcPr>
            <w:tcW w:w="100" w:type="dxa"/>
            <w:vAlign w:val="bottom"/>
          </w:tcPr>
          <w:p>
            <w:pPr>
              <w:spacing w:after="0"/>
              <w:rPr>
                <w:sz w:val="14"/>
                <w:szCs w:val="14"/>
                <w:color w:val="auto"/>
              </w:rPr>
            </w:pP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12,613,342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12,613,342</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12,613,342</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perquisites:</w:t>
            </w:r>
          </w:p>
        </w:tc>
        <w:tc>
          <w:tcPr>
            <w:tcW w:w="13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5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Health Insurance (4)</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81,476</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54,318</w:t>
            </w:r>
          </w:p>
        </w:tc>
        <w:tc>
          <w:tcPr>
            <w:tcW w:w="100" w:type="dxa"/>
            <w:vAlign w:val="bottom"/>
          </w:tcPr>
          <w:p>
            <w:pPr>
              <w:spacing w:after="0"/>
              <w:rPr>
                <w:sz w:val="14"/>
                <w:szCs w:val="14"/>
                <w:color w:val="auto"/>
              </w:rPr>
            </w:pP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36,762</w:t>
            </w:r>
          </w:p>
        </w:tc>
        <w:tc>
          <w:tcPr>
            <w:tcW w:w="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Disability Income (5)</w:t>
            </w: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CCC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2,218,608</w:t>
            </w:r>
          </w:p>
        </w:tc>
        <w:tc>
          <w:tcPr>
            <w:tcW w:w="80" w:type="dxa"/>
            <w:vAlign w:val="bottom"/>
            <w:shd w:val="clear" w:color="auto" w:fill="CCCCCC"/>
          </w:tcPr>
          <w:p>
            <w:pPr>
              <w:spacing w:after="0"/>
              <w:rPr>
                <w:sz w:val="14"/>
                <w:szCs w:val="14"/>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Accidental Death or Dismemberment (6)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1,620,000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1,620,000</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Life Insurance (7)</w:t>
            </w:r>
          </w:p>
        </w:tc>
        <w:tc>
          <w:tcPr>
            <w:tcW w:w="13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5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CCCC"/>
          </w:tcPr>
          <w:p>
            <w:pPr>
              <w:spacing w:after="0"/>
              <w:rPr>
                <w:sz w:val="14"/>
                <w:szCs w:val="14"/>
                <w:color w:val="auto"/>
              </w:rPr>
            </w:pPr>
          </w:p>
        </w:tc>
        <w:tc>
          <w:tcPr>
            <w:tcW w:w="1200" w:type="dxa"/>
            <w:vAlign w:val="bottom"/>
            <w:tcBorders>
              <w:bottom w:val="single" w:sz="8" w:color="auto"/>
            </w:tcBorders>
            <w:shd w:val="clear" w:color="auto" w:fill="CCCCC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CCCC"/>
          </w:tcPr>
          <w:p>
            <w:pPr>
              <w:spacing w:after="0"/>
              <w:rPr>
                <w:sz w:val="14"/>
                <w:szCs w:val="14"/>
                <w:color w:val="auto"/>
              </w:rPr>
            </w:pPr>
          </w:p>
        </w:tc>
        <w:tc>
          <w:tcPr>
            <w:tcW w:w="146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CCCC"/>
          </w:tcPr>
          <w:p>
            <w:pPr>
              <w:spacing w:after="0"/>
              <w:rPr>
                <w:sz w:val="14"/>
                <w:szCs w:val="14"/>
                <w:color w:val="auto"/>
              </w:rPr>
            </w:pPr>
          </w:p>
        </w:tc>
        <w:tc>
          <w:tcPr>
            <w:tcW w:w="120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CCCC"/>
          </w:tcPr>
          <w:p>
            <w:pPr>
              <w:spacing w:after="0"/>
              <w:rPr>
                <w:sz w:val="14"/>
                <w:szCs w:val="14"/>
                <w:color w:val="auto"/>
              </w:rPr>
            </w:pPr>
          </w:p>
        </w:tc>
        <w:tc>
          <w:tcPr>
            <w:tcW w:w="1180" w:type="dxa"/>
            <w:vAlign w:val="bottom"/>
            <w:tcBorders>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07"/>
        </w:trPr>
        <w:tc>
          <w:tcPr>
            <w:tcW w:w="290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Executive Benefits and Payments Upon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10,535,452</w:t>
            </w:r>
          </w:p>
        </w:tc>
        <w:tc>
          <w:tcPr>
            <w:tcW w:w="100" w:type="dxa"/>
            <w:vAlign w:val="bottom"/>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10,508,294</w:t>
            </w:r>
          </w:p>
        </w:tc>
        <w:tc>
          <w:tcPr>
            <w:tcW w:w="100" w:type="dxa"/>
            <w:vAlign w:val="bottom"/>
          </w:tcPr>
          <w:p>
            <w:pPr>
              <w:spacing w:after="0"/>
              <w:rPr>
                <w:sz w:val="9"/>
                <w:szCs w:val="9"/>
                <w:color w:val="auto"/>
              </w:rPr>
            </w:pPr>
          </w:p>
        </w:tc>
        <w:tc>
          <w:tcPr>
            <w:tcW w:w="1200" w:type="dxa"/>
            <w:vAlign w:val="bottom"/>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14,540,104</w:t>
            </w: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16,451,950</w:t>
            </w:r>
          </w:p>
        </w:tc>
        <w:tc>
          <w:tcPr>
            <w:tcW w:w="8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16,233,342</w:t>
            </w:r>
          </w:p>
        </w:tc>
        <w:tc>
          <w:tcPr>
            <w:tcW w:w="0" w:type="dxa"/>
            <w:vAlign w:val="bottom"/>
          </w:tcPr>
          <w:p>
            <w:pPr>
              <w:spacing w:after="0"/>
              <w:rPr>
                <w:sz w:val="1"/>
                <w:szCs w:val="1"/>
                <w:color w:val="auto"/>
              </w:rPr>
            </w:pPr>
          </w:p>
        </w:tc>
      </w:tr>
      <w:tr>
        <w:trPr>
          <w:trHeight w:val="174"/>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Separation</w:t>
            </w: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Rebecca Pearce (8)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Not for Cause</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for Good</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or Voluntary</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For Good</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Voluntary</w:t>
            </w:r>
          </w:p>
        </w:tc>
        <w:tc>
          <w:tcPr>
            <w:tcW w:w="16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(Except</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Cause</w:t>
            </w:r>
          </w:p>
        </w:tc>
        <w:tc>
          <w:tcPr>
            <w:tcW w:w="15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Change</w:t>
            </w:r>
          </w:p>
        </w:tc>
        <w:tc>
          <w:tcPr>
            <w:tcW w:w="1280" w:type="dxa"/>
            <w:vAlign w:val="bottom"/>
            <w:gridSpan w:val="2"/>
            <w:vMerge w:val="continue"/>
          </w:tcPr>
          <w:p>
            <w:pPr>
              <w:spacing w:after="0"/>
              <w:rPr>
                <w:sz w:val="9"/>
                <w:szCs w:val="9"/>
                <w:color w:val="auto"/>
              </w:rPr>
            </w:pPr>
          </w:p>
        </w:tc>
        <w:tc>
          <w:tcPr>
            <w:tcW w:w="15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in Control)</w:t>
            </w:r>
          </w:p>
        </w:tc>
        <w:tc>
          <w:tcPr>
            <w:tcW w:w="12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Termination</w:t>
            </w:r>
          </w:p>
        </w:tc>
        <w:tc>
          <w:tcPr>
            <w:tcW w:w="15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Control)</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Disability on</w:t>
            </w:r>
          </w:p>
        </w:tc>
        <w:tc>
          <w:tcPr>
            <w:tcW w:w="1180" w:type="dxa"/>
            <w:vAlign w:val="bottom"/>
            <w:vMerge w:val="restart"/>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Death on</w:t>
            </w:r>
          </w:p>
        </w:tc>
        <w:tc>
          <w:tcPr>
            <w:tcW w:w="0" w:type="dxa"/>
            <w:vAlign w:val="bottom"/>
          </w:tcPr>
          <w:p>
            <w:pPr>
              <w:spacing w:after="0"/>
              <w:rPr>
                <w:sz w:val="1"/>
                <w:szCs w:val="1"/>
                <w:color w:val="auto"/>
              </w:rPr>
            </w:pPr>
          </w:p>
        </w:tc>
      </w:tr>
      <w:tr>
        <w:trPr>
          <w:trHeight w:val="11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Benefits and Payments</w:t>
            </w:r>
          </w:p>
        </w:tc>
        <w:tc>
          <w:tcPr>
            <w:tcW w:w="14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6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on</w:t>
            </w:r>
          </w:p>
        </w:tc>
        <w:tc>
          <w:tcPr>
            <w:tcW w:w="15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on</w:t>
            </w:r>
          </w:p>
        </w:tc>
        <w:tc>
          <w:tcPr>
            <w:tcW w:w="128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00" w:type="dxa"/>
            <w:vAlign w:val="bottom"/>
            <w:gridSpan w:val="2"/>
            <w:vMerge w:val="continue"/>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January 31, 2024 ($)</w:t>
            </w:r>
          </w:p>
        </w:tc>
        <w:tc>
          <w:tcPr>
            <w:tcW w:w="0" w:type="dxa"/>
            <w:vAlign w:val="bottom"/>
          </w:tcPr>
          <w:p>
            <w:pPr>
              <w:spacing w:after="0"/>
              <w:rPr>
                <w:sz w:val="1"/>
                <w:szCs w:val="1"/>
                <w:color w:val="auto"/>
              </w:rPr>
            </w:pPr>
          </w:p>
        </w:tc>
      </w:tr>
      <w:tr>
        <w:trPr>
          <w:trHeight w:val="165"/>
        </w:trPr>
        <w:tc>
          <w:tcPr>
            <w:tcW w:w="280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Borders>
              <w:top w:val="single" w:sz="8" w:color="CCCCCC"/>
            </w:tcBorders>
            <w:shd w:val="clear" w:color="auto" w:fill="CCCCCC"/>
          </w:tcPr>
          <w:p>
            <w:pPr>
              <w:spacing w:after="0"/>
              <w:rPr>
                <w:sz w:val="14"/>
                <w:szCs w:val="14"/>
                <w:color w:val="auto"/>
              </w:rPr>
            </w:pPr>
          </w:p>
        </w:tc>
        <w:tc>
          <w:tcPr>
            <w:tcW w:w="13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5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20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46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200" w:type="dxa"/>
            <w:vAlign w:val="bottom"/>
            <w:tcBorders>
              <w:top w:val="single" w:sz="8" w:color="auto"/>
            </w:tcBorders>
            <w:shd w:val="clear" w:color="auto" w:fill="CCCCCC"/>
          </w:tcPr>
          <w:p>
            <w:pPr>
              <w:spacing w:after="0"/>
              <w:rPr>
                <w:sz w:val="14"/>
                <w:szCs w:val="14"/>
                <w:color w:val="auto"/>
              </w:rPr>
            </w:pPr>
          </w:p>
        </w:tc>
        <w:tc>
          <w:tcPr>
            <w:tcW w:w="80" w:type="dxa"/>
            <w:vAlign w:val="bottom"/>
            <w:tcBorders>
              <w:top w:val="single" w:sz="8" w:color="CCCCCC"/>
            </w:tcBorders>
            <w:shd w:val="clear" w:color="auto" w:fill="CCCCCC"/>
          </w:tcPr>
          <w:p>
            <w:pPr>
              <w:spacing w:after="0"/>
              <w:rPr>
                <w:sz w:val="14"/>
                <w:szCs w:val="14"/>
                <w:color w:val="auto"/>
              </w:rPr>
            </w:pPr>
          </w:p>
        </w:tc>
        <w:tc>
          <w:tcPr>
            <w:tcW w:w="1180" w:type="dxa"/>
            <w:vAlign w:val="bottom"/>
            <w:tcBorders>
              <w:top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Severance (1)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1,303,247</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1,303,247</w:t>
            </w:r>
          </w:p>
        </w:tc>
        <w:tc>
          <w:tcPr>
            <w:tcW w:w="8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9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Pro-Rata Bonus (2)</w:t>
            </w:r>
          </w:p>
        </w:tc>
        <w:tc>
          <w:tcPr>
            <w:tcW w:w="140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386,147</w:t>
            </w:r>
          </w:p>
        </w:tc>
        <w:tc>
          <w:tcPr>
            <w:tcW w:w="80" w:type="dxa"/>
            <w:vAlign w:val="bottom"/>
            <w:shd w:val="clear" w:color="auto" w:fill="CCCCCC"/>
          </w:tcPr>
          <w:p>
            <w:pPr>
              <w:spacing w:after="0"/>
              <w:rPr>
                <w:sz w:val="14"/>
                <w:szCs w:val="14"/>
                <w:color w:val="auto"/>
              </w:rPr>
            </w:pPr>
          </w:p>
        </w:tc>
        <w:tc>
          <w:tcPr>
            <w:tcW w:w="128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Equity Awards (3)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3,160,351</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7,896,029</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7,896,029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7,896,029</w:t>
            </w:r>
          </w:p>
        </w:tc>
        <w:tc>
          <w:tcPr>
            <w:tcW w:w="0" w:type="dxa"/>
            <w:vAlign w:val="bottom"/>
          </w:tcPr>
          <w:p>
            <w:pPr>
              <w:spacing w:after="0"/>
              <w:rPr>
                <w:sz w:val="1"/>
                <w:szCs w:val="1"/>
                <w:color w:val="auto"/>
              </w:rPr>
            </w:pPr>
          </w:p>
        </w:tc>
      </w:tr>
      <w:tr>
        <w:trPr>
          <w:trHeight w:val="170"/>
        </w:trPr>
        <w:tc>
          <w:tcPr>
            <w:tcW w:w="2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perquisites:</w:t>
            </w:r>
          </w:p>
        </w:tc>
        <w:tc>
          <w:tcPr>
            <w:tcW w:w="13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5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46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Health Insurance (4)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9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Disability Income (5)</w:t>
            </w:r>
          </w:p>
        </w:tc>
        <w:tc>
          <w:tcPr>
            <w:tcW w:w="1400" w:type="dxa"/>
            <w:vAlign w:val="bottom"/>
            <w:gridSpan w:val="2"/>
            <w:shd w:val="clear" w:color="auto" w:fill="CCCCCC"/>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CCCC"/>
          </w:tcPr>
          <w:p>
            <w:pPr>
              <w:ind w:left="13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CCCC"/>
          </w:tcPr>
          <w:p>
            <w:pPr>
              <w:ind w:left="12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5,819,071</w:t>
            </w:r>
          </w:p>
        </w:tc>
        <w:tc>
          <w:tcPr>
            <w:tcW w:w="80" w:type="dxa"/>
            <w:vAlign w:val="bottom"/>
            <w:shd w:val="clear" w:color="auto" w:fill="CCCCCC"/>
          </w:tcPr>
          <w:p>
            <w:pPr>
              <w:spacing w:after="0"/>
              <w:rPr>
                <w:sz w:val="15"/>
                <w:szCs w:val="15"/>
                <w:color w:val="auto"/>
              </w:rPr>
            </w:pPr>
          </w:p>
        </w:tc>
        <w:tc>
          <w:tcPr>
            <w:tcW w:w="11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Accidental Death or Dismemberment (6)</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2,167,841</w:t>
            </w:r>
          </w:p>
        </w:tc>
        <w:tc>
          <w:tcPr>
            <w:tcW w:w="0" w:type="dxa"/>
            <w:vAlign w:val="bottom"/>
          </w:tcPr>
          <w:p>
            <w:pPr>
              <w:spacing w:after="0"/>
              <w:rPr>
                <w:sz w:val="1"/>
                <w:szCs w:val="1"/>
                <w:color w:val="auto"/>
              </w:rPr>
            </w:pPr>
          </w:p>
        </w:tc>
      </w:tr>
      <w:tr>
        <w:trPr>
          <w:trHeight w:val="180"/>
        </w:trPr>
        <w:tc>
          <w:tcPr>
            <w:tcW w:w="290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3"/>
                <w:szCs w:val="13"/>
                <w:color w:val="auto"/>
              </w:rPr>
              <w:t>Life Insurance (7)</w:t>
            </w:r>
          </w:p>
        </w:tc>
        <w:tc>
          <w:tcPr>
            <w:tcW w:w="13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5"/>
                <w:szCs w:val="15"/>
                <w:color w:val="auto"/>
              </w:rPr>
            </w:pPr>
          </w:p>
        </w:tc>
        <w:tc>
          <w:tcPr>
            <w:tcW w:w="1500" w:type="dxa"/>
            <w:vAlign w:val="bottom"/>
            <w:tcBorders>
              <w:bottom w:val="single" w:sz="8" w:color="auto"/>
            </w:tcBorders>
            <w:shd w:val="clear" w:color="auto" w:fill="CCCCCC"/>
          </w:tcPr>
          <w:p>
            <w:pPr>
              <w:ind w:left="1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5"/>
                <w:szCs w:val="15"/>
                <w:color w:val="auto"/>
              </w:rPr>
            </w:pPr>
          </w:p>
        </w:tc>
        <w:tc>
          <w:tcPr>
            <w:tcW w:w="1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1460" w:type="dxa"/>
            <w:vAlign w:val="bottom"/>
            <w:tcBorders>
              <w:bottom w:val="single" w:sz="8" w:color="auto"/>
            </w:tcBorders>
            <w:shd w:val="clear" w:color="auto" w:fill="CCCCCC"/>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1200" w:type="dxa"/>
            <w:vAlign w:val="bottom"/>
            <w:tcBorders>
              <w:bottom w:val="single" w:sz="8" w:color="auto"/>
            </w:tcBorders>
            <w:shd w:val="clear" w:color="auto" w:fill="CCCCCC"/>
          </w:tcPr>
          <w:p>
            <w:pPr>
              <w:ind w:left="10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11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2,167,841</w:t>
            </w:r>
          </w:p>
        </w:tc>
        <w:tc>
          <w:tcPr>
            <w:tcW w:w="0" w:type="dxa"/>
            <w:vAlign w:val="bottom"/>
          </w:tcPr>
          <w:p>
            <w:pPr>
              <w:spacing w:after="0"/>
              <w:rPr>
                <w:sz w:val="1"/>
                <w:szCs w:val="1"/>
                <w:color w:val="auto"/>
              </w:rPr>
            </w:pPr>
          </w:p>
        </w:tc>
      </w:tr>
      <w:tr>
        <w:trPr>
          <w:trHeight w:val="107"/>
        </w:trPr>
        <w:tc>
          <w:tcPr>
            <w:tcW w:w="290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Executive Benefits and Payments Upon</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4,463,598</w:t>
            </w:r>
          </w:p>
        </w:tc>
        <w:tc>
          <w:tcPr>
            <w:tcW w:w="100" w:type="dxa"/>
            <w:vAlign w:val="bottom"/>
          </w:tcPr>
          <w:p>
            <w:pPr>
              <w:spacing w:after="0"/>
              <w:rPr>
                <w:sz w:val="9"/>
                <w:szCs w:val="9"/>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9,585,423</w:t>
            </w: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13,715,100</w:t>
            </w:r>
          </w:p>
        </w:tc>
        <w:tc>
          <w:tcPr>
            <w:tcW w:w="8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12,231,711</w:t>
            </w:r>
          </w:p>
        </w:tc>
        <w:tc>
          <w:tcPr>
            <w:tcW w:w="0" w:type="dxa"/>
            <w:vAlign w:val="bottom"/>
          </w:tcPr>
          <w:p>
            <w:pPr>
              <w:spacing w:after="0"/>
              <w:rPr>
                <w:sz w:val="1"/>
                <w:szCs w:val="1"/>
                <w:color w:val="auto"/>
              </w:rPr>
            </w:pPr>
          </w:p>
        </w:tc>
      </w:tr>
      <w:tr>
        <w:trPr>
          <w:trHeight w:val="167"/>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Separation</w:t>
            </w:r>
          </w:p>
        </w:tc>
        <w:tc>
          <w:tcPr>
            <w:tcW w:w="140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w:t>
            </w: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260" w:hanging="255"/>
        <w:spacing w:after="0" w:line="244" w:lineRule="auto"/>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Severance: </w:t>
      </w:r>
      <w:r>
        <w:rPr>
          <w:rFonts w:ascii="Times New Roman" w:cs="Times New Roman" w:eastAsia="Times New Roman" w:hAnsi="Times New Roman"/>
          <w:sz w:val="13"/>
          <w:szCs w:val="13"/>
          <w:color w:val="auto"/>
        </w:rPr>
        <w:t>For Dr. Anagnost, the amounts shown would be paid in accordance with his employment agreement as amended on April 27, 2022 based on base salary and target bonus in effect at January 31, 2024.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other continuing named executive officers, the amounts shown would be paid in accordance with the Severance Plan in effect at January 31, 2024 or Executive Change in Control Program as amended on April 27, 2022 based on base salary and target bonus in effect at January 31, 2024.</w:t>
      </w:r>
    </w:p>
    <w:p>
      <w:pPr>
        <w:ind w:left="260" w:right="300" w:hanging="255"/>
        <w:spacing w:after="0" w:line="246" w:lineRule="auto"/>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Pro-Rata Bonus: </w:t>
      </w:r>
      <w:r>
        <w:rPr>
          <w:rFonts w:ascii="Times New Roman" w:cs="Times New Roman" w:eastAsia="Times New Roman" w:hAnsi="Times New Roman"/>
          <w:sz w:val="13"/>
          <w:szCs w:val="13"/>
          <w:color w:val="auto"/>
        </w:rPr>
        <w:t>Represents pro-rata bonus amounts for the year in which the termination occurred, which is payable under Dr. Anagnost’s employment agreement, Severance Plan, and the Executive Change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Program.</w:t>
      </w:r>
    </w:p>
    <w:p>
      <w:pPr>
        <w:spacing w:after="0" w:line="1" w:lineRule="exact"/>
        <w:rPr>
          <w:rFonts w:ascii="Times New Roman" w:cs="Times New Roman" w:eastAsia="Times New Roman" w:hAnsi="Times New Roman"/>
          <w:sz w:val="13"/>
          <w:szCs w:val="13"/>
          <w:color w:val="auto"/>
        </w:rPr>
      </w:pPr>
    </w:p>
    <w:p>
      <w:pPr>
        <w:ind w:left="260" w:right="40" w:hanging="255"/>
        <w:spacing w:after="0" w:line="245" w:lineRule="auto"/>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Equity Awards: </w:t>
      </w:r>
      <w:r>
        <w:rPr>
          <w:rFonts w:ascii="Times New Roman" w:cs="Times New Roman" w:eastAsia="Times New Roman" w:hAnsi="Times New Roman"/>
          <w:sz w:val="13"/>
          <w:szCs w:val="13"/>
          <w:color w:val="auto"/>
        </w:rPr>
        <w:t>Pursuant to Autodesk's form of RSU and PSU award agreement, in the case of a Qualified Retirement, partial continued vesting of outstanding RSUs and PSUs continues, and in the case of Disability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Death, unvested time-based RSUs vest in full and unvested PSUs vest at target. For Dr. Anagnost, the amounts shown for other termination scenarios reflect the value of unvested equity awards accelerated in accordance with his employment agreement as amended on April 27, 2022. For the other continuing named executive officers, the amounts shown for other termination scenarios reflect the value of unvested equity awards accelerated in accordance with the Severance Plan in effect at January 31, 2024 or Executive Change in Control Program as amended on April 27, 2022. Reported values are based on the closing price of our common stock on January 31, 2024 ($253.81 per share) for RSUs and PSUs and target PSUs.</w:t>
      </w:r>
    </w:p>
    <w:p>
      <w:pPr>
        <w:ind w:left="260" w:hanging="255"/>
        <w:spacing w:after="0" w:line="245" w:lineRule="auto"/>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Health Insurance: </w:t>
      </w:r>
      <w:r>
        <w:rPr>
          <w:rFonts w:ascii="Times New Roman" w:cs="Times New Roman" w:eastAsia="Times New Roman" w:hAnsi="Times New Roman"/>
          <w:sz w:val="13"/>
          <w:szCs w:val="13"/>
          <w:color w:val="auto"/>
        </w:rPr>
        <w:t>For Dr. Anagnost, in accordance with his employment agreement as amended on April 27, 2022, these amounts represent the cost of continuing coverage for Dr. Anagnost and his dependents.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amount shown in the Involuntary Not for Cause or Voluntary for Good Reason (Except Change in Control) Termination column reflects 12 months of coverage after separation. The amounts in the Involuntary Not for Cause or Voluntary for Good Reason (Change in Control) Termination column reflect 18 months of coverage after separation. For the other continuing named executive officers, these amounts represent the cost of continuing coverage for medical and dental benefits for each executive and his or her dependents (i) in the case of the Disability column, for 12 months in accordance with Autodesk's benefits program, (ii) in the case of the Involuntary Not for Cause or Voluntary for Good Reason (Except Change in Control) Termination column, for 12 months after separation and grossed up for taxes in accordance with the Severance Plan in effect at January 31, 2024, and (iii) in the case of the Involuntary Not for Cause or Voluntary for Good Reason (Change in Control) Termination column, for 18 months after separation in accordance with the Executive Change in Control Program as amended on April 27, 2022.</w:t>
      </w:r>
    </w:p>
    <w:p>
      <w:pPr>
        <w:ind w:left="260" w:right="20" w:hanging="255"/>
        <w:spacing w:after="0" w:line="228" w:lineRule="auto"/>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Disability Income: </w:t>
      </w:r>
      <w:r>
        <w:rPr>
          <w:rFonts w:ascii="Times New Roman" w:cs="Times New Roman" w:eastAsia="Times New Roman" w:hAnsi="Times New Roman"/>
          <w:sz w:val="13"/>
          <w:szCs w:val="13"/>
          <w:color w:val="auto"/>
        </w:rPr>
        <w:t>Reflects the estimated present value of all future payments to each executive, except for Ms. Pearce, under his or her elected disability program, which represent 100% of base salary for the first 90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days, and then 66</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3"/>
          <w:szCs w:val="13"/>
          <w:color w:val="auto"/>
        </w:rPr>
        <w:t>% of salary thereafter, with a maximum of $20,000 per month, until the age of 67. Ms. Pearce’s elected disability program represents 75% of base salary, plus average of bonus earnings over the last three fiscal years, minus state incapacity benefit, each year until the retirement age of 65. These payments would be made by the insurance provider, not by Autodesk.</w:t>
      </w:r>
    </w:p>
    <w:p>
      <w:pPr>
        <w:ind w:left="260" w:right="160" w:hanging="255"/>
        <w:spacing w:after="0" w:line="244" w:lineRule="auto"/>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Accidental Death or Dismemberment: </w:t>
      </w:r>
      <w:r>
        <w:rPr>
          <w:rFonts w:ascii="Times New Roman" w:cs="Times New Roman" w:eastAsia="Times New Roman" w:hAnsi="Times New Roman"/>
          <w:sz w:val="13"/>
          <w:szCs w:val="13"/>
          <w:color w:val="auto"/>
        </w:rPr>
        <w:t>Reflects the lump-sum amount payable to each executive or his or her beneficiaries by Autodesk’s insurance provider in the event of the executive’s accidental death. There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also a prorated lump sum payment for dismemberment. The amount shown as payable upon dismemberment is based upon the payout for the most severe dismemberment under the plan.</w:t>
      </w:r>
    </w:p>
    <w:p>
      <w:pPr>
        <w:ind w:left="260" w:hanging="255"/>
        <w:spacing w:after="0"/>
        <w:tabs>
          <w:tab w:leader="none" w:pos="2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Life Insurance: </w:t>
      </w:r>
      <w:r>
        <w:rPr>
          <w:rFonts w:ascii="Times New Roman" w:cs="Times New Roman" w:eastAsia="Times New Roman" w:hAnsi="Times New Roman"/>
          <w:sz w:val="13"/>
          <w:szCs w:val="13"/>
          <w:color w:val="auto"/>
        </w:rPr>
        <w:t>Reflects the lump-sum amount payable to beneficiaries by Autodesk’s insurance provider in the event of the executive’s death.</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p>
      <w:pPr>
        <w:ind w:left="260" w:right="160" w:hanging="255"/>
        <w:spacing w:after="0" w:line="247" w:lineRule="auto"/>
        <w:tabs>
          <w:tab w:leader="none" w:pos="26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Pearce’s cash severance and benefits are provided in British Pounds. These amounts represent the approximate dollar value of her base salary and other compensation converted to U.S. dollars using the British Pound to dollar exchange rate of 1.25, which represents an average for fiscal year 2024.</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of Directors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fiscal year 2024, our non-employee directors were eligible to receive the annual compensation set forth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Member of the Board of Directors</w:t>
            </w:r>
          </w:p>
        </w:tc>
        <w:tc>
          <w:tcPr>
            <w:tcW w:w="506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$75,000 and RSUs ($250,000 equivalent)</w:t>
            </w:r>
          </w:p>
        </w:tc>
      </w:tr>
      <w:tr>
        <w:trPr>
          <w:trHeight w:val="16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Non-executive Chair of the Board</w:t>
            </w:r>
          </w:p>
        </w:tc>
        <w:tc>
          <w:tcPr>
            <w:tcW w:w="4180" w:type="dxa"/>
            <w:vAlign w:val="bottom"/>
          </w:tcPr>
          <w:p>
            <w:pPr>
              <w:ind w:left="3080"/>
              <w:spacing w:after="0"/>
              <w:rPr>
                <w:sz w:val="20"/>
                <w:szCs w:val="20"/>
                <w:color w:val="auto"/>
              </w:rPr>
            </w:pPr>
            <w:r>
              <w:rPr>
                <w:rFonts w:ascii="Times New Roman" w:cs="Times New Roman" w:eastAsia="Times New Roman" w:hAnsi="Times New Roman"/>
                <w:sz w:val="13"/>
                <w:szCs w:val="13"/>
                <w:color w:val="auto"/>
              </w:rPr>
              <w:t>an additional</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r>
      <w:tr>
        <w:trPr>
          <w:trHeight w:val="172"/>
        </w:trPr>
        <w:tc>
          <w:tcPr>
            <w:tcW w:w="622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Chair of the Audit Committee</w:t>
            </w:r>
          </w:p>
        </w:tc>
        <w:tc>
          <w:tcPr>
            <w:tcW w:w="4180" w:type="dxa"/>
            <w:vAlign w:val="bottom"/>
            <w:shd w:val="clear" w:color="auto" w:fill="CCCCCC"/>
          </w:tcPr>
          <w:p>
            <w:pPr>
              <w:ind w:left="3080"/>
              <w:spacing w:after="0"/>
              <w:rPr>
                <w:sz w:val="20"/>
                <w:szCs w:val="20"/>
                <w:color w:val="auto"/>
              </w:rPr>
            </w:pPr>
            <w:r>
              <w:rPr>
                <w:rFonts w:ascii="Times New Roman" w:cs="Times New Roman" w:eastAsia="Times New Roman" w:hAnsi="Times New Roman"/>
                <w:sz w:val="13"/>
                <w:szCs w:val="13"/>
                <w:color w:val="auto"/>
              </w:rPr>
              <w:t>an additional</w:t>
            </w:r>
          </w:p>
        </w:tc>
        <w:tc>
          <w:tcPr>
            <w:tcW w:w="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6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Chair of the Compensation and Human Resources Committee</w:t>
            </w:r>
          </w:p>
        </w:tc>
        <w:tc>
          <w:tcPr>
            <w:tcW w:w="4180" w:type="dxa"/>
            <w:vAlign w:val="bottom"/>
          </w:tcPr>
          <w:p>
            <w:pPr>
              <w:ind w:left="3080"/>
              <w:spacing w:after="0"/>
              <w:rPr>
                <w:sz w:val="20"/>
                <w:szCs w:val="20"/>
                <w:color w:val="auto"/>
              </w:rPr>
            </w:pPr>
            <w:r>
              <w:rPr>
                <w:rFonts w:ascii="Times New Roman" w:cs="Times New Roman" w:eastAsia="Times New Roman" w:hAnsi="Times New Roman"/>
                <w:sz w:val="13"/>
                <w:szCs w:val="13"/>
                <w:color w:val="auto"/>
              </w:rPr>
              <w:t>an additional</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r>
      <w:tr>
        <w:trPr>
          <w:trHeight w:val="172"/>
        </w:trPr>
        <w:tc>
          <w:tcPr>
            <w:tcW w:w="6220" w:type="dxa"/>
            <w:vAlign w:val="bottom"/>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Chair of the Corporate Governance and Nominating Committee</w:t>
            </w:r>
          </w:p>
        </w:tc>
        <w:tc>
          <w:tcPr>
            <w:tcW w:w="4180" w:type="dxa"/>
            <w:vAlign w:val="bottom"/>
            <w:shd w:val="clear" w:color="auto" w:fill="CCCCCC"/>
          </w:tcPr>
          <w:p>
            <w:pPr>
              <w:ind w:left="3080"/>
              <w:spacing w:after="0"/>
              <w:rPr>
                <w:sz w:val="20"/>
                <w:szCs w:val="20"/>
                <w:color w:val="auto"/>
              </w:rPr>
            </w:pPr>
            <w:r>
              <w:rPr>
                <w:rFonts w:ascii="Times New Roman" w:cs="Times New Roman" w:eastAsia="Times New Roman" w:hAnsi="Times New Roman"/>
                <w:sz w:val="13"/>
                <w:szCs w:val="13"/>
                <w:color w:val="auto"/>
              </w:rPr>
              <w:t>an additional</w:t>
            </w:r>
          </w:p>
        </w:tc>
        <w:tc>
          <w:tcPr>
            <w:tcW w:w="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$10,000</w:t>
            </w:r>
          </w:p>
        </w:tc>
      </w:tr>
    </w:tbl>
    <w:p>
      <w:pPr>
        <w:spacing w:after="0" w:line="240"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The annual compensation cycle for non-employee directors begins on the date of the annual stockholders’ meeting and ends on the date of the next annual stockholders meeting (“Directors’ Compensation Cycle”). Director compensation in the tables below represent the portion of annual compensation with respect to service during Autodesk's fiscal year 2024.</w:t>
      </w:r>
    </w:p>
    <w:p>
      <w:pPr>
        <w:spacing w:after="0" w:line="145"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No later than December 31 of the year prior to a director’s re-election to the Board, the director can elect to receive up to 100% of his or her annual fees in the form of RSUs issued at a rate of $1.20 worth of stock for each $1.00 of cash compensation foregone (“Elected RSUs”). If cash is elected, cash compensation is accrued monthly and paid quarterly, in arrears. The Elected RSUs are issued at the beginning of the Directors’ Compensation Cycle on the date of the annual meeting of stockholders and vest on the date of the annual meeting of stockholders in the following year, provided that the recipient is a director on such date.</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Non-Employee Director Annual Compensation Cycle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June 16, 2023 Annual Stockholder Meeting - June 16, 2023 Annual Stockholder Meeting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3180" w:type="dxa"/>
            <w:vAlign w:val="bottom"/>
            <w:tcBorders>
              <w:top w:val="single" w:sz="8" w:color="auto"/>
            </w:tcBorders>
          </w:tcPr>
          <w:p>
            <w:pPr>
              <w:jc w:val="center"/>
              <w:ind w:left="463"/>
              <w:spacing w:after="0" w:line="107" w:lineRule="exact"/>
              <w:rPr>
                <w:sz w:val="20"/>
                <w:szCs w:val="20"/>
                <w:color w:val="auto"/>
              </w:rPr>
            </w:pPr>
            <w:r>
              <w:rPr>
                <w:rFonts w:ascii="Times New Roman" w:cs="Times New Roman" w:eastAsia="Times New Roman" w:hAnsi="Times New Roman"/>
                <w:sz w:val="11"/>
                <w:szCs w:val="11"/>
                <w:b w:val="1"/>
                <w:bCs w:val="1"/>
                <w:color w:val="auto"/>
              </w:rPr>
              <w:t>% Annual Fees Elected to Convert to RSUs</w:t>
            </w: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720" w:type="dxa"/>
            <w:vAlign w:val="bottom"/>
            <w:tcBorders>
              <w:top w:val="single" w:sz="8" w:color="auto"/>
            </w:tcBorders>
          </w:tcPr>
          <w:p>
            <w:pPr>
              <w:jc w:val="right"/>
              <w:ind w:right="738"/>
              <w:spacing w:after="0" w:line="107" w:lineRule="exact"/>
              <w:rPr>
                <w:sz w:val="20"/>
                <w:szCs w:val="20"/>
                <w:color w:val="auto"/>
              </w:rPr>
            </w:pPr>
            <w:r>
              <w:rPr>
                <w:rFonts w:ascii="Times New Roman" w:cs="Times New Roman" w:eastAsia="Times New Roman" w:hAnsi="Times New Roman"/>
                <w:sz w:val="11"/>
                <w:szCs w:val="11"/>
                <w:b w:val="1"/>
                <w:bCs w:val="1"/>
                <w:color w:val="auto"/>
              </w:rPr>
              <w:t>% Annual Fees Elected to Convert to RSUs</w:t>
            </w:r>
          </w:p>
        </w:tc>
        <w:tc>
          <w:tcPr>
            <w:tcW w:w="0" w:type="dxa"/>
            <w:vAlign w:val="bottom"/>
          </w:tcPr>
          <w:p>
            <w:pPr>
              <w:spacing w:after="0"/>
              <w:rPr>
                <w:sz w:val="1"/>
                <w:szCs w:val="1"/>
                <w:color w:val="auto"/>
              </w:rPr>
            </w:pPr>
          </w:p>
        </w:tc>
      </w:tr>
      <w:tr>
        <w:trPr>
          <w:trHeight w:val="153"/>
        </w:trPr>
        <w:tc>
          <w:tcPr>
            <w:tcW w:w="3780" w:type="dxa"/>
            <w:vAlign w:val="bottom"/>
            <w:gridSpan w:val="2"/>
            <w:vMerge w:val="continue"/>
          </w:tcPr>
          <w:p>
            <w:pPr>
              <w:spacing w:after="0"/>
              <w:rPr>
                <w:sz w:val="13"/>
                <w:szCs w:val="13"/>
                <w:color w:val="auto"/>
              </w:rPr>
            </w:pPr>
          </w:p>
        </w:tc>
        <w:tc>
          <w:tcPr>
            <w:tcW w:w="318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(June 17, 2022 - June 16, 2023)</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jc w:val="right"/>
              <w:ind w:right="1058"/>
              <w:spacing w:after="0"/>
              <w:rPr>
                <w:sz w:val="20"/>
                <w:szCs w:val="20"/>
                <w:color w:val="auto"/>
              </w:rPr>
            </w:pPr>
            <w:r>
              <w:rPr>
                <w:rFonts w:ascii="Times New Roman" w:cs="Times New Roman" w:eastAsia="Times New Roman" w:hAnsi="Times New Roman"/>
                <w:sz w:val="11"/>
                <w:szCs w:val="11"/>
                <w:b w:val="1"/>
                <w:bCs w:val="1"/>
                <w:color w:val="auto"/>
              </w:rPr>
              <w:t>(June 22, 2023 - June 21, 2024)</w:t>
            </w:r>
          </w:p>
        </w:tc>
        <w:tc>
          <w:tcPr>
            <w:tcW w:w="0" w:type="dxa"/>
            <w:vAlign w:val="bottom"/>
          </w:tcPr>
          <w:p>
            <w:pPr>
              <w:spacing w:after="0"/>
              <w:rPr>
                <w:sz w:val="1"/>
                <w:szCs w:val="1"/>
                <w:color w:val="auto"/>
              </w:rPr>
            </w:pPr>
          </w:p>
        </w:tc>
      </w:tr>
      <w:tr>
        <w:trPr>
          <w:trHeight w:val="165"/>
        </w:trPr>
        <w:tc>
          <w:tcPr>
            <w:tcW w:w="36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100" w:type="dxa"/>
            <w:vAlign w:val="bottom"/>
            <w:tcBorders>
              <w:top w:val="single" w:sz="8" w:color="CCCCCC"/>
            </w:tcBorders>
            <w:shd w:val="clear" w:color="auto" w:fill="CCCCCC"/>
          </w:tcPr>
          <w:p>
            <w:pPr>
              <w:spacing w:after="0"/>
              <w:rPr>
                <w:sz w:val="14"/>
                <w:szCs w:val="14"/>
                <w:color w:val="auto"/>
              </w:rPr>
            </w:pPr>
          </w:p>
        </w:tc>
        <w:tc>
          <w:tcPr>
            <w:tcW w:w="3180" w:type="dxa"/>
            <w:vAlign w:val="bottom"/>
            <w:tcBorders>
              <w:top w:val="single" w:sz="8" w:color="auto"/>
            </w:tcBorders>
            <w:shd w:val="clear" w:color="auto" w:fill="CCCCCC"/>
          </w:tcPr>
          <w:p>
            <w:pPr>
              <w:spacing w:after="0"/>
              <w:rPr>
                <w:sz w:val="14"/>
                <w:szCs w:val="14"/>
                <w:color w:val="auto"/>
              </w:rPr>
            </w:pPr>
          </w:p>
        </w:tc>
        <w:tc>
          <w:tcPr>
            <w:tcW w:w="52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top w:val="single" w:sz="8" w:color="CCCCCC"/>
            </w:tcBorders>
            <w:shd w:val="clear" w:color="auto" w:fill="CCCCCC"/>
          </w:tcPr>
          <w:p>
            <w:pPr>
              <w:spacing w:after="0"/>
              <w:rPr>
                <w:sz w:val="14"/>
                <w:szCs w:val="14"/>
                <w:color w:val="auto"/>
              </w:rPr>
            </w:pPr>
          </w:p>
        </w:tc>
        <w:tc>
          <w:tcPr>
            <w:tcW w:w="372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3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3180" w:type="dxa"/>
            <w:vAlign w:val="bottom"/>
            <w:shd w:val="clear" w:color="auto" w:fill="CCCCCC"/>
          </w:tcPr>
          <w:p>
            <w:pPr>
              <w:spacing w:after="0"/>
              <w:rPr>
                <w:sz w:val="14"/>
                <w:szCs w:val="14"/>
                <w:color w:val="auto"/>
              </w:rPr>
            </w:pPr>
          </w:p>
        </w:tc>
        <w:tc>
          <w:tcPr>
            <w:tcW w:w="5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CCCC"/>
          </w:tcPr>
          <w:p>
            <w:pPr>
              <w:spacing w:after="0"/>
              <w:rPr>
                <w:sz w:val="14"/>
                <w:szCs w:val="14"/>
                <w:color w:val="auto"/>
              </w:rPr>
            </w:pPr>
          </w:p>
        </w:tc>
        <w:tc>
          <w:tcPr>
            <w:tcW w:w="37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31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3180" w:type="dxa"/>
            <w:vAlign w:val="bottom"/>
            <w:shd w:val="clear" w:color="auto" w:fill="CCCCCC"/>
          </w:tcPr>
          <w:p>
            <w:pPr>
              <w:spacing w:after="0"/>
              <w:rPr>
                <w:sz w:val="14"/>
                <w:szCs w:val="14"/>
                <w:color w:val="auto"/>
              </w:rPr>
            </w:pPr>
          </w:p>
        </w:tc>
        <w:tc>
          <w:tcPr>
            <w:tcW w:w="5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CCCC"/>
          </w:tcPr>
          <w:p>
            <w:pPr>
              <w:spacing w:after="0"/>
              <w:rPr>
                <w:sz w:val="14"/>
                <w:szCs w:val="14"/>
                <w:color w:val="auto"/>
              </w:rPr>
            </w:pPr>
          </w:p>
        </w:tc>
        <w:tc>
          <w:tcPr>
            <w:tcW w:w="37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3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3180" w:type="dxa"/>
            <w:vAlign w:val="bottom"/>
            <w:shd w:val="clear" w:color="auto" w:fill="CCCCCC"/>
          </w:tcPr>
          <w:p>
            <w:pPr>
              <w:spacing w:after="0"/>
              <w:rPr>
                <w:sz w:val="14"/>
                <w:szCs w:val="14"/>
                <w:color w:val="auto"/>
              </w:rPr>
            </w:pPr>
          </w:p>
        </w:tc>
        <w:tc>
          <w:tcPr>
            <w:tcW w:w="5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CCCC"/>
          </w:tcPr>
          <w:p>
            <w:pPr>
              <w:spacing w:after="0"/>
              <w:rPr>
                <w:sz w:val="14"/>
                <w:szCs w:val="14"/>
                <w:color w:val="auto"/>
              </w:rPr>
            </w:pPr>
          </w:p>
        </w:tc>
        <w:tc>
          <w:tcPr>
            <w:tcW w:w="37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3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3180" w:type="dxa"/>
            <w:vAlign w:val="bottom"/>
            <w:shd w:val="clear" w:color="auto" w:fill="CCCCCC"/>
          </w:tcPr>
          <w:p>
            <w:pPr>
              <w:spacing w:after="0"/>
              <w:rPr>
                <w:sz w:val="14"/>
                <w:szCs w:val="14"/>
                <w:color w:val="auto"/>
              </w:rPr>
            </w:pPr>
          </w:p>
        </w:tc>
        <w:tc>
          <w:tcPr>
            <w:tcW w:w="60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7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31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During fiscal year 2024, Autodesk’s Director Compensation Policy under the Autodesk’s 2022 Equity Incentive Plan provided for the automatic grant of RSUs to our non-employee directors. Upon being elected or appointed to our Board, each non-employee director would be provided an initial grant of RSUs with a grant date value of $250,000 and prorated based on service on the date such director joined the Board (“Initial RSUs”), with subsequent annual grants of RSUs with a grant date value of $250,000 on the date of the annual meeting (“Subsequent Annual RSUs”).</w:t>
      </w:r>
    </w:p>
    <w:p>
      <w:pPr>
        <w:spacing w:after="0" w:line="192" w:lineRule="exact"/>
        <w:rPr>
          <w:sz w:val="20"/>
          <w:szCs w:val="20"/>
          <w:color w:val="auto"/>
        </w:rPr>
      </w:pPr>
    </w:p>
    <w:tbl>
      <w:tblPr>
        <w:tblLayout w:type="fixed"/>
        <w:tblInd w:w="320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number of calendar days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from the Date of Grant to</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center"/>
              <w:ind w:left="22"/>
              <w:spacing w:after="0"/>
              <w:rPr>
                <w:sz w:val="20"/>
                <w:szCs w:val="20"/>
                <w:color w:val="auto"/>
              </w:rPr>
            </w:pPr>
            <w:r>
              <w:rPr>
                <w:rFonts w:ascii="Times New Roman" w:cs="Times New Roman" w:eastAsia="Times New Roman" w:hAnsi="Times New Roman"/>
                <w:sz w:val="13"/>
                <w:szCs w:val="13"/>
                <w:color w:val="auto"/>
                <w:w w:val="98"/>
              </w:rPr>
              <w:t>Result is rounded</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Autodesk’s next annual</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w w:val="94"/>
              </w:rPr>
              <w:t>$250,000</w:t>
            </w:r>
          </w:p>
        </w:tc>
        <w:tc>
          <w:tcPr>
            <w:tcW w:w="34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b w:val="1"/>
                <w:bCs w:val="1"/>
                <w:color w:val="auto"/>
              </w:rPr>
              <w:t>x</w:t>
            </w:r>
          </w:p>
        </w:tc>
        <w:tc>
          <w:tcPr>
            <w:tcW w:w="1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7"/>
              </w:rPr>
              <w:t>meeting of stockholders</w:t>
            </w:r>
          </w:p>
        </w:tc>
        <w:tc>
          <w:tcPr>
            <w:tcW w:w="220" w:type="dxa"/>
            <w:vAlign w:val="bottom"/>
          </w:tcPr>
          <w:p>
            <w:pPr>
              <w:jc w:val="right"/>
              <w:ind w:right="16"/>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5"/>
              </w:rPr>
              <w:t>Fair Market Value</w:t>
            </w:r>
          </w:p>
        </w:tc>
        <w:tc>
          <w:tcPr>
            <w:tcW w:w="2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center"/>
              <w:ind w:left="2"/>
              <w:spacing w:after="0" w:line="138" w:lineRule="exact"/>
              <w:rPr>
                <w:sz w:val="20"/>
                <w:szCs w:val="20"/>
                <w:color w:val="auto"/>
              </w:rPr>
            </w:pPr>
            <w:r>
              <w:rPr>
                <w:rFonts w:ascii="Times New Roman" w:cs="Times New Roman" w:eastAsia="Times New Roman" w:hAnsi="Times New Roman"/>
                <w:sz w:val="13"/>
                <w:szCs w:val="13"/>
                <w:color w:val="auto"/>
                <w:w w:val="98"/>
              </w:rPr>
              <w:t>down to the nearest</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vMerge w:val="restart"/>
          </w:tcPr>
          <w:p>
            <w:pPr>
              <w:jc w:val="center"/>
              <w:spacing w:after="0" w:line="85" w:lineRule="exact"/>
              <w:rPr>
                <w:sz w:val="20"/>
                <w:szCs w:val="20"/>
                <w:color w:val="auto"/>
              </w:rPr>
            </w:pPr>
            <w:r>
              <w:rPr>
                <w:rFonts w:ascii="Times New Roman" w:cs="Times New Roman" w:eastAsia="Times New Roman" w:hAnsi="Times New Roman"/>
                <w:sz w:val="8"/>
                <w:szCs w:val="8"/>
                <w:color w:val="auto"/>
              </w:rPr>
              <w:t>of a Share on the</w:t>
            </w:r>
          </w:p>
        </w:tc>
        <w:tc>
          <w:tcPr>
            <w:tcW w:w="200" w:type="dxa"/>
            <w:vAlign w:val="bottom"/>
          </w:tcPr>
          <w:p>
            <w:pPr>
              <w:spacing w:after="0"/>
              <w:rPr>
                <w:sz w:val="2"/>
                <w:szCs w:val="2"/>
                <w:color w:val="auto"/>
              </w:rPr>
            </w:pPr>
          </w:p>
        </w:tc>
        <w:tc>
          <w:tcPr>
            <w:tcW w:w="1060" w:type="dxa"/>
            <w:vAlign w:val="bottom"/>
            <w:vMerge w:val="restart"/>
          </w:tcPr>
          <w:p>
            <w:pPr>
              <w:jc w:val="center"/>
              <w:ind w:left="2"/>
              <w:spacing w:after="0" w:line="85" w:lineRule="exact"/>
              <w:rPr>
                <w:sz w:val="20"/>
                <w:szCs w:val="20"/>
                <w:color w:val="auto"/>
              </w:rPr>
            </w:pPr>
            <w:r>
              <w:rPr>
                <w:rFonts w:ascii="Times New Roman" w:cs="Times New Roman" w:eastAsia="Times New Roman" w:hAnsi="Times New Roman"/>
                <w:sz w:val="8"/>
                <w:szCs w:val="8"/>
                <w:color w:val="auto"/>
              </w:rPr>
              <w:t>whole number of</w:t>
            </w:r>
          </w:p>
        </w:tc>
        <w:tc>
          <w:tcPr>
            <w:tcW w:w="0" w:type="dxa"/>
            <w:vAlign w:val="bottom"/>
          </w:tcPr>
          <w:p>
            <w:pPr>
              <w:spacing w:after="0"/>
              <w:rPr>
                <w:sz w:val="1"/>
                <w:szCs w:val="1"/>
                <w:color w:val="auto"/>
              </w:rPr>
            </w:pPr>
          </w:p>
        </w:tc>
      </w:tr>
      <w:tr>
        <w:trPr>
          <w:trHeight w:val="32"/>
        </w:trPr>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365</w:t>
            </w:r>
          </w:p>
        </w:tc>
        <w:tc>
          <w:tcPr>
            <w:tcW w:w="2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Date of Grant</w:t>
            </w:r>
          </w:p>
        </w:tc>
        <w:tc>
          <w:tcPr>
            <w:tcW w:w="200" w:type="dxa"/>
            <w:vAlign w:val="bottom"/>
          </w:tcPr>
          <w:p>
            <w:pPr>
              <w:spacing w:after="0"/>
              <w:rPr>
                <w:sz w:val="14"/>
                <w:szCs w:val="14"/>
                <w:color w:val="auto"/>
              </w:rPr>
            </w:pPr>
          </w:p>
        </w:tc>
        <w:tc>
          <w:tcPr>
            <w:tcW w:w="1060" w:type="dxa"/>
            <w:vAlign w:val="bottom"/>
          </w:tcPr>
          <w:p>
            <w:pPr>
              <w:jc w:val="center"/>
              <w:ind w:left="2"/>
              <w:spacing w:after="0"/>
              <w:rPr>
                <w:sz w:val="20"/>
                <w:szCs w:val="20"/>
                <w:color w:val="auto"/>
              </w:rPr>
            </w:pPr>
            <w:r>
              <w:rPr>
                <w:rFonts w:ascii="Times New Roman" w:cs="Times New Roman" w:eastAsia="Times New Roman" w:hAnsi="Times New Roman"/>
                <w:sz w:val="13"/>
                <w:szCs w:val="13"/>
                <w:color w:val="auto"/>
                <w:w w:val="98"/>
              </w:rPr>
              <w:t>shares</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Initial RSUs vest upon the annual meeting of stockholders following the date of grant. Subsequent Annual RSUs vest over a one-year period. If a non-employee director is appointed on the date of an annual meeting, such non-employee director is not eligible to an Initial RSU.</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Under the 2022 Equity Incentive Plan, directors may elect to defer all or part of their Subsequent Annual RSUs and Elected RSUs. Distributions of these deferred RSUs will be made in shares of Autodesk’s common stock in annual installments or by lump sum in accordance with the distribution election made by the director.</w:t>
      </w:r>
    </w:p>
    <w:p>
      <w:pPr>
        <w:spacing w:after="0" w:line="145"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tables below present information concerning the compensation paid by us to each of our non-employee directors for fiscal year 2024. Dr. Anagnost, who was an Autodesk employee during fiscal year 2024, did not receive additional compensation for his service as a director.</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1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580" w:type="dxa"/>
            <w:vAlign w:val="bottom"/>
            <w:vMerge w:val="restart"/>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Current Directors</w:t>
            </w:r>
          </w:p>
        </w:tc>
        <w:tc>
          <w:tcPr>
            <w:tcW w:w="17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Paid in Cash</w:t>
            </w:r>
          </w:p>
        </w:tc>
        <w:tc>
          <w:tcPr>
            <w:tcW w:w="16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280" w:type="dxa"/>
            <w:vAlign w:val="bottom"/>
            <w:gridSpan w:val="2"/>
            <w:vMerge w:val="continue"/>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100" w:type="dxa"/>
            <w:vAlign w:val="bottom"/>
          </w:tcPr>
          <w:p>
            <w:pPr>
              <w:spacing w:after="0"/>
              <w:rPr>
                <w:sz w:val="13"/>
                <w:szCs w:val="13"/>
                <w:color w:val="auto"/>
              </w:rPr>
            </w:pP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 (2)</w:t>
            </w:r>
          </w:p>
        </w:tc>
        <w:tc>
          <w:tcPr>
            <w:tcW w:w="100" w:type="dxa"/>
            <w:vAlign w:val="bottom"/>
          </w:tcPr>
          <w:p>
            <w:pPr>
              <w:spacing w:after="0"/>
              <w:rPr>
                <w:sz w:val="13"/>
                <w:szCs w:val="13"/>
                <w:color w:val="auto"/>
              </w:rPr>
            </w:pPr>
          </w:p>
        </w:tc>
        <w:tc>
          <w:tcPr>
            <w:tcW w:w="158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6"/>
        </w:trPr>
        <w:tc>
          <w:tcPr>
            <w:tcW w:w="620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80" w:type="dxa"/>
            <w:vAlign w:val="bottom"/>
            <w:tcBorders>
              <w:top w:val="single" w:sz="8" w:color="CCCCCC"/>
            </w:tcBorders>
            <w:shd w:val="clear" w:color="auto" w:fill="CCCCCC"/>
          </w:tcPr>
          <w:p>
            <w:pPr>
              <w:spacing w:after="0"/>
              <w:rPr>
                <w:sz w:val="14"/>
                <w:szCs w:val="14"/>
                <w:color w:val="auto"/>
              </w:rPr>
            </w:pPr>
          </w:p>
        </w:tc>
        <w:tc>
          <w:tcPr>
            <w:tcW w:w="160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00" w:type="dxa"/>
            <w:vAlign w:val="bottom"/>
            <w:tcBorders>
              <w:top w:val="single" w:sz="8" w:color="CCCCCC"/>
            </w:tcBorders>
            <w:shd w:val="clear" w:color="auto" w:fill="CCCCCC"/>
          </w:tcPr>
          <w:p>
            <w:pPr>
              <w:spacing w:after="0"/>
              <w:rPr>
                <w:sz w:val="14"/>
                <w:szCs w:val="14"/>
                <w:color w:val="auto"/>
              </w:rPr>
            </w:pPr>
          </w:p>
        </w:tc>
        <w:tc>
          <w:tcPr>
            <w:tcW w:w="15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280,085</w:t>
            </w:r>
          </w:p>
        </w:tc>
        <w:tc>
          <w:tcPr>
            <w:tcW w:w="100" w:type="dxa"/>
            <w:vAlign w:val="bottom"/>
            <w:tcBorders>
              <w:top w:val="single" w:sz="8" w:color="CCCCCC"/>
            </w:tcBorders>
            <w:shd w:val="clear" w:color="auto" w:fill="CCCCCC"/>
          </w:tcPr>
          <w:p>
            <w:pPr>
              <w:spacing w:after="0"/>
              <w:rPr>
                <w:sz w:val="14"/>
                <w:szCs w:val="14"/>
                <w:color w:val="auto"/>
              </w:rPr>
            </w:pPr>
          </w:p>
        </w:tc>
        <w:tc>
          <w:tcPr>
            <w:tcW w:w="15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430,085</w:t>
            </w: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264,992</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339,992</w:t>
            </w:r>
          </w:p>
        </w:tc>
        <w:tc>
          <w:tcPr>
            <w:tcW w:w="0" w:type="dxa"/>
            <w:vAlign w:val="bottom"/>
          </w:tcPr>
          <w:p>
            <w:pPr>
              <w:spacing w:after="0"/>
              <w:rPr>
                <w:sz w:val="1"/>
                <w:szCs w:val="1"/>
                <w:color w:val="auto"/>
              </w:rPr>
            </w:pPr>
          </w:p>
        </w:tc>
      </w:tr>
      <w:tr>
        <w:trPr>
          <w:trHeight w:val="172"/>
        </w:trPr>
        <w:tc>
          <w:tcPr>
            <w:tcW w:w="62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16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264,992</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339,992</w:t>
            </w: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249,962</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324,962</w:t>
            </w:r>
          </w:p>
        </w:tc>
        <w:tc>
          <w:tcPr>
            <w:tcW w:w="0" w:type="dxa"/>
            <w:vAlign w:val="bottom"/>
          </w:tcPr>
          <w:p>
            <w:pPr>
              <w:spacing w:after="0"/>
              <w:rPr>
                <w:sz w:val="1"/>
                <w:szCs w:val="1"/>
                <w:color w:val="auto"/>
              </w:rPr>
            </w:pPr>
          </w:p>
        </w:tc>
      </w:tr>
      <w:tr>
        <w:trPr>
          <w:trHeight w:val="172"/>
        </w:trPr>
        <w:tc>
          <w:tcPr>
            <w:tcW w:w="62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16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264,962</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339,962</w:t>
            </w: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269,067</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364,067</w:t>
            </w:r>
          </w:p>
        </w:tc>
        <w:tc>
          <w:tcPr>
            <w:tcW w:w="0" w:type="dxa"/>
            <w:vAlign w:val="bottom"/>
          </w:tcPr>
          <w:p>
            <w:pPr>
              <w:spacing w:after="0"/>
              <w:rPr>
                <w:sz w:val="1"/>
                <w:szCs w:val="1"/>
                <w:color w:val="auto"/>
              </w:rPr>
            </w:pPr>
          </w:p>
        </w:tc>
      </w:tr>
      <w:tr>
        <w:trPr>
          <w:trHeight w:val="172"/>
        </w:trPr>
        <w:tc>
          <w:tcPr>
            <w:tcW w:w="62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16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264,992</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339,992</w:t>
            </w: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267,030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352,030</w:t>
            </w:r>
          </w:p>
        </w:tc>
        <w:tc>
          <w:tcPr>
            <w:tcW w:w="0" w:type="dxa"/>
            <w:vAlign w:val="bottom"/>
          </w:tcPr>
          <w:p>
            <w:pPr>
              <w:spacing w:after="0"/>
              <w:rPr>
                <w:sz w:val="1"/>
                <w:szCs w:val="1"/>
                <w:color w:val="auto"/>
              </w:rPr>
            </w:pPr>
          </w:p>
        </w:tc>
      </w:tr>
      <w:tr>
        <w:trPr>
          <w:trHeight w:val="172"/>
        </w:trPr>
        <w:tc>
          <w:tcPr>
            <w:tcW w:w="62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16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249,962</w:t>
            </w:r>
          </w:p>
        </w:tc>
        <w:tc>
          <w:tcPr>
            <w:tcW w:w="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349,962</w:t>
            </w:r>
          </w:p>
        </w:tc>
        <w:tc>
          <w:tcPr>
            <w:tcW w:w="0" w:type="dxa"/>
            <w:vAlign w:val="bottom"/>
          </w:tcPr>
          <w:p>
            <w:pPr>
              <w:spacing w:after="0"/>
              <w:rPr>
                <w:sz w:val="1"/>
                <w:szCs w:val="1"/>
                <w:color w:val="auto"/>
              </w:rPr>
            </w:pPr>
          </w:p>
        </w:tc>
      </w:tr>
      <w:tr>
        <w:trPr>
          <w:trHeight w:val="16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58,636</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233,360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291,996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w:t>
      </w:r>
    </w:p>
    <w:p>
      <w:pPr>
        <w:spacing w:after="0" w:line="16" w:lineRule="exact"/>
        <w:rPr>
          <w:sz w:val="20"/>
          <w:szCs w:val="20"/>
          <w:color w:val="auto"/>
        </w:rPr>
      </w:pPr>
    </w:p>
    <w:p>
      <w:pPr>
        <w:ind w:left="260" w:right="100" w:hanging="255"/>
        <w:spacing w:after="0" w:line="253" w:lineRule="auto"/>
        <w:tabs>
          <w:tab w:leader="none" w:pos="2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Earned or Paid in Cash reflects the dollar amounts of fees earned. As noted above, during fiscal year 2024, directors could elect to receive up to 100% of their compensation in the form of RSUs in lieu of cash. The following table represents actual cash received by the directors in fiscal year 2024 based on their elections. See footnote (b) for more information regarding the RSUs granted in lieu of cash.</w:t>
      </w:r>
    </w:p>
    <w:p>
      <w:pPr>
        <w:spacing w:after="0" w:line="73" w:lineRule="exact"/>
        <w:rPr>
          <w:sz w:val="20"/>
          <w:szCs w:val="20"/>
          <w:color w:val="auto"/>
        </w:rPr>
      </w:pPr>
    </w:p>
    <w:tbl>
      <w:tblPr>
        <w:tblLayout w:type="fixed"/>
        <w:tblInd w:w="100" w:type="dxa"/>
        <w:tblCellMar>
          <w:top w:w="0" w:type="dxa"/>
          <w:left w:w="0" w:type="dxa"/>
          <w:bottom w:w="0" w:type="dxa"/>
          <w:right w:w="0" w:type="dxa"/>
        </w:tblCellMar>
      </w:tblPr>
      <w:tr>
        <w:trPr>
          <w:trHeight w:val="15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Current Directors</w:t>
            </w:r>
          </w:p>
        </w:tc>
        <w:tc>
          <w:tcPr>
            <w:tcW w:w="2420" w:type="dxa"/>
            <w:vAlign w:val="bottom"/>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Fees Actually Paid in Cash ($)</w:t>
            </w:r>
          </w:p>
        </w:tc>
      </w:tr>
      <w:tr>
        <w:trPr>
          <w:trHeight w:val="170"/>
        </w:trPr>
        <w:tc>
          <w:tcPr>
            <w:tcW w:w="85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80" w:type="dxa"/>
            <w:vAlign w:val="bottom"/>
            <w:tcBorders>
              <w:top w:val="single" w:sz="8" w:color="CCCCCC"/>
            </w:tcBorders>
            <w:shd w:val="clear" w:color="auto" w:fill="CCCCCC"/>
          </w:tcPr>
          <w:p>
            <w:pPr>
              <w:spacing w:after="0"/>
              <w:rPr>
                <w:sz w:val="14"/>
                <w:szCs w:val="14"/>
                <w:color w:val="auto"/>
              </w:rPr>
            </w:pPr>
          </w:p>
        </w:tc>
        <w:tc>
          <w:tcPr>
            <w:tcW w:w="242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66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24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r>
      <w:tr>
        <w:trPr>
          <w:trHeight w:val="172"/>
        </w:trPr>
        <w:tc>
          <w:tcPr>
            <w:tcW w:w="866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24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66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24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66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24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165"/>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r>
    </w:tbl>
    <w:p>
      <w:pPr>
        <w:spacing w:after="0" w:line="259" w:lineRule="exact"/>
        <w:rPr>
          <w:sz w:val="20"/>
          <w:szCs w:val="20"/>
          <w:color w:val="auto"/>
        </w:rPr>
      </w:pPr>
    </w:p>
    <w:p>
      <w:pPr>
        <w:ind w:left="260" w:hanging="255"/>
        <w:spacing w:after="0" w:line="263" w:lineRule="auto"/>
        <w:tabs>
          <w:tab w:leader="none" w:pos="246" w:val="left"/>
        </w:tabs>
        <w:numPr>
          <w:ilvl w:val="0"/>
          <w:numId w:val="94"/>
        </w:numPr>
        <w:rPr>
          <w:rFonts w:ascii="Arial" w:cs="Arial" w:eastAsia="Arial" w:hAnsi="Arial"/>
          <w:sz w:val="13"/>
          <w:szCs w:val="13"/>
          <w:color w:val="auto"/>
        </w:rPr>
      </w:pPr>
      <w:r>
        <w:rPr>
          <w:rFonts w:ascii="Times New Roman" w:cs="Times New Roman" w:eastAsia="Times New Roman" w:hAnsi="Times New Roman"/>
          <w:sz w:val="13"/>
          <w:szCs w:val="13"/>
          <w:color w:val="auto"/>
        </w:rPr>
        <w:t>The Stock Awards column reflects (i) the grant date fair value of the Initial RSUs and Subsequent Annual RSUs and (ii) the pro-rata grant date fair value of 20% of the stock awards the directors earned during fiscal year 2024 in lieu of cash. The 20% represents the premium of $1.20 worth of stock for each $1.00 of cash compensation foregone. The assumptions used in the valuation of these awards are set forth in Part II, Item 8, Financial Statements and Supplementary Data, Note 1, “Business and Summary of Significant Accounting Policies,” in the Notes to Consolidated Financial Statements in this Annual Report on Form 10-K. These amounts do not correspond to the actual value that will be realized by the directors upon the vesting of RSUs or the sale of the common stock underlying such awards.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240" w:firstLine="318"/>
        <w:spacing w:after="0" w:line="273" w:lineRule="auto"/>
        <w:rPr>
          <w:sz w:val="20"/>
          <w:szCs w:val="20"/>
          <w:color w:val="auto"/>
        </w:rPr>
      </w:pPr>
      <w:r>
        <w:rPr>
          <w:rFonts w:ascii="Times New Roman" w:cs="Times New Roman" w:eastAsia="Times New Roman" w:hAnsi="Times New Roman"/>
          <w:sz w:val="14"/>
          <w:szCs w:val="14"/>
          <w:color w:val="auto"/>
        </w:rPr>
        <w:t>The following table shows the total amounts and fair values, as well as the 20% premium, of RSUs granted on June 16, 2022, in lieu of cash foregone for the June 17, 2022, through June 16, 2023, Directors’ Compensation Cycle: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4"/>
          </w:tcPr>
          <w:p>
            <w:pPr>
              <w:ind w:left="1700"/>
              <w:spacing w:after="0"/>
              <w:rPr>
                <w:sz w:val="20"/>
                <w:szCs w:val="20"/>
                <w:color w:val="auto"/>
              </w:rPr>
            </w:pPr>
            <w:r>
              <w:rPr>
                <w:rFonts w:ascii="Times New Roman" w:cs="Times New Roman" w:eastAsia="Times New Roman" w:hAnsi="Times New Roman"/>
                <w:sz w:val="11"/>
                <w:szCs w:val="11"/>
                <w:b w:val="1"/>
                <w:bCs w:val="1"/>
                <w:color w:val="auto"/>
              </w:rPr>
              <w:t>Restricted Stock Unit</w:t>
            </w:r>
          </w:p>
        </w:tc>
        <w:tc>
          <w:tcPr>
            <w:tcW w:w="2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Current Directors</w:t>
            </w:r>
          </w:p>
        </w:tc>
        <w:tc>
          <w:tcPr>
            <w:tcW w:w="14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Total Number of Shares</w:t>
            </w:r>
          </w:p>
        </w:tc>
        <w:tc>
          <w:tcPr>
            <w:tcW w:w="20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Number of Shares Representing the</w:t>
            </w:r>
          </w:p>
        </w:tc>
        <w:tc>
          <w:tcPr>
            <w:tcW w:w="15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Grant Date Fair Value of</w:t>
            </w:r>
          </w:p>
        </w:tc>
        <w:tc>
          <w:tcPr>
            <w:tcW w:w="23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Grant Date Fair Value of the 20% Premium of</w:t>
            </w:r>
          </w:p>
        </w:tc>
        <w:tc>
          <w:tcPr>
            <w:tcW w:w="0" w:type="dxa"/>
            <w:vAlign w:val="bottom"/>
          </w:tcPr>
          <w:p>
            <w:pPr>
              <w:spacing w:after="0"/>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134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20% Premium (#)</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Stock Awards ($)</w:t>
            </w:r>
          </w:p>
        </w:tc>
        <w:tc>
          <w:tcPr>
            <w:tcW w:w="238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the Stock Awards ($)</w:t>
            </w:r>
          </w:p>
        </w:tc>
        <w:tc>
          <w:tcPr>
            <w:tcW w:w="0" w:type="dxa"/>
            <w:vAlign w:val="bottom"/>
          </w:tcPr>
          <w:p>
            <w:pPr>
              <w:spacing w:after="0"/>
              <w:rPr>
                <w:sz w:val="1"/>
                <w:szCs w:val="1"/>
                <w:color w:val="auto"/>
              </w:rPr>
            </w:pPr>
          </w:p>
        </w:tc>
      </w:tr>
      <w:tr>
        <w:trPr>
          <w:trHeight w:val="165"/>
        </w:trPr>
        <w:tc>
          <w:tcPr>
            <w:tcW w:w="37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120" w:type="dxa"/>
            <w:vAlign w:val="bottom"/>
            <w:tcBorders>
              <w:top w:val="single" w:sz="8" w:color="CCCCCC"/>
            </w:tcBorders>
            <w:shd w:val="clear" w:color="auto" w:fill="CCCCCC"/>
          </w:tcPr>
          <w:p>
            <w:pPr>
              <w:spacing w:after="0"/>
              <w:rPr>
                <w:sz w:val="14"/>
                <w:szCs w:val="14"/>
                <w:color w:val="auto"/>
              </w:rPr>
            </w:pPr>
          </w:p>
        </w:tc>
        <w:tc>
          <w:tcPr>
            <w:tcW w:w="13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140" w:type="dxa"/>
            <w:vAlign w:val="bottom"/>
            <w:tcBorders>
              <w:top w:val="single" w:sz="8" w:color="CCCCCC"/>
            </w:tcBorders>
            <w:shd w:val="clear" w:color="auto" w:fill="CCCCCC"/>
          </w:tcPr>
          <w:p>
            <w:pPr>
              <w:spacing w:after="0"/>
              <w:rPr>
                <w:sz w:val="14"/>
                <w:szCs w:val="14"/>
                <w:color w:val="auto"/>
              </w:rPr>
            </w:pPr>
          </w:p>
        </w:tc>
        <w:tc>
          <w:tcPr>
            <w:tcW w:w="18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20" w:type="dxa"/>
            <w:vAlign w:val="bottom"/>
            <w:tcBorders>
              <w:top w:val="single" w:sz="8" w:color="CCCCCC"/>
            </w:tcBorders>
            <w:shd w:val="clear" w:color="auto" w:fill="CCCCCC"/>
          </w:tcPr>
          <w:p>
            <w:pPr>
              <w:spacing w:after="0"/>
              <w:rPr>
                <w:sz w:val="14"/>
                <w:szCs w:val="14"/>
                <w:color w:val="auto"/>
              </w:rPr>
            </w:pPr>
          </w:p>
        </w:tc>
        <w:tc>
          <w:tcPr>
            <w:tcW w:w="140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179,919</w:t>
            </w:r>
          </w:p>
        </w:tc>
        <w:tc>
          <w:tcPr>
            <w:tcW w:w="120" w:type="dxa"/>
            <w:vAlign w:val="bottom"/>
            <w:tcBorders>
              <w:top w:val="single" w:sz="8" w:color="CCCCCC"/>
            </w:tcBorders>
            <w:shd w:val="clear" w:color="auto" w:fill="CCCCCC"/>
          </w:tcPr>
          <w:p>
            <w:pPr>
              <w:spacing w:after="0"/>
              <w:rPr>
                <w:sz w:val="14"/>
                <w:szCs w:val="14"/>
                <w:color w:val="auto"/>
              </w:rPr>
            </w:pPr>
          </w:p>
        </w:tc>
        <w:tc>
          <w:tcPr>
            <w:tcW w:w="238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30,069</w:t>
            </w:r>
          </w:p>
        </w:tc>
        <w:tc>
          <w:tcPr>
            <w:tcW w:w="0" w:type="dxa"/>
            <w:vAlign w:val="bottom"/>
          </w:tcPr>
          <w:p>
            <w:pPr>
              <w:spacing w:after="0"/>
              <w:rPr>
                <w:sz w:val="1"/>
                <w:szCs w:val="1"/>
                <w:color w:val="auto"/>
              </w:rPr>
            </w:pPr>
          </w:p>
        </w:tc>
      </w:tr>
      <w:tr>
        <w:trPr>
          <w:trHeight w:val="16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89,878</w:t>
            </w:r>
          </w:p>
        </w:tc>
        <w:tc>
          <w:tcPr>
            <w:tcW w:w="12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15,117</w:t>
            </w:r>
          </w:p>
        </w:tc>
        <w:tc>
          <w:tcPr>
            <w:tcW w:w="0" w:type="dxa"/>
            <w:vAlign w:val="bottom"/>
          </w:tcPr>
          <w:p>
            <w:pPr>
              <w:spacing w:after="0"/>
              <w:rPr>
                <w:sz w:val="1"/>
                <w:szCs w:val="1"/>
                <w:color w:val="auto"/>
              </w:rPr>
            </w:pPr>
          </w:p>
        </w:tc>
      </w:tr>
      <w:tr>
        <w:trPr>
          <w:trHeight w:val="172"/>
        </w:trPr>
        <w:tc>
          <w:tcPr>
            <w:tcW w:w="3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40" w:type="dxa"/>
            <w:vAlign w:val="bottom"/>
            <w:shd w:val="clear" w:color="auto" w:fill="CCCCCC"/>
          </w:tcPr>
          <w:p>
            <w:pPr>
              <w:spacing w:after="0"/>
              <w:rPr>
                <w:sz w:val="14"/>
                <w:szCs w:val="14"/>
                <w:color w:val="auto"/>
              </w:rPr>
            </w:pPr>
          </w:p>
        </w:tc>
        <w:tc>
          <w:tcPr>
            <w:tcW w:w="1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CCCCC"/>
          </w:tcPr>
          <w:p>
            <w:pPr>
              <w:spacing w:after="0"/>
              <w:rPr>
                <w:sz w:val="14"/>
                <w:szCs w:val="14"/>
                <w:color w:val="auto"/>
              </w:rPr>
            </w:pPr>
          </w:p>
        </w:tc>
        <w:tc>
          <w:tcPr>
            <w:tcW w:w="14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89,878</w:t>
            </w:r>
          </w:p>
        </w:tc>
        <w:tc>
          <w:tcPr>
            <w:tcW w:w="120" w:type="dxa"/>
            <w:vAlign w:val="bottom"/>
            <w:shd w:val="clear" w:color="auto" w:fill="CCCCCC"/>
          </w:tcPr>
          <w:p>
            <w:pPr>
              <w:spacing w:after="0"/>
              <w:rPr>
                <w:sz w:val="14"/>
                <w:szCs w:val="14"/>
                <w:color w:val="auto"/>
              </w:rPr>
            </w:pPr>
          </w:p>
        </w:tc>
        <w:tc>
          <w:tcPr>
            <w:tcW w:w="23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15,117</w:t>
            </w:r>
          </w:p>
        </w:tc>
        <w:tc>
          <w:tcPr>
            <w:tcW w:w="0" w:type="dxa"/>
            <w:vAlign w:val="bottom"/>
          </w:tcPr>
          <w:p>
            <w:pPr>
              <w:spacing w:after="0"/>
              <w:rPr>
                <w:sz w:val="1"/>
                <w:szCs w:val="1"/>
                <w:color w:val="auto"/>
              </w:rPr>
            </w:pPr>
          </w:p>
        </w:tc>
      </w:tr>
      <w:tr>
        <w:trPr>
          <w:trHeight w:val="16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40" w:type="dxa"/>
            <w:vAlign w:val="bottom"/>
            <w:shd w:val="clear" w:color="auto" w:fill="CCCCCC"/>
          </w:tcPr>
          <w:p>
            <w:pPr>
              <w:spacing w:after="0"/>
              <w:rPr>
                <w:sz w:val="14"/>
                <w:szCs w:val="14"/>
                <w:color w:val="auto"/>
              </w:rPr>
            </w:pPr>
          </w:p>
        </w:tc>
        <w:tc>
          <w:tcPr>
            <w:tcW w:w="1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CCCCC"/>
          </w:tcPr>
          <w:p>
            <w:pPr>
              <w:spacing w:after="0"/>
              <w:rPr>
                <w:sz w:val="14"/>
                <w:szCs w:val="14"/>
                <w:color w:val="auto"/>
              </w:rPr>
            </w:pPr>
          </w:p>
        </w:tc>
        <w:tc>
          <w:tcPr>
            <w:tcW w:w="14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89,878</w:t>
            </w:r>
          </w:p>
        </w:tc>
        <w:tc>
          <w:tcPr>
            <w:tcW w:w="120" w:type="dxa"/>
            <w:vAlign w:val="bottom"/>
            <w:shd w:val="clear" w:color="auto" w:fill="CCCCCC"/>
          </w:tcPr>
          <w:p>
            <w:pPr>
              <w:spacing w:after="0"/>
              <w:rPr>
                <w:sz w:val="14"/>
                <w:szCs w:val="14"/>
                <w:color w:val="auto"/>
              </w:rPr>
            </w:pPr>
          </w:p>
        </w:tc>
        <w:tc>
          <w:tcPr>
            <w:tcW w:w="23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15,117</w:t>
            </w:r>
          </w:p>
        </w:tc>
        <w:tc>
          <w:tcPr>
            <w:tcW w:w="0" w:type="dxa"/>
            <w:vAlign w:val="bottom"/>
          </w:tcPr>
          <w:p>
            <w:pPr>
              <w:spacing w:after="0"/>
              <w:rPr>
                <w:sz w:val="1"/>
                <w:szCs w:val="1"/>
                <w:color w:val="auto"/>
              </w:rPr>
            </w:pPr>
          </w:p>
        </w:tc>
      </w:tr>
      <w:tr>
        <w:trPr>
          <w:trHeight w:val="16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113,867</w:t>
            </w:r>
          </w:p>
        </w:tc>
        <w:tc>
          <w:tcPr>
            <w:tcW w:w="12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19,060</w:t>
            </w:r>
          </w:p>
        </w:tc>
        <w:tc>
          <w:tcPr>
            <w:tcW w:w="0" w:type="dxa"/>
            <w:vAlign w:val="bottom"/>
          </w:tcPr>
          <w:p>
            <w:pPr>
              <w:spacing w:after="0"/>
              <w:rPr>
                <w:sz w:val="1"/>
                <w:szCs w:val="1"/>
                <w:color w:val="auto"/>
              </w:rPr>
            </w:pPr>
          </w:p>
        </w:tc>
      </w:tr>
      <w:tr>
        <w:trPr>
          <w:trHeight w:val="172"/>
        </w:trPr>
        <w:tc>
          <w:tcPr>
            <w:tcW w:w="3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13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40" w:type="dxa"/>
            <w:vAlign w:val="bottom"/>
            <w:shd w:val="clear" w:color="auto" w:fill="CCCCCC"/>
          </w:tcPr>
          <w:p>
            <w:pPr>
              <w:spacing w:after="0"/>
              <w:rPr>
                <w:sz w:val="14"/>
                <w:szCs w:val="14"/>
                <w:color w:val="auto"/>
              </w:rPr>
            </w:pPr>
          </w:p>
        </w:tc>
        <w:tc>
          <w:tcPr>
            <w:tcW w:w="1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CCCCC"/>
          </w:tcPr>
          <w:p>
            <w:pPr>
              <w:spacing w:after="0"/>
              <w:rPr>
                <w:sz w:val="14"/>
                <w:szCs w:val="14"/>
                <w:color w:val="auto"/>
              </w:rPr>
            </w:pPr>
          </w:p>
        </w:tc>
        <w:tc>
          <w:tcPr>
            <w:tcW w:w="14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89,878</w:t>
            </w:r>
          </w:p>
        </w:tc>
        <w:tc>
          <w:tcPr>
            <w:tcW w:w="120" w:type="dxa"/>
            <w:vAlign w:val="bottom"/>
            <w:shd w:val="clear" w:color="auto" w:fill="CCCCCC"/>
          </w:tcPr>
          <w:p>
            <w:pPr>
              <w:spacing w:after="0"/>
              <w:rPr>
                <w:sz w:val="14"/>
                <w:szCs w:val="14"/>
                <w:color w:val="auto"/>
              </w:rPr>
            </w:pPr>
          </w:p>
        </w:tc>
        <w:tc>
          <w:tcPr>
            <w:tcW w:w="23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15,117</w:t>
            </w:r>
          </w:p>
        </w:tc>
        <w:tc>
          <w:tcPr>
            <w:tcW w:w="0" w:type="dxa"/>
            <w:vAlign w:val="bottom"/>
          </w:tcPr>
          <w:p>
            <w:pPr>
              <w:spacing w:after="0"/>
              <w:rPr>
                <w:sz w:val="1"/>
                <w:szCs w:val="1"/>
                <w:color w:val="auto"/>
              </w:rPr>
            </w:pPr>
          </w:p>
        </w:tc>
      </w:tr>
      <w:tr>
        <w:trPr>
          <w:trHeight w:val="16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101,872</w:t>
            </w:r>
          </w:p>
        </w:tc>
        <w:tc>
          <w:tcPr>
            <w:tcW w:w="12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17,088</w:t>
            </w:r>
          </w:p>
        </w:tc>
        <w:tc>
          <w:tcPr>
            <w:tcW w:w="0" w:type="dxa"/>
            <w:vAlign w:val="bottom"/>
          </w:tcPr>
          <w:p>
            <w:pPr>
              <w:spacing w:after="0"/>
              <w:rPr>
                <w:sz w:val="1"/>
                <w:szCs w:val="1"/>
                <w:color w:val="auto"/>
              </w:rPr>
            </w:pPr>
          </w:p>
        </w:tc>
      </w:tr>
      <w:tr>
        <w:trPr>
          <w:trHeight w:val="172"/>
        </w:trPr>
        <w:tc>
          <w:tcPr>
            <w:tcW w:w="39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1480" w:type="dxa"/>
            <w:vAlign w:val="bottom"/>
            <w:gridSpan w:val="2"/>
            <w:shd w:val="clear" w:color="auto" w:fill="CCCCC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0" w:type="dxa"/>
            <w:vAlign w:val="bottom"/>
            <w:gridSpan w:val="2"/>
            <w:shd w:val="clear" w:color="auto" w:fill="CCCCC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shd w:val="clear" w:color="auto" w:fill="CCCCC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shows the total amounts and fair values, as well as the 20% premium, of RSUs granted on June 21, 2023, in lieu of cash foregone for the June 22, 2023, through June 21, 2024, Directors’ Compensation Cycle: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4"/>
          </w:tcPr>
          <w:p>
            <w:pPr>
              <w:ind w:left="1500"/>
              <w:spacing w:after="0"/>
              <w:rPr>
                <w:sz w:val="20"/>
                <w:szCs w:val="20"/>
                <w:color w:val="auto"/>
              </w:rPr>
            </w:pPr>
            <w:r>
              <w:rPr>
                <w:rFonts w:ascii="Times New Roman" w:cs="Times New Roman" w:eastAsia="Times New Roman" w:hAnsi="Times New Roman"/>
                <w:sz w:val="11"/>
                <w:szCs w:val="11"/>
                <w:b w:val="1"/>
                <w:bCs w:val="1"/>
                <w:color w:val="auto"/>
              </w:rPr>
              <w:t>Restricted Stock Unit</w:t>
            </w:r>
          </w:p>
        </w:tc>
        <w:tc>
          <w:tcPr>
            <w:tcW w:w="2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Current Directors</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8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Number of Shares Representing the</w:t>
            </w:r>
          </w:p>
        </w:tc>
        <w:tc>
          <w:tcPr>
            <w:tcW w:w="15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Grant Date Fair Value of</w:t>
            </w:r>
          </w:p>
        </w:tc>
        <w:tc>
          <w:tcPr>
            <w:tcW w:w="2060" w:type="dxa"/>
            <w:vAlign w:val="bottom"/>
          </w:tcPr>
          <w:p>
            <w:pPr>
              <w:jc w:val="right"/>
              <w:ind w:right="138"/>
              <w:spacing w:after="0" w:line="108" w:lineRule="exact"/>
              <w:rPr>
                <w:sz w:val="20"/>
                <w:szCs w:val="20"/>
                <w:color w:val="auto"/>
              </w:rPr>
            </w:pPr>
            <w:r>
              <w:rPr>
                <w:rFonts w:ascii="Times New Roman" w:cs="Times New Roman" w:eastAsia="Times New Roman" w:hAnsi="Times New Roman"/>
                <w:sz w:val="11"/>
                <w:szCs w:val="11"/>
                <w:b w:val="1"/>
                <w:bCs w:val="1"/>
                <w:color w:val="auto"/>
              </w:rPr>
              <w:t>Grant Date Fair Value of the 20%</w:t>
            </w:r>
          </w:p>
        </w:tc>
        <w:tc>
          <w:tcPr>
            <w:tcW w:w="0" w:type="dxa"/>
            <w:vAlign w:val="bottom"/>
          </w:tcPr>
          <w:p>
            <w:pPr>
              <w:spacing w:after="0"/>
              <w:rPr>
                <w:sz w:val="1"/>
                <w:szCs w:val="1"/>
                <w:color w:val="auto"/>
              </w:rPr>
            </w:pPr>
          </w:p>
        </w:tc>
      </w:tr>
      <w:tr>
        <w:trPr>
          <w:trHeight w:val="153"/>
        </w:trPr>
        <w:tc>
          <w:tcPr>
            <w:tcW w:w="4400" w:type="dxa"/>
            <w:vAlign w:val="bottom"/>
            <w:gridSpan w:val="2"/>
            <w:vMerge w:val="continue"/>
          </w:tcPr>
          <w:p>
            <w:pPr>
              <w:spacing w:after="0"/>
              <w:rPr>
                <w:sz w:val="13"/>
                <w:szCs w:val="13"/>
                <w:color w:val="auto"/>
              </w:rPr>
            </w:pPr>
          </w:p>
        </w:tc>
        <w:tc>
          <w:tcPr>
            <w:tcW w:w="1320" w:type="dxa"/>
            <w:vAlign w:val="bottom"/>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20% Premium (#)</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Stock Awards ($)</w:t>
            </w:r>
          </w:p>
        </w:tc>
        <w:tc>
          <w:tcPr>
            <w:tcW w:w="206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Premium of the Stock Awards ($)</w:t>
            </w:r>
          </w:p>
        </w:tc>
        <w:tc>
          <w:tcPr>
            <w:tcW w:w="0" w:type="dxa"/>
            <w:vAlign w:val="bottom"/>
          </w:tcPr>
          <w:p>
            <w:pPr>
              <w:spacing w:after="0"/>
              <w:rPr>
                <w:sz w:val="1"/>
                <w:szCs w:val="1"/>
                <w:color w:val="auto"/>
              </w:rPr>
            </w:pPr>
          </w:p>
        </w:tc>
      </w:tr>
      <w:tr>
        <w:trPr>
          <w:trHeight w:val="165"/>
        </w:trPr>
        <w:tc>
          <w:tcPr>
            <w:tcW w:w="432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80" w:type="dxa"/>
            <w:vAlign w:val="bottom"/>
            <w:tcBorders>
              <w:top w:val="single" w:sz="8" w:color="CCCCCC"/>
            </w:tcBorders>
            <w:shd w:val="clear" w:color="auto" w:fill="CCCCCC"/>
          </w:tcPr>
          <w:p>
            <w:pPr>
              <w:spacing w:after="0"/>
              <w:rPr>
                <w:sz w:val="14"/>
                <w:szCs w:val="14"/>
                <w:color w:val="auto"/>
              </w:rPr>
            </w:pPr>
          </w:p>
        </w:tc>
        <w:tc>
          <w:tcPr>
            <w:tcW w:w="132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tcBorders>
              <w:top w:val="single" w:sz="8" w:color="CCCCCC"/>
            </w:tcBorders>
            <w:shd w:val="clear" w:color="auto" w:fill="CCCCCC"/>
          </w:tcPr>
          <w:p>
            <w:pPr>
              <w:spacing w:after="0"/>
              <w:rPr>
                <w:sz w:val="14"/>
                <w:szCs w:val="14"/>
                <w:color w:val="auto"/>
              </w:rPr>
            </w:pPr>
          </w:p>
        </w:tc>
        <w:tc>
          <w:tcPr>
            <w:tcW w:w="17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Borders>
              <w:top w:val="single" w:sz="8" w:color="CCCCCC"/>
            </w:tcBorders>
            <w:shd w:val="clear" w:color="auto" w:fill="CCCCCC"/>
          </w:tcPr>
          <w:p>
            <w:pPr>
              <w:spacing w:after="0"/>
              <w:rPr>
                <w:sz w:val="14"/>
                <w:szCs w:val="14"/>
                <w:color w:val="auto"/>
              </w:rPr>
            </w:pPr>
          </w:p>
        </w:tc>
        <w:tc>
          <w:tcPr>
            <w:tcW w:w="14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179,903</w:t>
            </w:r>
          </w:p>
        </w:tc>
        <w:tc>
          <w:tcPr>
            <w:tcW w:w="100" w:type="dxa"/>
            <w:vAlign w:val="bottom"/>
            <w:tcBorders>
              <w:top w:val="single" w:sz="8" w:color="CCCCCC"/>
            </w:tcBorders>
            <w:shd w:val="clear" w:color="auto" w:fill="CCCCCC"/>
          </w:tcPr>
          <w:p>
            <w:pPr>
              <w:spacing w:after="0"/>
              <w:rPr>
                <w:sz w:val="14"/>
                <w:szCs w:val="14"/>
                <w:color w:val="auto"/>
              </w:rPr>
            </w:pPr>
          </w:p>
        </w:tc>
        <w:tc>
          <w:tcPr>
            <w:tcW w:w="20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30,157</w:t>
            </w:r>
          </w:p>
        </w:tc>
        <w:tc>
          <w:tcPr>
            <w:tcW w:w="0" w:type="dxa"/>
            <w:vAlign w:val="bottom"/>
          </w:tcPr>
          <w:p>
            <w:pPr>
              <w:spacing w:after="0"/>
              <w:rPr>
                <w:sz w:val="1"/>
                <w:szCs w:val="1"/>
                <w:color w:val="auto"/>
              </w:rPr>
            </w:pPr>
          </w:p>
        </w:tc>
      </w:tr>
      <w:tr>
        <w:trPr>
          <w:trHeight w:val="16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89,847</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14,975</w:t>
            </w:r>
          </w:p>
        </w:tc>
        <w:tc>
          <w:tcPr>
            <w:tcW w:w="0" w:type="dxa"/>
            <w:vAlign w:val="bottom"/>
          </w:tcPr>
          <w:p>
            <w:pPr>
              <w:spacing w:after="0"/>
              <w:rPr>
                <w:sz w:val="1"/>
                <w:szCs w:val="1"/>
                <w:color w:val="auto"/>
              </w:rPr>
            </w:pPr>
          </w:p>
        </w:tc>
      </w:tr>
      <w:tr>
        <w:trPr>
          <w:trHeight w:val="172"/>
        </w:trPr>
        <w:tc>
          <w:tcPr>
            <w:tcW w:w="44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13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CCCC"/>
          </w:tcPr>
          <w:p>
            <w:pPr>
              <w:spacing w:after="0"/>
              <w:rPr>
                <w:sz w:val="14"/>
                <w:szCs w:val="14"/>
                <w:color w:val="auto"/>
              </w:rPr>
            </w:pPr>
          </w:p>
        </w:tc>
        <w:tc>
          <w:tcPr>
            <w:tcW w:w="17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CCCC"/>
          </w:tcPr>
          <w:p>
            <w:pPr>
              <w:spacing w:after="0"/>
              <w:rPr>
                <w:sz w:val="14"/>
                <w:szCs w:val="14"/>
                <w:color w:val="auto"/>
              </w:rPr>
            </w:pPr>
          </w:p>
        </w:tc>
        <w:tc>
          <w:tcPr>
            <w:tcW w:w="14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89,847</w:t>
            </w:r>
          </w:p>
        </w:tc>
        <w:tc>
          <w:tcPr>
            <w:tcW w:w="100" w:type="dxa"/>
            <w:vAlign w:val="bottom"/>
            <w:shd w:val="clear" w:color="auto" w:fill="CCCCCC"/>
          </w:tcPr>
          <w:p>
            <w:pPr>
              <w:spacing w:after="0"/>
              <w:rPr>
                <w:sz w:val="14"/>
                <w:szCs w:val="14"/>
                <w:color w:val="auto"/>
              </w:rPr>
            </w:pPr>
          </w:p>
        </w:tc>
        <w:tc>
          <w:tcPr>
            <w:tcW w:w="20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14,975</w:t>
            </w:r>
          </w:p>
        </w:tc>
        <w:tc>
          <w:tcPr>
            <w:tcW w:w="0" w:type="dxa"/>
            <w:vAlign w:val="bottom"/>
          </w:tcPr>
          <w:p>
            <w:pPr>
              <w:spacing w:after="0"/>
              <w:rPr>
                <w:sz w:val="1"/>
                <w:szCs w:val="1"/>
                <w:color w:val="auto"/>
              </w:rPr>
            </w:pPr>
          </w:p>
        </w:tc>
      </w:tr>
      <w:tr>
        <w:trPr>
          <w:trHeight w:val="16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13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CCCC"/>
          </w:tcPr>
          <w:p>
            <w:pPr>
              <w:spacing w:after="0"/>
              <w:rPr>
                <w:sz w:val="14"/>
                <w:szCs w:val="14"/>
                <w:color w:val="auto"/>
              </w:rPr>
            </w:pPr>
          </w:p>
        </w:tc>
        <w:tc>
          <w:tcPr>
            <w:tcW w:w="17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CCCC"/>
          </w:tcPr>
          <w:p>
            <w:pPr>
              <w:spacing w:after="0"/>
              <w:rPr>
                <w:sz w:val="14"/>
                <w:szCs w:val="14"/>
                <w:color w:val="auto"/>
              </w:rPr>
            </w:pPr>
          </w:p>
        </w:tc>
        <w:tc>
          <w:tcPr>
            <w:tcW w:w="14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89,847</w:t>
            </w:r>
          </w:p>
        </w:tc>
        <w:tc>
          <w:tcPr>
            <w:tcW w:w="100" w:type="dxa"/>
            <w:vAlign w:val="bottom"/>
            <w:shd w:val="clear" w:color="auto" w:fill="CCCCCC"/>
          </w:tcPr>
          <w:p>
            <w:pPr>
              <w:spacing w:after="0"/>
              <w:rPr>
                <w:sz w:val="14"/>
                <w:szCs w:val="14"/>
                <w:color w:val="auto"/>
              </w:rPr>
            </w:pPr>
          </w:p>
        </w:tc>
        <w:tc>
          <w:tcPr>
            <w:tcW w:w="20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14,975</w:t>
            </w:r>
          </w:p>
        </w:tc>
        <w:tc>
          <w:tcPr>
            <w:tcW w:w="0" w:type="dxa"/>
            <w:vAlign w:val="bottom"/>
          </w:tcPr>
          <w:p>
            <w:pPr>
              <w:spacing w:after="0"/>
              <w:rPr>
                <w:sz w:val="1"/>
                <w:szCs w:val="1"/>
                <w:color w:val="auto"/>
              </w:rPr>
            </w:pPr>
          </w:p>
        </w:tc>
      </w:tr>
      <w:tr>
        <w:trPr>
          <w:trHeight w:val="16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113,973</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19,134</w:t>
            </w:r>
          </w:p>
        </w:tc>
        <w:tc>
          <w:tcPr>
            <w:tcW w:w="0" w:type="dxa"/>
            <w:vAlign w:val="bottom"/>
          </w:tcPr>
          <w:p>
            <w:pPr>
              <w:spacing w:after="0"/>
              <w:rPr>
                <w:sz w:val="1"/>
                <w:szCs w:val="1"/>
                <w:color w:val="auto"/>
              </w:rPr>
            </w:pPr>
          </w:p>
        </w:tc>
      </w:tr>
      <w:tr>
        <w:trPr>
          <w:trHeight w:val="172"/>
        </w:trPr>
        <w:tc>
          <w:tcPr>
            <w:tcW w:w="44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13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CCCC"/>
          </w:tcPr>
          <w:p>
            <w:pPr>
              <w:spacing w:after="0"/>
              <w:rPr>
                <w:sz w:val="14"/>
                <w:szCs w:val="14"/>
                <w:color w:val="auto"/>
              </w:rPr>
            </w:pPr>
          </w:p>
        </w:tc>
        <w:tc>
          <w:tcPr>
            <w:tcW w:w="17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CCCC"/>
          </w:tcPr>
          <w:p>
            <w:pPr>
              <w:spacing w:after="0"/>
              <w:rPr>
                <w:sz w:val="14"/>
                <w:szCs w:val="14"/>
                <w:color w:val="auto"/>
              </w:rPr>
            </w:pPr>
          </w:p>
        </w:tc>
        <w:tc>
          <w:tcPr>
            <w:tcW w:w="14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89,847</w:t>
            </w:r>
          </w:p>
        </w:tc>
        <w:tc>
          <w:tcPr>
            <w:tcW w:w="100" w:type="dxa"/>
            <w:vAlign w:val="bottom"/>
            <w:shd w:val="clear" w:color="auto" w:fill="CCCCCC"/>
          </w:tcPr>
          <w:p>
            <w:pPr>
              <w:spacing w:after="0"/>
              <w:rPr>
                <w:sz w:val="14"/>
                <w:szCs w:val="14"/>
                <w:color w:val="auto"/>
              </w:rPr>
            </w:pPr>
          </w:p>
        </w:tc>
        <w:tc>
          <w:tcPr>
            <w:tcW w:w="20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14,975</w:t>
            </w:r>
          </w:p>
        </w:tc>
        <w:tc>
          <w:tcPr>
            <w:tcW w:w="0" w:type="dxa"/>
            <w:vAlign w:val="bottom"/>
          </w:tcPr>
          <w:p>
            <w:pPr>
              <w:spacing w:after="0"/>
              <w:rPr>
                <w:sz w:val="1"/>
                <w:szCs w:val="1"/>
                <w:color w:val="auto"/>
              </w:rPr>
            </w:pPr>
          </w:p>
        </w:tc>
      </w:tr>
      <w:tr>
        <w:trPr>
          <w:trHeight w:val="16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101,910</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17,054</w:t>
            </w:r>
          </w:p>
        </w:tc>
        <w:tc>
          <w:tcPr>
            <w:tcW w:w="0" w:type="dxa"/>
            <w:vAlign w:val="bottom"/>
          </w:tcPr>
          <w:p>
            <w:pPr>
              <w:spacing w:after="0"/>
              <w:rPr>
                <w:sz w:val="1"/>
                <w:szCs w:val="1"/>
                <w:color w:val="auto"/>
              </w:rPr>
            </w:pPr>
          </w:p>
        </w:tc>
      </w:tr>
      <w:tr>
        <w:trPr>
          <w:trHeight w:val="172"/>
        </w:trPr>
        <w:tc>
          <w:tcPr>
            <w:tcW w:w="440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142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2"/>
            <w:shd w:val="clear" w:color="auto" w:fill="CCCCC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CCC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the total amounts and fair values of Subsequent Annual RSUs granted during fiscal year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Restricted Stock Unit</w:t>
            </w:r>
          </w:p>
        </w:tc>
        <w:tc>
          <w:tcPr>
            <w:tcW w:w="1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Current Directors</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Grant Date(s)</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 Shares (#)</w:t>
            </w:r>
          </w:p>
        </w:tc>
        <w:tc>
          <w:tcPr>
            <w:tcW w:w="192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Grant Date Fair Value of Stock Awards</w:t>
            </w:r>
          </w:p>
        </w:tc>
        <w:tc>
          <w:tcPr>
            <w:tcW w:w="0" w:type="dxa"/>
            <w:vAlign w:val="bottom"/>
          </w:tcPr>
          <w:p>
            <w:pPr>
              <w:spacing w:after="0"/>
              <w:rPr>
                <w:sz w:val="1"/>
                <w:szCs w:val="1"/>
                <w:color w:val="auto"/>
              </w:rPr>
            </w:pPr>
          </w:p>
        </w:tc>
      </w:tr>
      <w:tr>
        <w:trPr>
          <w:trHeight w:val="154"/>
        </w:trPr>
        <w:tc>
          <w:tcPr>
            <w:tcW w:w="5680" w:type="dxa"/>
            <w:vAlign w:val="bottom"/>
            <w:gridSpan w:val="2"/>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66"/>
        </w:trPr>
        <w:tc>
          <w:tcPr>
            <w:tcW w:w="558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100" w:type="dxa"/>
            <w:vAlign w:val="bottom"/>
            <w:tcBorders>
              <w:top w:val="single" w:sz="8" w:color="CCCCCC"/>
            </w:tcBorders>
            <w:shd w:val="clear" w:color="auto" w:fill="CCCCCC"/>
          </w:tcPr>
          <w:p>
            <w:pPr>
              <w:spacing w:after="0"/>
              <w:rPr>
                <w:sz w:val="14"/>
                <w:szCs w:val="14"/>
                <w:color w:val="auto"/>
              </w:rPr>
            </w:pPr>
          </w:p>
        </w:tc>
        <w:tc>
          <w:tcPr>
            <w:tcW w:w="210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tcBorders>
              <w:top w:val="single" w:sz="8" w:color="CCCCCC"/>
            </w:tcBorders>
            <w:shd w:val="clear" w:color="auto" w:fill="CCCCCC"/>
          </w:tcPr>
          <w:p>
            <w:pPr>
              <w:spacing w:after="0"/>
              <w:rPr>
                <w:sz w:val="14"/>
                <w:szCs w:val="14"/>
                <w:color w:val="auto"/>
              </w:rPr>
            </w:pPr>
          </w:p>
        </w:tc>
        <w:tc>
          <w:tcPr>
            <w:tcW w:w="138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Borders>
              <w:top w:val="single" w:sz="8" w:color="CCCCCC"/>
            </w:tcBorders>
            <w:shd w:val="clear" w:color="auto" w:fill="CCCCCC"/>
          </w:tcPr>
          <w:p>
            <w:pPr>
              <w:spacing w:after="0"/>
              <w:rPr>
                <w:sz w:val="14"/>
                <w:szCs w:val="14"/>
                <w:color w:val="auto"/>
              </w:rPr>
            </w:pPr>
          </w:p>
        </w:tc>
        <w:tc>
          <w:tcPr>
            <w:tcW w:w="1920" w:type="dxa"/>
            <w:vAlign w:val="bottom"/>
            <w:tcBorders>
              <w:top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6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72"/>
        </w:trPr>
        <w:tc>
          <w:tcPr>
            <w:tcW w:w="56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w:t>
            </w:r>
          </w:p>
        </w:tc>
        <w:tc>
          <w:tcPr>
            <w:tcW w:w="21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shd w:val="clear" w:color="auto" w:fill="CCCCCC"/>
          </w:tcPr>
          <w:p>
            <w:pPr>
              <w:spacing w:after="0"/>
              <w:rPr>
                <w:sz w:val="14"/>
                <w:szCs w:val="14"/>
                <w:color w:val="auto"/>
              </w:rPr>
            </w:pPr>
          </w:p>
        </w:tc>
        <w:tc>
          <w:tcPr>
            <w:tcW w:w="13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CCCC"/>
          </w:tcPr>
          <w:p>
            <w:pPr>
              <w:spacing w:after="0"/>
              <w:rPr>
                <w:sz w:val="14"/>
                <w:szCs w:val="14"/>
                <w:color w:val="auto"/>
              </w:rPr>
            </w:pPr>
          </w:p>
        </w:tc>
        <w:tc>
          <w:tcPr>
            <w:tcW w:w="19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6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72"/>
        </w:trPr>
        <w:tc>
          <w:tcPr>
            <w:tcW w:w="56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21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shd w:val="clear" w:color="auto" w:fill="CCCCCC"/>
          </w:tcPr>
          <w:p>
            <w:pPr>
              <w:spacing w:after="0"/>
              <w:rPr>
                <w:sz w:val="14"/>
                <w:szCs w:val="14"/>
                <w:color w:val="auto"/>
              </w:rPr>
            </w:pPr>
          </w:p>
        </w:tc>
        <w:tc>
          <w:tcPr>
            <w:tcW w:w="13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CCCC"/>
          </w:tcPr>
          <w:p>
            <w:pPr>
              <w:spacing w:after="0"/>
              <w:rPr>
                <w:sz w:val="14"/>
                <w:szCs w:val="14"/>
                <w:color w:val="auto"/>
              </w:rPr>
            </w:pPr>
          </w:p>
        </w:tc>
        <w:tc>
          <w:tcPr>
            <w:tcW w:w="19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6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72"/>
        </w:trPr>
        <w:tc>
          <w:tcPr>
            <w:tcW w:w="56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w:t>
            </w:r>
          </w:p>
        </w:tc>
        <w:tc>
          <w:tcPr>
            <w:tcW w:w="21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shd w:val="clear" w:color="auto" w:fill="CCCCCC"/>
          </w:tcPr>
          <w:p>
            <w:pPr>
              <w:spacing w:after="0"/>
              <w:rPr>
                <w:sz w:val="14"/>
                <w:szCs w:val="14"/>
                <w:color w:val="auto"/>
              </w:rPr>
            </w:pPr>
          </w:p>
        </w:tc>
        <w:tc>
          <w:tcPr>
            <w:tcW w:w="13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CCCC"/>
          </w:tcPr>
          <w:p>
            <w:pPr>
              <w:spacing w:after="0"/>
              <w:rPr>
                <w:sz w:val="14"/>
                <w:szCs w:val="14"/>
                <w:color w:val="auto"/>
              </w:rPr>
            </w:pPr>
          </w:p>
        </w:tc>
        <w:tc>
          <w:tcPr>
            <w:tcW w:w="19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6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72"/>
        </w:trPr>
        <w:tc>
          <w:tcPr>
            <w:tcW w:w="568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21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shd w:val="clear" w:color="auto" w:fill="CCCCCC"/>
          </w:tcPr>
          <w:p>
            <w:pPr>
              <w:spacing w:after="0"/>
              <w:rPr>
                <w:sz w:val="14"/>
                <w:szCs w:val="14"/>
                <w:color w:val="auto"/>
              </w:rPr>
            </w:pPr>
          </w:p>
        </w:tc>
        <w:tc>
          <w:tcPr>
            <w:tcW w:w="13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shd w:val="clear" w:color="auto" w:fill="CCCCCC"/>
          </w:tcPr>
          <w:p>
            <w:pPr>
              <w:spacing w:after="0"/>
              <w:rPr>
                <w:sz w:val="14"/>
                <w:szCs w:val="14"/>
                <w:color w:val="auto"/>
              </w:rPr>
            </w:pPr>
          </w:p>
        </w:tc>
        <w:tc>
          <w:tcPr>
            <w:tcW w:w="19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r>
        <w:trPr>
          <w:trHeight w:val="16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6/21/2023</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249,992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aggregate number of each director’s RSUs outstanding at January 31, 2024, was: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Current Directors</w:t>
            </w:r>
          </w:p>
        </w:tc>
        <w:tc>
          <w:tcPr>
            <w:tcW w:w="286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Aggregate Number of Shares Underlying Outstanding</w:t>
            </w:r>
          </w:p>
        </w:tc>
        <w:tc>
          <w:tcPr>
            <w:tcW w:w="0" w:type="dxa"/>
            <w:vAlign w:val="bottom"/>
          </w:tcPr>
          <w:p>
            <w:pPr>
              <w:spacing w:after="0"/>
              <w:rPr>
                <w:sz w:val="1"/>
                <w:szCs w:val="1"/>
                <w:color w:val="auto"/>
              </w:rPr>
            </w:pPr>
          </w:p>
        </w:tc>
      </w:tr>
      <w:tr>
        <w:trPr>
          <w:trHeight w:val="153"/>
        </w:trPr>
        <w:tc>
          <w:tcPr>
            <w:tcW w:w="8400" w:type="dxa"/>
            <w:vAlign w:val="bottom"/>
            <w:gridSpan w:val="2"/>
            <w:vMerge w:val="continue"/>
          </w:tcPr>
          <w:p>
            <w:pPr>
              <w:spacing w:after="0"/>
              <w:rPr>
                <w:sz w:val="13"/>
                <w:szCs w:val="13"/>
                <w:color w:val="auto"/>
              </w:rPr>
            </w:pPr>
          </w:p>
        </w:tc>
        <w:tc>
          <w:tcPr>
            <w:tcW w:w="2860" w:type="dxa"/>
            <w:vAlign w:val="bottom"/>
          </w:tcPr>
          <w:p>
            <w:pPr>
              <w:jc w:val="right"/>
              <w:ind w:right="838"/>
              <w:spacing w:after="0"/>
              <w:rPr>
                <w:sz w:val="20"/>
                <w:szCs w:val="20"/>
                <w:color w:val="auto"/>
              </w:rPr>
            </w:pPr>
            <w:r>
              <w:rPr>
                <w:rFonts w:ascii="Times New Roman" w:cs="Times New Roman" w:eastAsia="Times New Roman" w:hAnsi="Times New Roman"/>
                <w:sz w:val="11"/>
                <w:szCs w:val="11"/>
                <w:b w:val="1"/>
                <w:bCs w:val="1"/>
                <w:color w:val="auto"/>
              </w:rPr>
              <w:t>Restricted Stock Units</w:t>
            </w:r>
          </w:p>
        </w:tc>
        <w:tc>
          <w:tcPr>
            <w:tcW w:w="0" w:type="dxa"/>
            <w:vAlign w:val="bottom"/>
          </w:tcPr>
          <w:p>
            <w:pPr>
              <w:spacing w:after="0"/>
              <w:rPr>
                <w:sz w:val="1"/>
                <w:szCs w:val="1"/>
                <w:color w:val="auto"/>
              </w:rPr>
            </w:pPr>
          </w:p>
        </w:tc>
      </w:tr>
      <w:tr>
        <w:trPr>
          <w:trHeight w:val="165"/>
        </w:trPr>
        <w:tc>
          <w:tcPr>
            <w:tcW w:w="8300" w:type="dxa"/>
            <w:vAlign w:val="bottom"/>
            <w:tcBorders>
              <w:top w:val="single" w:sz="8" w:color="auto"/>
            </w:tcBorders>
            <w:shd w:val="clear" w:color="auto" w:fill="CCCCCC"/>
          </w:tcPr>
          <w:p>
            <w:pPr>
              <w:spacing w:after="0"/>
              <w:rPr>
                <w:sz w:val="20"/>
                <w:szCs w:val="20"/>
                <w:color w:val="auto"/>
              </w:rPr>
            </w:pPr>
            <w:r>
              <w:rPr>
                <w:rFonts w:ascii="Times New Roman" w:cs="Times New Roman" w:eastAsia="Times New Roman" w:hAnsi="Times New Roman"/>
                <w:sz w:val="13"/>
                <w:szCs w:val="13"/>
                <w:color w:val="auto"/>
              </w:rPr>
              <w:t>Stacy J. Smith</w:t>
            </w:r>
          </w:p>
        </w:tc>
        <w:tc>
          <w:tcPr>
            <w:tcW w:w="100" w:type="dxa"/>
            <w:vAlign w:val="bottom"/>
            <w:tcBorders>
              <w:top w:val="single" w:sz="8" w:color="CCCCCC"/>
            </w:tcBorders>
            <w:shd w:val="clear" w:color="auto" w:fill="CCCCCC"/>
          </w:tcPr>
          <w:p>
            <w:pPr>
              <w:spacing w:after="0"/>
              <w:rPr>
                <w:sz w:val="14"/>
                <w:szCs w:val="14"/>
                <w:color w:val="auto"/>
              </w:rPr>
            </w:pPr>
          </w:p>
        </w:tc>
        <w:tc>
          <w:tcPr>
            <w:tcW w:w="286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0" w:type="dxa"/>
            <w:vAlign w:val="bottom"/>
          </w:tcPr>
          <w:p>
            <w:pPr>
              <w:spacing w:after="0"/>
              <w:rPr>
                <w:sz w:val="1"/>
                <w:szCs w:val="1"/>
                <w:color w:val="auto"/>
              </w:rPr>
            </w:pPr>
          </w:p>
        </w:tc>
      </w:tr>
      <w:tr>
        <w:trPr>
          <w:trHeight w:val="168"/>
        </w:trPr>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Karen Blasing</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0" w:type="dxa"/>
            <w:vAlign w:val="bottom"/>
          </w:tcPr>
          <w:p>
            <w:pPr>
              <w:spacing w:after="0"/>
              <w:rPr>
                <w:sz w:val="1"/>
                <w:szCs w:val="1"/>
                <w:color w:val="auto"/>
              </w:rPr>
            </w:pPr>
          </w:p>
        </w:tc>
      </w:tr>
      <w:tr>
        <w:trPr>
          <w:trHeight w:val="172"/>
        </w:trPr>
        <w:tc>
          <w:tcPr>
            <w:tcW w:w="840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Reid French</w:t>
            </w:r>
          </w:p>
        </w:tc>
        <w:tc>
          <w:tcPr>
            <w:tcW w:w="28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0" w:type="dxa"/>
            <w:vAlign w:val="bottom"/>
          </w:tcPr>
          <w:p>
            <w:pPr>
              <w:spacing w:after="0"/>
              <w:rPr>
                <w:sz w:val="1"/>
                <w:szCs w:val="1"/>
                <w:color w:val="auto"/>
              </w:rPr>
            </w:pPr>
          </w:p>
        </w:tc>
      </w:tr>
      <w:tr>
        <w:trPr>
          <w:trHeight w:val="168"/>
        </w:trPr>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Ayanna Howard</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r>
        <w:trPr>
          <w:trHeight w:val="172"/>
        </w:trPr>
        <w:tc>
          <w:tcPr>
            <w:tcW w:w="840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Blake Irving</w:t>
            </w:r>
          </w:p>
        </w:tc>
        <w:tc>
          <w:tcPr>
            <w:tcW w:w="28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0" w:type="dxa"/>
            <w:vAlign w:val="bottom"/>
          </w:tcPr>
          <w:p>
            <w:pPr>
              <w:spacing w:after="0"/>
              <w:rPr>
                <w:sz w:val="1"/>
                <w:szCs w:val="1"/>
                <w:color w:val="auto"/>
              </w:rPr>
            </w:pPr>
          </w:p>
        </w:tc>
      </w:tr>
      <w:tr>
        <w:trPr>
          <w:trHeight w:val="168"/>
        </w:trPr>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Mary T. McDowell</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72"/>
        </w:trPr>
        <w:tc>
          <w:tcPr>
            <w:tcW w:w="840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Stephen Milligan</w:t>
            </w:r>
          </w:p>
        </w:tc>
        <w:tc>
          <w:tcPr>
            <w:tcW w:w="28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0" w:type="dxa"/>
            <w:vAlign w:val="bottom"/>
          </w:tcPr>
          <w:p>
            <w:pPr>
              <w:spacing w:after="0"/>
              <w:rPr>
                <w:sz w:val="1"/>
                <w:szCs w:val="1"/>
                <w:color w:val="auto"/>
              </w:rPr>
            </w:pPr>
          </w:p>
        </w:tc>
      </w:tr>
      <w:tr>
        <w:trPr>
          <w:trHeight w:val="168"/>
        </w:trPr>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Lorrie M. Norrington</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0" w:type="dxa"/>
            <w:vAlign w:val="bottom"/>
          </w:tcPr>
          <w:p>
            <w:pPr>
              <w:spacing w:after="0"/>
              <w:rPr>
                <w:sz w:val="1"/>
                <w:szCs w:val="1"/>
                <w:color w:val="auto"/>
              </w:rPr>
            </w:pPr>
          </w:p>
        </w:tc>
      </w:tr>
      <w:tr>
        <w:trPr>
          <w:trHeight w:val="172"/>
        </w:trPr>
        <w:tc>
          <w:tcPr>
            <w:tcW w:w="840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3"/>
                <w:szCs w:val="13"/>
                <w:color w:val="auto"/>
              </w:rPr>
              <w:t>Betsy Rafael</w:t>
            </w:r>
          </w:p>
        </w:tc>
        <w:tc>
          <w:tcPr>
            <w:tcW w:w="28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r>
        <w:trPr>
          <w:trHeight w:val="165"/>
        </w:trPr>
        <w:tc>
          <w:tcPr>
            <w:tcW w:w="8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Rami Rahim</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Stock Ownership Guidelines</w:t>
      </w:r>
    </w:p>
    <w:p>
      <w:pPr>
        <w:spacing w:after="0" w:line="202" w:lineRule="exact"/>
        <w:rPr>
          <w:sz w:val="20"/>
          <w:szCs w:val="20"/>
          <w:color w:val="auto"/>
        </w:rPr>
      </w:pPr>
    </w:p>
    <w:p>
      <w:pPr>
        <w:ind w:right="280" w:firstLine="382"/>
        <w:spacing w:after="0" w:line="270" w:lineRule="auto"/>
        <w:rPr>
          <w:sz w:val="20"/>
          <w:szCs w:val="20"/>
          <w:color w:val="auto"/>
        </w:rPr>
      </w:pPr>
      <w:r>
        <w:rPr>
          <w:rFonts w:ascii="Times New Roman" w:cs="Times New Roman" w:eastAsia="Times New Roman" w:hAnsi="Times New Roman"/>
          <w:sz w:val="14"/>
          <w:szCs w:val="14"/>
          <w:color w:val="auto"/>
        </w:rPr>
        <w:t>The Board believes directors should have a meaningful financial stake in Autodesk in order to further align their interests with Autodesk’s stockholders. To that end, the Board has adopted mandatory ownership guidelines for the directors. These mandatory ownership guidelines require all directors to hold shares of Autodesk’s common stock equivalent in value to five times their annual cash retainer.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w:t>
      </w:r>
    </w:p>
    <w:p>
      <w:pPr>
        <w:spacing w:after="0" w:line="202"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The current members of the Compensation and Human Resources Committee are Mary T. McDowell, Reid French and Rami Rahim. No director who served as a member of the Compensation and Human Resources Committee during fiscal year 2024 is or was formerly an officer or employee of Autodesk or any of its subsidiaries. No interlocking relationship existed between any director who served as a member of the Compensation and Human Resources Committee during fiscal year 2024 and the compensation committee of any other company, nor has any such interlocking relationship existed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202" w:lineRule="exact"/>
        <w:rPr>
          <w:sz w:val="20"/>
          <w:szCs w:val="20"/>
          <w:color w:val="auto"/>
        </w:rPr>
      </w:pPr>
    </w:p>
    <w:p>
      <w:pPr>
        <w:ind w:firstLine="350"/>
        <w:spacing w:after="0" w:line="266" w:lineRule="auto"/>
        <w:rPr>
          <w:sz w:val="20"/>
          <w:szCs w:val="20"/>
          <w:color w:val="auto"/>
        </w:rPr>
      </w:pPr>
      <w:r>
        <w:rPr>
          <w:rFonts w:ascii="Times New Roman" w:cs="Times New Roman" w:eastAsia="Times New Roman" w:hAnsi="Times New Roman"/>
          <w:sz w:val="14"/>
          <w:szCs w:val="14"/>
          <w:color w:val="auto"/>
        </w:rPr>
        <w:t>The following table sets forth certain information concerning the beneficial ownership of Autodesk’s common stock as of April 30, 2024, for each person or entity who is known by Autodesk to own beneficially more than 5% of the outstanding shares of Autodesk common stock, each of Autodesk’s directors, each of the named executive officers, including former executive officers, and all directors and executive officers as a group.</w:t>
      </w:r>
    </w:p>
    <w:tbl>
      <w:tblPr>
        <w:tblLayout w:type="fixed"/>
        <w:tblInd w:w="0" w:type="dxa"/>
        <w:tblCellMar>
          <w:top w:w="0" w:type="dxa"/>
          <w:left w:w="0" w:type="dxa"/>
          <w:bottom w:w="0" w:type="dxa"/>
          <w:right w:w="0" w:type="dxa"/>
        </w:tblCellMar>
      </w:tblPr>
      <w:tr>
        <w:trPr>
          <w:trHeight w:val="118"/>
        </w:trPr>
        <w:tc>
          <w:tcPr>
            <w:tcW w:w="7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940" w:type="dxa"/>
            <w:vAlign w:val="bottom"/>
          </w:tcPr>
          <w:p>
            <w:pPr>
              <w:ind w:left="700"/>
              <w:spacing w:after="0" w:line="118"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5"/>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5% Stockholders, Directors and Officers (1)</w:t>
            </w:r>
          </w:p>
        </w:tc>
        <w:tc>
          <w:tcPr>
            <w:tcW w:w="19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940" w:type="dxa"/>
            <w:vAlign w:val="bottom"/>
          </w:tcPr>
          <w:p>
            <w:pPr>
              <w:ind w:left="680"/>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54"/>
        </w:trPr>
        <w:tc>
          <w:tcPr>
            <w:tcW w:w="7440" w:type="dxa"/>
            <w:vAlign w:val="bottom"/>
            <w:gridSpan w:val="2"/>
            <w:vMerge w:val="continue"/>
          </w:tcPr>
          <w:p>
            <w:pPr>
              <w:spacing w:after="0"/>
              <w:rPr>
                <w:sz w:val="13"/>
                <w:szCs w:val="13"/>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Owned (2)</w:t>
            </w:r>
          </w:p>
        </w:tc>
        <w:tc>
          <w:tcPr>
            <w:tcW w:w="194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Owned (3)</w:t>
            </w:r>
          </w:p>
        </w:tc>
        <w:tc>
          <w:tcPr>
            <w:tcW w:w="0" w:type="dxa"/>
            <w:vAlign w:val="bottom"/>
          </w:tcPr>
          <w:p>
            <w:pPr>
              <w:spacing w:after="0"/>
              <w:rPr>
                <w:sz w:val="1"/>
                <w:szCs w:val="1"/>
                <w:color w:val="auto"/>
              </w:rPr>
            </w:pPr>
          </w:p>
        </w:tc>
      </w:tr>
      <w:tr>
        <w:trPr>
          <w:trHeight w:val="166"/>
        </w:trPr>
        <w:tc>
          <w:tcPr>
            <w:tcW w:w="7340" w:type="dxa"/>
            <w:vAlign w:val="bottom"/>
            <w:tcBorders>
              <w:top w:val="single" w:sz="8" w:color="auto"/>
            </w:tcBorders>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Stockholders:</w:t>
            </w:r>
          </w:p>
        </w:tc>
        <w:tc>
          <w:tcPr>
            <w:tcW w:w="100" w:type="dxa"/>
            <w:vAlign w:val="bottom"/>
            <w:tcBorders>
              <w:top w:val="single" w:sz="8" w:color="CCCCCC"/>
            </w:tcBorders>
            <w:shd w:val="clear" w:color="auto" w:fill="CCCCCC"/>
          </w:tcPr>
          <w:p>
            <w:pPr>
              <w:spacing w:after="0"/>
              <w:rPr>
                <w:sz w:val="14"/>
                <w:szCs w:val="14"/>
                <w:color w:val="auto"/>
              </w:rPr>
            </w:pPr>
          </w:p>
        </w:tc>
        <w:tc>
          <w:tcPr>
            <w:tcW w:w="1800" w:type="dxa"/>
            <w:vAlign w:val="bottom"/>
            <w:tcBorders>
              <w:top w:val="single" w:sz="8" w:color="auto"/>
            </w:tcBorders>
            <w:shd w:val="clear" w:color="auto" w:fill="CCCCCC"/>
          </w:tcPr>
          <w:p>
            <w:pPr>
              <w:spacing w:after="0"/>
              <w:rPr>
                <w:sz w:val="14"/>
                <w:szCs w:val="14"/>
                <w:color w:val="auto"/>
              </w:rPr>
            </w:pPr>
          </w:p>
        </w:tc>
        <w:tc>
          <w:tcPr>
            <w:tcW w:w="100" w:type="dxa"/>
            <w:vAlign w:val="bottom"/>
            <w:tcBorders>
              <w:top w:val="single" w:sz="8" w:color="CCCCCC"/>
            </w:tcBorders>
            <w:shd w:val="clear" w:color="auto" w:fill="CCCCCC"/>
          </w:tcPr>
          <w:p>
            <w:pPr>
              <w:spacing w:after="0"/>
              <w:rPr>
                <w:sz w:val="14"/>
                <w:szCs w:val="14"/>
                <w:color w:val="auto"/>
              </w:rPr>
            </w:pPr>
          </w:p>
        </w:tc>
        <w:tc>
          <w:tcPr>
            <w:tcW w:w="1940" w:type="dxa"/>
            <w:vAlign w:val="bottom"/>
            <w:tcBorders>
              <w:top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Vanguard Group, Inc. (4)</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19,038,582</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BlackRock, Inc. (5)</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19,233,480</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16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Non-Employee Directors (6):</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Stacy J. Smith</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19,934</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Karen Blasing</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7,237</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Reid French (7)</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12,958</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Dr. Ayanna Howard</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2,241</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Blake Irving</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8,261</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T. McDowell</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33,766</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Stephen Milligan (8)</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9,556</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Lorrie M. Norrington</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7,248</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Betsy Rafael</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3,237</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Rami Rahim</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b w:val="1"/>
                <w:bCs w:val="1"/>
                <w:color w:val="auto"/>
              </w:rPr>
              <w:t>Named Executive Officers:</w:t>
            </w:r>
          </w:p>
        </w:tc>
        <w:tc>
          <w:tcPr>
            <w:tcW w:w="180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Andrew Anagnost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46,011</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Deborah L. Clifford</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15,602</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Steven M. Blum (9)</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72,095</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Ruth Ann Keene</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60,063</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Rebecca Pearce</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5,865</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40" w:type="dxa"/>
            <w:vAlign w:val="bottom"/>
            <w:gridSpan w:val="2"/>
            <w:shd w:val="clear" w:color="auto" w:fill="CCCCCC"/>
          </w:tcPr>
          <w:p>
            <w:pPr>
              <w:ind w:left="20"/>
              <w:spacing w:after="0"/>
              <w:rPr>
                <w:sz w:val="20"/>
                <w:szCs w:val="20"/>
                <w:color w:val="auto"/>
              </w:rPr>
            </w:pPr>
            <w:r>
              <w:rPr>
                <w:rFonts w:ascii="Times New Roman" w:cs="Times New Roman" w:eastAsia="Times New Roman" w:hAnsi="Times New Roman"/>
                <w:sz w:val="13"/>
                <w:szCs w:val="13"/>
                <w:color w:val="auto"/>
              </w:rPr>
              <w:t>All directors and executive officers as a group (15 individuals)</w:t>
            </w:r>
          </w:p>
        </w:tc>
        <w:tc>
          <w:tcPr>
            <w:tcW w:w="18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306,235</w:t>
            </w:r>
          </w:p>
        </w:tc>
        <w:tc>
          <w:tcPr>
            <w:tcW w:w="100" w:type="dxa"/>
            <w:vAlign w:val="bottom"/>
            <w:shd w:val="clear" w:color="auto" w:fill="CCCCCC"/>
          </w:tcPr>
          <w:p>
            <w:pPr>
              <w:spacing w:after="0"/>
              <w:rPr>
                <w:sz w:val="14"/>
                <w:szCs w:val="14"/>
                <w:color w:val="auto"/>
              </w:rPr>
            </w:pPr>
          </w:p>
        </w:tc>
        <w:tc>
          <w:tcPr>
            <w:tcW w:w="19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Represents less than one percent (1%) of the outstanding common stock.</w:t>
      </w:r>
    </w:p>
    <w:p>
      <w:pPr>
        <w:spacing w:after="0" w:line="2" w:lineRule="exact"/>
        <w:rPr>
          <w:sz w:val="20"/>
          <w:szCs w:val="20"/>
          <w:color w:val="auto"/>
        </w:rPr>
      </w:pPr>
    </w:p>
    <w:p>
      <w:pPr>
        <w:ind w:left="260" w:hanging="255"/>
        <w:spacing w:after="0"/>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indicated in their respective footnote, the address for each listed person is c/o Autodesk, Inc., One Market Street, Ste. 400, San Francisco, California 94105.</w:t>
      </w:r>
    </w:p>
    <w:p>
      <w:pPr>
        <w:ind w:left="260" w:right="180" w:hanging="255"/>
        <w:spacing w:after="0" w:line="266" w:lineRule="auto"/>
        <w:tabs>
          <w:tab w:leader="none" w:pos="26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percentage of shares beneficially owned is determined in accordance with Rule 13d-3 of the Exchange Act, and the information is not necessarily indicative of beneficial ownership for any other purpose. Under Rule 13d-3, beneficial ownership includes any shares the individual or entity has the right to acquire within 60 days of April 30, 2024, through the exercise of any stock option or other right. Unless otherwise indicated in the footnotes, each person or entity has sole voting and investment power (or shares such powers with his or her spouse) with respect to the shares shown as beneficially owned.</w:t>
      </w:r>
    </w:p>
    <w:p>
      <w:pPr>
        <w:ind w:left="260" w:hanging="255"/>
        <w:spacing w:after="0"/>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number of shares of common stock outstanding as of April 30, 2024, was 215,476,226.</w:t>
      </w:r>
    </w:p>
    <w:p>
      <w:pPr>
        <w:spacing w:after="0" w:line="6" w:lineRule="exact"/>
        <w:rPr>
          <w:rFonts w:ascii="Times New Roman" w:cs="Times New Roman" w:eastAsia="Times New Roman" w:hAnsi="Times New Roman"/>
          <w:sz w:val="13"/>
          <w:szCs w:val="13"/>
          <w:color w:val="auto"/>
        </w:rPr>
      </w:pPr>
    </w:p>
    <w:p>
      <w:pPr>
        <w:ind w:left="260" w:right="100" w:hanging="255"/>
        <w:spacing w:after="0" w:line="244" w:lineRule="auto"/>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29, 2023, the reporting date of The Vanguard Group, Inc.’s most recent filing with the SEC pursuant to Section 13(g) of the Exchange Act filed on February 13, 2024, The Vanguard Group, Inc. was deemed to have sole dispositive power with respect to 18,113,756 shares, shared voting power with respect to 285,944 shares, and shared dispositive power with respect to 924,826 shares. The address of The Vanguard Group, Inc. is 100 Vanguard Blvd., Malvern, PA 19355.</w:t>
      </w:r>
    </w:p>
    <w:p>
      <w:pPr>
        <w:ind w:left="260" w:right="120" w:hanging="255"/>
        <w:spacing w:after="0" w:line="246" w:lineRule="auto"/>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2023, the reporting date of BlackRock, Inc.’s most recent filing with the SEC pursuant to Section 13(g) of the Exchange Act filed on January 25, 2024, BlackRock, Inc. was deemed to have sole voting power with respect to 17,449,172 shares, sole dispositive power with respect to 19,233,480 shares. The address of BlackRock, Inc. is 50 Hudson Yards, New York, NY 10001.</w:t>
      </w:r>
    </w:p>
    <w:p>
      <w:pPr>
        <w:spacing w:after="0" w:line="1" w:lineRule="exact"/>
        <w:rPr>
          <w:rFonts w:ascii="Times New Roman" w:cs="Times New Roman" w:eastAsia="Times New Roman" w:hAnsi="Times New Roman"/>
          <w:sz w:val="13"/>
          <w:szCs w:val="13"/>
          <w:color w:val="auto"/>
        </w:rPr>
      </w:pPr>
    </w:p>
    <w:p>
      <w:pPr>
        <w:ind w:left="260" w:right="300" w:hanging="255"/>
        <w:spacing w:after="0"/>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Directors’ holdings reported include vested awards deferred under our 2012 Outside Directors’ Stock Plan as well as unvested awards granted in fiscal year 2024 and assume they will vest in connection with the fiscal year 2025 Annual Meeting of Stockholders.</w:t>
      </w:r>
    </w:p>
    <w:p>
      <w:pPr>
        <w:spacing w:after="0" w:line="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20 shares held indirectly by trust.</w:t>
      </w:r>
    </w:p>
    <w:p>
      <w:pPr>
        <w:spacing w:after="0" w:line="6"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7,922 shares held indirectly by trust.</w:t>
      </w:r>
    </w:p>
    <w:p>
      <w:pPr>
        <w:spacing w:after="0" w:line="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71,549 shares held indirectly by trust.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38"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number of outstanding options and awards granted to employees and directors, as well as the number of securities remaining available for future issuance under these plans as of January 31, 2024:</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(b)</w:t>
            </w: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00" w:type="dxa"/>
            <w:vAlign w:val="bottom"/>
          </w:tcPr>
          <w:p>
            <w:pPr>
              <w:spacing w:after="0"/>
              <w:rPr>
                <w:sz w:val="10"/>
                <w:szCs w:val="10"/>
                <w:color w:val="auto"/>
              </w:rPr>
            </w:pP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23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 of securities remaining available for</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upon exercise or vesting of</w:t>
            </w:r>
          </w:p>
        </w:tc>
        <w:tc>
          <w:tcPr>
            <w:tcW w:w="1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3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future issuance under equity compensation plans</w:t>
            </w:r>
          </w:p>
        </w:tc>
        <w:tc>
          <w:tcPr>
            <w:tcW w:w="0" w:type="dxa"/>
            <w:vAlign w:val="bottom"/>
          </w:tcPr>
          <w:p>
            <w:pPr>
              <w:spacing w:after="0"/>
              <w:rPr>
                <w:sz w:val="1"/>
                <w:szCs w:val="1"/>
                <w:color w:val="auto"/>
              </w:rPr>
            </w:pPr>
          </w:p>
        </w:tc>
      </w:tr>
      <w:tr>
        <w:trPr>
          <w:trHeight w:val="108"/>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outstanding options and awards (in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price of outstanding</w:t>
            </w:r>
          </w:p>
        </w:tc>
        <w:tc>
          <w:tcPr>
            <w:tcW w:w="2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(excluding securities reflected in column (a)) (in</w:t>
            </w:r>
          </w:p>
        </w:tc>
        <w:tc>
          <w:tcPr>
            <w:tcW w:w="0" w:type="dxa"/>
            <w:vAlign w:val="bottom"/>
          </w:tcPr>
          <w:p>
            <w:pPr>
              <w:spacing w:after="0"/>
              <w:rPr>
                <w:sz w:val="1"/>
                <w:szCs w:val="1"/>
                <w:color w:val="auto"/>
              </w:rPr>
            </w:pPr>
          </w:p>
        </w:tc>
      </w:tr>
      <w:tr>
        <w:trPr>
          <w:trHeight w:val="158"/>
        </w:trPr>
        <w:tc>
          <w:tcPr>
            <w:tcW w:w="5420" w:type="dxa"/>
            <w:vAlign w:val="bottom"/>
            <w:gridSpan w:val="2"/>
            <w:vMerge w:val="continue"/>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millions) (2)</w:t>
            </w:r>
          </w:p>
        </w:tc>
        <w:tc>
          <w:tcPr>
            <w:tcW w:w="0" w:type="dxa"/>
            <w:vAlign w:val="bottom"/>
          </w:tcPr>
          <w:p>
            <w:pPr>
              <w:spacing w:after="0"/>
              <w:rPr>
                <w:sz w:val="1"/>
                <w:szCs w:val="1"/>
                <w:color w:val="auto"/>
              </w:rPr>
            </w:pPr>
          </w:p>
        </w:tc>
      </w:tr>
      <w:tr>
        <w:trPr>
          <w:trHeight w:val="170"/>
        </w:trPr>
        <w:tc>
          <w:tcPr>
            <w:tcW w:w="5320" w:type="dxa"/>
            <w:vAlign w:val="bottom"/>
            <w:tcBorders>
              <w:top w:val="single" w:sz="8" w:color="auto"/>
            </w:tcBorders>
            <w:shd w:val="clear" w:color="auto" w:fill="CCCCCC"/>
          </w:tcPr>
          <w:p>
            <w:pPr>
              <w:spacing w:after="0"/>
              <w:rPr>
                <w:sz w:val="20"/>
                <w:szCs w:val="20"/>
                <w:color w:val="auto"/>
              </w:rPr>
            </w:pPr>
            <w:r>
              <w:rPr>
                <w:rFonts w:ascii="Times New Roman" w:cs="Times New Roman" w:eastAsia="Times New Roman" w:hAnsi="Times New Roman"/>
                <w:sz w:val="13"/>
                <w:szCs w:val="13"/>
                <w:color w:val="auto"/>
              </w:rPr>
              <w:t>Equity compensation plans approved by security holders (1)</w:t>
            </w:r>
          </w:p>
        </w:tc>
        <w:tc>
          <w:tcPr>
            <w:tcW w:w="100" w:type="dxa"/>
            <w:vAlign w:val="bottom"/>
            <w:tcBorders>
              <w:top w:val="single" w:sz="8" w:color="CCCCCC"/>
            </w:tcBorders>
            <w:shd w:val="clear" w:color="auto" w:fill="CCCCCC"/>
          </w:tcPr>
          <w:p>
            <w:pPr>
              <w:spacing w:after="0"/>
              <w:rPr>
                <w:sz w:val="14"/>
                <w:szCs w:val="14"/>
                <w:color w:val="auto"/>
              </w:rPr>
            </w:pPr>
          </w:p>
        </w:tc>
        <w:tc>
          <w:tcPr>
            <w:tcW w:w="1860" w:type="dxa"/>
            <w:vAlign w:val="bottom"/>
            <w:tcBorders>
              <w:top w:val="single" w:sz="8" w:color="auto"/>
              <w:bottom w:val="single" w:sz="8" w:color="auto"/>
            </w:tcBorders>
            <w:shd w:val="clear" w:color="auto" w:fill="CCCCCC"/>
          </w:tcPr>
          <w:p>
            <w:pPr>
              <w:jc w:val="right"/>
              <w:ind w:right="1"/>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CCCC"/>
            </w:tcBorders>
            <w:shd w:val="clear" w:color="auto" w:fill="CCCCCC"/>
          </w:tcPr>
          <w:p>
            <w:pPr>
              <w:spacing w:after="0"/>
              <w:rPr>
                <w:sz w:val="14"/>
                <w:szCs w:val="14"/>
                <w:color w:val="auto"/>
              </w:rPr>
            </w:pPr>
          </w:p>
        </w:tc>
        <w:tc>
          <w:tcPr>
            <w:tcW w:w="120" w:type="dxa"/>
            <w:vAlign w:val="bottom"/>
            <w:tcBorders>
              <w:top w:val="single" w:sz="8" w:color="auto"/>
            </w:tcBorders>
            <w:shd w:val="clear" w:color="auto" w:fill="CCCCC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CCCC"/>
          </w:tcPr>
          <w:p>
            <w:pPr>
              <w:jc w:val="right"/>
              <w:ind w:right="1"/>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tcBorders>
              <w:top w:val="single" w:sz="8" w:color="CCCCCC"/>
            </w:tcBorders>
            <w:shd w:val="clear" w:color="auto" w:fill="CCCCCC"/>
          </w:tcPr>
          <w:p>
            <w:pPr>
              <w:spacing w:after="0"/>
              <w:rPr>
                <w:sz w:val="14"/>
                <w:szCs w:val="14"/>
                <w:color w:val="auto"/>
              </w:rPr>
            </w:pPr>
          </w:p>
        </w:tc>
        <w:tc>
          <w:tcPr>
            <w:tcW w:w="2380" w:type="dxa"/>
            <w:vAlign w:val="bottom"/>
            <w:tcBorders>
              <w:top w:val="single" w:sz="8" w:color="auto"/>
              <w:bottom w:val="single" w:sz="8" w:color="auto"/>
            </w:tcBorders>
            <w:shd w:val="clear" w:color="auto" w:fill="CCCCCC"/>
          </w:tcPr>
          <w:p>
            <w:pPr>
              <w:jc w:val="right"/>
              <w:ind w:right="1"/>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8"/>
        </w:trPr>
        <w:tc>
          <w:tcPr>
            <w:tcW w:w="542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tcPr>
          <w:p>
            <w:pPr>
              <w:spacing w:after="0"/>
              <w:rPr>
                <w:sz w:val="13"/>
                <w:szCs w:val="13"/>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w:t>
      </w:r>
    </w:p>
    <w:p>
      <w:pPr>
        <w:spacing w:after="0" w:line="31" w:lineRule="exact"/>
        <w:rPr>
          <w:sz w:val="20"/>
          <w:szCs w:val="20"/>
          <w:color w:val="auto"/>
        </w:rPr>
      </w:pPr>
    </w:p>
    <w:p>
      <w:pPr>
        <w:ind w:left="260" w:right="140" w:hanging="255"/>
        <w:spacing w:after="0" w:line="260" w:lineRule="auto"/>
        <w:tabs>
          <w:tab w:leader="none" w:pos="256" w:val="left"/>
        </w:tabs>
        <w:numPr>
          <w:ilvl w:val="0"/>
          <w:numId w:val="96"/>
        </w:numPr>
        <w:rPr>
          <w:rFonts w:ascii="Arial" w:cs="Arial" w:eastAsia="Arial" w:hAnsi="Arial"/>
          <w:sz w:val="13"/>
          <w:szCs w:val="13"/>
          <w:color w:val="auto"/>
        </w:rPr>
      </w:pPr>
      <w:r>
        <w:rPr>
          <w:rFonts w:ascii="Times New Roman" w:cs="Times New Roman" w:eastAsia="Times New Roman" w:hAnsi="Times New Roman"/>
          <w:sz w:val="13"/>
          <w:szCs w:val="13"/>
          <w:color w:val="auto"/>
        </w:rPr>
        <w:t>Includes the 2022 Equity Incentive Plan that was approved by Autodesk’s stockholders and became effective on June 16, 2022, and the 2012 Employee Stock Plan, as amended, set forth in Part II, Item 8, Financial Statements and Supplementary Data, Note 4, "Equity Compensation".</w:t>
      </w:r>
    </w:p>
    <w:p>
      <w:pPr>
        <w:ind w:left="260" w:hanging="255"/>
        <w:spacing w:after="0"/>
        <w:tabs>
          <w:tab w:leader="none" w:pos="26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this amount are 4 million securities available for future issuance under Autodesk’s Employee Stock Purchase Plan.</w:t>
      </w:r>
    </w:p>
    <w:p>
      <w:pPr>
        <w:spacing w:after="0" w:line="1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w:t>
      </w:r>
    </w:p>
    <w:p>
      <w:pPr>
        <w:spacing w:after="0" w:line="138" w:lineRule="exact"/>
        <w:rPr>
          <w:sz w:val="20"/>
          <w:szCs w:val="20"/>
          <w:color w:val="auto"/>
        </w:rPr>
      </w:pPr>
    </w:p>
    <w:p>
      <w:pPr>
        <w:ind w:right="160" w:firstLine="350"/>
        <w:spacing w:after="0" w:line="258" w:lineRule="auto"/>
        <w:rPr>
          <w:sz w:val="20"/>
          <w:szCs w:val="20"/>
          <w:color w:val="auto"/>
        </w:rPr>
      </w:pPr>
      <w:r>
        <w:rPr>
          <w:rFonts w:ascii="Times New Roman" w:cs="Times New Roman" w:eastAsia="Times New Roman" w:hAnsi="Times New Roman"/>
          <w:sz w:val="14"/>
          <w:szCs w:val="14"/>
          <w:color w:val="auto"/>
        </w:rPr>
        <w:t>Our Audit Committee has established a written policy and procedures for review and approval of related-party transactions. Autodesk’s Related Party Transactions Policy states that all transactions between Autodesk and its wholly owned subsidiaries and any of its directors, executive officers, nominees for director or owners of 5% or more of our stock, or their immediate family members, where the amount involved exceeds $120,000, require the approval of both our Chief Financial Officer and the Audit Committee. If a related-party transaction subject to review involves directly or indirectly a member of the Audit Committee or the Chief Financial Officer (or one of their immediate family members), such Audit Committee member or Chief Financial Officer will recuse him or herself from the review. The Chief Financial Officer and the Audit Committee shall approve or ratify only those transactions that are deemed to be not inconsistent with the best interests of the Company as a whole. Non-routine transactions with vendors and suppliers of Autodesk and its wholly-owned subsidiaries require the prior written approval of the Chief Accounting Officer.</w:t>
      </w:r>
    </w:p>
    <w:p>
      <w:pPr>
        <w:spacing w:after="0" w:line="104" w:lineRule="exact"/>
        <w:rPr>
          <w:sz w:val="20"/>
          <w:szCs w:val="20"/>
          <w:color w:val="auto"/>
        </w:rPr>
      </w:pPr>
    </w:p>
    <w:p>
      <w:pPr>
        <w:ind w:right="360" w:firstLine="350"/>
        <w:spacing w:after="0" w:line="270" w:lineRule="auto"/>
        <w:rPr>
          <w:sz w:val="20"/>
          <w:szCs w:val="20"/>
          <w:color w:val="auto"/>
        </w:rPr>
      </w:pPr>
      <w:r>
        <w:rPr>
          <w:rFonts w:ascii="Times New Roman" w:cs="Times New Roman" w:eastAsia="Times New Roman" w:hAnsi="Times New Roman"/>
          <w:sz w:val="14"/>
          <w:szCs w:val="14"/>
          <w:color w:val="auto"/>
        </w:rPr>
        <w:t>During fiscal year 2024, there were ordinary course transactions between Autodesk and certain related entities, for example for the purchase of software licenses by companies of which a director is an executive officer or where an executive officer was previously employed. None of these transactions constituted a related-party transaction that required approval by the Audit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38"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Our Board believes independence is a critical component of our governance strategy, and that it’s continued independence enables it to be objective in carrying out its oversight responsibilities. Our Corporate Governance Guidelines provide that a substantial majority of our directors will be independent and that each Committee will be made up of solely independent directors. Autodesk’s independent directors meet regularly in executive session, without management present, as part of the quarterly Board meetings, with the intent to facilitate open discussion. Stacy Smith, our Chair, presides at these executive sessions.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Each year, and before a new director is appointed, the Board must affirmatively determine a director has no relationship that would interfere with the exercise of independent judgment in carrying out their responsibilities as a director. Annually, each director also completes a detailed questionnaire that provides information about relationships that might affect the determination of independence. Autodesk management provides the Corporate Governance and Nominating Committee and the Board with the relevant information from the questionnaires along with known facts and circumstances of any relationship bearing on the independence of a director or nominee. The Corporate Governance and Nominating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Autodesk, another director, or as a partner, stockholder, or officer of an organization that has a relationship with Autodesk. As part of its annual review process, our Corporate Governance and Nominating Committee also considers a director’s tenure.</w:t>
      </w:r>
    </w:p>
    <w:p>
      <w:pPr>
        <w:spacing w:after="0" w:line="10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As required by the Nasdaq listing standards, a majority of the members of our Board qualify as “independent.” The Board has determined that, with the exception of Dr. Anagnost, our President and CEO, and Ms. Rafael, our Interim CFO, all of its members are “independent directors” as that term is defined by applicable Nasdaq listing standards. That definition includes a series of objective tests, including that the director is not an employee of the company and has not engaged in various types of business dealings with the company. In addition, as further required by applicable Nasdaq listing standards, the Board has made a subjective determination as to each independent director that no relationships exist that would interfere with the exercise of independent judgment in carrying out the responsibilities of a director.</w:t>
      </w:r>
    </w:p>
    <w:p>
      <w:pPr>
        <w:spacing w:after="0" w:line="101"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Based on the review and recommendation by the Corporate Governance and Nominating Committee, the Board analyzed the independence of each director. The Board determined that Mses. Blasing, Howard, McDowell, and Norrington, and Messrs. French, Irving, Milligan, Rahim and Smith meet the standards of independence under our Corporate Governance Guidelines and the Nasdaq listing standards, including that each member is free of any relationship that would interfere with his or her individual exercise of independent judgment.</w:t>
      </w:r>
    </w:p>
    <w:p>
      <w:pPr>
        <w:spacing w:after="0" w:line="1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ACCOUNTING FEES AND SERVICES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fees billed for professional audit services and other services rendered to Autodesk by EY and its affiliates for the fiscal years ended January 31, 2024 and 2023.</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460" w:type="dxa"/>
            <w:vAlign w:val="bottom"/>
          </w:tcPr>
          <w:p>
            <w:pPr>
              <w:spacing w:after="0"/>
              <w:rPr>
                <w:sz w:val="13"/>
                <w:szCs w:val="13"/>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Fiscal Year 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Fiscal Year 2023</w:t>
            </w:r>
          </w:p>
        </w:tc>
      </w:tr>
      <w:tr>
        <w:trPr>
          <w:trHeight w:val="154"/>
        </w:trPr>
        <w:tc>
          <w:tcPr>
            <w:tcW w:w="7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3"/>
                <w:szCs w:val="13"/>
                <w:color w:val="auto"/>
              </w:rPr>
            </w:pPr>
          </w:p>
        </w:tc>
      </w:tr>
      <w:tr>
        <w:trPr>
          <w:trHeight w:val="175"/>
        </w:trPr>
        <w:tc>
          <w:tcPr>
            <w:tcW w:w="7460" w:type="dxa"/>
            <w:vAlign w:val="bottom"/>
            <w:shd w:val="clear" w:color="auto" w:fill="CCCCCC"/>
          </w:tcPr>
          <w:p>
            <w:pPr>
              <w:spacing w:after="0"/>
              <w:rPr>
                <w:sz w:val="20"/>
                <w:szCs w:val="20"/>
                <w:color w:val="auto"/>
              </w:rPr>
            </w:pPr>
            <w:r>
              <w:rPr>
                <w:rFonts w:ascii="Times New Roman" w:cs="Times New Roman" w:eastAsia="Times New Roman" w:hAnsi="Times New Roman"/>
                <w:sz w:val="13"/>
                <w:szCs w:val="13"/>
                <w:color w:val="auto"/>
              </w:rPr>
              <w:t>Audit Fees (1)</w:t>
            </w:r>
          </w:p>
        </w:tc>
        <w:tc>
          <w:tcPr>
            <w:tcW w:w="1460" w:type="dxa"/>
            <w:vAlign w:val="bottom"/>
            <w:shd w:val="clear" w:color="auto" w:fill="CCCCCC"/>
          </w:tcPr>
          <w:p>
            <w:pPr>
              <w:jc w:val="right"/>
              <w:ind w:right="1319"/>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CCCC"/>
          </w:tcPr>
          <w:p>
            <w:pPr>
              <w:spacing w:after="0"/>
              <w:rPr>
                <w:sz w:val="15"/>
                <w:szCs w:val="15"/>
                <w:color w:val="auto"/>
              </w:rPr>
            </w:pPr>
          </w:p>
        </w:tc>
        <w:tc>
          <w:tcPr>
            <w:tcW w:w="380" w:type="dxa"/>
            <w:vAlign w:val="bottom"/>
            <w:shd w:val="clear" w:color="auto" w:fill="CCCCCC"/>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Audit-Related Fees (2)</w:t>
            </w:r>
          </w:p>
        </w:tc>
        <w:tc>
          <w:tcPr>
            <w:tcW w:w="14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2"/>
        </w:trPr>
        <w:tc>
          <w:tcPr>
            <w:tcW w:w="7460" w:type="dxa"/>
            <w:vAlign w:val="bottom"/>
            <w:shd w:val="clear" w:color="auto" w:fill="CCCCCC"/>
          </w:tcPr>
          <w:p>
            <w:pPr>
              <w:spacing w:after="0"/>
              <w:rPr>
                <w:sz w:val="20"/>
                <w:szCs w:val="20"/>
                <w:color w:val="auto"/>
              </w:rPr>
            </w:pPr>
            <w:r>
              <w:rPr>
                <w:rFonts w:ascii="Times New Roman" w:cs="Times New Roman" w:eastAsia="Times New Roman" w:hAnsi="Times New Roman"/>
                <w:sz w:val="13"/>
                <w:szCs w:val="13"/>
                <w:color w:val="auto"/>
              </w:rPr>
              <w:t>Tax Fees (3)</w:t>
            </w:r>
          </w:p>
        </w:tc>
        <w:tc>
          <w:tcPr>
            <w:tcW w:w="1460" w:type="dxa"/>
            <w:vAlign w:val="bottom"/>
            <w:shd w:val="clear" w:color="auto" w:fill="CCCCCC"/>
          </w:tcPr>
          <w:p>
            <w:pPr>
              <w:spacing w:after="0"/>
              <w:rPr>
                <w:sz w:val="14"/>
                <w:szCs w:val="14"/>
                <w:color w:val="auto"/>
              </w:rPr>
            </w:pPr>
          </w:p>
        </w:tc>
        <w:tc>
          <w:tcPr>
            <w:tcW w:w="3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CCCC"/>
          </w:tcPr>
          <w:p>
            <w:pPr>
              <w:spacing w:after="0"/>
              <w:rPr>
                <w:sz w:val="14"/>
                <w:szCs w:val="14"/>
                <w:color w:val="auto"/>
              </w:rPr>
            </w:pPr>
          </w:p>
        </w:tc>
        <w:tc>
          <w:tcPr>
            <w:tcW w:w="380" w:type="dxa"/>
            <w:vAlign w:val="bottom"/>
            <w:shd w:val="clear" w:color="auto" w:fill="CCCCCC"/>
          </w:tcPr>
          <w:p>
            <w:pPr>
              <w:spacing w:after="0"/>
              <w:rPr>
                <w:sz w:val="14"/>
                <w:szCs w:val="14"/>
                <w:color w:val="auto"/>
              </w:rPr>
            </w:pPr>
          </w:p>
        </w:tc>
        <w:tc>
          <w:tcPr>
            <w:tcW w:w="14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All Other Fees (4)</w:t>
            </w:r>
          </w:p>
        </w:tc>
        <w:tc>
          <w:tcPr>
            <w:tcW w:w="14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85"/>
        </w:trPr>
        <w:tc>
          <w:tcPr>
            <w:tcW w:w="7460" w:type="dxa"/>
            <w:vAlign w:val="bottom"/>
            <w:tcBorders>
              <w:top w:val="single" w:sz="8" w:color="CCCCCC"/>
              <w:bottom w:val="single" w:sz="8" w:color="CCCCCC"/>
            </w:tcBorders>
            <w:shd w:val="clear" w:color="auto" w:fill="CCCCCC"/>
          </w:tcPr>
          <w:p>
            <w:pPr>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460" w:type="dxa"/>
            <w:vAlign w:val="bottom"/>
            <w:tcBorders>
              <w:top w:val="single" w:sz="8" w:color="auto"/>
              <w:bottom w:val="single" w:sz="8" w:color="auto"/>
            </w:tcBorders>
            <w:shd w:val="clear" w:color="auto" w:fill="CCCCCC"/>
          </w:tcPr>
          <w:p>
            <w:pPr>
              <w:jc w:val="right"/>
              <w:ind w:right="1319"/>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top w:val="single" w:sz="8" w:color="CCCCCC"/>
              <w:bottom w:val="single" w:sz="8" w:color="CCCCCC"/>
            </w:tcBorders>
            <w:shd w:val="clear" w:color="auto" w:fill="CCCCCC"/>
          </w:tcPr>
          <w:p>
            <w:pPr>
              <w:spacing w:after="0"/>
              <w:rPr>
                <w:sz w:val="15"/>
                <w:szCs w:val="15"/>
                <w:color w:val="auto"/>
              </w:rPr>
            </w:pPr>
          </w:p>
        </w:tc>
        <w:tc>
          <w:tcPr>
            <w:tcW w:w="380" w:type="dxa"/>
            <w:vAlign w:val="bottom"/>
            <w:tcBorders>
              <w:top w:val="single" w:sz="8" w:color="auto"/>
              <w:bottom w:val="single" w:sz="8" w:color="auto"/>
            </w:tcBorders>
            <w:shd w:val="clear" w:color="auto" w:fill="CCCCCC"/>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0"/>
        </w:trPr>
        <w:tc>
          <w:tcPr>
            <w:tcW w:w="7460" w:type="dxa"/>
            <w:vAlign w:val="bottom"/>
            <w:tcBorders>
              <w:top w:val="single" w:sz="8" w:color="CCCCCC"/>
            </w:tcBorders>
          </w:tcPr>
          <w:p>
            <w:pPr>
              <w:spacing w:after="0" w:line="20" w:lineRule="exact"/>
              <w:rPr>
                <w:sz w:val="1"/>
                <w:szCs w:val="1"/>
                <w:color w:val="auto"/>
              </w:rPr>
            </w:pPr>
          </w:p>
        </w:tc>
        <w:tc>
          <w:tcPr>
            <w:tcW w:w="1460" w:type="dxa"/>
            <w:vAlign w:val="bottom"/>
            <w:tcBorders>
              <w:top w:val="single" w:sz="8" w:color="CCCCCC"/>
              <w:bottom w:val="single" w:sz="8" w:color="auto"/>
            </w:tcBorders>
          </w:tcPr>
          <w:p>
            <w:pPr>
              <w:spacing w:after="0" w:line="20" w:lineRule="exact"/>
              <w:rPr>
                <w:sz w:val="1"/>
                <w:szCs w:val="1"/>
                <w:color w:val="auto"/>
              </w:rPr>
            </w:pPr>
          </w:p>
        </w:tc>
        <w:tc>
          <w:tcPr>
            <w:tcW w:w="380" w:type="dxa"/>
            <w:vAlign w:val="bottom"/>
            <w:tcBorders>
              <w:top w:val="single" w:sz="8" w:color="CCCCCC"/>
              <w:bottom w:val="single" w:sz="8" w:color="auto"/>
            </w:tcBorders>
          </w:tcPr>
          <w:p>
            <w:pPr>
              <w:spacing w:after="0" w:line="20" w:lineRule="exact"/>
              <w:rPr>
                <w:sz w:val="1"/>
                <w:szCs w:val="1"/>
                <w:color w:val="auto"/>
              </w:rPr>
            </w:pPr>
          </w:p>
        </w:tc>
        <w:tc>
          <w:tcPr>
            <w:tcW w:w="100" w:type="dxa"/>
            <w:vAlign w:val="bottom"/>
            <w:tcBorders>
              <w:top w:val="single" w:sz="8" w:color="CCCCCC"/>
            </w:tcBorders>
          </w:tcPr>
          <w:p>
            <w:pPr>
              <w:spacing w:after="0" w:line="20" w:lineRule="exact"/>
              <w:rPr>
                <w:sz w:val="1"/>
                <w:szCs w:val="1"/>
                <w:color w:val="auto"/>
              </w:rPr>
            </w:pPr>
          </w:p>
        </w:tc>
        <w:tc>
          <w:tcPr>
            <w:tcW w:w="380" w:type="dxa"/>
            <w:vAlign w:val="bottom"/>
            <w:tcBorders>
              <w:top w:val="single" w:sz="8" w:color="CCCCCC"/>
              <w:bottom w:val="single" w:sz="8" w:color="auto"/>
            </w:tcBorders>
          </w:tcPr>
          <w:p>
            <w:pPr>
              <w:spacing w:after="0" w:line="20" w:lineRule="exact"/>
              <w:rPr>
                <w:sz w:val="1"/>
                <w:szCs w:val="1"/>
                <w:color w:val="auto"/>
              </w:rPr>
            </w:pPr>
          </w:p>
        </w:tc>
        <w:tc>
          <w:tcPr>
            <w:tcW w:w="1480" w:type="dxa"/>
            <w:vAlign w:val="bottom"/>
            <w:tcBorders>
              <w:top w:val="single" w:sz="8" w:color="CCCCCC"/>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3" w:lineRule="exact"/>
        <w:rPr>
          <w:sz w:val="20"/>
          <w:szCs w:val="20"/>
          <w:color w:val="auto"/>
        </w:rPr>
      </w:pPr>
    </w:p>
    <w:p>
      <w:pPr>
        <w:ind w:left="320" w:right="100" w:hanging="315"/>
        <w:spacing w:after="0" w:line="242" w:lineRule="auto"/>
        <w:tabs>
          <w:tab w:leader="none" w:pos="3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consisted of fees billed for professional services rendered for the integrated audit of Autodesk’s annual financial statements and management’s report on internal controls included in Autodesk's Annual Reports on Form 10-K, for the review of the financial statements included in Autodesk’s Quarterly Reports on Form 10-Q, and for other services, including statutory audits and services rendered in connection with SEC filings.</w:t>
      </w:r>
    </w:p>
    <w:p>
      <w:pPr>
        <w:ind w:left="320" w:right="360" w:hanging="315"/>
        <w:spacing w:after="0" w:line="246" w:lineRule="auto"/>
        <w:tabs>
          <w:tab w:leader="none" w:pos="3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consisted of fees for assurance and related services that are reasonably related to the performance of the audit or review of our financial statements. This category includes fees arising from accounting-related consulting services.</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consisted of fees billed for tax compliance, consultation, and planning services.</w:t>
      </w:r>
    </w:p>
    <w:p>
      <w:pPr>
        <w:spacing w:after="0" w:line="6"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fees consisted of fees for permissible training programs and subscription fees for an online accounting research tool.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OF AUDIT AND NON-AUDIT SERVICES</w:t>
      </w:r>
    </w:p>
    <w:p>
      <w:pPr>
        <w:spacing w:after="0" w:line="13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Generally, all audit and non-audit services provided by EY and its affiliates to Autodesk must be pre-approved by the Audit Committee. The Audit Committee is presented with a detailed listing of the individual audit and non-audit services and fees (separately describing audit-related services, tax services, and other services) expected to be provided by EY and its affiliates during the year. The Audit Committee is also responsible for the audit fee negotiations associated with Autodesk’s retention of EY. Periodically, the Audit Committee receives an update of all pre-approved audit and non-audit services conducted, and information regarding any new audit and non-audit services to be provided by EY and its affiliates. The Audit Committee reviews the update and approves the proposed services if they are deemed acceptable.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To ensure prompt handling of unexpected matters, the Chair of the Audit Committee has authority to amend or modify the list of approved audit and non-audit services and fees so long as such additional or amended services do not affect EY's independence under applicable SEC rules. The Chair reports any such action taken at subsequent Audit Committee meetings.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202" w:lineRule="exact"/>
        <w:rPr>
          <w:sz w:val="20"/>
          <w:szCs w:val="20"/>
          <w:color w:val="auto"/>
        </w:rPr>
      </w:pPr>
    </w:p>
    <w:p>
      <w:pPr>
        <w:ind w:left="660" w:hanging="337"/>
        <w:spacing w:after="0"/>
        <w:tabs>
          <w:tab w:leader="none" w:pos="6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Report:</w:t>
      </w:r>
    </w:p>
    <w:p>
      <w:pPr>
        <w:spacing w:after="0" w:line="187" w:lineRule="exact"/>
        <w:rPr>
          <w:rFonts w:ascii="Times New Roman" w:cs="Times New Roman" w:eastAsia="Times New Roman" w:hAnsi="Times New Roman"/>
          <w:sz w:val="14"/>
          <w:szCs w:val="14"/>
          <w:color w:val="auto"/>
        </w:rPr>
      </w:pPr>
    </w:p>
    <w:p>
      <w:pPr>
        <w:jc w:val="both"/>
        <w:ind w:left="700" w:right="80" w:hanging="250"/>
        <w:spacing w:after="0" w:line="245" w:lineRule="auto"/>
        <w:tabs>
          <w:tab w:leader="none" w:pos="693" w:val="left"/>
        </w:tabs>
        <w:numPr>
          <w:ilvl w:val="1"/>
          <w:numId w:val="98"/>
        </w:numPr>
        <w:rPr>
          <w:rFonts w:ascii="Calibri" w:cs="Calibri" w:eastAsia="Calibri" w:hAnsi="Calibri"/>
          <w:sz w:val="16"/>
          <w:szCs w:val="16"/>
          <w:i w:val="1"/>
          <w:iCs w:val="1"/>
          <w:color w:val="auto"/>
        </w:rPr>
      </w:pP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The information concerning Autodesk’s financial statements, and the Report of Ernst &amp; Young LLP, Independent Registered Public Accounting Firm (PCAOB 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42), San Francisco, California, required by this Item is incorporated by reference herein to the section of this Report in Part II, Item 8, entitled “Financial Statements and Supplementary Data.”</w:t>
      </w:r>
    </w:p>
    <w:p>
      <w:pPr>
        <w:spacing w:after="0" w:line="172" w:lineRule="exact"/>
        <w:rPr>
          <w:rFonts w:ascii="Calibri" w:cs="Calibri" w:eastAsia="Calibri" w:hAnsi="Calibri"/>
          <w:sz w:val="16"/>
          <w:szCs w:val="16"/>
          <w:i w:val="1"/>
          <w:iCs w:val="1"/>
          <w:color w:val="auto"/>
        </w:rPr>
      </w:pPr>
    </w:p>
    <w:p>
      <w:pPr>
        <w:ind w:left="700" w:right="220" w:hanging="250"/>
        <w:spacing w:after="0" w:line="290" w:lineRule="auto"/>
        <w:tabs>
          <w:tab w:leader="none" w:pos="70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 Schedule</w:t>
      </w:r>
      <w:r>
        <w:rPr>
          <w:rFonts w:ascii="Times New Roman" w:cs="Times New Roman" w:eastAsia="Times New Roman" w:hAnsi="Times New Roman"/>
          <w:sz w:val="14"/>
          <w:szCs w:val="14"/>
          <w:color w:val="auto"/>
        </w:rPr>
        <w:t>: The following financial statement schedule of Autodesk, Inc., for the fiscal years ended January 31, 2024, 2023, and 2022, is filed as part of this Report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should be read in conjunction with the Consolidated Financial Statements of Autodesk, Inc.:</w:t>
      </w:r>
    </w:p>
    <w:p>
      <w:pPr>
        <w:spacing w:after="0" w:line="143" w:lineRule="exact"/>
        <w:rPr>
          <w:sz w:val="20"/>
          <w:szCs w:val="20"/>
          <w:color w:val="auto"/>
        </w:rPr>
      </w:pPr>
    </w:p>
    <w:p>
      <w:pPr>
        <w:ind w:left="900"/>
        <w:spacing w:after="0"/>
        <w:tabs>
          <w:tab w:leader="none" w:pos="1660" w:val="left"/>
        </w:tabs>
        <w:rPr>
          <w:sz w:val="20"/>
          <w:szCs w:val="20"/>
          <w:color w:val="auto"/>
        </w:rPr>
      </w:pPr>
      <w:r>
        <w:rPr>
          <w:rFonts w:ascii="Times New Roman" w:cs="Times New Roman" w:eastAsia="Times New Roman" w:hAnsi="Times New Roman"/>
          <w:sz w:val="14"/>
          <w:szCs w:val="14"/>
          <w:color w:val="auto"/>
        </w:rPr>
        <w:t>Schedule II</w:t>
        <w:tab/>
        <w:t>Valuation and Qualifying Accounts</w:t>
      </w:r>
    </w:p>
    <w:p>
      <w:pPr>
        <w:spacing w:after="0" w:line="200" w:lineRule="exact"/>
        <w:rPr>
          <w:sz w:val="20"/>
          <w:szCs w:val="20"/>
          <w:color w:val="auto"/>
        </w:rPr>
      </w:pPr>
    </w:p>
    <w:p>
      <w:pPr>
        <w:ind w:left="700" w:right="520"/>
        <w:spacing w:after="0" w:line="287" w:lineRule="auto"/>
        <w:rPr>
          <w:sz w:val="20"/>
          <w:szCs w:val="20"/>
          <w:color w:val="auto"/>
        </w:rPr>
      </w:pPr>
      <w:r>
        <w:rPr>
          <w:rFonts w:ascii="Times New Roman" w:cs="Times New Roman" w:eastAsia="Times New Roman" w:hAnsi="Times New Roman"/>
          <w:sz w:val="14"/>
          <w:szCs w:val="14"/>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43" w:lineRule="exact"/>
        <w:rPr>
          <w:sz w:val="20"/>
          <w:szCs w:val="20"/>
          <w:color w:val="auto"/>
        </w:rPr>
      </w:pPr>
    </w:p>
    <w:p>
      <w:pPr>
        <w:ind w:left="700" w:right="100" w:hanging="250"/>
        <w:spacing w:after="0" w:line="290" w:lineRule="auto"/>
        <w:tabs>
          <w:tab w:leader="none" w:pos="70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 See Item 15(b) below. We have filed, or incorporated into this Report by reference, the exhibits listed on the accompanying Index to Exhibits immediately prior to the signature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page of this Form 10-K.</w:t>
      </w:r>
    </w:p>
    <w:p>
      <w:pPr>
        <w:spacing w:after="0" w:line="143" w:lineRule="exact"/>
        <w:rPr>
          <w:rFonts w:ascii="Times New Roman" w:cs="Times New Roman" w:eastAsia="Times New Roman" w:hAnsi="Times New Roman"/>
          <w:sz w:val="14"/>
          <w:szCs w:val="14"/>
          <w:color w:val="auto"/>
        </w:rPr>
      </w:pPr>
    </w:p>
    <w:p>
      <w:pPr>
        <w:ind w:left="660" w:hanging="337"/>
        <w:spacing w:after="0"/>
        <w:tabs>
          <w:tab w:leader="none" w:pos="6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We have filed, or incorporated into this Report by reference, the exhibits listed on the accompanying Index to Exhibits immediately prior to the signature page of this Form 10-K.</w:t>
      </w:r>
    </w:p>
    <w:p>
      <w:pPr>
        <w:spacing w:after="0" w:line="200" w:lineRule="exact"/>
        <w:rPr>
          <w:sz w:val="20"/>
          <w:szCs w:val="20"/>
          <w:color w:val="auto"/>
        </w:rPr>
      </w:pPr>
    </w:p>
    <w:p>
      <w:pPr>
        <w:ind w:left="660" w:hanging="337"/>
        <w:spacing w:after="0"/>
        <w:tabs>
          <w:tab w:leader="none" w:pos="6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See Item 15(a),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15(A)(2)  FINANCIAL STATEMENT SCHEDULE</w:t>
      </w:r>
    </w:p>
    <w:p>
      <w:pPr>
        <w:spacing w:after="0" w:line="20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p>
      <w:pPr>
        <w:spacing w:after="0" w:line="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jc w:val="center"/>
              <w:ind w:right="241"/>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40" w:type="dxa"/>
            <w:vAlign w:val="bottom"/>
            <w:vMerge w:val="restart"/>
          </w:tcPr>
          <w:p>
            <w:pPr>
              <w:jc w:val="center"/>
              <w:ind w:left="282"/>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jc w:val="center"/>
              <w:ind w:right="241"/>
              <w:spacing w:after="0" w:line="108" w:lineRule="exact"/>
              <w:rPr>
                <w:sz w:val="20"/>
                <w:szCs w:val="20"/>
                <w:color w:val="auto"/>
              </w:rPr>
            </w:pPr>
            <w:r>
              <w:rPr>
                <w:rFonts w:ascii="Times New Roman" w:cs="Times New Roman" w:eastAsia="Times New Roman" w:hAnsi="Times New Roman"/>
                <w:sz w:val="11"/>
                <w:szCs w:val="11"/>
                <w:b w:val="1"/>
                <w:bCs w:val="1"/>
                <w:color w:val="auto"/>
              </w:rPr>
              <w:t>Charged to</w:t>
            </w: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jc w:val="center"/>
              <w:ind w:right="241"/>
              <w:spacing w:after="0" w:line="115" w:lineRule="exact"/>
              <w:rPr>
                <w:sz w:val="20"/>
                <w:szCs w:val="20"/>
                <w:color w:val="auto"/>
              </w:rPr>
            </w:pPr>
            <w:r>
              <w:rPr>
                <w:rFonts w:ascii="Times New Roman" w:cs="Times New Roman" w:eastAsia="Times New Roman" w:hAnsi="Times New Roman"/>
                <w:sz w:val="11"/>
                <w:szCs w:val="11"/>
                <w:b w:val="1"/>
                <w:bCs w:val="1"/>
                <w:color w:val="auto"/>
                <w:w w:val="99"/>
              </w:rPr>
              <w:t>Costs and</w:t>
            </w: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vMerge w:val="restart"/>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240" w:type="dxa"/>
            <w:vAlign w:val="bottom"/>
          </w:tcPr>
          <w:p>
            <w:pPr>
              <w:jc w:val="center"/>
              <w:ind w:left="262"/>
              <w:spacing w:after="0" w:line="117"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jc w:val="center"/>
              <w:ind w:right="241"/>
              <w:spacing w:after="0" w:line="117" w:lineRule="exact"/>
              <w:rPr>
                <w:sz w:val="20"/>
                <w:szCs w:val="20"/>
                <w:color w:val="auto"/>
              </w:rPr>
            </w:pPr>
            <w:r>
              <w:rPr>
                <w:rFonts w:ascii="Times New Roman" w:cs="Times New Roman" w:eastAsia="Times New Roman" w:hAnsi="Times New Roman"/>
                <w:sz w:val="11"/>
                <w:szCs w:val="11"/>
                <w:b w:val="1"/>
                <w:bCs w:val="1"/>
                <w:color w:val="auto"/>
              </w:rPr>
              <w:t>Expenses or</w:t>
            </w:r>
          </w:p>
        </w:tc>
        <w:tc>
          <w:tcPr>
            <w:tcW w:w="460" w:type="dxa"/>
            <w:vAlign w:val="bottom"/>
          </w:tcPr>
          <w:p>
            <w:pPr>
              <w:spacing w:after="0"/>
              <w:rPr>
                <w:sz w:val="10"/>
                <w:szCs w:val="10"/>
                <w:color w:val="auto"/>
              </w:rPr>
            </w:pPr>
          </w:p>
        </w:tc>
        <w:tc>
          <w:tcPr>
            <w:tcW w:w="1220" w:type="dxa"/>
            <w:vAlign w:val="bottom"/>
            <w:vMerge w:val="restart"/>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20" w:type="dxa"/>
            <w:vAlign w:val="bottom"/>
            <w:gridSpan w:val="2"/>
            <w:vMerge w:val="continue"/>
          </w:tcPr>
          <w:p>
            <w:pPr>
              <w:spacing w:after="0"/>
              <w:rPr>
                <w:sz w:val="10"/>
                <w:szCs w:val="10"/>
                <w:color w:val="auto"/>
              </w:rPr>
            </w:pPr>
          </w:p>
        </w:tc>
        <w:tc>
          <w:tcPr>
            <w:tcW w:w="1240" w:type="dxa"/>
            <w:vAlign w:val="bottom"/>
          </w:tcPr>
          <w:p>
            <w:pPr>
              <w:jc w:val="center"/>
              <w:ind w:left="282"/>
              <w:spacing w:after="0" w:line="117" w:lineRule="exact"/>
              <w:rPr>
                <w:sz w:val="20"/>
                <w:szCs w:val="20"/>
                <w:color w:val="auto"/>
              </w:rPr>
            </w:pPr>
            <w:r>
              <w:rPr>
                <w:rFonts w:ascii="Times New Roman" w:cs="Times New Roman" w:eastAsia="Times New Roman" w:hAnsi="Times New Roman"/>
                <w:sz w:val="11"/>
                <w:szCs w:val="11"/>
                <w:b w:val="1"/>
                <w:bCs w:val="1"/>
                <w:color w:val="auto"/>
              </w:rPr>
              <w:t>of Fiscal Year</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jc w:val="center"/>
              <w:ind w:right="241"/>
              <w:spacing w:after="0" w:line="117" w:lineRule="exact"/>
              <w:rPr>
                <w:sz w:val="20"/>
                <w:szCs w:val="20"/>
                <w:color w:val="auto"/>
              </w:rPr>
            </w:pPr>
            <w:r>
              <w:rPr>
                <w:rFonts w:ascii="Times New Roman" w:cs="Times New Roman" w:eastAsia="Times New Roman" w:hAnsi="Times New Roman"/>
                <w:sz w:val="11"/>
                <w:szCs w:val="11"/>
                <w:b w:val="1"/>
                <w:bCs w:val="1"/>
                <w:color w:val="auto"/>
              </w:rPr>
              <w:t>Revenues</w:t>
            </w:r>
          </w:p>
        </w:tc>
        <w:tc>
          <w:tcPr>
            <w:tcW w:w="4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right"/>
              <w:ind w:right="299"/>
              <w:spacing w:after="0" w:line="117" w:lineRule="exact"/>
              <w:rPr>
                <w:sz w:val="20"/>
                <w:szCs w:val="20"/>
                <w:color w:val="auto"/>
              </w:rPr>
            </w:pPr>
            <w:r>
              <w:rPr>
                <w:rFonts w:ascii="Times New Roman" w:cs="Times New Roman" w:eastAsia="Times New Roman" w:hAnsi="Times New Roman"/>
                <w:sz w:val="11"/>
                <w:szCs w:val="11"/>
                <w:b w:val="1"/>
                <w:bCs w:val="1"/>
                <w:color w:val="auto"/>
              </w:rPr>
              <w:t>End of Fiscal Year</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jc w:val="center"/>
              <w:ind w:right="2680"/>
              <w:spacing w:after="0"/>
              <w:rPr>
                <w:sz w:val="20"/>
                <w:szCs w:val="20"/>
                <w:color w:val="auto"/>
              </w:rPr>
            </w:pPr>
            <w:r>
              <w:rPr>
                <w:rFonts w:ascii="Times New Roman" w:cs="Times New Roman" w:eastAsia="Times New Roman" w:hAnsi="Times New Roman"/>
                <w:sz w:val="13"/>
                <w:szCs w:val="13"/>
                <w:b w:val="1"/>
                <w:bCs w:val="1"/>
                <w:color w:val="auto"/>
                <w:w w:val="96"/>
              </w:rPr>
              <w:t>Fiscal Year Ended January 31, 2024</w:t>
            </w: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gridSpan w:val="2"/>
          </w:tcPr>
          <w:p>
            <w:pPr>
              <w:jc w:val="center"/>
              <w:ind w:right="2680"/>
              <w:spacing w:after="0"/>
              <w:rPr>
                <w:sz w:val="20"/>
                <w:szCs w:val="20"/>
                <w:color w:val="auto"/>
              </w:rPr>
            </w:pPr>
            <w:r>
              <w:rPr>
                <w:rFonts w:ascii="Times New Roman" w:cs="Times New Roman" w:eastAsia="Times New Roman" w:hAnsi="Times New Roman"/>
                <w:sz w:val="13"/>
                <w:szCs w:val="13"/>
                <w:color w:val="auto"/>
                <w:w w:val="97"/>
              </w:rPr>
              <w:t>Partner program reserves (1)</w:t>
            </w:r>
          </w:p>
        </w:tc>
        <w:tc>
          <w:tcPr>
            <w:tcW w:w="1240" w:type="dxa"/>
            <w:vAlign w:val="bottom"/>
          </w:tcPr>
          <w:p>
            <w:pPr>
              <w:jc w:val="right"/>
              <w:ind w:right="1102"/>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90</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1,071</w:t>
            </w:r>
          </w:p>
        </w:tc>
        <w:tc>
          <w:tcPr>
            <w:tcW w:w="4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1,058</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jc w:val="center"/>
              <w:ind w:right="2680"/>
              <w:spacing w:after="0"/>
              <w:rPr>
                <w:sz w:val="20"/>
                <w:szCs w:val="20"/>
                <w:color w:val="auto"/>
              </w:rPr>
            </w:pPr>
            <w:r>
              <w:rPr>
                <w:rFonts w:ascii="Times New Roman" w:cs="Times New Roman" w:eastAsia="Times New Roman" w:hAnsi="Times New Roman"/>
                <w:sz w:val="13"/>
                <w:szCs w:val="13"/>
                <w:b w:val="1"/>
                <w:bCs w:val="1"/>
                <w:color w:val="auto"/>
                <w:w w:val="96"/>
              </w:rPr>
              <w:t>Fiscal Year Ended January 31, 2023</w:t>
            </w:r>
          </w:p>
        </w:tc>
        <w:tc>
          <w:tcPr>
            <w:tcW w:w="1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gridSpan w:val="2"/>
          </w:tcPr>
          <w:p>
            <w:pPr>
              <w:jc w:val="center"/>
              <w:ind w:right="2680"/>
              <w:spacing w:after="0"/>
              <w:rPr>
                <w:sz w:val="20"/>
                <w:szCs w:val="20"/>
                <w:color w:val="auto"/>
              </w:rPr>
            </w:pPr>
            <w:r>
              <w:rPr>
                <w:rFonts w:ascii="Times New Roman" w:cs="Times New Roman" w:eastAsia="Times New Roman" w:hAnsi="Times New Roman"/>
                <w:sz w:val="13"/>
                <w:szCs w:val="13"/>
                <w:color w:val="auto"/>
                <w:w w:val="97"/>
              </w:rPr>
              <w:t>Partner program reserves (1)</w:t>
            </w:r>
          </w:p>
        </w:tc>
        <w:tc>
          <w:tcPr>
            <w:tcW w:w="1240" w:type="dxa"/>
            <w:vAlign w:val="bottom"/>
          </w:tcPr>
          <w:p>
            <w:pPr>
              <w:spacing w:after="0"/>
              <w:rPr>
                <w:sz w:val="14"/>
                <w:szCs w:val="14"/>
                <w:color w:val="auto"/>
              </w:rPr>
            </w:pPr>
          </w:p>
        </w:tc>
        <w:tc>
          <w:tcPr>
            <w:tcW w:w="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64</w:t>
            </w:r>
          </w:p>
        </w:tc>
        <w:tc>
          <w:tcPr>
            <w:tcW w:w="340" w:type="dxa"/>
            <w:vAlign w:val="bottom"/>
          </w:tcPr>
          <w:p>
            <w:pPr>
              <w:spacing w:after="0"/>
              <w:rPr>
                <w:sz w:val="14"/>
                <w:szCs w:val="14"/>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928</w:t>
            </w:r>
          </w:p>
        </w:tc>
        <w:tc>
          <w:tcPr>
            <w:tcW w:w="46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902</w:t>
            </w: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jc w:val="center"/>
              <w:ind w:right="2680"/>
              <w:spacing w:after="0"/>
              <w:rPr>
                <w:sz w:val="20"/>
                <w:szCs w:val="20"/>
                <w:color w:val="auto"/>
              </w:rPr>
            </w:pPr>
            <w:r>
              <w:rPr>
                <w:rFonts w:ascii="Times New Roman" w:cs="Times New Roman" w:eastAsia="Times New Roman" w:hAnsi="Times New Roman"/>
                <w:sz w:val="13"/>
                <w:szCs w:val="13"/>
                <w:b w:val="1"/>
                <w:bCs w:val="1"/>
                <w:color w:val="auto"/>
                <w:w w:val="96"/>
              </w:rPr>
              <w:t>Fiscal Year Ended January 31, 2022</w:t>
            </w:r>
          </w:p>
        </w:tc>
        <w:tc>
          <w:tcPr>
            <w:tcW w:w="1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gridSpan w:val="2"/>
          </w:tcPr>
          <w:p>
            <w:pPr>
              <w:jc w:val="center"/>
              <w:ind w:right="2660"/>
              <w:spacing w:after="0"/>
              <w:rPr>
                <w:sz w:val="20"/>
                <w:szCs w:val="20"/>
                <w:color w:val="auto"/>
              </w:rPr>
            </w:pPr>
            <w:r>
              <w:rPr>
                <w:rFonts w:ascii="Times New Roman" w:cs="Times New Roman" w:eastAsia="Times New Roman" w:hAnsi="Times New Roman"/>
                <w:sz w:val="13"/>
                <w:szCs w:val="13"/>
                <w:color w:val="auto"/>
                <w:w w:val="98"/>
              </w:rPr>
              <w:t>Partner Program reserves (1)</w:t>
            </w:r>
          </w:p>
        </w:tc>
        <w:tc>
          <w:tcPr>
            <w:tcW w:w="1240" w:type="dxa"/>
            <w:vAlign w:val="bottom"/>
          </w:tcPr>
          <w:p>
            <w:pPr>
              <w:spacing w:after="0"/>
              <w:rPr>
                <w:sz w:val="14"/>
                <w:szCs w:val="14"/>
                <w:color w:val="auto"/>
              </w:rPr>
            </w:pPr>
          </w:p>
        </w:tc>
        <w:tc>
          <w:tcPr>
            <w:tcW w:w="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64</w:t>
            </w:r>
          </w:p>
        </w:tc>
        <w:tc>
          <w:tcPr>
            <w:tcW w:w="340" w:type="dxa"/>
            <w:vAlign w:val="bottom"/>
          </w:tcPr>
          <w:p>
            <w:pPr>
              <w:spacing w:after="0"/>
              <w:rPr>
                <w:sz w:val="14"/>
                <w:szCs w:val="14"/>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623</w:t>
            </w:r>
          </w:p>
        </w:tc>
        <w:tc>
          <w:tcPr>
            <w:tcW w:w="46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623</w:t>
            </w: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ind w:left="320" w:hanging="315"/>
        <w:spacing w:after="0"/>
        <w:tabs>
          <w:tab w:leader="none" w:pos="3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partner program reserves balance impacts "Accounts receivable, net" and "Accounts payable" on the accompanying Consolidated Balance Sheets.</w:t>
      </w:r>
    </w:p>
    <w:p>
      <w:pPr>
        <w:spacing w:after="0" w:line="1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Filed</w:t>
            </w:r>
          </w:p>
        </w:tc>
        <w:tc>
          <w:tcPr>
            <w:tcW w:w="8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120" w:type="dxa"/>
            <w:vAlign w:val="bottom"/>
            <w:tcBorders>
              <w:bottom w:val="single" w:sz="8" w:color="auto"/>
            </w:tcBorders>
          </w:tcPr>
          <w:p>
            <w:pPr>
              <w:spacing w:after="0"/>
              <w:rPr>
                <w:sz w:val="13"/>
                <w:szCs w:val="13"/>
                <w:color w:val="auto"/>
              </w:rPr>
            </w:pPr>
          </w:p>
        </w:tc>
      </w:tr>
      <w:tr>
        <w:trPr>
          <w:trHeight w:val="154"/>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7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SEC File No.</w:t>
            </w: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134"/>
        </w:trPr>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8"/>
              </w:rPr>
              <w:t>3.1</w:t>
            </w:r>
          </w:p>
        </w:tc>
        <w:tc>
          <w:tcPr>
            <w:tcW w:w="5720" w:type="dxa"/>
            <w:vAlign w:val="bottom"/>
            <w:gridSpan w:val="36"/>
          </w:tcPr>
          <w:p>
            <w:pPr>
              <w:spacing w:after="0" w:line="134"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Amended and Restated Certificate of Incorporation of Registrant</w:t>
              </w:r>
            </w:hyperlink>
          </w:p>
        </w:tc>
        <w:tc>
          <w:tcPr>
            <w:tcW w:w="76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line="134" w:lineRule="exact"/>
              <w:rPr>
                <w:sz w:val="20"/>
                <w:szCs w:val="20"/>
                <w:color w:val="auto"/>
              </w:rPr>
            </w:pPr>
            <w:r>
              <w:rPr>
                <w:rFonts w:ascii="Times New Roman" w:cs="Times New Roman" w:eastAsia="Times New Roman" w:hAnsi="Times New Roman"/>
                <w:sz w:val="13"/>
                <w:szCs w:val="13"/>
                <w:color w:val="auto"/>
                <w:w w:val="98"/>
              </w:rPr>
              <w:t>3.1</w:t>
            </w:r>
          </w:p>
        </w:tc>
        <w:tc>
          <w:tcPr>
            <w:tcW w:w="1120" w:type="dxa"/>
            <w:vAlign w:val="bottom"/>
          </w:tcPr>
          <w:p>
            <w:pPr>
              <w:jc w:val="center"/>
              <w:ind w:left="57"/>
              <w:spacing w:after="0" w:line="134" w:lineRule="exact"/>
              <w:rPr>
                <w:sz w:val="20"/>
                <w:szCs w:val="20"/>
                <w:color w:val="auto"/>
              </w:rPr>
            </w:pPr>
            <w:r>
              <w:rPr>
                <w:rFonts w:ascii="Times New Roman" w:cs="Times New Roman" w:eastAsia="Times New Roman" w:hAnsi="Times New Roman"/>
                <w:sz w:val="13"/>
                <w:szCs w:val="13"/>
                <w:color w:val="auto"/>
                <w:w w:val="98"/>
              </w:rPr>
              <w:t>3/20/2006</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23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3"/>
                <w:szCs w:val="13"/>
                <w:color w:val="0000FF"/>
                <w:w w:val="97"/>
              </w:rPr>
            </w:pPr>
            <w:hyperlink r:id="rId207">
              <w:r>
                <w:rPr>
                  <w:rFonts w:ascii="Times New Roman" w:cs="Times New Roman" w:eastAsia="Times New Roman" w:hAnsi="Times New Roman"/>
                  <w:sz w:val="13"/>
                  <w:szCs w:val="13"/>
                  <w:color w:val="0000FF"/>
                  <w:w w:val="97"/>
                </w:rPr>
                <w:t>Amended and Restated Bylaws of Registrant</w:t>
              </w:r>
            </w:hyperlink>
          </w:p>
        </w:tc>
        <w:tc>
          <w:tcPr>
            <w:tcW w:w="1000" w:type="dxa"/>
            <w:vAlign w:val="bottom"/>
            <w:tcBorders>
              <w:top w:val="single" w:sz="8" w:color="0000FF"/>
            </w:tcBorders>
            <w:gridSpan w:val="7"/>
          </w:tcPr>
          <w:p>
            <w:pPr>
              <w:spacing w:after="0"/>
              <w:rPr>
                <w:sz w:val="13"/>
                <w:szCs w:val="13"/>
                <w:color w:val="auto"/>
              </w:rPr>
            </w:pPr>
          </w:p>
        </w:tc>
        <w:tc>
          <w:tcPr>
            <w:tcW w:w="2420" w:type="dxa"/>
            <w:vAlign w:val="bottom"/>
            <w:gridSpan w:val="21"/>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3.1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12/15/2022</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532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w w:val="97"/>
              </w:rPr>
            </w:pPr>
            <w:hyperlink r:id="rId208">
              <w:r>
                <w:rPr>
                  <w:rFonts w:ascii="Times New Roman" w:cs="Times New Roman" w:eastAsia="Times New Roman" w:hAnsi="Times New Roman"/>
                  <w:sz w:val="13"/>
                  <w:szCs w:val="13"/>
                  <w:color w:val="0000FF"/>
                  <w:w w:val="97"/>
                </w:rPr>
                <w:t>Indenture dated December 13, 2012, by and between the Registrant and U.S. Bank National Association</w:t>
              </w:r>
            </w:hyperlink>
          </w:p>
        </w:tc>
        <w:tc>
          <w:tcPr>
            <w:tcW w:w="40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4.1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12/13/2012</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First Supplemental Indenture (including Form of Notes) dated December 13, 2012, by and between the</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4.2</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12/13/2012</w:t>
            </w:r>
          </w:p>
        </w:tc>
      </w:tr>
      <w:tr>
        <w:trPr>
          <w:trHeight w:val="107"/>
        </w:trPr>
        <w:tc>
          <w:tcPr>
            <w:tcW w:w="940" w:type="dxa"/>
            <w:vAlign w:val="bottom"/>
          </w:tcPr>
          <w:p>
            <w:pPr>
              <w:spacing w:after="0"/>
              <w:rPr>
                <w:sz w:val="9"/>
                <w:szCs w:val="9"/>
                <w:color w:val="auto"/>
              </w:rPr>
            </w:pPr>
          </w:p>
        </w:tc>
        <w:tc>
          <w:tcPr>
            <w:tcW w:w="52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09">
              <w:r>
                <w:rPr>
                  <w:rFonts w:ascii="Times New Roman" w:cs="Times New Roman" w:eastAsia="Times New Roman" w:hAnsi="Times New Roman"/>
                  <w:sz w:val="12"/>
                  <w:szCs w:val="12"/>
                  <w:color w:val="0000FF"/>
                </w:rPr>
                <w:t>Registrant and U.S. Bank National Association</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Third Supplemental Indenture (including Form of Notes) dated June 8, 2017, by and between the Registrant</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4.1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6/8/2017</w:t>
            </w:r>
          </w:p>
        </w:tc>
      </w:tr>
      <w:tr>
        <w:trPr>
          <w:trHeight w:val="107"/>
        </w:trPr>
        <w:tc>
          <w:tcPr>
            <w:tcW w:w="940" w:type="dxa"/>
            <w:vAlign w:val="bottom"/>
          </w:tcPr>
          <w:p>
            <w:pPr>
              <w:spacing w:after="0"/>
              <w:rPr>
                <w:sz w:val="9"/>
                <w:szCs w:val="9"/>
                <w:color w:val="auto"/>
              </w:rPr>
            </w:pPr>
          </w:p>
        </w:tc>
        <w:tc>
          <w:tcPr>
            <w:tcW w:w="5500" w:type="dxa"/>
            <w:vAlign w:val="bottom"/>
            <w:tcBorders>
              <w:top w:val="single" w:sz="8" w:color="0000FF"/>
            </w:tcBorders>
            <w:gridSpan w:val="33"/>
          </w:tcPr>
          <w:p>
            <w:pPr>
              <w:spacing w:after="0" w:line="107" w:lineRule="exact"/>
              <w:rPr>
                <w:rFonts w:ascii="Times New Roman" w:cs="Times New Roman" w:eastAsia="Times New Roman" w:hAnsi="Times New Roman"/>
                <w:sz w:val="12"/>
                <w:szCs w:val="12"/>
                <w:color w:val="0000FF"/>
              </w:rPr>
            </w:pPr>
            <w:hyperlink r:id="rId210">
              <w:r>
                <w:rPr>
                  <w:rFonts w:ascii="Times New Roman" w:cs="Times New Roman" w:eastAsia="Times New Roman" w:hAnsi="Times New Roman"/>
                  <w:sz w:val="12"/>
                  <w:szCs w:val="12"/>
                  <w:color w:val="0000FF"/>
                </w:rPr>
                <w:t>and U.S. Bank National Association</w:t>
              </w:r>
            </w:hyperlink>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Fourth Supplemental Indenture (including Form of Notes) dated January 14, 2020, by and between the</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4.1</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1/14/2020</w:t>
            </w:r>
          </w:p>
        </w:tc>
      </w:tr>
      <w:tr>
        <w:trPr>
          <w:trHeight w:val="107"/>
        </w:trPr>
        <w:tc>
          <w:tcPr>
            <w:tcW w:w="940" w:type="dxa"/>
            <w:vAlign w:val="bottom"/>
          </w:tcPr>
          <w:p>
            <w:pPr>
              <w:spacing w:after="0"/>
              <w:rPr>
                <w:sz w:val="9"/>
                <w:szCs w:val="9"/>
                <w:color w:val="auto"/>
              </w:rPr>
            </w:pPr>
          </w:p>
        </w:tc>
        <w:tc>
          <w:tcPr>
            <w:tcW w:w="522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11">
              <w:r>
                <w:rPr>
                  <w:rFonts w:ascii="Times New Roman" w:cs="Times New Roman" w:eastAsia="Times New Roman" w:hAnsi="Times New Roman"/>
                  <w:sz w:val="12"/>
                  <w:szCs w:val="12"/>
                  <w:color w:val="0000FF"/>
                </w:rPr>
                <w:t>Registrant and U.S. National Bank Association</w:t>
              </w:r>
            </w:hyperlink>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Fifth Supplemental Indenture, dated October 7, 2021, by and between Registrant and U.S. Bank National</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4.1</w:t>
            </w: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10/7/2021</w:t>
            </w:r>
          </w:p>
        </w:tc>
      </w:tr>
      <w:tr>
        <w:trPr>
          <w:trHeight w:val="107"/>
        </w:trPr>
        <w:tc>
          <w:tcPr>
            <w:tcW w:w="940" w:type="dxa"/>
            <w:vAlign w:val="bottom"/>
          </w:tcPr>
          <w:p>
            <w:pPr>
              <w:spacing w:after="0"/>
              <w:rPr>
                <w:sz w:val="9"/>
                <w:szCs w:val="9"/>
                <w:color w:val="auto"/>
              </w:rPr>
            </w:pPr>
          </w:p>
        </w:tc>
        <w:tc>
          <w:tcPr>
            <w:tcW w:w="4180" w:type="dxa"/>
            <w:vAlign w:val="bottom"/>
            <w:tcBorders>
              <w:top w:val="single" w:sz="8" w:color="0000FF"/>
              <w:bottom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12">
              <w:r>
                <w:rPr>
                  <w:rFonts w:ascii="Times New Roman" w:cs="Times New Roman" w:eastAsia="Times New Roman" w:hAnsi="Times New Roman"/>
                  <w:sz w:val="12"/>
                  <w:szCs w:val="12"/>
                  <w:color w:val="0000FF"/>
                </w:rPr>
                <w:t>Association, including Form of Note for Autodesk, Inc.’s 2.400% Notes due 2031</w:t>
              </w:r>
            </w:hyperlink>
          </w:p>
        </w:tc>
        <w:tc>
          <w:tcPr>
            <w:tcW w:w="1180" w:type="dxa"/>
            <w:vAlign w:val="bottom"/>
            <w:tcBorders>
              <w:top w:val="single" w:sz="8" w:color="0000FF"/>
            </w:tcBorders>
            <w:gridSpan w:val="11"/>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Description of Registrant's Capital Stock</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4.6</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3/19/2020</w:t>
            </w: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w:t>
            </w:r>
          </w:p>
        </w:tc>
        <w:tc>
          <w:tcPr>
            <w:tcW w:w="310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w w:val="97"/>
              </w:rPr>
            </w:pPr>
            <w:hyperlink r:id="rId214">
              <w:r>
                <w:rPr>
                  <w:rFonts w:ascii="Times New Roman" w:cs="Times New Roman" w:eastAsia="Times New Roman" w:hAnsi="Times New Roman"/>
                  <w:sz w:val="13"/>
                  <w:szCs w:val="13"/>
                  <w:color w:val="0000FF"/>
                  <w:w w:val="97"/>
                </w:rPr>
                <w:t>Description of Registrant's Performance Stock Unit Program</w:t>
              </w:r>
            </w:hyperlink>
          </w:p>
        </w:tc>
        <w:tc>
          <w:tcPr>
            <w:tcW w:w="2620" w:type="dxa"/>
            <w:vAlign w:val="bottom"/>
            <w:gridSpan w:val="24"/>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spacing w:after="0"/>
              <w:rPr>
                <w:sz w:val="13"/>
                <w:szCs w:val="13"/>
                <w:color w:val="auto"/>
              </w:rPr>
            </w:pP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3/26/2018</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w:t>
            </w:r>
          </w:p>
        </w:tc>
        <w:tc>
          <w:tcPr>
            <w:tcW w:w="482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w w:val="97"/>
              </w:rPr>
            </w:pPr>
            <w:hyperlink r:id="rId215">
              <w:r>
                <w:rPr>
                  <w:rFonts w:ascii="Times New Roman" w:cs="Times New Roman" w:eastAsia="Times New Roman" w:hAnsi="Times New Roman"/>
                  <w:sz w:val="13"/>
                  <w:szCs w:val="13"/>
                  <w:color w:val="0000FF"/>
                  <w:w w:val="97"/>
                </w:rPr>
                <w:t>Registrant's 2012 Employee Stock Plan, as amended and restated effective as of June 12, 2018</w:t>
              </w:r>
            </w:hyperlink>
          </w:p>
        </w:tc>
        <w:tc>
          <w:tcPr>
            <w:tcW w:w="900" w:type="dxa"/>
            <w:vAlign w:val="bottom"/>
            <w:gridSpan w:val="14"/>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10.2</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8/30/2018</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10.3*</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16">
              <w:r>
                <w:rPr>
                  <w:rFonts w:ascii="Times New Roman" w:cs="Times New Roman" w:eastAsia="Times New Roman" w:hAnsi="Times New Roman"/>
                  <w:sz w:val="13"/>
                  <w:szCs w:val="13"/>
                  <w:color w:val="0000FF"/>
                </w:rPr>
                <w:t>Registrant's 2012 Employee Stock Plan Form of Restricted Stock Unit Agreement, as amended and restated</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10.2</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8/30/2016</w:t>
            </w: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10.4*</w:t>
            </w:r>
          </w:p>
        </w:tc>
        <w:tc>
          <w:tcPr>
            <w:tcW w:w="5720" w:type="dxa"/>
            <w:vAlign w:val="bottom"/>
            <w:gridSpan w:val="36"/>
          </w:tcPr>
          <w:p>
            <w:pPr>
              <w:spacing w:after="0"/>
              <w:rPr>
                <w:rFonts w:ascii="Times New Roman" w:cs="Times New Roman" w:eastAsia="Times New Roman" w:hAnsi="Times New Roman"/>
                <w:sz w:val="13"/>
                <w:szCs w:val="13"/>
                <w:color w:val="0000FF"/>
                <w:w w:val="99"/>
              </w:rPr>
            </w:pPr>
            <w:hyperlink r:id="rId217">
              <w:r>
                <w:rPr>
                  <w:rFonts w:ascii="Times New Roman" w:cs="Times New Roman" w:eastAsia="Times New Roman" w:hAnsi="Times New Roman"/>
                  <w:sz w:val="13"/>
                  <w:szCs w:val="13"/>
                  <w:color w:val="0000FF"/>
                  <w:w w:val="99"/>
                </w:rPr>
                <w:t>Registrant's 2012 Employee Stock Plan Form of Severance Restricted Stock Unit Agreement, as amended and</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10.3</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8/30/2016</w:t>
            </w:r>
          </w:p>
        </w:tc>
      </w:tr>
      <w:tr>
        <w:trPr>
          <w:trHeight w:val="107"/>
        </w:trPr>
        <w:tc>
          <w:tcPr>
            <w:tcW w:w="940" w:type="dxa"/>
            <w:vAlign w:val="bottom"/>
          </w:tcPr>
          <w:p>
            <w:pPr>
              <w:spacing w:after="0"/>
              <w:rPr>
                <w:sz w:val="9"/>
                <w:szCs w:val="9"/>
                <w:color w:val="auto"/>
              </w:rPr>
            </w:pPr>
          </w:p>
        </w:tc>
        <w:tc>
          <w:tcPr>
            <w:tcW w:w="4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17">
              <w:r>
                <w:rPr>
                  <w:rFonts w:ascii="Times New Roman" w:cs="Times New Roman" w:eastAsia="Times New Roman" w:hAnsi="Times New Roman"/>
                  <w:sz w:val="12"/>
                  <w:szCs w:val="12"/>
                  <w:color w:val="0000FF"/>
                </w:rPr>
                <w:t>restated</w:t>
              </w:r>
            </w:hyperlink>
          </w:p>
        </w:tc>
        <w:tc>
          <w:tcPr>
            <w:tcW w:w="5220" w:type="dxa"/>
            <w:vAlign w:val="bottom"/>
            <w:tcBorders>
              <w:top w:val="single" w:sz="8" w:color="0000FF"/>
            </w:tcBorders>
            <w:gridSpan w:val="34"/>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10.5*</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18">
              <w:r>
                <w:rPr>
                  <w:rFonts w:ascii="Times New Roman" w:cs="Times New Roman" w:eastAsia="Times New Roman" w:hAnsi="Times New Roman"/>
                  <w:sz w:val="13"/>
                  <w:szCs w:val="13"/>
                  <w:color w:val="0000FF"/>
                </w:rPr>
                <w:t>Registrant's 2012 Employee Stock Plan Form of Stock Option Agreement</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10.2</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3/13/2012</w:t>
            </w:r>
          </w:p>
        </w:tc>
      </w:tr>
      <w:tr>
        <w:trPr>
          <w:trHeight w:val="20"/>
        </w:trPr>
        <w:tc>
          <w:tcPr>
            <w:tcW w:w="9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10.6*</w:t>
            </w:r>
          </w:p>
        </w:tc>
        <w:tc>
          <w:tcPr>
            <w:tcW w:w="494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w w:val="97"/>
              </w:rPr>
            </w:pPr>
            <w:hyperlink r:id="rId219">
              <w:r>
                <w:rPr>
                  <w:rFonts w:ascii="Times New Roman" w:cs="Times New Roman" w:eastAsia="Times New Roman" w:hAnsi="Times New Roman"/>
                  <w:sz w:val="13"/>
                  <w:szCs w:val="13"/>
                  <w:color w:val="0000FF"/>
                  <w:w w:val="97"/>
                </w:rPr>
                <w:t>Registrant's 2012 Employee Stock Plan Form of Stock Option Agreement (non-U.S. Employees)</w:t>
              </w:r>
            </w:hyperlink>
          </w:p>
        </w:tc>
        <w:tc>
          <w:tcPr>
            <w:tcW w:w="78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10.4</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3/13/2012</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10.7*</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PlanGrid, Inc. 2012 Equity Incentive Plan</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333-228934</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99.1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12/21/2018</w:t>
            </w:r>
          </w:p>
        </w:tc>
      </w:tr>
      <w:tr>
        <w:trPr>
          <w:trHeight w:val="20"/>
        </w:trPr>
        <w:tc>
          <w:tcPr>
            <w:tcW w:w="9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10.8*</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21">
              <w:r>
                <w:rPr>
                  <w:rFonts w:ascii="Times New Roman" w:cs="Times New Roman" w:eastAsia="Times New Roman" w:hAnsi="Times New Roman"/>
                  <w:sz w:val="13"/>
                  <w:szCs w:val="13"/>
                  <w:color w:val="0000FF"/>
                </w:rPr>
                <w:t>Amended and Restated BuildingConnected, Inc. 2013 Stock Plan</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333-229346</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99.1</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1/24/2019</w:t>
            </w:r>
          </w:p>
        </w:tc>
      </w:tr>
      <w:tr>
        <w:trPr>
          <w:trHeight w:val="20"/>
        </w:trPr>
        <w:tc>
          <w:tcPr>
            <w:tcW w:w="9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10.9*</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22">
              <w:r>
                <w:rPr>
                  <w:rFonts w:ascii="Times New Roman" w:cs="Times New Roman" w:eastAsia="Times New Roman" w:hAnsi="Times New Roman"/>
                  <w:sz w:val="13"/>
                  <w:szCs w:val="13"/>
                  <w:color w:val="0000FF"/>
                </w:rPr>
                <w:t>Registrant's 2012 Outside Directors' Stock Plan, as amended and restated</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10.18</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3/21/2017</w:t>
            </w:r>
          </w:p>
        </w:tc>
      </w:tr>
      <w:tr>
        <w:trPr>
          <w:trHeight w:val="20"/>
        </w:trPr>
        <w:tc>
          <w:tcPr>
            <w:tcW w:w="9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10.10*</w:t>
            </w:r>
          </w:p>
        </w:tc>
        <w:tc>
          <w:tcPr>
            <w:tcW w:w="46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w w:val="98"/>
              </w:rPr>
            </w:pPr>
            <w:hyperlink r:id="rId223">
              <w:r>
                <w:rPr>
                  <w:rFonts w:ascii="Times New Roman" w:cs="Times New Roman" w:eastAsia="Times New Roman" w:hAnsi="Times New Roman"/>
                  <w:sz w:val="13"/>
                  <w:szCs w:val="13"/>
                  <w:color w:val="0000FF"/>
                  <w:w w:val="98"/>
                </w:rPr>
                <w:t>Registrant's 2012 Outside Directors' Stock Plan Form of Restricted Stock Unit Agreement</w:t>
              </w:r>
            </w:hyperlink>
          </w:p>
        </w:tc>
        <w:tc>
          <w:tcPr>
            <w:tcW w:w="1080" w:type="dxa"/>
            <w:vAlign w:val="bottom"/>
            <w:gridSpan w:val="15"/>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10.5</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3/13/2012</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10.11*</w:t>
            </w:r>
          </w:p>
        </w:tc>
        <w:tc>
          <w:tcPr>
            <w:tcW w:w="462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w w:val="98"/>
              </w:rPr>
            </w:pPr>
            <w:hyperlink r:id="rId224">
              <w:r>
                <w:rPr>
                  <w:rFonts w:ascii="Times New Roman" w:cs="Times New Roman" w:eastAsia="Times New Roman" w:hAnsi="Times New Roman"/>
                  <w:sz w:val="13"/>
                  <w:szCs w:val="13"/>
                  <w:color w:val="0000FF"/>
                  <w:w w:val="98"/>
                </w:rPr>
                <w:t>Registrant's 2012 Outside Directors' Stock Plan Form of Restricted Stock Unit Agreement</w:t>
              </w:r>
            </w:hyperlink>
          </w:p>
        </w:tc>
        <w:tc>
          <w:tcPr>
            <w:tcW w:w="1100" w:type="dxa"/>
            <w:vAlign w:val="bottom"/>
            <w:gridSpan w:val="16"/>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6/4/2019</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10.12*</w:t>
            </w:r>
          </w:p>
        </w:tc>
        <w:tc>
          <w:tcPr>
            <w:tcW w:w="322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w w:val="97"/>
              </w:rPr>
            </w:pPr>
            <w:hyperlink r:id="rId225">
              <w:r>
                <w:rPr>
                  <w:rFonts w:ascii="Times New Roman" w:cs="Times New Roman" w:eastAsia="Times New Roman" w:hAnsi="Times New Roman"/>
                  <w:sz w:val="13"/>
                  <w:szCs w:val="13"/>
                  <w:color w:val="0000FF"/>
                  <w:w w:val="97"/>
                </w:rPr>
                <w:t>Registrant’s Executive Incentive Plan, as amended and restated</w:t>
              </w:r>
            </w:hyperlink>
          </w:p>
        </w:tc>
        <w:tc>
          <w:tcPr>
            <w:tcW w:w="2500" w:type="dxa"/>
            <w:vAlign w:val="bottom"/>
            <w:gridSpan w:val="23"/>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10.23</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3/23/2016</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10.13*</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26">
              <w:r>
                <w:rPr>
                  <w:rFonts w:ascii="Times New Roman" w:cs="Times New Roman" w:eastAsia="Times New Roman" w:hAnsi="Times New Roman"/>
                  <w:sz w:val="13"/>
                  <w:szCs w:val="13"/>
                  <w:color w:val="0000FF"/>
                </w:rPr>
                <w:t>Registrant’s 2005 Non-Qualified Deferred Compensation Plan, as amended and restated, effective as of</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12/8/2009</w:t>
            </w:r>
          </w:p>
        </w:tc>
      </w:tr>
      <w:tr>
        <w:trPr>
          <w:trHeight w:val="107"/>
        </w:trPr>
        <w:tc>
          <w:tcPr>
            <w:tcW w:w="940" w:type="dxa"/>
            <w:vAlign w:val="bottom"/>
          </w:tcPr>
          <w:p>
            <w:pPr>
              <w:spacing w:after="0"/>
              <w:rPr>
                <w:sz w:val="9"/>
                <w:szCs w:val="9"/>
                <w:color w:val="auto"/>
              </w:rPr>
            </w:pPr>
          </w:p>
        </w:tc>
        <w:tc>
          <w:tcPr>
            <w:tcW w:w="82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26">
              <w:r>
                <w:rPr>
                  <w:rFonts w:ascii="Times New Roman" w:cs="Times New Roman" w:eastAsia="Times New Roman" w:hAnsi="Times New Roman"/>
                  <w:sz w:val="12"/>
                  <w:szCs w:val="12"/>
                  <w:color w:val="0000FF"/>
                </w:rPr>
                <w:t>January 1, 2010</w:t>
              </w:r>
            </w:hyperlink>
          </w:p>
        </w:tc>
        <w:tc>
          <w:tcPr>
            <w:tcW w:w="4440" w:type="dxa"/>
            <w:vAlign w:val="bottom"/>
            <w:tcBorders>
              <w:top w:val="single" w:sz="8" w:color="0000FF"/>
            </w:tcBorders>
            <w:gridSpan w:val="24"/>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10.14*</w:t>
            </w:r>
          </w:p>
        </w:tc>
        <w:tc>
          <w:tcPr>
            <w:tcW w:w="326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w w:val="97"/>
              </w:rPr>
            </w:pPr>
            <w:hyperlink r:id="rId227">
              <w:r>
                <w:rPr>
                  <w:rFonts w:ascii="Times New Roman" w:cs="Times New Roman" w:eastAsia="Times New Roman" w:hAnsi="Times New Roman"/>
                  <w:sz w:val="13"/>
                  <w:szCs w:val="13"/>
                  <w:color w:val="0000FF"/>
                  <w:w w:val="97"/>
                </w:rPr>
                <w:t>Executive Change in Control Program, as amended and restated</w:t>
              </w:r>
            </w:hyperlink>
          </w:p>
        </w:tc>
        <w:tc>
          <w:tcPr>
            <w:tcW w:w="2460" w:type="dxa"/>
            <w:vAlign w:val="bottom"/>
            <w:gridSpan w:val="22"/>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4/27/2022</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10.15*</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Form of Indemnification Agreement executed by the Registrant and each of its officers and directors</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10.8</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3/31/2005</w:t>
            </w:r>
          </w:p>
        </w:tc>
      </w:tr>
      <w:tr>
        <w:trPr>
          <w:trHeight w:val="20"/>
        </w:trPr>
        <w:tc>
          <w:tcPr>
            <w:tcW w:w="9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10.16</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Form of Qualified Retirement Agreement under the Registrant Amended and Restated Severance Plan and</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9/1/2021</w:t>
            </w:r>
          </w:p>
        </w:tc>
      </w:tr>
      <w:tr>
        <w:trPr>
          <w:trHeight w:val="107"/>
        </w:trPr>
        <w:tc>
          <w:tcPr>
            <w:tcW w:w="940" w:type="dxa"/>
            <w:vAlign w:val="bottom"/>
          </w:tcPr>
          <w:p>
            <w:pPr>
              <w:spacing w:after="0"/>
              <w:rPr>
                <w:sz w:val="9"/>
                <w:szCs w:val="9"/>
                <w:color w:val="auto"/>
              </w:rPr>
            </w:pPr>
          </w:p>
        </w:tc>
        <w:tc>
          <w:tcPr>
            <w:tcW w:w="254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Summary Plan Description dated March 25, 2021</w:t>
              </w:r>
            </w:hyperlink>
          </w:p>
        </w:tc>
        <w:tc>
          <w:tcPr>
            <w:tcW w:w="2880" w:type="dxa"/>
            <w:vAlign w:val="bottom"/>
            <w:tcBorders>
              <w:top w:val="single" w:sz="8" w:color="0000FF"/>
            </w:tcBorders>
            <w:gridSpan w:val="21"/>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10.17.1*</w:t>
            </w:r>
          </w:p>
        </w:tc>
        <w:tc>
          <w:tcPr>
            <w:tcW w:w="540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w w:val="97"/>
              </w:rPr>
            </w:pPr>
            <w:hyperlink r:id="rId230">
              <w:r>
                <w:rPr>
                  <w:rFonts w:ascii="Times New Roman" w:cs="Times New Roman" w:eastAsia="Times New Roman" w:hAnsi="Times New Roman"/>
                  <w:sz w:val="13"/>
                  <w:szCs w:val="13"/>
                  <w:color w:val="0000FF"/>
                  <w:w w:val="97"/>
                </w:rPr>
                <w:t>Employment Agreement, dated as of June 19, 2017, by and between the Registrant and Andrew Anagnost</w:t>
              </w:r>
            </w:hyperlink>
          </w:p>
        </w:tc>
        <w:tc>
          <w:tcPr>
            <w:tcW w:w="32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6/19/2017</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10.17.2</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First Amendment to Andrew Anagnost Employment Agreement, dated as of April 27, 2022, by and between</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10.2</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4/27/2022</w:t>
            </w:r>
          </w:p>
        </w:tc>
      </w:tr>
      <w:tr>
        <w:trPr>
          <w:trHeight w:val="107"/>
        </w:trPr>
        <w:tc>
          <w:tcPr>
            <w:tcW w:w="940" w:type="dxa"/>
            <w:vAlign w:val="bottom"/>
          </w:tcPr>
          <w:p>
            <w:pPr>
              <w:spacing w:after="0"/>
              <w:rPr>
                <w:sz w:val="9"/>
                <w:szCs w:val="9"/>
                <w:color w:val="auto"/>
              </w:rPr>
            </w:pPr>
          </w:p>
        </w:tc>
        <w:tc>
          <w:tcPr>
            <w:tcW w:w="1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1">
              <w:r>
                <w:rPr>
                  <w:rFonts w:ascii="Times New Roman" w:cs="Times New Roman" w:eastAsia="Times New Roman" w:hAnsi="Times New Roman"/>
                  <w:sz w:val="12"/>
                  <w:szCs w:val="12"/>
                  <w:color w:val="0000FF"/>
                </w:rPr>
                <w:t>the Registrant and Andrew Anagnost</w:t>
              </w:r>
            </w:hyperlink>
          </w:p>
        </w:tc>
        <w:tc>
          <w:tcPr>
            <w:tcW w:w="3640" w:type="dxa"/>
            <w:vAlign w:val="bottom"/>
            <w:tcBorders>
              <w:top w:val="single" w:sz="8" w:color="0000FF"/>
            </w:tcBorders>
            <w:gridSpan w:val="29"/>
          </w:tcPr>
          <w:p>
            <w:pPr>
              <w:spacing w:after="0"/>
              <w:rPr>
                <w:sz w:val="9"/>
                <w:szCs w:val="9"/>
                <w:color w:val="auto"/>
              </w:rPr>
            </w:pPr>
          </w:p>
        </w:tc>
        <w:tc>
          <w:tcPr>
            <w:tcW w:w="1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10.18*</w:t>
            </w:r>
          </w:p>
        </w:tc>
        <w:tc>
          <w:tcPr>
            <w:tcW w:w="280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w w:val="97"/>
              </w:rPr>
            </w:pPr>
            <w:hyperlink r:id="rId232">
              <w:r>
                <w:rPr>
                  <w:rFonts w:ascii="Times New Roman" w:cs="Times New Roman" w:eastAsia="Times New Roman" w:hAnsi="Times New Roman"/>
                  <w:sz w:val="13"/>
                  <w:szCs w:val="13"/>
                  <w:color w:val="0000FF"/>
                  <w:w w:val="97"/>
                </w:rPr>
                <w:t>Deborah Clifford Offer Letter dated February 12, 2021</w:t>
              </w:r>
            </w:hyperlink>
          </w:p>
        </w:tc>
        <w:tc>
          <w:tcPr>
            <w:tcW w:w="2920" w:type="dxa"/>
            <w:vAlign w:val="bottom"/>
            <w:gridSpan w:val="25"/>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6/3/2021</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10.19*</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33">
              <w:r>
                <w:rPr>
                  <w:rFonts w:ascii="Times New Roman" w:cs="Times New Roman" w:eastAsia="Times New Roman" w:hAnsi="Times New Roman"/>
                  <w:sz w:val="13"/>
                  <w:szCs w:val="13"/>
                  <w:color w:val="0000FF"/>
                </w:rPr>
                <w:t>Registrant Amended and Restated Severance Plan and Summary Plan Description dated March 25, 2021</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10.2</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6/3/2021</w:t>
            </w:r>
          </w:p>
        </w:tc>
      </w:tr>
      <w:tr>
        <w:trPr>
          <w:trHeight w:val="20"/>
        </w:trPr>
        <w:tc>
          <w:tcPr>
            <w:tcW w:w="9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60" w:type="dxa"/>
            <w:vAlign w:val="bottom"/>
            <w:tcBorders>
              <w:left w:val="single" w:sz="8" w:color="0000FF"/>
            </w:tcBorders>
            <w:gridSpan w:val="12"/>
            <w:shd w:val="clear" w:color="auto" w:fill="0000FF"/>
          </w:tcPr>
          <w:p>
            <w:pPr>
              <w:spacing w:after="0" w:line="20" w:lineRule="exact"/>
              <w:rPr>
                <w:sz w:val="1"/>
                <w:szCs w:val="1"/>
                <w:color w:val="auto"/>
              </w:rPr>
            </w:pPr>
          </w:p>
        </w:tc>
        <w:tc>
          <w:tcPr>
            <w:tcW w:w="720" w:type="dxa"/>
            <w:vAlign w:val="bottom"/>
            <w:gridSpan w:val="9"/>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10.20*</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34">
              <w:r>
                <w:rPr>
                  <w:rFonts w:ascii="Times New Roman" w:cs="Times New Roman" w:eastAsia="Times New Roman" w:hAnsi="Times New Roman"/>
                  <w:sz w:val="13"/>
                  <w:szCs w:val="13"/>
                  <w:color w:val="0000FF"/>
                </w:rPr>
                <w:t>Registrant's 2012 Employee Stock Plan Form of Retirement Restricted Stock Unit Agreement, as amended</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10.21</w:t>
            </w:r>
          </w:p>
        </w:tc>
        <w:tc>
          <w:tcPr>
            <w:tcW w:w="11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3/19/2021</w:t>
            </w:r>
          </w:p>
        </w:tc>
      </w:tr>
      <w:tr>
        <w:trPr>
          <w:trHeight w:val="107"/>
        </w:trPr>
        <w:tc>
          <w:tcPr>
            <w:tcW w:w="940" w:type="dxa"/>
            <w:vAlign w:val="bottom"/>
          </w:tcPr>
          <w:p>
            <w:pPr>
              <w:spacing w:after="0"/>
              <w:rPr>
                <w:sz w:val="9"/>
                <w:szCs w:val="9"/>
                <w:color w:val="auto"/>
              </w:rPr>
            </w:pPr>
          </w:p>
        </w:tc>
        <w:tc>
          <w:tcPr>
            <w:tcW w:w="62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34">
              <w:r>
                <w:rPr>
                  <w:rFonts w:ascii="Times New Roman" w:cs="Times New Roman" w:eastAsia="Times New Roman" w:hAnsi="Times New Roman"/>
                  <w:sz w:val="12"/>
                  <w:szCs w:val="12"/>
                  <w:color w:val="0000FF"/>
                </w:rPr>
                <w:t>and restated</w:t>
              </w:r>
            </w:hyperlink>
          </w:p>
        </w:tc>
        <w:tc>
          <w:tcPr>
            <w:tcW w:w="4860" w:type="dxa"/>
            <w:vAlign w:val="bottom"/>
            <w:tcBorders>
              <w:top w:val="single" w:sz="8" w:color="0000FF"/>
            </w:tcBorders>
            <w:gridSpan w:val="30"/>
          </w:tcPr>
          <w:p>
            <w:pPr>
              <w:spacing w:after="0"/>
              <w:rPr>
                <w:sz w:val="9"/>
                <w:szCs w:val="9"/>
                <w:color w:val="auto"/>
              </w:rPr>
            </w:pPr>
          </w:p>
        </w:tc>
        <w:tc>
          <w:tcPr>
            <w:tcW w:w="240" w:type="dxa"/>
            <w:vAlign w:val="bottom"/>
            <w:gridSpan w:val="4"/>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10.21</w:t>
            </w:r>
          </w:p>
        </w:tc>
        <w:tc>
          <w:tcPr>
            <w:tcW w:w="460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w w:val="97"/>
              </w:rPr>
            </w:pPr>
            <w:hyperlink r:id="rId235">
              <w:r>
                <w:rPr>
                  <w:rFonts w:ascii="Times New Roman" w:cs="Times New Roman" w:eastAsia="Times New Roman" w:hAnsi="Times New Roman"/>
                  <w:sz w:val="13"/>
                  <w:szCs w:val="13"/>
                  <w:color w:val="0000FF"/>
                  <w:w w:val="97"/>
                </w:rPr>
                <w:t>Amendment No. 1 to Amended and Restated Credit Agreement dated November 21, 2022</w:t>
              </w:r>
            </w:hyperlink>
          </w:p>
        </w:tc>
        <w:tc>
          <w:tcPr>
            <w:tcW w:w="1120" w:type="dxa"/>
            <w:vAlign w:val="bottom"/>
            <w:gridSpan w:val="17"/>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9"/>
              </w:rPr>
              <w:t>12/16/22</w:t>
            </w: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10.22</w:t>
            </w:r>
          </w:p>
        </w:tc>
        <w:tc>
          <w:tcPr>
            <w:tcW w:w="5720" w:type="dxa"/>
            <w:vAlign w:val="bottom"/>
            <w:gridSpan w:val="36"/>
          </w:tcPr>
          <w:p>
            <w:pPr>
              <w:spacing w:after="0"/>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Autodesk, Inc. 2022 Equity Incentive Plan</w:t>
              </w:r>
            </w:hyperlink>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000-14338</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6"/>
              </w:rPr>
              <w:t>10.1</w:t>
            </w:r>
          </w:p>
        </w:tc>
        <w:tc>
          <w:tcPr>
            <w:tcW w:w="11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7"/>
              </w:rPr>
              <w:t>06/21/2022</w:t>
            </w: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8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020" w:type="dxa"/>
            <w:vAlign w:val="bottom"/>
            <w:tcBorders>
              <w:bottom w:val="single" w:sz="8" w:color="auto"/>
            </w:tcBorders>
          </w:tcPr>
          <w:p>
            <w:pPr>
              <w:spacing w:after="0"/>
              <w:rPr>
                <w:sz w:val="13"/>
                <w:szCs w:val="13"/>
                <w:color w:val="auto"/>
              </w:rPr>
            </w:pPr>
          </w:p>
        </w:tc>
      </w:tr>
      <w:tr>
        <w:trPr>
          <w:trHeight w:val="154"/>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gridSpan w:val="12"/>
          </w:tcPr>
          <w:p>
            <w:pPr>
              <w:ind w:left="8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SEC File No.</w:t>
            </w: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134"/>
        </w:trPr>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5"/>
              </w:rPr>
              <w:t>10.23</w:t>
            </w:r>
          </w:p>
        </w:tc>
        <w:tc>
          <w:tcPr>
            <w:tcW w:w="3880" w:type="dxa"/>
            <w:vAlign w:val="bottom"/>
            <w:tcBorders>
              <w:bottom w:val="single" w:sz="8" w:color="0000FF"/>
            </w:tcBorders>
            <w:gridSpan w:val="6"/>
          </w:tcPr>
          <w:p>
            <w:pPr>
              <w:spacing w:after="0" w:line="134" w:lineRule="exact"/>
              <w:rPr>
                <w:sz w:val="20"/>
                <w:szCs w:val="20"/>
                <w:color w:val="auto"/>
              </w:rPr>
            </w:pPr>
            <w:r>
              <w:rPr>
                <w:rFonts w:ascii="Times New Roman" w:cs="Times New Roman" w:eastAsia="Times New Roman" w:hAnsi="Times New Roman"/>
                <w:sz w:val="13"/>
                <w:szCs w:val="13"/>
                <w:color w:val="0000FF"/>
                <w:w w:val="97"/>
              </w:rPr>
              <w:t>Autodesk, Inc. 2022 Equity Incentive Plan Form of Global RSU Agreement</w:t>
            </w:r>
          </w:p>
        </w:tc>
        <w:tc>
          <w:tcPr>
            <w:tcW w:w="1780" w:type="dxa"/>
            <w:vAlign w:val="bottom"/>
            <w:gridSpan w:val="9"/>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10.24</w:t>
            </w:r>
          </w:p>
        </w:tc>
        <w:tc>
          <w:tcPr>
            <w:tcW w:w="2620" w:type="dxa"/>
            <w:vAlign w:val="bottom"/>
            <w:tcBorders>
              <w:bottom w:val="single" w:sz="8" w:color="0000FF"/>
            </w:tcBorders>
            <w:gridSpan w:val="4"/>
          </w:tcPr>
          <w:p>
            <w:pPr>
              <w:spacing w:after="0"/>
              <w:rPr>
                <w:rFonts w:ascii="Times New Roman" w:cs="Times New Roman" w:eastAsia="Times New Roman" w:hAnsi="Times New Roman"/>
                <w:sz w:val="13"/>
                <w:szCs w:val="13"/>
                <w:color w:val="0000FF"/>
                <w:w w:val="97"/>
              </w:rPr>
            </w:pPr>
            <w:hyperlink r:id="rId238">
              <w:r>
                <w:rPr>
                  <w:rFonts w:ascii="Times New Roman" w:cs="Times New Roman" w:eastAsia="Times New Roman" w:hAnsi="Times New Roman"/>
                  <w:sz w:val="13"/>
                  <w:szCs w:val="13"/>
                  <w:color w:val="0000FF"/>
                  <w:w w:val="97"/>
                </w:rPr>
                <w:t>Autodesk, Inc. 2022 Director Compensation Policy</w:t>
              </w:r>
            </w:hyperlink>
          </w:p>
        </w:tc>
        <w:tc>
          <w:tcPr>
            <w:tcW w:w="304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99.1</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08/23/2022</w:t>
            </w:r>
          </w:p>
        </w:tc>
      </w:tr>
      <w:tr>
        <w:trPr>
          <w:trHeight w:val="16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10.25</w:t>
            </w:r>
          </w:p>
        </w:tc>
        <w:tc>
          <w:tcPr>
            <w:tcW w:w="5660" w:type="dxa"/>
            <w:vAlign w:val="bottom"/>
            <w:gridSpan w:val="15"/>
          </w:tcPr>
          <w:p>
            <w:pPr>
              <w:spacing w:after="0"/>
              <w:rPr>
                <w:rFonts w:ascii="Times New Roman" w:cs="Times New Roman" w:eastAsia="Times New Roman" w:hAnsi="Times New Roman"/>
                <w:sz w:val="13"/>
                <w:szCs w:val="13"/>
                <w:color w:val="0000FF"/>
              </w:rPr>
            </w:pPr>
            <w:hyperlink r:id="rId239">
              <w:r>
                <w:rPr>
                  <w:rFonts w:ascii="Times New Roman" w:cs="Times New Roman" w:eastAsia="Times New Roman" w:hAnsi="Times New Roman"/>
                  <w:sz w:val="13"/>
                  <w:szCs w:val="13"/>
                  <w:color w:val="0000FF"/>
                </w:rPr>
                <w:t>Autodesk, Inc. 2022 Equity Incentive Plan Form of Director RSU Agreement</w:t>
              </w:r>
            </w:hyperlink>
          </w:p>
        </w:tc>
        <w:tc>
          <w:tcPr>
            <w:tcW w:w="8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99.2</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08/23/2022</w:t>
            </w:r>
          </w:p>
        </w:tc>
      </w:tr>
      <w:tr>
        <w:trPr>
          <w:trHeight w:val="20"/>
        </w:trPr>
        <w:tc>
          <w:tcPr>
            <w:tcW w:w="9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10.26</w:t>
            </w:r>
          </w:p>
        </w:tc>
        <w:tc>
          <w:tcPr>
            <w:tcW w:w="5660" w:type="dxa"/>
            <w:vAlign w:val="bottom"/>
            <w:gridSpan w:val="15"/>
          </w:tcPr>
          <w:p>
            <w:pPr>
              <w:spacing w:after="0"/>
              <w:rPr>
                <w:rFonts w:ascii="Times New Roman" w:cs="Times New Roman" w:eastAsia="Times New Roman" w:hAnsi="Times New Roman"/>
                <w:sz w:val="13"/>
                <w:szCs w:val="13"/>
                <w:color w:val="0000FF"/>
              </w:rPr>
            </w:pPr>
            <w:hyperlink r:id="rId240">
              <w:r>
                <w:rPr>
                  <w:rFonts w:ascii="Times New Roman" w:cs="Times New Roman" w:eastAsia="Times New Roman" w:hAnsi="Times New Roman"/>
                  <w:sz w:val="13"/>
                  <w:szCs w:val="13"/>
                  <w:color w:val="0000FF"/>
                </w:rPr>
                <w:t>Registrant’s 1998 Employee Qualified Stock Purchase Plan, as amended and restated effective as of</w:t>
              </w:r>
            </w:hyperlink>
          </w:p>
        </w:tc>
        <w:tc>
          <w:tcPr>
            <w:tcW w:w="8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000-14338</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10.26</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03/14/2023</w:t>
            </w:r>
          </w:p>
        </w:tc>
      </w:tr>
      <w:tr>
        <w:trPr>
          <w:trHeight w:val="107"/>
        </w:trPr>
        <w:tc>
          <w:tcPr>
            <w:tcW w:w="940" w:type="dxa"/>
            <w:vAlign w:val="bottom"/>
          </w:tcPr>
          <w:p>
            <w:pPr>
              <w:spacing w:after="0"/>
              <w:rPr>
                <w:sz w:val="9"/>
                <w:szCs w:val="9"/>
                <w:color w:val="auto"/>
              </w:rPr>
            </w:pPr>
          </w:p>
        </w:tc>
        <w:tc>
          <w:tcPr>
            <w:tcW w:w="43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40">
              <w:r>
                <w:rPr>
                  <w:rFonts w:ascii="Times New Roman" w:cs="Times New Roman" w:eastAsia="Times New Roman" w:hAnsi="Times New Roman"/>
                  <w:sz w:val="12"/>
                  <w:szCs w:val="12"/>
                  <w:color w:val="0000FF"/>
                </w:rPr>
                <w:t>December 14, 2022, its Forms of Subscription Agreement and International Sub-Plan</w:t>
              </w:r>
            </w:hyperlink>
          </w:p>
        </w:tc>
        <w:tc>
          <w:tcPr>
            <w:tcW w:w="720" w:type="dxa"/>
            <w:vAlign w:val="bottom"/>
            <w:tcBorders>
              <w:top w:val="single" w:sz="8" w:color="0000FF"/>
            </w:tcBorders>
            <w:gridSpan w:val="3"/>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19.1</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Autodesk Insider Trading Policy</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21.1</w:t>
            </w:r>
          </w:p>
        </w:tc>
        <w:tc>
          <w:tcPr>
            <w:tcW w:w="10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6"/>
              </w:rPr>
              <w:t>List of Subsidiaries</w:t>
            </w:r>
          </w:p>
        </w:tc>
        <w:tc>
          <w:tcPr>
            <w:tcW w:w="660" w:type="dxa"/>
            <w:vAlign w:val="bottom"/>
            <w:tcBorders>
              <w:top w:val="single" w:sz="8" w:color="0000FF"/>
            </w:tcBorders>
            <w:gridSpan w:val="2"/>
          </w:tcPr>
          <w:p>
            <w:pPr>
              <w:spacing w:after="0"/>
              <w:rPr>
                <w:sz w:val="13"/>
                <w:szCs w:val="13"/>
                <w:color w:val="auto"/>
              </w:rPr>
            </w:pPr>
          </w:p>
        </w:tc>
        <w:tc>
          <w:tcPr>
            <w:tcW w:w="4000" w:type="dxa"/>
            <w:vAlign w:val="bottom"/>
            <w:gridSpan w:val="12"/>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23.1</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Consent of Independent Registered Public Accounting Firm (Ernst &amp; Young LLP) (filed herewith)</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24.1</w:t>
            </w:r>
          </w:p>
        </w:tc>
        <w:tc>
          <w:tcPr>
            <w:tcW w:w="5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0000FF"/>
              </w:rPr>
              <w:t>Power of Attorney (contained in the signature page to this Annual Report on Form 10-K)</w:t>
            </w:r>
          </w:p>
        </w:tc>
        <w:tc>
          <w:tcPr>
            <w:tcW w:w="640" w:type="dxa"/>
            <w:vAlign w:val="bottom"/>
            <w:gridSpan w:val="5"/>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Rule 13a-14(a) of the Securities Exchange Act of 1934</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5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w w:val="97"/>
              </w:rPr>
              <w:t>Certification of Chief Financial Officer pursuant to Rule 13a-14(a) of the Securities Exchange Act of 1934</w:t>
            </w:r>
          </w:p>
        </w:tc>
        <w:tc>
          <w:tcPr>
            <w:tcW w:w="2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32.1†</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and Chief Financial Officer pursuant to 18 U.S.C. Section 1350, as</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07"/>
        </w:trPr>
        <w:tc>
          <w:tcPr>
            <w:tcW w:w="940" w:type="dxa"/>
            <w:vAlign w:val="bottom"/>
          </w:tcPr>
          <w:p>
            <w:pPr>
              <w:spacing w:after="0"/>
              <w:rPr>
                <w:sz w:val="9"/>
                <w:szCs w:val="9"/>
                <w:color w:val="auto"/>
              </w:rPr>
            </w:pPr>
          </w:p>
        </w:tc>
        <w:tc>
          <w:tcPr>
            <w:tcW w:w="3460" w:type="dxa"/>
            <w:vAlign w:val="bottom"/>
            <w:tcBorders>
              <w:top w:val="single" w:sz="8" w:color="0000FF"/>
              <w:bottom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adopted pursuant to Section 906 of the Sarbanes-Oxley Act of 2002</w:t>
            </w:r>
          </w:p>
        </w:tc>
        <w:tc>
          <w:tcPr>
            <w:tcW w:w="2020" w:type="dxa"/>
            <w:vAlign w:val="bottom"/>
            <w:tcBorders>
              <w:top w:val="single" w:sz="8" w:color="0000FF"/>
            </w:tcBorders>
            <w:gridSpan w:val="9"/>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5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97.1</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Autodesk, Inc. Clawback Policy</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101.INS ††</w:t>
            </w:r>
          </w:p>
        </w:tc>
        <w:tc>
          <w:tcPr>
            <w:tcW w:w="1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auto"/>
              </w:rPr>
              <w:t>XBRL Instance Document</w:t>
            </w:r>
          </w:p>
        </w:tc>
        <w:tc>
          <w:tcPr>
            <w:tcW w:w="40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101.SCH ††</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XBRL Taxonomy Extension Schema</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101.CAL ††</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XBRL Taxonomy Extension Calculation Linkbase</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101.DEF ††</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XBRL Taxonomy Extension Definition Linkbase</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101.LAB ††</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XBRL Taxonomy Extension Label Linkbase</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101.PRE ††</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XBRL Taxonomy Extension Presentation Linkbase</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104</w:t>
            </w:r>
          </w:p>
        </w:tc>
        <w:tc>
          <w:tcPr>
            <w:tcW w:w="56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Denotes a management contract or compensatory plan or arrangement.</w:t>
      </w:r>
    </w:p>
    <w:p>
      <w:pPr>
        <w:spacing w:after="0" w:line="6" w:lineRule="exact"/>
        <w:rPr>
          <w:sz w:val="20"/>
          <w:szCs w:val="20"/>
          <w:color w:val="auto"/>
        </w:rPr>
      </w:pPr>
    </w:p>
    <w:p>
      <w:pPr>
        <w:ind w:left="320" w:right="200" w:hanging="315"/>
        <w:spacing w:after="0" w:line="246" w:lineRule="auto"/>
        <w:tabs>
          <w:tab w:leader="none" w:pos="19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280" w:hanging="275"/>
        <w:spacing w:after="0"/>
        <w:tabs>
          <w:tab w:leader="none" w:pos="28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6" w:lineRule="exact"/>
        <w:rPr>
          <w:sz w:val="20"/>
          <w:szCs w:val="20"/>
          <w:color w:val="auto"/>
        </w:rPr>
      </w:pPr>
    </w:p>
    <w:p>
      <w:pPr>
        <w:ind w:firstLine="350"/>
        <w:spacing w:after="0" w:line="290" w:lineRule="auto"/>
        <w:rPr>
          <w:sz w:val="20"/>
          <w:szCs w:val="20"/>
          <w:color w:val="auto"/>
        </w:rPr>
      </w:pPr>
      <w:r>
        <w:rPr>
          <w:rFonts w:ascii="Times New Roman" w:cs="Times New Roman" w:eastAsia="Times New Roman" w:hAnsi="Times New Roman"/>
          <w:sz w:val="14"/>
          <w:szCs w:val="14"/>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1"/>
          <w:szCs w:val="11"/>
          <w:b w:val="1"/>
          <w:bCs w:val="1"/>
          <w:color w:val="auto"/>
        </w:rPr>
        <w:t>AUTODESK, INC.</w:t>
      </w:r>
    </w:p>
    <w:p>
      <w:pPr>
        <w:spacing w:after="0" w:line="41" w:lineRule="exact"/>
        <w:rPr>
          <w:sz w:val="20"/>
          <w:szCs w:val="20"/>
          <w:color w:val="auto"/>
        </w:rPr>
      </w:pPr>
    </w:p>
    <w:p>
      <w:pPr>
        <w:ind w:left="5480"/>
        <w:spacing w:after="0"/>
        <w:tabs>
          <w:tab w:leader="none" w:pos="7840" w:val="left"/>
          <w:tab w:leader="none" w:pos="80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12700</wp:posOffset>
            </wp:positionV>
            <wp:extent cx="323405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3"/>
          <w:szCs w:val="13"/>
          <w:b w:val="1"/>
          <w:bCs w:val="1"/>
          <w:color w:val="auto"/>
        </w:rPr>
        <w:t>Andrew Anagnost</w:t>
      </w:r>
    </w:p>
    <w:p>
      <w:pPr>
        <w:spacing w:after="0" w:line="2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22"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3"/>
          <w:szCs w:val="13"/>
          <w:color w:val="auto"/>
        </w:rPr>
        <w:t>Dated:</w:t>
      </w:r>
      <w:r>
        <w:rPr>
          <w:sz w:val="20"/>
          <w:szCs w:val="20"/>
          <w:color w:val="auto"/>
        </w:rPr>
        <w:tab/>
      </w:r>
      <w:r>
        <w:rPr>
          <w:rFonts w:ascii="Times New Roman" w:cs="Times New Roman" w:eastAsia="Times New Roman" w:hAnsi="Times New Roman"/>
          <w:sz w:val="13"/>
          <w:szCs w:val="13"/>
          <w:color w:val="auto"/>
        </w:rPr>
        <w:t>June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36" w:lineRule="exact"/>
        <w:rPr>
          <w:sz w:val="20"/>
          <w:szCs w:val="20"/>
          <w:color w:val="auto"/>
        </w:rPr>
      </w:pPr>
    </w:p>
    <w:p>
      <w:pPr>
        <w:ind w:firstLine="350"/>
        <w:spacing w:after="0" w:line="265"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Andrew Anagnost and Elizabeth Rafael each as his or 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5" w:lineRule="exact"/>
        <w:rPr>
          <w:sz w:val="20"/>
          <w:szCs w:val="20"/>
          <w:color w:val="auto"/>
        </w:rPr>
      </w:pPr>
    </w:p>
    <w:p>
      <w:pPr>
        <w:ind w:right="100" w:firstLine="350"/>
        <w:spacing w:after="0" w:line="290" w:lineRule="auto"/>
        <w:rPr>
          <w:sz w:val="20"/>
          <w:szCs w:val="20"/>
          <w:color w:val="auto"/>
        </w:rPr>
      </w:pPr>
      <w:r>
        <w:rPr>
          <w:rFonts w:ascii="Times New Roman" w:cs="Times New Roman" w:eastAsia="Times New Roman" w:hAnsi="Times New Roman"/>
          <w:sz w:val="14"/>
          <w:szCs w:val="14"/>
          <w:b w:val="1"/>
          <w:bCs w:val="1"/>
          <w:color w:val="auto"/>
        </w:rPr>
        <w:t>Pursuant to the requirements of the Securities Exchange Act of 1934, this Report has been signed below by the following persons on behalf of the Registrant and in the capacities as of June 10, 2024.</w:t>
      </w:r>
    </w:p>
    <w:p>
      <w:pPr>
        <w:sectPr>
          <w:pgSz w:w="11900" w:h="16838" w:orient="portrait"/>
          <w:cols w:equalWidth="0" w:num="1">
            <w:col w:w="11260"/>
          </w:cols>
          <w:pgMar w:left="300" w:top="125" w:right="339" w:bottom="1440" w:gutter="0" w:footer="0" w:header="0"/>
        </w:sectPr>
      </w:pPr>
    </w:p>
    <w:p>
      <w:pPr>
        <w:spacing w:after="0" w:line="2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1"/>
          <w:szCs w:val="11"/>
          <w:b w:val="1"/>
          <w:bCs w:val="1"/>
          <w:u w:val="single" w:color="auto"/>
          <w:color w:val="auto"/>
        </w:rPr>
        <w:t>Signature</w:t>
      </w:r>
    </w:p>
    <w:p>
      <w:pPr>
        <w:spacing w:after="0" w:line="222" w:lineRule="exact"/>
        <w:rPr>
          <w:sz w:val="20"/>
          <w:szCs w:val="20"/>
          <w:color w:val="auto"/>
        </w:rPr>
      </w:pPr>
    </w:p>
    <w:p>
      <w:pPr>
        <w:ind w:left="2940"/>
        <w:spacing w:after="0"/>
        <w:tabs>
          <w:tab w:leader="none" w:pos="316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12700</wp:posOffset>
            </wp:positionV>
            <wp:extent cx="227076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2270760" cy="6985"/>
                    </a:xfrm>
                    <a:prstGeom prst="rect">
                      <a:avLst/>
                    </a:prstGeom>
                    <a:noFill/>
                  </pic:spPr>
                </pic:pic>
              </a:graphicData>
            </a:graphic>
          </wp:anchor>
        </w:drawing>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color w:val="auto"/>
        </w:rPr>
        <w:t>Andrew Anagnost</w:t>
      </w:r>
    </w:p>
    <w:p>
      <w:pPr>
        <w:spacing w:after="0" w:line="264" w:lineRule="exact"/>
        <w:rPr>
          <w:sz w:val="20"/>
          <w:szCs w:val="20"/>
          <w:color w:val="auto"/>
        </w:rPr>
      </w:pPr>
    </w:p>
    <w:tbl>
      <w:tblPr>
        <w:tblLayout w:type="fixed"/>
        <w:tblInd w:w="2020" w:type="dxa"/>
        <w:tblCellMar>
          <w:top w:w="0" w:type="dxa"/>
          <w:left w:w="0" w:type="dxa"/>
          <w:bottom w:w="0" w:type="dxa"/>
          <w:right w:w="0" w:type="dxa"/>
        </w:tblCellMar>
      </w:tblPr>
      <w:tr>
        <w:trPr>
          <w:trHeight w:val="168"/>
        </w:trPr>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360" w:type="dxa"/>
            <w:vAlign w:val="bottom"/>
            <w:tcBorders>
              <w:bottom w:val="single" w:sz="8" w:color="auto"/>
            </w:tcBorders>
            <w:gridSpan w:val="2"/>
          </w:tcPr>
          <w:p>
            <w:pPr>
              <w:jc w:val="center"/>
              <w:ind w:right="956"/>
              <w:spacing w:after="0"/>
              <w:rPr>
                <w:sz w:val="20"/>
                <w:szCs w:val="20"/>
                <w:color w:val="auto"/>
              </w:rPr>
            </w:pPr>
            <w:r>
              <w:rPr>
                <w:rFonts w:ascii="Times New Roman" w:cs="Times New Roman" w:eastAsia="Times New Roman" w:hAnsi="Times New Roman"/>
                <w:sz w:val="13"/>
                <w:szCs w:val="13"/>
                <w:color w:val="auto"/>
                <w:w w:val="97"/>
              </w:rPr>
              <w:t>ELIZABETH RAFAEL</w:t>
            </w:r>
          </w:p>
        </w:tc>
      </w:tr>
      <w:tr>
        <w:trPr>
          <w:trHeight w:val="285"/>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Elizabeth Rafael</w:t>
            </w:r>
          </w:p>
        </w:tc>
      </w:tr>
      <w:tr>
        <w:trPr>
          <w:trHeight w:val="405"/>
        </w:trPr>
        <w:tc>
          <w:tcPr>
            <w:tcW w:w="1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976"/>
              <w:spacing w:after="0"/>
              <w:rPr>
                <w:sz w:val="20"/>
                <w:szCs w:val="20"/>
                <w:color w:val="auto"/>
              </w:rPr>
            </w:pPr>
            <w:r>
              <w:rPr>
                <w:rFonts w:ascii="Times New Roman" w:cs="Times New Roman" w:eastAsia="Times New Roman" w:hAnsi="Times New Roman"/>
                <w:sz w:val="13"/>
                <w:szCs w:val="13"/>
                <w:color w:val="auto"/>
                <w:w w:val="96"/>
              </w:rPr>
              <w:t>/s/ STEPHEN W. HOPE</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1176"/>
              <w:spacing w:after="0"/>
              <w:rPr>
                <w:sz w:val="20"/>
                <w:szCs w:val="20"/>
                <w:color w:val="auto"/>
              </w:rPr>
            </w:pPr>
            <w:r>
              <w:rPr>
                <w:rFonts w:ascii="Times New Roman" w:cs="Times New Roman" w:eastAsia="Times New Roman" w:hAnsi="Times New Roman"/>
                <w:sz w:val="13"/>
                <w:szCs w:val="13"/>
                <w:color w:val="auto"/>
                <w:w w:val="95"/>
              </w:rPr>
              <w:t>Stephen W. Hope</w:t>
            </w:r>
          </w:p>
        </w:tc>
      </w:tr>
      <w:tr>
        <w:trPr>
          <w:trHeight w:val="416"/>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7"/>
              </w:rPr>
              <w:t>/s/</w:t>
            </w:r>
          </w:p>
        </w:tc>
        <w:tc>
          <w:tcPr>
            <w:tcW w:w="2360" w:type="dxa"/>
            <w:vAlign w:val="bottom"/>
            <w:tcBorders>
              <w:bottom w:val="single" w:sz="8" w:color="auto"/>
            </w:tcBorders>
            <w:gridSpan w:val="2"/>
          </w:tcPr>
          <w:p>
            <w:pPr>
              <w:jc w:val="center"/>
              <w:ind w:right="1156"/>
              <w:spacing w:after="0"/>
              <w:rPr>
                <w:sz w:val="20"/>
                <w:szCs w:val="20"/>
                <w:color w:val="auto"/>
              </w:rPr>
            </w:pPr>
            <w:r>
              <w:rPr>
                <w:rFonts w:ascii="Times New Roman" w:cs="Times New Roman" w:eastAsia="Times New Roman" w:hAnsi="Times New Roman"/>
                <w:sz w:val="13"/>
                <w:szCs w:val="13"/>
                <w:color w:val="auto"/>
                <w:w w:val="96"/>
              </w:rPr>
              <w:t>STACY J. SMITH</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1356"/>
              <w:spacing w:after="0"/>
              <w:rPr>
                <w:sz w:val="20"/>
                <w:szCs w:val="20"/>
                <w:color w:val="auto"/>
              </w:rPr>
            </w:pPr>
            <w:r>
              <w:rPr>
                <w:rFonts w:ascii="Times New Roman" w:cs="Times New Roman" w:eastAsia="Times New Roman" w:hAnsi="Times New Roman"/>
                <w:sz w:val="13"/>
                <w:szCs w:val="13"/>
                <w:color w:val="auto"/>
                <w:w w:val="96"/>
              </w:rPr>
              <w:t>Stacy J. Smith</w:t>
            </w:r>
          </w:p>
        </w:tc>
      </w:tr>
      <w:tr>
        <w:trPr>
          <w:trHeight w:val="289"/>
        </w:trPr>
        <w:tc>
          <w:tcPr>
            <w:tcW w:w="122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3"/>
                <w:szCs w:val="13"/>
                <w:color w:val="auto"/>
              </w:rPr>
              <w:t>/s/</w:t>
            </w:r>
          </w:p>
        </w:tc>
        <w:tc>
          <w:tcPr>
            <w:tcW w:w="2360" w:type="dxa"/>
            <w:vAlign w:val="bottom"/>
            <w:tcBorders>
              <w:bottom w:val="single" w:sz="8" w:color="auto"/>
            </w:tcBorders>
            <w:gridSpan w:val="2"/>
          </w:tcPr>
          <w:p>
            <w:pPr>
              <w:jc w:val="center"/>
              <w:ind w:right="1196"/>
              <w:spacing w:after="0"/>
              <w:rPr>
                <w:sz w:val="20"/>
                <w:szCs w:val="20"/>
                <w:color w:val="auto"/>
              </w:rPr>
            </w:pPr>
            <w:r>
              <w:rPr>
                <w:rFonts w:ascii="Times New Roman" w:cs="Times New Roman" w:eastAsia="Times New Roman" w:hAnsi="Times New Roman"/>
                <w:sz w:val="13"/>
                <w:szCs w:val="13"/>
                <w:color w:val="auto"/>
                <w:w w:val="97"/>
              </w:rPr>
              <w:t>KAREN BLASING</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1356"/>
              <w:spacing w:after="0"/>
              <w:rPr>
                <w:sz w:val="20"/>
                <w:szCs w:val="20"/>
                <w:color w:val="auto"/>
              </w:rPr>
            </w:pPr>
            <w:r>
              <w:rPr>
                <w:rFonts w:ascii="Times New Roman" w:cs="Times New Roman" w:eastAsia="Times New Roman" w:hAnsi="Times New Roman"/>
                <w:sz w:val="13"/>
                <w:szCs w:val="13"/>
                <w:color w:val="auto"/>
                <w:w w:val="96"/>
              </w:rPr>
              <w:t>Karen Blasing</w:t>
            </w:r>
          </w:p>
        </w:tc>
      </w:tr>
      <w:tr>
        <w:trPr>
          <w:trHeight w:val="289"/>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80" w:type="dxa"/>
            <w:vAlign w:val="bottom"/>
            <w:tcBorders>
              <w:bottom w:val="single" w:sz="8" w:color="auto"/>
            </w:tcBorders>
          </w:tcPr>
          <w:p>
            <w:pPr>
              <w:jc w:val="center"/>
              <w:ind w:right="1096"/>
              <w:spacing w:after="0"/>
              <w:rPr>
                <w:sz w:val="20"/>
                <w:szCs w:val="20"/>
                <w:color w:val="auto"/>
              </w:rPr>
            </w:pPr>
            <w:r>
              <w:rPr>
                <w:rFonts w:ascii="Times New Roman" w:cs="Times New Roman" w:eastAsia="Times New Roman" w:hAnsi="Times New Roman"/>
                <w:sz w:val="13"/>
                <w:szCs w:val="13"/>
                <w:color w:val="auto"/>
                <w:w w:val="96"/>
              </w:rPr>
              <w:t>REID FRENCH</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1336"/>
              <w:spacing w:after="0"/>
              <w:rPr>
                <w:sz w:val="20"/>
                <w:szCs w:val="20"/>
                <w:color w:val="auto"/>
              </w:rPr>
            </w:pPr>
            <w:r>
              <w:rPr>
                <w:rFonts w:ascii="Times New Roman" w:cs="Times New Roman" w:eastAsia="Times New Roman" w:hAnsi="Times New Roman"/>
                <w:sz w:val="13"/>
                <w:szCs w:val="13"/>
                <w:color w:val="auto"/>
                <w:w w:val="96"/>
              </w:rPr>
              <w:t>Reid French</w:t>
            </w:r>
          </w:p>
        </w:tc>
      </w:tr>
      <w:tr>
        <w:trPr>
          <w:trHeight w:val="289"/>
        </w:trPr>
        <w:tc>
          <w:tcPr>
            <w:tcW w:w="1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976"/>
              <w:spacing w:after="0"/>
              <w:rPr>
                <w:sz w:val="20"/>
                <w:szCs w:val="20"/>
                <w:color w:val="auto"/>
              </w:rPr>
            </w:pPr>
            <w:r>
              <w:rPr>
                <w:rFonts w:ascii="Times New Roman" w:cs="Times New Roman" w:eastAsia="Times New Roman" w:hAnsi="Times New Roman"/>
                <w:sz w:val="13"/>
                <w:szCs w:val="13"/>
                <w:color w:val="auto"/>
                <w:w w:val="95"/>
              </w:rPr>
              <w:t>/s/ AYANNA HOWARD</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1156"/>
              <w:spacing w:after="0"/>
              <w:rPr>
                <w:sz w:val="20"/>
                <w:szCs w:val="20"/>
                <w:color w:val="auto"/>
              </w:rPr>
            </w:pPr>
            <w:r>
              <w:rPr>
                <w:rFonts w:ascii="Times New Roman" w:cs="Times New Roman" w:eastAsia="Times New Roman" w:hAnsi="Times New Roman"/>
                <w:sz w:val="13"/>
                <w:szCs w:val="13"/>
                <w:color w:val="auto"/>
                <w:w w:val="95"/>
              </w:rPr>
              <w:t>Ayanna Howard</w:t>
            </w:r>
          </w:p>
        </w:tc>
      </w:tr>
      <w:tr>
        <w:trPr>
          <w:trHeight w:val="289"/>
        </w:trPr>
        <w:tc>
          <w:tcPr>
            <w:tcW w:w="10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w w:val="80"/>
              </w:rPr>
              <w:t>/s/</w:t>
            </w:r>
          </w:p>
        </w:tc>
        <w:tc>
          <w:tcPr>
            <w:tcW w:w="2560" w:type="dxa"/>
            <w:vAlign w:val="bottom"/>
            <w:tcBorders>
              <w:bottom w:val="single" w:sz="8" w:color="auto"/>
            </w:tcBorders>
            <w:gridSpan w:val="3"/>
          </w:tcPr>
          <w:p>
            <w:pPr>
              <w:jc w:val="center"/>
              <w:ind w:right="976"/>
              <w:spacing w:after="0"/>
              <w:rPr>
                <w:sz w:val="20"/>
                <w:szCs w:val="20"/>
                <w:color w:val="auto"/>
              </w:rPr>
            </w:pPr>
            <w:r>
              <w:rPr>
                <w:rFonts w:ascii="Times New Roman" w:cs="Times New Roman" w:eastAsia="Times New Roman" w:hAnsi="Times New Roman"/>
                <w:sz w:val="13"/>
                <w:szCs w:val="13"/>
                <w:color w:val="auto"/>
                <w:w w:val="97"/>
              </w:rPr>
              <w:t>MARY T. MCDOWELL</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1156"/>
              <w:spacing w:after="0"/>
              <w:rPr>
                <w:sz w:val="20"/>
                <w:szCs w:val="20"/>
                <w:color w:val="auto"/>
              </w:rPr>
            </w:pPr>
            <w:r>
              <w:rPr>
                <w:rFonts w:ascii="Times New Roman" w:cs="Times New Roman" w:eastAsia="Times New Roman" w:hAnsi="Times New Roman"/>
                <w:sz w:val="13"/>
                <w:szCs w:val="13"/>
                <w:color w:val="auto"/>
                <w:w w:val="96"/>
              </w:rPr>
              <w:t>Mary T. McDowell</w:t>
            </w:r>
          </w:p>
        </w:tc>
      </w:tr>
      <w:tr>
        <w:trPr>
          <w:trHeight w:val="289"/>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2360" w:type="dxa"/>
            <w:vAlign w:val="bottom"/>
            <w:tcBorders>
              <w:bottom w:val="single" w:sz="8" w:color="auto"/>
            </w:tcBorders>
            <w:gridSpan w:val="2"/>
          </w:tcPr>
          <w:p>
            <w:pPr>
              <w:jc w:val="center"/>
              <w:ind w:right="1176"/>
              <w:spacing w:after="0"/>
              <w:rPr>
                <w:sz w:val="20"/>
                <w:szCs w:val="20"/>
                <w:color w:val="auto"/>
              </w:rPr>
            </w:pPr>
            <w:r>
              <w:rPr>
                <w:rFonts w:ascii="Times New Roman" w:cs="Times New Roman" w:eastAsia="Times New Roman" w:hAnsi="Times New Roman"/>
                <w:sz w:val="13"/>
                <w:szCs w:val="13"/>
                <w:color w:val="auto"/>
                <w:w w:val="96"/>
              </w:rPr>
              <w:t>BLAKE J. IRVING</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1356"/>
              <w:spacing w:after="0"/>
              <w:rPr>
                <w:sz w:val="20"/>
                <w:szCs w:val="20"/>
                <w:color w:val="auto"/>
              </w:rPr>
            </w:pPr>
            <w:r>
              <w:rPr>
                <w:rFonts w:ascii="Times New Roman" w:cs="Times New Roman" w:eastAsia="Times New Roman" w:hAnsi="Times New Roman"/>
                <w:sz w:val="13"/>
                <w:szCs w:val="13"/>
                <w:color w:val="auto"/>
                <w:w w:val="98"/>
              </w:rPr>
              <w:t>Blake J. Irving</w:t>
            </w:r>
          </w:p>
        </w:tc>
      </w:tr>
      <w:tr>
        <w:trPr>
          <w:trHeight w:val="289"/>
        </w:trPr>
        <w:tc>
          <w:tcPr>
            <w:tcW w:w="1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w w:val="97"/>
              </w:rPr>
              <w:t>/s/</w:t>
            </w:r>
          </w:p>
        </w:tc>
        <w:tc>
          <w:tcPr>
            <w:tcW w:w="2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color w:val="auto"/>
              </w:rPr>
              <w:t>STEPHEN D. MILLIGAN</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1216"/>
              <w:spacing w:after="0"/>
              <w:rPr>
                <w:sz w:val="20"/>
                <w:szCs w:val="20"/>
                <w:color w:val="auto"/>
              </w:rPr>
            </w:pPr>
            <w:r>
              <w:rPr>
                <w:rFonts w:ascii="Times New Roman" w:cs="Times New Roman" w:eastAsia="Times New Roman" w:hAnsi="Times New Roman"/>
                <w:sz w:val="13"/>
                <w:szCs w:val="13"/>
                <w:color w:val="auto"/>
                <w:w w:val="98"/>
              </w:rPr>
              <w:t>Stephen D. Milligan</w:t>
            </w:r>
          </w:p>
        </w:tc>
      </w:tr>
      <w:tr>
        <w:trPr>
          <w:trHeight w:val="289"/>
        </w:trPr>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color w:val="auto"/>
              </w:rPr>
              <w:t>/s/</w:t>
            </w:r>
          </w:p>
        </w:tc>
        <w:tc>
          <w:tcPr>
            <w:tcW w:w="2560" w:type="dxa"/>
            <w:vAlign w:val="bottom"/>
            <w:tcBorders>
              <w:bottom w:val="single" w:sz="8" w:color="auto"/>
            </w:tcBorders>
            <w:gridSpan w:val="3"/>
          </w:tcPr>
          <w:p>
            <w:pPr>
              <w:jc w:val="center"/>
              <w:ind w:right="976"/>
              <w:spacing w:after="0"/>
              <w:rPr>
                <w:sz w:val="20"/>
                <w:szCs w:val="20"/>
                <w:color w:val="auto"/>
              </w:rPr>
            </w:pPr>
            <w:r>
              <w:rPr>
                <w:rFonts w:ascii="Times New Roman" w:cs="Times New Roman" w:eastAsia="Times New Roman" w:hAnsi="Times New Roman"/>
                <w:sz w:val="13"/>
                <w:szCs w:val="13"/>
                <w:color w:val="auto"/>
                <w:w w:val="98"/>
              </w:rPr>
              <w:t>LORRIE M. NORRINGTON</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1176"/>
              <w:spacing w:after="0"/>
              <w:rPr>
                <w:sz w:val="20"/>
                <w:szCs w:val="20"/>
                <w:color w:val="auto"/>
              </w:rPr>
            </w:pPr>
            <w:r>
              <w:rPr>
                <w:rFonts w:ascii="Times New Roman" w:cs="Times New Roman" w:eastAsia="Times New Roman" w:hAnsi="Times New Roman"/>
                <w:sz w:val="13"/>
                <w:szCs w:val="13"/>
                <w:color w:val="auto"/>
                <w:w w:val="96"/>
              </w:rPr>
              <w:t>Lorrie M. Norrington</w:t>
            </w:r>
          </w:p>
        </w:tc>
      </w:tr>
      <w:tr>
        <w:trPr>
          <w:trHeight w:val="289"/>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7"/>
              </w:rPr>
              <w:t>/s/</w:t>
            </w:r>
          </w:p>
        </w:tc>
        <w:tc>
          <w:tcPr>
            <w:tcW w:w="2180" w:type="dxa"/>
            <w:vAlign w:val="bottom"/>
            <w:tcBorders>
              <w:bottom w:val="single" w:sz="8" w:color="auto"/>
            </w:tcBorders>
          </w:tcPr>
          <w:p>
            <w:pPr>
              <w:jc w:val="center"/>
              <w:ind w:right="1096"/>
              <w:spacing w:after="0"/>
              <w:rPr>
                <w:sz w:val="20"/>
                <w:szCs w:val="20"/>
                <w:color w:val="auto"/>
              </w:rPr>
            </w:pPr>
            <w:r>
              <w:rPr>
                <w:rFonts w:ascii="Times New Roman" w:cs="Times New Roman" w:eastAsia="Times New Roman" w:hAnsi="Times New Roman"/>
                <w:sz w:val="13"/>
                <w:szCs w:val="13"/>
                <w:color w:val="auto"/>
                <w:w w:val="96"/>
              </w:rPr>
              <w:t>RAMI RAHIM</w:t>
            </w:r>
          </w:p>
        </w:tc>
      </w:tr>
      <w:tr>
        <w:trPr>
          <w:trHeight w:val="190"/>
        </w:trPr>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1356"/>
              <w:spacing w:after="0"/>
              <w:rPr>
                <w:sz w:val="20"/>
                <w:szCs w:val="20"/>
                <w:color w:val="auto"/>
              </w:rPr>
            </w:pPr>
            <w:r>
              <w:rPr>
                <w:rFonts w:ascii="Times New Roman" w:cs="Times New Roman" w:eastAsia="Times New Roman" w:hAnsi="Times New Roman"/>
                <w:sz w:val="13"/>
                <w:szCs w:val="13"/>
                <w:color w:val="auto"/>
                <w:w w:val="96"/>
              </w:rPr>
              <w:t>Rami Rahim</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u w:val="single" w:color="auto"/>
          <w:color w:val="auto"/>
        </w:rPr>
        <w:t>Title</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President and Chief Executive Officer, Director</w:t>
      </w:r>
    </w:p>
    <w:p>
      <w:pPr>
        <w:spacing w:after="0" w:line="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Interim Chief Financial Officer, Director</w:t>
      </w:r>
    </w:p>
    <w:p>
      <w:pPr>
        <w:ind w:left="700"/>
        <w:spacing w:after="0"/>
        <w:rPr>
          <w:sz w:val="20"/>
          <w:szCs w:val="20"/>
          <w:color w:val="auto"/>
        </w:rPr>
      </w:pPr>
      <w:r>
        <w:rPr>
          <w:rFonts w:ascii="Times New Roman" w:cs="Times New Roman" w:eastAsia="Times New Roman" w:hAnsi="Times New Roman"/>
          <w:sz w:val="13"/>
          <w:szCs w:val="13"/>
          <w:color w:val="auto"/>
        </w:rPr>
        <w:t>(Principal Financial Officer)</w:t>
      </w:r>
    </w:p>
    <w:p>
      <w:pPr>
        <w:spacing w:after="0" w:line="200" w:lineRule="exact"/>
        <w:rPr>
          <w:sz w:val="20"/>
          <w:szCs w:val="20"/>
          <w:color w:val="auto"/>
        </w:rPr>
      </w:pPr>
    </w:p>
    <w:p>
      <w:pPr>
        <w:spacing w:after="0" w:line="220"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2"/>
          <w:szCs w:val="12"/>
          <w:color w:val="auto"/>
        </w:rPr>
        <w:t>Senior Vice President and Chief Accounting Officer</w:t>
      </w:r>
    </w:p>
    <w:p>
      <w:pPr>
        <w:spacing w:after="0" w:line="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(Principal Accounting Officer)</w:t>
      </w:r>
    </w:p>
    <w:p>
      <w:pPr>
        <w:spacing w:after="0" w:line="306"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3"/>
          <w:szCs w:val="13"/>
          <w:color w:val="auto"/>
        </w:rPr>
        <w:t>Director</w:t>
      </w:r>
    </w:p>
    <w:p>
      <w:pPr>
        <w:jc w:val="center"/>
        <w:ind w:right="2340"/>
        <w:spacing w:after="0"/>
        <w:rPr>
          <w:sz w:val="20"/>
          <w:szCs w:val="20"/>
          <w:color w:val="auto"/>
        </w:rPr>
      </w:pPr>
      <w:r>
        <w:rPr>
          <w:rFonts w:ascii="Times New Roman" w:cs="Times New Roman" w:eastAsia="Times New Roman" w:hAnsi="Times New Roman"/>
          <w:sz w:val="13"/>
          <w:szCs w:val="13"/>
          <w:color w:val="auto"/>
        </w:rPr>
        <w:t>(Non-executive Chairman of the Board)</w:t>
      </w:r>
    </w:p>
    <w:p>
      <w:pPr>
        <w:spacing w:after="0" w:line="3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3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Director</w:t>
      </w:r>
    </w:p>
    <w:p>
      <w:pPr>
        <w:spacing w:after="0" w:line="449" w:lineRule="exact"/>
        <w:rPr>
          <w:sz w:val="20"/>
          <w:szCs w:val="20"/>
          <w:color w:val="auto"/>
        </w:rPr>
      </w:pPr>
    </w:p>
    <w:p>
      <w:pPr>
        <w:sectPr>
          <w:pgSz w:w="11900" w:h="16838" w:orient="portrait"/>
          <w:cols w:equalWidth="0" w:num="2">
            <w:col w:w="5600" w:space="500"/>
            <w:col w:w="5160"/>
          </w:cols>
          <w:pgMar w:left="30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1260"/>
          </w:cols>
          <w:pgMar w:left="300" w:top="125" w:right="3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AUTODESK,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2022 EQUITY INCENTIVE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AND CONDITIONS OF RESTRICTED STOCK UNITS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(Settled in Shares)</w:t>
      </w:r>
    </w:p>
    <w:p>
      <w:pPr>
        <w:spacing w:after="0" w:line="229" w:lineRule="exact"/>
        <w:rPr>
          <w:sz w:val="20"/>
          <w:szCs w:val="20"/>
          <w:color w:val="auto"/>
        </w:rPr>
      </w:pPr>
    </w:p>
    <w:p>
      <w:pPr>
        <w:jc w:val="both"/>
        <w:ind w:firstLine="514"/>
        <w:spacing w:after="0" w:line="292" w:lineRule="auto"/>
        <w:tabs>
          <w:tab w:leader="none" w:pos="667"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The Company hereby grants to the Employee (“Participant”) named in the Notice of Grant of Restricted Stock Units (the “Notice of Grant”) under the Autodesk, Inc. 2022 Equity Incentive Plan (the “Plan”) the number of Restricted Stock Units indicated on the Notice of Grant, subject to all of the terms and conditions in this Agreement (as defined</w:t>
      </w: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in the Notice of Grant and Plan)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and shall be subject to the appropriate tax withholdings. Unless otherwise defined herein, capitalized terms used herein shall have the meanings ascribed to them in the Plan.</w:t>
      </w:r>
    </w:p>
    <w:p>
      <w:pPr>
        <w:spacing w:after="0" w:line="148" w:lineRule="exact"/>
        <w:rPr>
          <w:rFonts w:ascii="Arial" w:cs="Arial" w:eastAsia="Arial" w:hAnsi="Arial"/>
          <w:sz w:val="14"/>
          <w:szCs w:val="14"/>
          <w:color w:val="auto"/>
        </w:rPr>
      </w:pPr>
    </w:p>
    <w:p>
      <w:pPr>
        <w:ind w:left="680" w:hanging="166"/>
        <w:spacing w:after="0"/>
        <w:tabs>
          <w:tab w:leader="none" w:pos="68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Company’s Obligation to Settle</w:t>
      </w:r>
      <w:r>
        <w:rPr>
          <w:rFonts w:ascii="Arial" w:cs="Arial" w:eastAsia="Arial" w:hAnsi="Arial"/>
          <w:sz w:val="14"/>
          <w:szCs w:val="14"/>
          <w:color w:val="auto"/>
        </w:rPr>
        <w:t>. Unless and until the Restricted Stock Units shall have vested in the manner set forth in Sections 3 or 4 of this Agreement or Section 15 of</w:t>
      </w:r>
    </w:p>
    <w:p>
      <w:pPr>
        <w:spacing w:after="0" w:line="40" w:lineRule="exact"/>
        <w:rPr>
          <w:rFonts w:ascii="Arial" w:cs="Arial" w:eastAsia="Arial" w:hAnsi="Arial"/>
          <w:sz w:val="14"/>
          <w:szCs w:val="14"/>
          <w:color w:val="auto"/>
        </w:rPr>
      </w:pPr>
    </w:p>
    <w:p>
      <w:pPr>
        <w:spacing w:after="0" w:line="321" w:lineRule="auto"/>
        <w:rPr>
          <w:rFonts w:ascii="Arial" w:cs="Arial" w:eastAsia="Arial" w:hAnsi="Arial"/>
          <w:sz w:val="14"/>
          <w:szCs w:val="14"/>
          <w:color w:val="auto"/>
        </w:rPr>
      </w:pPr>
      <w:r>
        <w:rPr>
          <w:rFonts w:ascii="Arial" w:cs="Arial" w:eastAsia="Arial" w:hAnsi="Arial"/>
          <w:sz w:val="14"/>
          <w:szCs w:val="14"/>
          <w:color w:val="auto"/>
        </w:rPr>
        <w:t>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w:t>
      </w:r>
    </w:p>
    <w:p>
      <w:pPr>
        <w:spacing w:after="0" w:line="152" w:lineRule="exact"/>
        <w:rPr>
          <w:rFonts w:ascii="Arial" w:cs="Arial" w:eastAsia="Arial" w:hAnsi="Arial"/>
          <w:sz w:val="14"/>
          <w:szCs w:val="14"/>
          <w:color w:val="auto"/>
        </w:rPr>
      </w:pPr>
    </w:p>
    <w:p>
      <w:pPr>
        <w:jc w:val="both"/>
        <w:ind w:firstLine="514"/>
        <w:spacing w:after="0" w:line="307" w:lineRule="auto"/>
        <w:tabs>
          <w:tab w:leader="none" w:pos="667"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Except as provided in Section 4 of this Agreement and Section 15 of the Plan, and subject to Section 5 of this Agreement, the Restricted Stock Units awarded by this Agreement shall vest in accordance with the vesting provisions set forth in the Notice of Grant. Restricted Stock Units scheduled to vest on a certain date or upon the occurrence of a certain condition shall vest in accordance with the provisions of this Agreement only if Participant is an Employee from the Date of Grant until the date such vesting occurs.</w:t>
      </w:r>
    </w:p>
    <w:p>
      <w:pPr>
        <w:spacing w:after="0" w:line="152" w:lineRule="exact"/>
        <w:rPr>
          <w:rFonts w:ascii="Arial" w:cs="Arial" w:eastAsia="Arial" w:hAnsi="Arial"/>
          <w:sz w:val="14"/>
          <w:szCs w:val="14"/>
          <w:color w:val="auto"/>
        </w:rPr>
      </w:pPr>
    </w:p>
    <w:p>
      <w:pPr>
        <w:ind w:left="700" w:hanging="186"/>
        <w:spacing w:after="0"/>
        <w:tabs>
          <w:tab w:leader="none" w:pos="70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Administrator Discretion</w:t>
      </w:r>
      <w:r>
        <w:rPr>
          <w:rFonts w:ascii="Arial" w:cs="Arial" w:eastAsia="Arial" w:hAnsi="Arial"/>
          <w:sz w:val="14"/>
          <w:szCs w:val="14"/>
          <w:color w:val="auto"/>
        </w:rPr>
        <w:t>. Except to the extent doing so would result in the imposition of additional taxes under Section 409A of the Code, the Administrator, in its</w:t>
      </w:r>
    </w:p>
    <w:p>
      <w:pPr>
        <w:spacing w:after="0" w:line="40" w:lineRule="exact"/>
        <w:rPr>
          <w:rFonts w:ascii="Arial" w:cs="Arial" w:eastAsia="Arial" w:hAnsi="Arial"/>
          <w:sz w:val="14"/>
          <w:szCs w:val="14"/>
          <w:color w:val="auto"/>
        </w:rPr>
      </w:pP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Administrator. Notwithstanding anything in the Plan or this Agreement to the contrary, if the vesting of any portion of the balance of the Restricted Stock Units is accelerated in connection with Participant’s “separation from service” within the meaning of Section 409A of the Code (as determined by the Company), other than due to death, and if (x)</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Participant is a “specified employee” within the meaning of Section 409A of the Code at the time of such termination and (y) the settlement of such accelerated Restricted Stock Units shall result in the imposition of additional tax under Section 409A of the Code if issued to Participant on or within the six (6) month period following Participant’s termination as</w:t>
      </w:r>
    </w:p>
    <w:p>
      <w:pPr>
        <w:spacing w:after="0" w:line="321" w:lineRule="auto"/>
        <w:rPr>
          <w:rFonts w:ascii="Arial" w:cs="Arial" w:eastAsia="Arial" w:hAnsi="Arial"/>
          <w:sz w:val="14"/>
          <w:szCs w:val="14"/>
          <w:color w:val="auto"/>
        </w:rPr>
      </w:pPr>
      <w:r>
        <w:rPr>
          <w:rFonts w:ascii="Arial" w:cs="Arial" w:eastAsia="Arial" w:hAnsi="Arial"/>
          <w:sz w:val="14"/>
          <w:szCs w:val="14"/>
          <w:color w:val="auto"/>
        </w:rPr>
        <w:t>an Employee, then the settlement of such accelerated Restricted Stock Units shall not be made until the earlier of (A) six (6) months and one (1) day following the date of Participant’s termination as an</w:t>
      </w:r>
    </w:p>
    <w:p>
      <w:pPr>
        <w:sectPr>
          <w:pgSz w:w="11900" w:h="16838" w:orient="portrait"/>
          <w:cols w:equalWidth="0" w:num="1">
            <w:col w:w="11280"/>
          </w:cols>
          <w:pgMar w:left="300" w:top="1154" w:right="319" w:bottom="1440" w:gutter="0" w:footer="0" w:header="0"/>
        </w:sectPr>
      </w:pPr>
    </w:p>
    <w:bookmarkStart w:id="166" w:name="page167"/>
    <w:bookmarkEnd w:id="166"/>
    <w:p>
      <w:pPr>
        <w:jc w:val="both"/>
        <w:spacing w:after="0" w:line="311" w:lineRule="auto"/>
        <w:rPr>
          <w:sz w:val="20"/>
          <w:szCs w:val="20"/>
          <w:color w:val="auto"/>
        </w:rPr>
      </w:pPr>
      <w:r>
        <w:rPr>
          <w:rFonts w:ascii="Arial" w:cs="Arial" w:eastAsia="Arial" w:hAnsi="Arial"/>
          <w:sz w:val="14"/>
          <w:szCs w:val="14"/>
          <w:color w:val="auto"/>
        </w:rPr>
        <w:t>Employee or (B) Participant’s death. It is the intent of this Agreement to comply with or be exempt from the requirements of Section 409A of the Code so that none of the Restricted Stock Units provided under this Agreement or Shares issuable thereunder shall be subject to the additional tax imposed under Section 409A of the Code, and any ambiguities herein shall be interpreted to so comply.</w:t>
      </w:r>
    </w:p>
    <w:p>
      <w:pPr>
        <w:spacing w:after="0" w:line="159" w:lineRule="exact"/>
        <w:rPr>
          <w:sz w:val="20"/>
          <w:szCs w:val="20"/>
          <w:color w:val="auto"/>
        </w:rPr>
      </w:pPr>
    </w:p>
    <w:p>
      <w:pPr>
        <w:ind w:left="680" w:hanging="166"/>
        <w:spacing w:after="0"/>
        <w:tabs>
          <w:tab w:leader="none" w:pos="680"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Forfeiture upon Termination of Status as an Employee</w:t>
      </w:r>
      <w:r>
        <w:rPr>
          <w:rFonts w:ascii="Arial" w:cs="Arial" w:eastAsia="Arial" w:hAnsi="Arial"/>
          <w:sz w:val="14"/>
          <w:szCs w:val="14"/>
          <w:color w:val="auto"/>
        </w:rPr>
        <w:t>.</w:t>
      </w:r>
    </w:p>
    <w:p>
      <w:pPr>
        <w:spacing w:after="0" w:line="220" w:lineRule="exact"/>
        <w:rPr>
          <w:rFonts w:ascii="Arial" w:cs="Arial" w:eastAsia="Arial" w:hAnsi="Arial"/>
          <w:sz w:val="14"/>
          <w:szCs w:val="14"/>
          <w:color w:val="auto"/>
        </w:rPr>
      </w:pPr>
    </w:p>
    <w:p>
      <w:pPr>
        <w:ind w:left="1240" w:hanging="217"/>
        <w:spacing w:after="0"/>
        <w:tabs>
          <w:tab w:leader="none" w:pos="124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Subject to Section 5(b), Section 5(c) and Section 7, the balance of the Restricted Stock Units that have not vested as of the time of Participant’s termination as</w:t>
      </w:r>
    </w:p>
    <w:p>
      <w:pPr>
        <w:spacing w:after="0" w:line="40" w:lineRule="exact"/>
        <w:rPr>
          <w:rFonts w:ascii="Arial" w:cs="Arial" w:eastAsia="Arial" w:hAnsi="Arial"/>
          <w:sz w:val="14"/>
          <w:szCs w:val="14"/>
          <w:color w:val="auto"/>
        </w:rPr>
      </w:pPr>
    </w:p>
    <w:p>
      <w:pPr>
        <w:spacing w:after="0" w:line="321" w:lineRule="auto"/>
        <w:rPr>
          <w:rFonts w:ascii="Arial" w:cs="Arial" w:eastAsia="Arial" w:hAnsi="Arial"/>
          <w:sz w:val="14"/>
          <w:szCs w:val="14"/>
          <w:color w:val="auto"/>
        </w:rPr>
      </w:pPr>
      <w:r>
        <w:rPr>
          <w:rFonts w:ascii="Arial" w:cs="Arial" w:eastAsia="Arial" w:hAnsi="Arial"/>
          <w:sz w:val="14"/>
          <w:szCs w:val="14"/>
          <w:color w:val="auto"/>
        </w:rPr>
        <w:t>an Employee for any or no reason shall be forfeited and automatically transferred to and reacquired by the Company at no cost to the Company, and Participant’s right to acquire any Shares hereunder shall immediately terminate.</w:t>
      </w:r>
    </w:p>
    <w:p>
      <w:pPr>
        <w:spacing w:after="0" w:line="152" w:lineRule="exact"/>
        <w:rPr>
          <w:rFonts w:ascii="Arial" w:cs="Arial" w:eastAsia="Arial" w:hAnsi="Arial"/>
          <w:sz w:val="14"/>
          <w:szCs w:val="14"/>
          <w:color w:val="auto"/>
        </w:rPr>
      </w:pPr>
    </w:p>
    <w:p>
      <w:pPr>
        <w:jc w:val="both"/>
        <w:ind w:firstLine="1023"/>
        <w:spacing w:after="0" w:line="292" w:lineRule="auto"/>
        <w:tabs>
          <w:tab w:leader="none" w:pos="1231" w:val="left"/>
        </w:tabs>
        <w:numPr>
          <w:ilvl w:val="1"/>
          <w:numId w:val="106"/>
        </w:numPr>
        <w:rPr>
          <w:rFonts w:ascii="Arial" w:cs="Arial" w:eastAsia="Arial" w:hAnsi="Arial"/>
          <w:sz w:val="14"/>
          <w:szCs w:val="14"/>
          <w:color w:val="auto"/>
        </w:rPr>
      </w:pPr>
      <w:r>
        <w:rPr>
          <w:rFonts w:ascii="Arial" w:cs="Arial" w:eastAsia="Arial" w:hAnsi="Arial"/>
          <w:sz w:val="14"/>
          <w:szCs w:val="14"/>
          <w:color w:val="auto"/>
        </w:rPr>
        <w:t>Notwithstanding Section 5(a) or anything herein to the contrary, if Participant is eligible to participate in the Company’s Executive Change in Control Program on his or her Termination Date (defined below), then upon a termination by the Company without Cause (defined below) or Participant’s resignation for Good Reason (defined below)</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within sixty (60) days prior to or twelve (12) months following a Change of Control (defined below), any then-unvested Restricted Stock Units with vesting schedules subject only to Participant’s continuous service as an Employee (“Time-Based RSUs”) shall vest in full, and any then-unvested Restricted Stock Units which are not Time-Based RSUs</w:t>
      </w: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(“Performance-Based RSUs”) shall vest at the “target” level set forth in the Notice of Grant, subject to all of the terms and conditions of the Company’s Executive Change in Control Program. For purposes of this Section 5(b), “Cause”, “Change of Control”, “Good Reason” and “Termination Date” shall have the meanings set forth in the version of the Company’s Executive Change in Control Program, as in effect on the Termination Date.</w:t>
      </w:r>
    </w:p>
    <w:p>
      <w:pPr>
        <w:spacing w:after="0" w:line="148" w:lineRule="exact"/>
        <w:rPr>
          <w:rFonts w:ascii="Arial" w:cs="Arial" w:eastAsia="Arial" w:hAnsi="Arial"/>
          <w:sz w:val="14"/>
          <w:szCs w:val="14"/>
          <w:color w:val="auto"/>
        </w:rPr>
      </w:pPr>
    </w:p>
    <w:p>
      <w:pPr>
        <w:jc w:val="both"/>
        <w:ind w:firstLine="1023"/>
        <w:spacing w:after="0" w:line="300" w:lineRule="auto"/>
        <w:tabs>
          <w:tab w:leader="none" w:pos="1248" w:val="left"/>
        </w:tabs>
        <w:numPr>
          <w:ilvl w:val="1"/>
          <w:numId w:val="106"/>
        </w:numPr>
        <w:rPr>
          <w:rFonts w:ascii="Arial" w:cs="Arial" w:eastAsia="Arial" w:hAnsi="Arial"/>
          <w:sz w:val="14"/>
          <w:szCs w:val="14"/>
          <w:color w:val="auto"/>
        </w:rPr>
      </w:pPr>
      <w:r>
        <w:rPr>
          <w:rFonts w:ascii="Arial" w:cs="Arial" w:eastAsia="Arial" w:hAnsi="Arial"/>
          <w:sz w:val="14"/>
          <w:szCs w:val="14"/>
          <w:color w:val="auto"/>
        </w:rPr>
        <w:t>Notwithstanding Section 5(a) or anything herein to the contrary, if Participant is an Eligible Employee (defined below) who is eligible to participate in the Company’s Amended and Restated Severance Plan on his or her date of Involuntary Termination (defined below) or Qualified Retirement (defined below), then upon such</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Involuntary Termination or Qualified Retirement, as applicable: (1) Participant’s Time-Based RSUs will accelerate and become vested with respect to that number of shares subject thereto for which such Restricted Stock Units would have become vested had Participant remained continuously employed by the Company for an additional twelve (12) months</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following his or her Involuntary Termination or Qualified Retirement, as applicable (and shall be deemed to have a monthly vesting schedule from their original date of grant for purposes of determining the number of restricted stock units that accelerate and become vested); and (2) Participant’s Performance-Based RSUs shall become vested as if</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Participant had remained continuously employed by the Company through the end of the twelve (12) month performance period in which the Involuntary Termination or Qualified Retirement occurs, as applicable, based on the extent, if any, that the underlying performance criteria set forth in the Notice of Grant with respect to such awards are satisfied for</w:t>
      </w: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such performance period, and in each case of the foregoing clauses (1) and (2), subject to all the terms and conditions of the Company’s Amended and Restated Severance Plan. For purposes of this Section 5(c), “Eligible Employee”, “Involuntary Termination” and “Qualified Retirement” shall have the meanings set forth in the version of the Company’s Amended and Restated Severance Plan, as in effect as of the time of Participant’s termination as an Employee.</w:t>
      </w:r>
    </w:p>
    <w:p>
      <w:pPr>
        <w:spacing w:after="0" w:line="148" w:lineRule="exact"/>
        <w:rPr>
          <w:rFonts w:ascii="Arial" w:cs="Arial" w:eastAsia="Arial" w:hAnsi="Arial"/>
          <w:sz w:val="14"/>
          <w:szCs w:val="14"/>
          <w:color w:val="auto"/>
        </w:rPr>
      </w:pPr>
    </w:p>
    <w:p>
      <w:pPr>
        <w:ind w:firstLine="514"/>
        <w:spacing w:after="0" w:line="321" w:lineRule="auto"/>
        <w:tabs>
          <w:tab w:leader="none" w:pos="667"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Distribution after Vesting</w:t>
      </w:r>
      <w:r>
        <w:rPr>
          <w:rFonts w:ascii="Arial" w:cs="Arial" w:eastAsia="Arial" w:hAnsi="Arial"/>
          <w:sz w:val="14"/>
          <w:szCs w:val="14"/>
          <w:color w:val="auto"/>
        </w:rPr>
        <w:t>. Unless otherwise specified in the country-specific provisions in Exhibit B, any Restricted Stock Units that vest in accordance with the terms of this Agreement and the</w:t>
      </w:r>
    </w:p>
    <w:p>
      <w:pPr>
        <w:sectPr>
          <w:pgSz w:w="11900" w:h="16838" w:orient="portrait"/>
          <w:cols w:equalWidth="0" w:num="1">
            <w:col w:w="11280"/>
          </w:cols>
          <w:pgMar w:left="300" w:top="1154" w:right="319" w:bottom="1440" w:gutter="0" w:footer="0" w:header="0"/>
        </w:sectPr>
      </w:pPr>
    </w:p>
    <w:bookmarkStart w:id="167" w:name="page168"/>
    <w:bookmarkEnd w:id="167"/>
    <w:p>
      <w:pPr>
        <w:jc w:val="both"/>
        <w:spacing w:after="0" w:line="261" w:lineRule="auto"/>
        <w:rPr>
          <w:sz w:val="20"/>
          <w:szCs w:val="20"/>
          <w:color w:val="auto"/>
        </w:rPr>
      </w:pPr>
      <w:r>
        <w:rPr>
          <w:rFonts w:ascii="Arial" w:cs="Arial" w:eastAsia="Arial" w:hAnsi="Arial"/>
          <w:sz w:val="14"/>
          <w:szCs w:val="14"/>
          <w:color w:val="auto"/>
        </w:rPr>
        <w:t>Plan will be distributed to Participant (or in the event of Participant’s death, to his or her estate) in whole Shares as soon as administratively practicable after vesting, subject to Section 8 and the other provisions of this Agreement, but, subject to Applicable Law, in no event later than the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the third month following the end of (i) the Company’s fiscal year in which the Restricted Stock Units vest or (ii) the calendar year in which the Restricted Stock Units vest, whichever is later. Any Restricted Stock Units that vest in accordance with Section 4 will be settled at the time(s) provided in Section 4, subject to Section 8 and the other provisions of this Agreement.</w:t>
      </w:r>
    </w:p>
    <w:p>
      <w:pPr>
        <w:spacing w:after="0" w:line="173" w:lineRule="exact"/>
        <w:rPr>
          <w:sz w:val="20"/>
          <w:szCs w:val="20"/>
          <w:color w:val="auto"/>
        </w:rPr>
      </w:pPr>
    </w:p>
    <w:p>
      <w:pPr>
        <w:ind w:left="680" w:hanging="166"/>
        <w:spacing w:after="0"/>
        <w:tabs>
          <w:tab w:leader="none" w:pos="680"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Disability or Death of Participant</w:t>
      </w:r>
      <w:r>
        <w:rPr>
          <w:rFonts w:ascii="Arial" w:cs="Arial" w:eastAsia="Arial" w:hAnsi="Arial"/>
          <w:sz w:val="14"/>
          <w:szCs w:val="14"/>
          <w:color w:val="auto"/>
        </w:rPr>
        <w:t>.</w:t>
      </w:r>
    </w:p>
    <w:p>
      <w:pPr>
        <w:spacing w:after="0" w:line="221" w:lineRule="exact"/>
        <w:rPr>
          <w:sz w:val="20"/>
          <w:szCs w:val="20"/>
          <w:color w:val="auto"/>
        </w:rPr>
      </w:pPr>
    </w:p>
    <w:p>
      <w:pPr>
        <w:ind w:firstLine="514"/>
        <w:spacing w:after="0" w:line="306" w:lineRule="auto"/>
        <w:tabs>
          <w:tab w:leader="none" w:pos="72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Subject to Section 7(c), if Participant ceases to be an Employee by reason of his or her Disability during the term of this Award, all unvested Time-Based RSUs shall vest in full as of the date of such cessation of employment due to such Disability.</w:t>
      </w:r>
    </w:p>
    <w:p>
      <w:pPr>
        <w:spacing w:after="0" w:line="141" w:lineRule="exact"/>
        <w:rPr>
          <w:rFonts w:ascii="Arial" w:cs="Arial" w:eastAsia="Arial" w:hAnsi="Arial"/>
          <w:sz w:val="14"/>
          <w:szCs w:val="14"/>
          <w:color w:val="auto"/>
        </w:rPr>
      </w:pPr>
    </w:p>
    <w:p>
      <w:pPr>
        <w:jc w:val="both"/>
        <w:ind w:firstLine="514"/>
        <w:spacing w:after="0" w:line="286" w:lineRule="auto"/>
        <w:tabs>
          <w:tab w:leader="none" w:pos="72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54" w:lineRule="exact"/>
        <w:rPr>
          <w:rFonts w:ascii="Arial" w:cs="Arial" w:eastAsia="Arial" w:hAnsi="Arial"/>
          <w:sz w:val="14"/>
          <w:szCs w:val="14"/>
          <w:color w:val="auto"/>
        </w:rPr>
      </w:pPr>
    </w:p>
    <w:p>
      <w:pPr>
        <w:ind w:firstLine="514"/>
        <w:spacing w:after="0" w:line="306" w:lineRule="auto"/>
        <w:tabs>
          <w:tab w:leader="none" w:pos="724"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Notwithstanding anything in Sections 7(a) or 7(b), if Participant ceases to be an Employee by reason of his or her Disability or death during the term of this Award, unvested Performance-Based RSUs, shall vest at the “target” level set forth in the Notice of Grant on the date of cessation as an Employee due to such Disability or death.</w:t>
      </w:r>
    </w:p>
    <w:p>
      <w:pPr>
        <w:spacing w:after="0" w:line="152" w:lineRule="exact"/>
        <w:rPr>
          <w:sz w:val="20"/>
          <w:szCs w:val="20"/>
          <w:color w:val="auto"/>
        </w:rPr>
      </w:pPr>
    </w:p>
    <w:p>
      <w:pPr>
        <w:jc w:val="both"/>
        <w:ind w:firstLine="514"/>
        <w:spacing w:after="0" w:line="277" w:lineRule="auto"/>
        <w:tabs>
          <w:tab w:leader="none" w:pos="688"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or deemed applicable to Participant (“Tax-Related Items”), is and remains Participant’s responsibility and may exceed the amount, if any,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this regard, Participant authorizes the Company and/or the Employer, or their respective agents, at their discretion, to satisfy any obligations with regard to withholding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Tax-Related Items by one or a combination of the following:</w:t>
      </w:r>
    </w:p>
    <w:p>
      <w:pPr>
        <w:sectPr>
          <w:pgSz w:w="11900" w:h="16838" w:orient="portrait"/>
          <w:cols w:equalWidth="0" w:num="1">
            <w:col w:w="11280"/>
          </w:cols>
          <w:pgMar w:left="300" w:top="1154" w:right="319" w:bottom="1440" w:gutter="0" w:footer="0" w:header="0"/>
        </w:sectPr>
      </w:pPr>
    </w:p>
    <w:bookmarkStart w:id="168" w:name="page169"/>
    <w:bookmarkEnd w:id="168"/>
    <w:p>
      <w:pPr>
        <w:ind w:firstLine="514"/>
        <w:spacing w:after="0" w:line="306" w:lineRule="auto"/>
        <w:tabs>
          <w:tab w:leader="none" w:pos="87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withholding from Participant’s wages or other cash compensation paid to Participant by the Company and/or the Employer, including withholding from cash from Participant’s brokerage account designated by the Company; or</w:t>
      </w:r>
    </w:p>
    <w:p>
      <w:pPr>
        <w:spacing w:after="0" w:line="151" w:lineRule="exact"/>
        <w:rPr>
          <w:rFonts w:ascii="Arial" w:cs="Arial" w:eastAsia="Arial" w:hAnsi="Arial"/>
          <w:sz w:val="14"/>
          <w:szCs w:val="14"/>
          <w:color w:val="auto"/>
        </w:rPr>
      </w:pPr>
    </w:p>
    <w:p>
      <w:pPr>
        <w:ind w:firstLine="514"/>
        <w:spacing w:after="0" w:line="306" w:lineRule="auto"/>
        <w:tabs>
          <w:tab w:leader="none" w:pos="83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withholding from proceeds of the sale of Shares acquired upon vesting/settlement of the Restricted Stock Units either through a voluntary sale or through a mandatory sale arranged by the Company (on Participant’s behalf pursuant to this authorization); or</w:t>
      </w:r>
    </w:p>
    <w:p>
      <w:pPr>
        <w:spacing w:after="0" w:line="141" w:lineRule="exact"/>
        <w:rPr>
          <w:rFonts w:ascii="Arial" w:cs="Arial" w:eastAsia="Arial" w:hAnsi="Arial"/>
          <w:sz w:val="14"/>
          <w:szCs w:val="14"/>
          <w:color w:val="auto"/>
        </w:rPr>
      </w:pPr>
    </w:p>
    <w:p>
      <w:pPr>
        <w:ind w:left="860" w:hanging="346"/>
        <w:spacing w:after="0"/>
        <w:tabs>
          <w:tab w:leader="none" w:pos="8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withholding in Shares to be issued upon settlement of the Restricted Stock Units.</w:t>
      </w:r>
    </w:p>
    <w:p>
      <w:pPr>
        <w:spacing w:after="0" w:line="2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4"/>
          <w:szCs w:val="14"/>
          <w:color w:val="auto"/>
        </w:rPr>
        <w:t>The Company may withhold or account for Tax-Related Items by using rates up to, but not exceeding, the maximum tax rates in Participant’s jurisdiction(s) on the date the amount of Tax-Related Items to be withheld is to be determined. In the event of over-withholding, Participant may receive a refund of any over-withheld amount in cash (with no entitlement to the equivalent in Common Stock), or if not refunded, Participant may seek a refund from the local tax authorities. In the event of under-withholding, Participant may be required to pay any additional Tax-Related Items directly to the applicable tax authority or to the Company and/or the Employer.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7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4"/>
          <w:szCs w:val="14"/>
          <w:color w:val="auto"/>
        </w:rPr>
        <w:t>Notwithstanding (i) through (iii) above, if Participant is subject to Section 16 of the Exchange Act, any obligation to withhold Tax-Related Items will be satisfied under (iii), unless otherwise determined by the Board or Compensation Committee.</w:t>
      </w:r>
    </w:p>
    <w:p>
      <w:pPr>
        <w:spacing w:after="0" w:line="141" w:lineRule="exact"/>
        <w:rPr>
          <w:sz w:val="20"/>
          <w:szCs w:val="20"/>
          <w:color w:val="auto"/>
        </w:rPr>
      </w:pPr>
    </w:p>
    <w:p>
      <w:pPr>
        <w:jc w:val="both"/>
        <w:ind w:firstLine="509"/>
        <w:spacing w:after="0" w:line="295" w:lineRule="auto"/>
        <w:rPr>
          <w:sz w:val="20"/>
          <w:szCs w:val="20"/>
          <w:color w:val="auto"/>
        </w:rPr>
      </w:pPr>
      <w:r>
        <w:rPr>
          <w:rFonts w:ascii="Arial" w:cs="Arial" w:eastAsia="Arial" w:hAnsi="Arial"/>
          <w:sz w:val="14"/>
          <w:szCs w:val="14"/>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9" w:lineRule="exact"/>
        <w:rPr>
          <w:sz w:val="20"/>
          <w:szCs w:val="20"/>
          <w:color w:val="auto"/>
        </w:rPr>
      </w:pPr>
    </w:p>
    <w:p>
      <w:pPr>
        <w:ind w:left="680" w:hanging="166"/>
        <w:spacing w:after="0"/>
        <w:tabs>
          <w:tab w:leader="none" w:pos="68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Rights as Stockholder; Dividend Equivalents</w:t>
      </w:r>
      <w:r>
        <w:rPr>
          <w:rFonts w:ascii="Arial" w:cs="Arial" w:eastAsia="Arial" w:hAnsi="Arial"/>
          <w:sz w:val="14"/>
          <w:szCs w:val="14"/>
          <w:color w:val="auto"/>
        </w:rPr>
        <w:t>. Subject to Applicable Law, neither Participant nor any person claiming under or through Participant shall have any of the</w:t>
      </w:r>
    </w:p>
    <w:p>
      <w:pPr>
        <w:spacing w:after="0" w:line="40" w:lineRule="exact"/>
        <w:rPr>
          <w:rFonts w:ascii="Arial" w:cs="Arial" w:eastAsia="Arial" w:hAnsi="Arial"/>
          <w:sz w:val="14"/>
          <w:szCs w:val="14"/>
          <w:color w:val="auto"/>
        </w:rPr>
      </w:pP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w:t>
      </w: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delivery, Participant shall have all the rights of a stockholder of the Company with respect to voting such Shares and receipt of dividends and distributions on such Shares, subject to Applicable Law. Notwithstanding the foregoing, the Administrator may grant to the Participant dividend equivalents on the underlying Shares which shall accrue and only be paid to the extent this Award of Restricted Stock Units becomes vested.</w:t>
      </w:r>
    </w:p>
    <w:p>
      <w:pPr>
        <w:spacing w:after="0" w:line="148" w:lineRule="exact"/>
        <w:rPr>
          <w:rFonts w:ascii="Arial" w:cs="Arial" w:eastAsia="Arial" w:hAnsi="Arial"/>
          <w:sz w:val="14"/>
          <w:szCs w:val="14"/>
          <w:color w:val="auto"/>
        </w:rPr>
      </w:pPr>
    </w:p>
    <w:p>
      <w:pPr>
        <w:jc w:val="both"/>
        <w:ind w:firstLine="514"/>
        <w:spacing w:after="0" w:line="300" w:lineRule="auto"/>
        <w:tabs>
          <w:tab w:leader="none" w:pos="745"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Employment</w:t>
      </w:r>
      <w:r>
        <w:rPr>
          <w:rFonts w:ascii="Arial" w:cs="Arial" w:eastAsia="Arial" w:hAnsi="Arial"/>
          <w:sz w:val="14"/>
          <w:szCs w:val="14"/>
          <w:color w:val="auto"/>
        </w:rPr>
        <w:t>. PARTICIPANT ACKNOWLEDGES AND AGREES THAT THE VESTING OF THE RESTRICTED STOCK UNITS PURSUANT TO THE VESTING SCHEDULE HEREOF IS EARNED ONLY BY CONTINUING AS AN EMPLOYEE AT THE WILL OF THE COMPANY (OR THE EMPLOYER) AND NOT</w:t>
      </w:r>
    </w:p>
    <w:p>
      <w:pPr>
        <w:spacing w:after="0" w:line="321" w:lineRule="auto"/>
        <w:rPr>
          <w:rFonts w:ascii="Arial" w:cs="Arial" w:eastAsia="Arial" w:hAnsi="Arial"/>
          <w:sz w:val="14"/>
          <w:szCs w:val="14"/>
          <w:color w:val="auto"/>
        </w:rPr>
      </w:pPr>
      <w:r>
        <w:rPr>
          <w:rFonts w:ascii="Arial" w:cs="Arial" w:eastAsia="Arial" w:hAnsi="Arial"/>
          <w:sz w:val="14"/>
          <w:szCs w:val="14"/>
          <w:color w:val="auto"/>
        </w:rPr>
        <w:t>THROUGH THE ACT OF BEING HIRED, BEING GRANTED THIS AWARD OF RESTRICTED STOCK UNITS OR, AS APPLICABLE, ACQUIRING SHARES HEREUNDER. PARTICIPANT FURTHER ACKNOWLEDGES AND AGREES THAT THIS</w:t>
      </w:r>
    </w:p>
    <w:p>
      <w:pPr>
        <w:sectPr>
          <w:pgSz w:w="11900" w:h="16838" w:orient="portrait"/>
          <w:cols w:equalWidth="0" w:num="1">
            <w:col w:w="11280"/>
          </w:cols>
          <w:pgMar w:left="300" w:top="1154" w:right="319" w:bottom="1440" w:gutter="0" w:footer="0" w:header="0"/>
        </w:sectPr>
      </w:pPr>
    </w:p>
    <w:bookmarkStart w:id="169" w:name="page170"/>
    <w:bookmarkEnd w:id="169"/>
    <w:p>
      <w:pPr>
        <w:jc w:val="both"/>
        <w:spacing w:after="0" w:line="307" w:lineRule="auto"/>
        <w:rPr>
          <w:sz w:val="20"/>
          <w:szCs w:val="20"/>
          <w:color w:val="auto"/>
        </w:rPr>
      </w:pPr>
      <w:r>
        <w:rPr>
          <w:rFonts w:ascii="Arial" w:cs="Arial" w:eastAsia="Arial" w:hAnsi="Arial"/>
          <w:sz w:val="14"/>
          <w:szCs w:val="14"/>
          <w:color w:val="auto"/>
        </w:rPr>
        <w:t>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SUBSIDIARY EMPLOYING PARTICIPANT) TO TERMINATE PARTICIPANT’S RELATIONSHIP AS AN EMPLOYEE AT ANY TIME, WITH OR WITHOUT CAUSE.</w:t>
      </w:r>
    </w:p>
    <w:p>
      <w:pPr>
        <w:spacing w:after="0" w:line="152" w:lineRule="exact"/>
        <w:rPr>
          <w:sz w:val="20"/>
          <w:szCs w:val="20"/>
          <w:color w:val="auto"/>
        </w:rPr>
      </w:pPr>
    </w:p>
    <w:p>
      <w:pPr>
        <w:ind w:left="760" w:hanging="246"/>
        <w:spacing w:after="0"/>
        <w:tabs>
          <w:tab w:leader="none" w:pos="760"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Unless otherwise specified in Exhibit B, any notice to be given to the Company under the terms of this Agreement will be addressed to the</w:t>
      </w:r>
    </w:p>
    <w:p>
      <w:pPr>
        <w:spacing w:after="0" w:line="40" w:lineRule="exact"/>
        <w:rPr>
          <w:rFonts w:ascii="Arial" w:cs="Arial" w:eastAsia="Arial" w:hAnsi="Arial"/>
          <w:sz w:val="14"/>
          <w:szCs w:val="14"/>
          <w:color w:val="auto"/>
        </w:rPr>
      </w:pPr>
    </w:p>
    <w:p>
      <w:pPr>
        <w:spacing w:after="0" w:line="321" w:lineRule="auto"/>
        <w:rPr>
          <w:rFonts w:ascii="Arial" w:cs="Arial" w:eastAsia="Arial" w:hAnsi="Arial"/>
          <w:sz w:val="14"/>
          <w:szCs w:val="14"/>
          <w:color w:val="auto"/>
        </w:rPr>
      </w:pPr>
      <w:r>
        <w:rPr>
          <w:rFonts w:ascii="Arial" w:cs="Arial" w:eastAsia="Arial" w:hAnsi="Arial"/>
          <w:sz w:val="14"/>
          <w:szCs w:val="14"/>
          <w:color w:val="auto"/>
        </w:rPr>
        <w:t xml:space="preserve">Company at Autodesk, Inc., c/o Stock Administrator, </w:t>
      </w:r>
      <w:r>
        <w:rPr>
          <w:rFonts w:ascii="Arial" w:cs="Arial" w:eastAsia="Arial" w:hAnsi="Arial"/>
          <w:sz w:val="14"/>
          <w:szCs w:val="14"/>
          <w:b w:val="1"/>
          <w:bCs w:val="1"/>
          <w:color w:val="auto"/>
        </w:rPr>
        <w:t>The Landmark @ One Market, 1 Market Street, Suite 400, San Francisco, CA 94105 U.S.A.</w:t>
      </w:r>
      <w:r>
        <w:rPr>
          <w:rFonts w:ascii="Arial" w:cs="Arial" w:eastAsia="Arial" w:hAnsi="Arial"/>
          <w:sz w:val="14"/>
          <w:szCs w:val="14"/>
          <w:color w:val="auto"/>
        </w:rPr>
        <w:t>, or at such other address as the Company may hereafter designate in writing.</w:t>
      </w:r>
    </w:p>
    <w:p>
      <w:pPr>
        <w:spacing w:after="0" w:line="152" w:lineRule="exact"/>
        <w:rPr>
          <w:rFonts w:ascii="Arial" w:cs="Arial" w:eastAsia="Arial" w:hAnsi="Arial"/>
          <w:sz w:val="14"/>
          <w:szCs w:val="14"/>
          <w:color w:val="auto"/>
        </w:rPr>
      </w:pPr>
    </w:p>
    <w:p>
      <w:pPr>
        <w:jc w:val="both"/>
        <w:ind w:firstLine="514"/>
        <w:spacing w:after="0" w:line="292" w:lineRule="auto"/>
        <w:tabs>
          <w:tab w:leader="none" w:pos="766"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Grant is Not Transferable</w:t>
      </w:r>
      <w:r>
        <w:rPr>
          <w:rFonts w:ascii="Arial" w:cs="Arial" w:eastAsia="Arial" w:hAnsi="Arial"/>
          <w:sz w:val="14"/>
          <w:szCs w:val="14"/>
          <w:color w:val="auto"/>
        </w:rPr>
        <w:t>. Except to the limited extent provided in Section 7, this Award and the rights and privileges conferred hereby shall not be transferred, assigned, pledged or hypothecated in any way (whether by operation of law or otherwise) and shall not be subject to sale under execution, attachment or similar process. Upon any</w:t>
      </w:r>
    </w:p>
    <w:p>
      <w:pPr>
        <w:spacing w:after="0" w:line="321" w:lineRule="auto"/>
        <w:rPr>
          <w:rFonts w:ascii="Arial" w:cs="Arial" w:eastAsia="Arial" w:hAnsi="Arial"/>
          <w:sz w:val="14"/>
          <w:szCs w:val="14"/>
          <w:color w:val="auto"/>
        </w:rPr>
      </w:pPr>
      <w:r>
        <w:rPr>
          <w:rFonts w:ascii="Arial" w:cs="Arial" w:eastAsia="Arial" w:hAnsi="Arial"/>
          <w:sz w:val="14"/>
          <w:szCs w:val="14"/>
          <w:color w:val="auto"/>
        </w:rPr>
        <w:t>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spacing w:after="0" w:line="152" w:lineRule="exact"/>
        <w:rPr>
          <w:rFonts w:ascii="Arial" w:cs="Arial" w:eastAsia="Arial" w:hAnsi="Arial"/>
          <w:sz w:val="14"/>
          <w:szCs w:val="14"/>
          <w:color w:val="auto"/>
        </w:rPr>
      </w:pPr>
    </w:p>
    <w:p>
      <w:pPr>
        <w:ind w:firstLine="514"/>
        <w:spacing w:after="0" w:line="321" w:lineRule="auto"/>
        <w:tabs>
          <w:tab w:leader="none" w:pos="756"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Binding Agreement</w:t>
      </w:r>
      <w:r>
        <w:rPr>
          <w:rFonts w:ascii="Arial" w:cs="Arial" w:eastAsia="Arial" w:hAnsi="Arial"/>
          <w:sz w:val="14"/>
          <w:szCs w:val="14"/>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2" w:lineRule="exact"/>
        <w:rPr>
          <w:rFonts w:ascii="Arial" w:cs="Arial" w:eastAsia="Arial" w:hAnsi="Arial"/>
          <w:sz w:val="14"/>
          <w:szCs w:val="14"/>
          <w:color w:val="auto"/>
        </w:rPr>
      </w:pPr>
    </w:p>
    <w:p>
      <w:pPr>
        <w:jc w:val="both"/>
        <w:ind w:firstLine="514"/>
        <w:spacing w:after="0" w:line="295" w:lineRule="auto"/>
        <w:tabs>
          <w:tab w:leader="none" w:pos="756"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Additional Conditions to Issuance of Stock</w:t>
      </w:r>
      <w:r>
        <w:rPr>
          <w:rFonts w:ascii="Arial" w:cs="Arial" w:eastAsia="Arial" w:hAnsi="Arial"/>
          <w:sz w:val="14"/>
          <w:szCs w:val="14"/>
          <w:color w:val="auto"/>
        </w:rPr>
        <w:t>.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U.S. Securities and Exchange Commission or</w:t>
      </w: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any 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w:t>
      </w:r>
    </w:p>
    <w:p>
      <w:pPr>
        <w:spacing w:after="0" w:line="14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4"/>
          <w:szCs w:val="14"/>
          <w:color w:val="auto"/>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Participant’s sale of Shares may be subject to any market blackout period that may be imposed by the Company and must comply with the Company’s insider trading policies and any other applicable securities laws.</w:t>
      </w:r>
    </w:p>
    <w:p>
      <w:pPr>
        <w:sectPr>
          <w:pgSz w:w="11900" w:h="16838" w:orient="portrait"/>
          <w:cols w:equalWidth="0" w:num="1">
            <w:col w:w="11280"/>
          </w:cols>
          <w:pgMar w:left="300" w:top="1154" w:right="319" w:bottom="1440" w:gutter="0" w:footer="0" w:header="0"/>
        </w:sectPr>
      </w:pPr>
    </w:p>
    <w:bookmarkStart w:id="170" w:name="page171"/>
    <w:bookmarkEnd w:id="170"/>
    <w:p>
      <w:pPr>
        <w:ind w:firstLine="514"/>
        <w:spacing w:after="0" w:line="337" w:lineRule="auto"/>
        <w:tabs>
          <w:tab w:leader="none" w:pos="756"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Plan Governs</w:t>
      </w:r>
      <w:r>
        <w:rPr>
          <w:rFonts w:ascii="Arial" w:cs="Arial" w:eastAsia="Arial" w:hAnsi="Arial"/>
          <w:sz w:val="14"/>
          <w:szCs w:val="14"/>
          <w:color w:val="auto"/>
        </w:rPr>
        <w:t>. This Agreement is subject to all terms and provisions of the Plan. Subject to the express exception in Section 4 of this Agreement, in the event of a conflict between one or more provisions of this Agreement and one or more provisions of the Plan, the provisions of the Plan shall govern.</w:t>
      </w:r>
    </w:p>
    <w:p>
      <w:pPr>
        <w:spacing w:after="0" w:line="131" w:lineRule="exact"/>
        <w:rPr>
          <w:rFonts w:ascii="Arial" w:cs="Arial" w:eastAsia="Arial" w:hAnsi="Arial"/>
          <w:sz w:val="14"/>
          <w:szCs w:val="14"/>
          <w:color w:val="auto"/>
        </w:rPr>
      </w:pPr>
    </w:p>
    <w:p>
      <w:pPr>
        <w:ind w:left="760" w:hanging="246"/>
        <w:spacing w:after="0"/>
        <w:tabs>
          <w:tab w:leader="none" w:pos="760"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Administrator Authority</w:t>
      </w:r>
      <w:r>
        <w:rPr>
          <w:rFonts w:ascii="Arial" w:cs="Arial" w:eastAsia="Arial" w:hAnsi="Arial"/>
          <w:sz w:val="14"/>
          <w:szCs w:val="14"/>
          <w:color w:val="auto"/>
        </w:rPr>
        <w:t>. The Administrator shall have the power to interpret the Plan and this Agreement and to adopt such rules for the administration, interpretation</w:t>
      </w:r>
    </w:p>
    <w:p>
      <w:pPr>
        <w:spacing w:after="0" w:line="40" w:lineRule="exact"/>
        <w:rPr>
          <w:rFonts w:ascii="Arial" w:cs="Arial" w:eastAsia="Arial" w:hAnsi="Arial"/>
          <w:sz w:val="14"/>
          <w:szCs w:val="14"/>
          <w:color w:val="auto"/>
        </w:rPr>
      </w:pP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w:t>
      </w:r>
    </w:p>
    <w:p>
      <w:pPr>
        <w:spacing w:after="0" w:line="321" w:lineRule="auto"/>
        <w:rPr>
          <w:rFonts w:ascii="Arial" w:cs="Arial" w:eastAsia="Arial" w:hAnsi="Arial"/>
          <w:sz w:val="14"/>
          <w:szCs w:val="14"/>
          <w:color w:val="auto"/>
        </w:rPr>
      </w:pPr>
      <w:r>
        <w:rPr>
          <w:rFonts w:ascii="Arial" w:cs="Arial" w:eastAsia="Arial" w:hAnsi="Arial"/>
          <w:sz w:val="14"/>
          <w:szCs w:val="14"/>
          <w:color w:val="auto"/>
        </w:rPr>
        <w:t>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52" w:lineRule="exact"/>
        <w:rPr>
          <w:rFonts w:ascii="Arial" w:cs="Arial" w:eastAsia="Arial" w:hAnsi="Arial"/>
          <w:sz w:val="14"/>
          <w:szCs w:val="14"/>
          <w:color w:val="auto"/>
        </w:rPr>
      </w:pPr>
    </w:p>
    <w:p>
      <w:pPr>
        <w:jc w:val="both"/>
        <w:ind w:firstLine="514"/>
        <w:spacing w:after="0" w:line="292" w:lineRule="auto"/>
        <w:tabs>
          <w:tab w:leader="none" w:pos="756"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w:t>
      </w:r>
    </w:p>
    <w:p>
      <w:pPr>
        <w:spacing w:after="0" w:line="321" w:lineRule="auto"/>
        <w:rPr>
          <w:rFonts w:ascii="Arial" w:cs="Arial" w:eastAsia="Arial" w:hAnsi="Arial"/>
          <w:sz w:val="14"/>
          <w:szCs w:val="14"/>
          <w:color w:val="auto"/>
        </w:rPr>
      </w:pPr>
      <w:r>
        <w:rPr>
          <w:rFonts w:ascii="Arial" w:cs="Arial" w:eastAsia="Arial" w:hAnsi="Arial"/>
          <w:sz w:val="14"/>
          <w:szCs w:val="14"/>
          <w:color w:val="auto"/>
        </w:rPr>
        <w:t>consents to receive such documents by electronic delivery and agrees to participate in the Plan through any on-line or electronic system established and maintained by the Company or another third party designated by the Company.</w:t>
      </w:r>
    </w:p>
    <w:p>
      <w:pPr>
        <w:spacing w:after="0" w:line="152" w:lineRule="exact"/>
        <w:rPr>
          <w:rFonts w:ascii="Arial" w:cs="Arial" w:eastAsia="Arial" w:hAnsi="Arial"/>
          <w:sz w:val="14"/>
          <w:szCs w:val="14"/>
          <w:color w:val="auto"/>
        </w:rPr>
      </w:pPr>
    </w:p>
    <w:p>
      <w:pPr>
        <w:ind w:left="740" w:hanging="226"/>
        <w:spacing w:after="0"/>
        <w:tabs>
          <w:tab w:leader="none" w:pos="740"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Agreement.</w:t>
      </w:r>
    </w:p>
    <w:p>
      <w:pPr>
        <w:spacing w:after="0" w:line="220" w:lineRule="exact"/>
        <w:rPr>
          <w:rFonts w:ascii="Arial" w:cs="Arial" w:eastAsia="Arial" w:hAnsi="Arial"/>
          <w:sz w:val="14"/>
          <w:szCs w:val="14"/>
          <w:color w:val="auto"/>
        </w:rPr>
      </w:pPr>
    </w:p>
    <w:p>
      <w:pPr>
        <w:ind w:firstLine="514"/>
        <w:spacing w:after="0" w:line="337" w:lineRule="auto"/>
        <w:tabs>
          <w:tab w:leader="none" w:pos="766"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Agreement Severable</w:t>
      </w:r>
      <w:r>
        <w:rPr>
          <w:rFonts w:ascii="Arial" w:cs="Arial" w:eastAsia="Arial" w:hAnsi="Arial"/>
          <w:sz w:val="14"/>
          <w:szCs w:val="14"/>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31" w:lineRule="exact"/>
        <w:rPr>
          <w:rFonts w:ascii="Arial" w:cs="Arial" w:eastAsia="Arial" w:hAnsi="Arial"/>
          <w:sz w:val="14"/>
          <w:szCs w:val="14"/>
          <w:color w:val="auto"/>
        </w:rPr>
      </w:pPr>
    </w:p>
    <w:p>
      <w:pPr>
        <w:jc w:val="both"/>
        <w:ind w:firstLine="514"/>
        <w:spacing w:after="0" w:line="300" w:lineRule="auto"/>
        <w:tabs>
          <w:tab w:leader="none" w:pos="745"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Modifications to the Agreement</w:t>
      </w:r>
      <w:r>
        <w:rPr>
          <w:rFonts w:ascii="Arial" w:cs="Arial" w:eastAsia="Arial" w:hAnsi="Arial"/>
          <w:sz w:val="14"/>
          <w:szCs w:val="14"/>
          <w:color w:val="auto"/>
        </w:rPr>
        <w:t>. This Agreement, the Plan and the Notice of Grant constitute the entire understanding of the parties on the subjects covered. Participant expressly warrants that he or she is not accepting this Agreement in reliance on any promises, representations, or inducements other than those contained herein. Modifications to</w:t>
      </w:r>
    </w:p>
    <w:p>
      <w:pPr>
        <w:jc w:val="both"/>
        <w:spacing w:after="0" w:line="292" w:lineRule="auto"/>
        <w:rPr>
          <w:rFonts w:ascii="Arial" w:cs="Arial" w:eastAsia="Arial" w:hAnsi="Arial"/>
          <w:sz w:val="14"/>
          <w:szCs w:val="14"/>
          <w:color w:val="auto"/>
        </w:rPr>
      </w:pPr>
      <w:r>
        <w:rPr>
          <w:rFonts w:ascii="Arial" w:cs="Arial" w:eastAsia="Arial" w:hAnsi="Arial"/>
          <w:sz w:val="14"/>
          <w:szCs w:val="14"/>
          <w:color w:val="auto"/>
        </w:rPr>
        <w:t>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w:t>
      </w:r>
    </w:p>
    <w:p>
      <w:pPr>
        <w:spacing w:after="0" w:line="321" w:lineRule="auto"/>
        <w:rPr>
          <w:rFonts w:ascii="Arial" w:cs="Arial" w:eastAsia="Arial" w:hAnsi="Arial"/>
          <w:sz w:val="14"/>
          <w:szCs w:val="14"/>
          <w:color w:val="auto"/>
        </w:rPr>
      </w:pPr>
      <w:r>
        <w:rPr>
          <w:rFonts w:ascii="Arial" w:cs="Arial" w:eastAsia="Arial" w:hAnsi="Arial"/>
          <w:sz w:val="14"/>
          <w:szCs w:val="14"/>
          <w:color w:val="auto"/>
        </w:rPr>
        <w:t>comply with Section 409A of the Code or to otherwise avoid imposition of any additional tax or income recognition under Section 409A of the Code prior to the actual issuance of Shares pursuant to this Award of Restricted Stock Units.</w:t>
      </w:r>
    </w:p>
    <w:p>
      <w:pPr>
        <w:spacing w:after="0" w:line="152" w:lineRule="exact"/>
        <w:rPr>
          <w:rFonts w:ascii="Arial" w:cs="Arial" w:eastAsia="Arial" w:hAnsi="Arial"/>
          <w:sz w:val="14"/>
          <w:szCs w:val="14"/>
          <w:color w:val="auto"/>
        </w:rPr>
      </w:pPr>
    </w:p>
    <w:p>
      <w:pPr>
        <w:jc w:val="both"/>
        <w:ind w:firstLine="514"/>
        <w:spacing w:after="0" w:line="311" w:lineRule="auto"/>
        <w:tabs>
          <w:tab w:leader="none" w:pos="745"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Amendment, Suspension or Termination of the Plan</w:t>
      </w:r>
      <w:r>
        <w:rPr>
          <w:rFonts w:ascii="Arial" w:cs="Arial" w:eastAsia="Arial" w:hAnsi="Arial"/>
          <w:sz w:val="14"/>
          <w:szCs w:val="14"/>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ectPr>
          <w:pgSz w:w="11900" w:h="16838" w:orient="portrait"/>
          <w:cols w:equalWidth="0" w:num="1">
            <w:col w:w="11280"/>
          </w:cols>
          <w:pgMar w:left="300" w:top="1154" w:right="319" w:bottom="1440" w:gutter="0" w:footer="0" w:header="0"/>
        </w:sectPr>
      </w:pPr>
    </w:p>
    <w:bookmarkStart w:id="171" w:name="page172"/>
    <w:bookmarkEnd w:id="171"/>
    <w:p>
      <w:pPr>
        <w:ind w:left="740" w:hanging="226"/>
        <w:spacing w:after="0"/>
        <w:tabs>
          <w:tab w:leader="none" w:pos="7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Award and the provisions of this Agreement shall be governed by, and subject to, the laws of the State of California, without giving effect to the</w:t>
      </w:r>
    </w:p>
    <w:p>
      <w:pPr>
        <w:spacing w:after="0" w:line="40" w:lineRule="exact"/>
        <w:rPr>
          <w:rFonts w:ascii="Arial" w:cs="Arial" w:eastAsia="Arial" w:hAnsi="Arial"/>
          <w:sz w:val="14"/>
          <w:szCs w:val="14"/>
          <w:color w:val="auto"/>
        </w:rPr>
      </w:pP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 xml:space="preserve">conflict of law principles thereof. For purposes of litigating any dispute that arises under this Award of Restricted Stock Units or this Agreement, the parties hereby submit to and consent to the sole and exclusive jurisdiction of the State of California, and agree that such litigation shall be conducted in the courts of </w:t>
      </w:r>
      <w:r>
        <w:rPr>
          <w:rFonts w:ascii="Arial" w:cs="Arial" w:eastAsia="Arial" w:hAnsi="Arial"/>
          <w:sz w:val="14"/>
          <w:szCs w:val="14"/>
          <w:b w:val="1"/>
          <w:bCs w:val="1"/>
          <w:color w:val="auto"/>
        </w:rPr>
        <w:t>San Francisco County, California</w:t>
      </w:r>
      <w:r>
        <w:rPr>
          <w:rFonts w:ascii="Arial" w:cs="Arial" w:eastAsia="Arial" w:hAnsi="Arial"/>
          <w:sz w:val="14"/>
          <w:szCs w:val="14"/>
          <w:color w:val="auto"/>
        </w:rPr>
        <w:t>, or the federal courts for the United States for the Northern District of California, and no other courts, where this Award of Restricted Stock Units is made and/or to be performed.</w:t>
      </w:r>
    </w:p>
    <w:p>
      <w:pPr>
        <w:spacing w:after="0" w:line="148" w:lineRule="exact"/>
        <w:rPr>
          <w:rFonts w:ascii="Arial" w:cs="Arial" w:eastAsia="Arial" w:hAnsi="Arial"/>
          <w:sz w:val="14"/>
          <w:szCs w:val="14"/>
          <w:color w:val="auto"/>
        </w:rPr>
      </w:pPr>
    </w:p>
    <w:p>
      <w:pPr>
        <w:ind w:left="760" w:hanging="246"/>
        <w:spacing w:after="0"/>
        <w:tabs>
          <w:tab w:leader="none" w:pos="76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Language</w:t>
      </w:r>
      <w:r>
        <w:rPr>
          <w:rFonts w:ascii="Arial" w:cs="Arial" w:eastAsia="Arial" w:hAnsi="Arial"/>
          <w:sz w:val="14"/>
          <w:szCs w:val="14"/>
          <w:color w:val="auto"/>
        </w:rPr>
        <w:t>. By electing to accept this Agreement, Participant acknowledges that he or she is sufficiently proficient in English, or has consulted with an advisor who is</w:t>
      </w:r>
    </w:p>
    <w:p>
      <w:pPr>
        <w:spacing w:after="0" w:line="40" w:lineRule="exact"/>
        <w:rPr>
          <w:rFonts w:ascii="Arial" w:cs="Arial" w:eastAsia="Arial" w:hAnsi="Arial"/>
          <w:sz w:val="14"/>
          <w:szCs w:val="14"/>
          <w:color w:val="auto"/>
        </w:rPr>
      </w:pPr>
    </w:p>
    <w:p>
      <w:pPr>
        <w:jc w:val="both"/>
        <w:spacing w:after="0" w:line="311" w:lineRule="auto"/>
        <w:rPr>
          <w:rFonts w:ascii="Arial" w:cs="Arial" w:eastAsia="Arial" w:hAnsi="Arial"/>
          <w:sz w:val="14"/>
          <w:szCs w:val="14"/>
          <w:color w:val="auto"/>
        </w:rPr>
      </w:pPr>
      <w:r>
        <w:rPr>
          <w:rFonts w:ascii="Arial" w:cs="Arial" w:eastAsia="Arial" w:hAnsi="Arial"/>
          <w:sz w:val="14"/>
          <w:szCs w:val="14"/>
          <w:color w:val="auto"/>
        </w:rPr>
        <w:t>sufficiently proficient in English so as to allow Participant, to understand the terms and conditions of this Agreement. Further, if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48" w:lineRule="exact"/>
        <w:rPr>
          <w:rFonts w:ascii="Arial" w:cs="Arial" w:eastAsia="Arial" w:hAnsi="Arial"/>
          <w:sz w:val="14"/>
          <w:szCs w:val="14"/>
          <w:color w:val="auto"/>
        </w:rPr>
      </w:pPr>
    </w:p>
    <w:p>
      <w:pPr>
        <w:ind w:left="740" w:hanging="226"/>
        <w:spacing w:after="0"/>
        <w:tabs>
          <w:tab w:leader="none" w:pos="74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this Restricted Stock Unit Award, Participant acknowledges that:</w:t>
      </w:r>
    </w:p>
    <w:p>
      <w:pPr>
        <w:spacing w:after="0" w:line="221" w:lineRule="exact"/>
        <w:rPr>
          <w:sz w:val="20"/>
          <w:szCs w:val="20"/>
          <w:color w:val="auto"/>
        </w:rPr>
      </w:pPr>
    </w:p>
    <w:p>
      <w:pPr>
        <w:jc w:val="both"/>
        <w:ind w:firstLine="514"/>
        <w:spacing w:after="0" w:line="286" w:lineRule="auto"/>
        <w:tabs>
          <w:tab w:leader="none" w:pos="85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 the Company, in its sole discretion, shall determine whether Participant’s service has terminated and the effective date of such termination.</w:t>
      </w:r>
    </w:p>
    <w:p>
      <w:pPr>
        <w:spacing w:after="0" w:line="155" w:lineRule="exact"/>
        <w:rPr>
          <w:rFonts w:ascii="Arial" w:cs="Arial" w:eastAsia="Arial" w:hAnsi="Arial"/>
          <w:sz w:val="14"/>
          <w:szCs w:val="14"/>
          <w:color w:val="auto"/>
        </w:rPr>
      </w:pPr>
    </w:p>
    <w:p>
      <w:pPr>
        <w:ind w:firstLine="514"/>
        <w:spacing w:after="0" w:line="306" w:lineRule="auto"/>
        <w:tabs>
          <w:tab w:leader="none" w:pos="86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51" w:lineRule="exact"/>
        <w:rPr>
          <w:rFonts w:ascii="Arial" w:cs="Arial" w:eastAsia="Arial" w:hAnsi="Arial"/>
          <w:sz w:val="14"/>
          <w:szCs w:val="14"/>
          <w:color w:val="auto"/>
        </w:rPr>
      </w:pPr>
    </w:p>
    <w:p>
      <w:pPr>
        <w:jc w:val="both"/>
        <w:ind w:firstLine="514"/>
        <w:spacing w:after="0" w:line="287" w:lineRule="auto"/>
        <w:tabs>
          <w:tab w:leader="none" w:pos="88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grant of this Restricted Stock Unit Award is an exceptional, voluntary and occasional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spacing w:after="0" w:line="165" w:lineRule="exact"/>
        <w:rPr>
          <w:rFonts w:ascii="Arial" w:cs="Arial" w:eastAsia="Arial" w:hAnsi="Arial"/>
          <w:sz w:val="14"/>
          <w:szCs w:val="14"/>
          <w:color w:val="auto"/>
        </w:rPr>
      </w:pPr>
    </w:p>
    <w:p>
      <w:pPr>
        <w:ind w:left="840" w:hanging="326"/>
        <w:spacing w:after="0"/>
        <w:tabs>
          <w:tab w:leader="none" w:pos="8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Participant’s participation in the Plan shall not create a right to continued service with the Company (or any Subsidiary).</w:t>
      </w:r>
    </w:p>
    <w:p>
      <w:pPr>
        <w:spacing w:after="0" w:line="210" w:lineRule="exact"/>
        <w:rPr>
          <w:rFonts w:ascii="Arial" w:cs="Arial" w:eastAsia="Arial" w:hAnsi="Arial"/>
          <w:sz w:val="14"/>
          <w:szCs w:val="14"/>
          <w:color w:val="auto"/>
        </w:rPr>
      </w:pPr>
    </w:p>
    <w:p>
      <w:pPr>
        <w:ind w:left="840" w:hanging="326"/>
        <w:spacing w:after="0"/>
        <w:tabs>
          <w:tab w:leader="none" w:pos="8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Participant is voluntarily participating in the Plan.</w:t>
      </w:r>
    </w:p>
    <w:p>
      <w:pPr>
        <w:spacing w:after="0" w:line="210" w:lineRule="exact"/>
        <w:rPr>
          <w:rFonts w:ascii="Arial" w:cs="Arial" w:eastAsia="Arial" w:hAnsi="Arial"/>
          <w:sz w:val="14"/>
          <w:szCs w:val="14"/>
          <w:color w:val="auto"/>
        </w:rPr>
      </w:pPr>
    </w:p>
    <w:p>
      <w:pPr>
        <w:jc w:val="both"/>
        <w:ind w:firstLine="514"/>
        <w:spacing w:after="0" w:line="286" w:lineRule="auto"/>
        <w:tabs>
          <w:tab w:leader="none" w:pos="82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Restricted Stock Unit Award is an extraordinary item that does not constitute compensation of any kind for service of any kind rendered to the Company (or any Subsidiary), and which is outside the scope of Participant’s employment contract, if any. Additionally, unless otherwise agreed with the Company, the Restricted Stock Units and the Shares subject to the Restricted Stock Units, and the income and value of same, are not granted as consideration for, or in connection with, the service Participant may provide as an officer or a director of a Subsidiary of the Company.</w:t>
      </w:r>
    </w:p>
    <w:p>
      <w:pPr>
        <w:spacing w:after="0" w:line="166" w:lineRule="exact"/>
        <w:rPr>
          <w:rFonts w:ascii="Arial" w:cs="Arial" w:eastAsia="Arial" w:hAnsi="Arial"/>
          <w:sz w:val="14"/>
          <w:szCs w:val="14"/>
          <w:color w:val="auto"/>
        </w:rPr>
      </w:pPr>
    </w:p>
    <w:p>
      <w:pPr>
        <w:ind w:firstLine="514"/>
        <w:spacing w:after="0" w:line="306" w:lineRule="auto"/>
        <w:tabs>
          <w:tab w:leader="none" w:pos="88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Restricted Stock Unit Award, and any Shares acquired under the Plan, and the income and value of same, is not part of normal or expected compensation or salary for any purpose,</w:t>
      </w:r>
    </w:p>
    <w:p>
      <w:pPr>
        <w:sectPr>
          <w:pgSz w:w="11900" w:h="16838" w:orient="portrait"/>
          <w:cols w:equalWidth="0" w:num="1">
            <w:col w:w="11280"/>
          </w:cols>
          <w:pgMar w:left="300" w:top="1154" w:right="319" w:bottom="1440" w:gutter="0" w:footer="0" w:header="0"/>
        </w:sectPr>
      </w:pPr>
    </w:p>
    <w:bookmarkStart w:id="172" w:name="page173"/>
    <w:bookmarkEnd w:id="172"/>
    <w:p>
      <w:pPr>
        <w:jc w:val="both"/>
        <w:spacing w:after="0" w:line="295" w:lineRule="auto"/>
        <w:rPr>
          <w:sz w:val="20"/>
          <w:szCs w:val="20"/>
          <w:color w:val="auto"/>
        </w:rPr>
      </w:pPr>
      <w:r>
        <w:rPr>
          <w:rFonts w:ascii="Arial" w:cs="Arial" w:eastAsia="Arial" w:hAnsi="Arial"/>
          <w:sz w:val="14"/>
          <w:szCs w:val="14"/>
          <w:color w:val="auto"/>
        </w:rPr>
        <w:t>including, but not limited to, calculating any severance payments, resignation, termination, redundancy, end-of-service payments, holiday pay, bonuses, long-service awards, leave-related payments, pension or retirement or welfare benefits or similar mandatory payments. This applies to any payment even in those jurisdictions requiring such payments upon termination of employment.</w:t>
      </w:r>
    </w:p>
    <w:p>
      <w:pPr>
        <w:spacing w:after="0" w:line="149" w:lineRule="exact"/>
        <w:rPr>
          <w:sz w:val="20"/>
          <w:szCs w:val="20"/>
          <w:color w:val="auto"/>
        </w:rPr>
      </w:pPr>
    </w:p>
    <w:p>
      <w:pPr>
        <w:ind w:firstLine="514"/>
        <w:spacing w:after="0" w:line="306" w:lineRule="auto"/>
        <w:tabs>
          <w:tab w:leader="none" w:pos="85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Restricted Stock Unit Award will not be interpreted to form or amend an employment contract, or employment or relationship with the Company; and furthermore the Restricted Stock Unit Award will not be interpreted to form or amend an employment contract with any Subsidiary.</w:t>
      </w:r>
    </w:p>
    <w:p>
      <w:pPr>
        <w:spacing w:after="0" w:line="151" w:lineRule="exact"/>
        <w:rPr>
          <w:rFonts w:ascii="Arial" w:cs="Arial" w:eastAsia="Arial" w:hAnsi="Arial"/>
          <w:sz w:val="14"/>
          <w:szCs w:val="14"/>
          <w:color w:val="auto"/>
        </w:rPr>
      </w:pPr>
    </w:p>
    <w:p>
      <w:pPr>
        <w:ind w:firstLine="514"/>
        <w:spacing w:after="0" w:line="306" w:lineRule="auto"/>
        <w:tabs>
          <w:tab w:leader="none" w:pos="801"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future value of the underlying Shares is unknown and cannot be predicted with certainty. If Participant obtains Shares upon settlement of the Restricted Stock Unit Award, the value of those Shares may increase or decrease.</w:t>
      </w:r>
    </w:p>
    <w:p>
      <w:pPr>
        <w:spacing w:after="0" w:line="141" w:lineRule="exact"/>
        <w:rPr>
          <w:rFonts w:ascii="Arial" w:cs="Arial" w:eastAsia="Arial" w:hAnsi="Arial"/>
          <w:sz w:val="14"/>
          <w:szCs w:val="14"/>
          <w:color w:val="auto"/>
        </w:rPr>
      </w:pPr>
    </w:p>
    <w:p>
      <w:pPr>
        <w:ind w:left="800" w:hanging="286"/>
        <w:spacing w:after="0"/>
        <w:tabs>
          <w:tab w:leader="none" w:pos="8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This Restricted Stock Unit Award has been granted to Participant in Participant’s status as an Employee of the Company or its Subsidiaries.</w:t>
      </w:r>
    </w:p>
    <w:p>
      <w:pPr>
        <w:spacing w:after="0" w:line="220" w:lineRule="exact"/>
        <w:rPr>
          <w:rFonts w:ascii="Arial" w:cs="Arial" w:eastAsia="Arial" w:hAnsi="Arial"/>
          <w:sz w:val="14"/>
          <w:szCs w:val="14"/>
          <w:color w:val="auto"/>
        </w:rPr>
      </w:pPr>
    </w:p>
    <w:p>
      <w:pPr>
        <w:ind w:left="840" w:hanging="326"/>
        <w:spacing w:after="0"/>
        <w:tabs>
          <w:tab w:leader="none" w:pos="8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There shall be no additional obligations for any Subsidiary employing Participant as a result of this Restricted Stock Unit Award.</w:t>
      </w:r>
    </w:p>
    <w:p>
      <w:pPr>
        <w:spacing w:after="0" w:line="210" w:lineRule="exact"/>
        <w:rPr>
          <w:rFonts w:ascii="Arial" w:cs="Arial" w:eastAsia="Arial" w:hAnsi="Arial"/>
          <w:sz w:val="14"/>
          <w:szCs w:val="14"/>
          <w:color w:val="auto"/>
        </w:rPr>
      </w:pPr>
    </w:p>
    <w:p>
      <w:pPr>
        <w:ind w:left="780" w:hanging="266"/>
        <w:spacing w:after="0"/>
        <w:tabs>
          <w:tab w:leader="none" w:pos="7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All decisions with respect to future Restricted Stock Units or other grants, if any, will be at the sole discretion of the Company.</w:t>
      </w:r>
    </w:p>
    <w:p>
      <w:pPr>
        <w:spacing w:after="0" w:line="210" w:lineRule="exact"/>
        <w:rPr>
          <w:rFonts w:ascii="Arial" w:cs="Arial" w:eastAsia="Arial" w:hAnsi="Arial"/>
          <w:sz w:val="14"/>
          <w:szCs w:val="14"/>
          <w:color w:val="auto"/>
        </w:rPr>
      </w:pPr>
    </w:p>
    <w:p>
      <w:pPr>
        <w:ind w:firstLine="514"/>
        <w:spacing w:after="0" w:line="321" w:lineRule="auto"/>
        <w:tabs>
          <w:tab w:leader="none" w:pos="89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Restricted Stock Unit and the Shares subject to the Restricted Stock Units, and the income and value of same, are not intended to replace any pension rights or compensation.</w:t>
      </w:r>
    </w:p>
    <w:p>
      <w:pPr>
        <w:spacing w:after="0" w:line="131" w:lineRule="exact"/>
        <w:rPr>
          <w:rFonts w:ascii="Arial" w:cs="Arial" w:eastAsia="Arial" w:hAnsi="Arial"/>
          <w:sz w:val="14"/>
          <w:szCs w:val="14"/>
          <w:color w:val="auto"/>
        </w:rPr>
      </w:pPr>
    </w:p>
    <w:p>
      <w:pPr>
        <w:jc w:val="both"/>
        <w:ind w:firstLine="514"/>
        <w:spacing w:after="0" w:line="284" w:lineRule="auto"/>
        <w:tabs>
          <w:tab w:leader="none" w:pos="945"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shall arise from (i) forfeiture of the Restricted Stock Units resulting from the termination of Participant’s employment or other service relationship (for any reason whatsoever, whether or not later found to be invalid or in breach of employment or labor laws in the jurisdiction where Participant is employed or the terms of Participant’s employment agreement, if any), and/or (ii) forfeiture of the Restricted Stock Units or recoupment of any Shares, cash or other benefits acquired pursuant to the Restricted Stock Units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w:t>
      </w:r>
    </w:p>
    <w:p>
      <w:pPr>
        <w:spacing w:after="0" w:line="341" w:lineRule="exact"/>
        <w:rPr>
          <w:rFonts w:ascii="Arial" w:cs="Arial" w:eastAsia="Arial" w:hAnsi="Arial"/>
          <w:sz w:val="14"/>
          <w:szCs w:val="14"/>
          <w:color w:val="auto"/>
        </w:rPr>
      </w:pPr>
    </w:p>
    <w:p>
      <w:pPr>
        <w:ind w:left="840" w:hanging="326"/>
        <w:spacing w:after="0"/>
        <w:tabs>
          <w:tab w:leader="none" w:pos="8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following provisions apply only if Participant is providing services outside the United States:</w:t>
      </w:r>
    </w:p>
    <w:p>
      <w:pPr>
        <w:spacing w:after="0" w:line="210" w:lineRule="exact"/>
        <w:rPr>
          <w:rFonts w:ascii="Arial" w:cs="Arial" w:eastAsia="Arial" w:hAnsi="Arial"/>
          <w:sz w:val="14"/>
          <w:szCs w:val="14"/>
          <w:color w:val="auto"/>
        </w:rPr>
      </w:pPr>
    </w:p>
    <w:p>
      <w:pPr>
        <w:ind w:left="1300" w:hanging="277"/>
        <w:spacing w:after="0"/>
        <w:tabs>
          <w:tab w:leader="none" w:pos="130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the Restricted Stock Units and the Shares subject to the Restricted Stock Units are not part of normal or expected compensation or salary for any purpose; and</w:t>
      </w:r>
    </w:p>
    <w:p>
      <w:pPr>
        <w:spacing w:after="0" w:line="220" w:lineRule="exact"/>
        <w:rPr>
          <w:rFonts w:ascii="Arial" w:cs="Arial" w:eastAsia="Arial" w:hAnsi="Arial"/>
          <w:sz w:val="14"/>
          <w:szCs w:val="14"/>
          <w:color w:val="auto"/>
        </w:rPr>
      </w:pPr>
    </w:p>
    <w:p>
      <w:pPr>
        <w:jc w:val="both"/>
        <w:ind w:left="520" w:firstLine="503"/>
        <w:spacing w:after="0" w:line="295" w:lineRule="auto"/>
        <w:tabs>
          <w:tab w:leader="none" w:pos="1386" w:val="left"/>
        </w:tabs>
        <w:numPr>
          <w:ilvl w:val="1"/>
          <w:numId w:val="116"/>
        </w:numPr>
        <w:rPr>
          <w:rFonts w:ascii="Arial" w:cs="Arial" w:eastAsia="Arial" w:hAnsi="Arial"/>
          <w:sz w:val="14"/>
          <w:szCs w:val="14"/>
          <w:color w:val="auto"/>
        </w:rPr>
      </w:pPr>
      <w:r>
        <w:rPr>
          <w:rFonts w:ascii="Arial" w:cs="Arial" w:eastAsia="Arial" w:hAnsi="Arial"/>
          <w:sz w:val="14"/>
          <w:szCs w:val="14"/>
          <w:color w:val="auto"/>
        </w:rPr>
        <w:t>neither the Company, the Employer nor any other Subsidiary of the Company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149" w:lineRule="exact"/>
        <w:rPr>
          <w:sz w:val="20"/>
          <w:szCs w:val="20"/>
          <w:color w:val="auto"/>
        </w:rPr>
      </w:pPr>
    </w:p>
    <w:p>
      <w:pPr>
        <w:ind w:left="740" w:hanging="226"/>
        <w:spacing w:after="0"/>
        <w:tabs>
          <w:tab w:leader="none" w:pos="740" w:val="left"/>
        </w:tabs>
        <w:numPr>
          <w:ilvl w:val="0"/>
          <w:numId w:val="117"/>
        </w:numPr>
        <w:rPr>
          <w:rFonts w:ascii="Arial" w:cs="Arial" w:eastAsia="Arial" w:hAnsi="Arial"/>
          <w:sz w:val="14"/>
          <w:szCs w:val="14"/>
          <w:color w:val="auto"/>
        </w:rPr>
      </w:pPr>
      <w:r>
        <w:rPr>
          <w:rFonts w:ascii="Arial" w:cs="Arial" w:eastAsia="Arial" w:hAnsi="Arial"/>
          <w:sz w:val="14"/>
          <w:szCs w:val="14"/>
          <w:b w:val="1"/>
          <w:bCs w:val="1"/>
          <w:u w:val="single" w:color="auto"/>
          <w:color w:val="auto"/>
        </w:rPr>
        <w:t>Data Privacy Information and Consent</w:t>
      </w:r>
      <w:r>
        <w:rPr>
          <w:rFonts w:ascii="Arial" w:cs="Arial" w:eastAsia="Arial" w:hAnsi="Arial"/>
          <w:sz w:val="14"/>
          <w:szCs w:val="14"/>
          <w:color w:val="auto"/>
        </w:rPr>
        <w:t>.</w:t>
      </w:r>
    </w:p>
    <w:p>
      <w:pPr>
        <w:sectPr>
          <w:pgSz w:w="11900" w:h="16838" w:orient="portrait"/>
          <w:cols w:equalWidth="0" w:num="1">
            <w:col w:w="11280"/>
          </w:cols>
          <w:pgMar w:left="300" w:top="1154" w:right="319" w:bottom="1440" w:gutter="0" w:footer="0" w:header="0"/>
        </w:sectPr>
      </w:pPr>
    </w:p>
    <w:bookmarkStart w:id="173" w:name="page174"/>
    <w:bookmarkEnd w:id="173"/>
    <w:p>
      <w:pPr>
        <w:jc w:val="both"/>
        <w:spacing w:after="0" w:line="299" w:lineRule="auto"/>
        <w:rPr>
          <w:sz w:val="20"/>
          <w:szCs w:val="20"/>
          <w:color w:val="auto"/>
        </w:rPr>
      </w:pPr>
      <w:r>
        <w:rPr>
          <w:rFonts w:ascii="Arial" w:cs="Arial" w:eastAsia="Arial" w:hAnsi="Arial"/>
          <w:sz w:val="14"/>
          <w:szCs w:val="14"/>
          <w:b w:val="1"/>
          <w:bCs w:val="1"/>
          <w:i w:val="1"/>
          <w:iCs w:val="1"/>
          <w:color w:val="auto"/>
        </w:rPr>
        <w:t>The Company is located at The Landmark @ One Market, 1 Market Street, Suite 400, San Francisco, CA 94105 U.S.A. and grants Restricted Stock Units to Employees of the Company and its Subsidiaries and affiliates, at its sole discretion. If Participant would like to participate in the Plan, he or she should review the following information about the Company’s data processing practices and declare his or her consent.</w:t>
      </w:r>
    </w:p>
    <w:p>
      <w:pPr>
        <w:spacing w:after="0" w:line="141" w:lineRule="exact"/>
        <w:rPr>
          <w:sz w:val="20"/>
          <w:szCs w:val="20"/>
          <w:color w:val="auto"/>
        </w:rPr>
      </w:pPr>
    </w:p>
    <w:p>
      <w:pPr>
        <w:jc w:val="both"/>
        <w:ind w:firstLine="514"/>
        <w:spacing w:after="0" w:line="286" w:lineRule="auto"/>
        <w:tabs>
          <w:tab w:leader="none" w:pos="882"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Collection and Usage</w:t>
      </w:r>
      <w:r>
        <w:rPr>
          <w:rFonts w:ascii="Arial" w:cs="Arial" w:eastAsia="Arial" w:hAnsi="Arial"/>
          <w:sz w:val="14"/>
          <w:szCs w:val="14"/>
          <w:b w:val="1"/>
          <w:bCs w:val="1"/>
          <w:i w:val="1"/>
          <w:iCs w:val="1"/>
          <w:color w:val="auto"/>
        </w:rPr>
        <w:t>. The Company collects, processes and uses personal data of Employees, including name, home address, email address and telephone number, date of birth, social insurance, passport or other identification number, salary, citizenship, job title, any Shares or directorships held in the Company, and details of all Restricted Stock Units canceled, vested, or outstanding in Participant’s favor, which the Company receives from Participant or the Employer. If the Company offers Participant a grant of Restricted Stock Units under the Plan, then the Company will collect his or her personal data for purposes of allocating shares and implementing, administering and managing the Plan. The Company’s legal basis for the processing of Participant’s personal data will be his or her consent.</w:t>
      </w:r>
    </w:p>
    <w:p>
      <w:pPr>
        <w:spacing w:after="0" w:line="335" w:lineRule="exact"/>
        <w:rPr>
          <w:rFonts w:ascii="Arial" w:cs="Arial" w:eastAsia="Arial" w:hAnsi="Arial"/>
          <w:sz w:val="14"/>
          <w:szCs w:val="14"/>
          <w:b w:val="1"/>
          <w:bCs w:val="1"/>
          <w:color w:val="auto"/>
        </w:rPr>
      </w:pPr>
    </w:p>
    <w:p>
      <w:pPr>
        <w:jc w:val="both"/>
        <w:ind w:firstLine="514"/>
        <w:spacing w:after="0" w:line="284" w:lineRule="auto"/>
        <w:tabs>
          <w:tab w:leader="none" w:pos="921"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Employee data to E*TRADE Financial Corporate Services, Inc. (“E*TRADE from Morgan Stanley”) an independent service provider based in the United States which assists the Company with the implementation, administration and management of the Plan, and any successor thereto. In the future, the Company may select a different service provider and share Participant’s data with another company that serves in a similar manner. The Company’s service provider will open an account for Participant to receive and trade Shares. Participant will be asked to agree on separate terms and data processing practices with the service provider, which is a condition of Participant’s ability to participate in the Plan.</w:t>
      </w:r>
    </w:p>
    <w:p>
      <w:pPr>
        <w:spacing w:after="0" w:line="161" w:lineRule="exact"/>
        <w:rPr>
          <w:rFonts w:ascii="Arial" w:cs="Arial" w:eastAsia="Arial" w:hAnsi="Arial"/>
          <w:sz w:val="14"/>
          <w:szCs w:val="14"/>
          <w:b w:val="1"/>
          <w:bCs w:val="1"/>
          <w:color w:val="auto"/>
        </w:rPr>
      </w:pPr>
    </w:p>
    <w:p>
      <w:pPr>
        <w:jc w:val="both"/>
        <w:ind w:firstLine="514"/>
        <w:spacing w:after="0" w:line="284" w:lineRule="auto"/>
        <w:tabs>
          <w:tab w:leader="none" w:pos="871"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and its service providers are based in the United States. If Participant is outside the United States, he or she should note that his or her country has enacted data privacy laws that are different from the United States. The transfer of Participant’s personal data by the Company is not subject to appropriate safeguards and is based solely on Participant’s consent.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50" w:lineRule="exact"/>
        <w:rPr>
          <w:rFonts w:ascii="Arial" w:cs="Arial" w:eastAsia="Arial" w:hAnsi="Arial"/>
          <w:sz w:val="14"/>
          <w:szCs w:val="14"/>
          <w:b w:val="1"/>
          <w:bCs w:val="1"/>
          <w:color w:val="auto"/>
        </w:rPr>
      </w:pPr>
    </w:p>
    <w:p>
      <w:pPr>
        <w:jc w:val="both"/>
        <w:ind w:firstLine="514"/>
        <w:spacing w:after="0" w:line="289" w:lineRule="auto"/>
        <w:tabs>
          <w:tab w:leader="none" w:pos="964"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Participant’s personal data only as long as is necessary to implement, administer and manage his or her participation in the Plan or as required to comply with legal or regulatory obligations, including under tax and security laws. This period may extend beyond the date of Participant’s termination. When the Company no longer needs Participant’s personal data, the Company will remove it from its systems. The Company may keep data longer to satisfy legal or regulatory obligations, and the Company’s legal basis would be compliance with the relevant laws or regulations.</w:t>
      </w:r>
    </w:p>
    <w:p>
      <w:pPr>
        <w:spacing w:after="0" w:line="158" w:lineRule="exact"/>
        <w:rPr>
          <w:rFonts w:ascii="Arial" w:cs="Arial" w:eastAsia="Arial" w:hAnsi="Arial"/>
          <w:sz w:val="14"/>
          <w:szCs w:val="14"/>
          <w:b w:val="1"/>
          <w:bCs w:val="1"/>
          <w:color w:val="auto"/>
        </w:rPr>
      </w:pPr>
    </w:p>
    <w:p>
      <w:pPr>
        <w:jc w:val="both"/>
        <w:ind w:firstLine="514"/>
        <w:spacing w:after="0" w:line="289" w:lineRule="auto"/>
        <w:tabs>
          <w:tab w:leader="none" w:pos="935"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Voluntariness and Consequences of Consent Denial or Withdrawal</w:t>
      </w:r>
      <w:r>
        <w:rPr>
          <w:rFonts w:ascii="Arial" w:cs="Arial" w:eastAsia="Arial" w:hAnsi="Arial"/>
          <w:sz w:val="14"/>
          <w:szCs w:val="14"/>
          <w:b w:val="1"/>
          <w:bCs w:val="1"/>
          <w:i w:val="1"/>
          <w:iCs w:val="1"/>
          <w:color w:val="auto"/>
        </w:rPr>
        <w:t>. Participant’s participation in the Plan and his or her grant of consent is purely voluntary. Participant may deny or withdraw his or her consent at any time. If Participant does not consent, or if he or she withdraws his or her consent, Participant cannot participate in the Plan. This would not affect Participant’s salary as an Employee, or his or her career; Participant would merely forfeit the opportunities associated with the Plan.</w:t>
      </w:r>
    </w:p>
    <w:p>
      <w:pPr>
        <w:sectPr>
          <w:pgSz w:w="11900" w:h="16838" w:orient="portrait"/>
          <w:cols w:equalWidth="0" w:num="1">
            <w:col w:w="11280"/>
          </w:cols>
          <w:pgMar w:left="300" w:top="1156" w:right="319" w:bottom="1440" w:gutter="0" w:footer="0" w:header="0"/>
        </w:sectPr>
      </w:pPr>
    </w:p>
    <w:bookmarkStart w:id="174" w:name="page175"/>
    <w:bookmarkEnd w:id="174"/>
    <w:p>
      <w:pPr>
        <w:jc w:val="both"/>
        <w:ind w:firstLine="514"/>
        <w:spacing w:after="0" w:line="284" w:lineRule="auto"/>
        <w:tabs>
          <w:tab w:leader="none" w:pos="818"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Subject Rights</w:t>
      </w:r>
      <w:r>
        <w:rPr>
          <w:rFonts w:ascii="Arial" w:cs="Arial" w:eastAsia="Arial" w:hAnsi="Arial"/>
          <w:sz w:val="14"/>
          <w:szCs w:val="14"/>
          <w:b w:val="1"/>
          <w:bCs w:val="1"/>
          <w:i w:val="1"/>
          <w:iCs w:val="1"/>
          <w:color w:val="auto"/>
        </w:rPr>
        <w:t>. Participant has a number of rights under data privacy laws in his or her country. Depending on where Participant is based, his or her rights may include the right to (a) to request access or copies of personal data the Company’s processes, (b) rectification of incorrect data, (c) deletion of data, (d) restrictions on processing, (e) portability of data, (f) to lodge complaints with competent authorities in his or her country, and/or (g) a list with the names and addresses of any potential recipients of his or her personal data. To receive clarification regarding Participant’s rights or to exercise his or her rights please contact privacy.questions@autodesk.com.</w:t>
      </w:r>
    </w:p>
    <w:p>
      <w:pPr>
        <w:spacing w:after="0" w:line="161" w:lineRule="exact"/>
        <w:rPr>
          <w:sz w:val="20"/>
          <w:szCs w:val="20"/>
          <w:color w:val="auto"/>
        </w:rPr>
      </w:pPr>
    </w:p>
    <w:p>
      <w:pPr>
        <w:ind w:firstLine="509"/>
        <w:spacing w:after="0" w:line="315" w:lineRule="auto"/>
        <w:rPr>
          <w:sz w:val="20"/>
          <w:szCs w:val="20"/>
          <w:color w:val="auto"/>
        </w:rPr>
      </w:pPr>
      <w:r>
        <w:rPr>
          <w:rFonts w:ascii="Arial" w:cs="Arial" w:eastAsia="Arial" w:hAnsi="Arial"/>
          <w:sz w:val="14"/>
          <w:szCs w:val="14"/>
          <w:b w:val="1"/>
          <w:bCs w:val="1"/>
          <w:i w:val="1"/>
          <w:iCs w:val="1"/>
          <w:color w:val="auto"/>
        </w:rPr>
        <w:t>If Participant agrees with the data processing practices as described in this notice, he or she should declare his or her consent by clicking “Accept” on the E*TRADE from Morgan Stanley award acceptance page.</w:t>
      </w:r>
    </w:p>
    <w:p>
      <w:pPr>
        <w:spacing w:after="0" w:line="127" w:lineRule="exact"/>
        <w:rPr>
          <w:sz w:val="20"/>
          <w:szCs w:val="20"/>
          <w:color w:val="auto"/>
        </w:rPr>
      </w:pPr>
    </w:p>
    <w:p>
      <w:pPr>
        <w:jc w:val="both"/>
        <w:ind w:firstLine="514"/>
        <w:spacing w:after="0" w:line="295" w:lineRule="auto"/>
        <w:tabs>
          <w:tab w:leader="none" w:pos="756"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Currency Exchange Risk</w:t>
      </w:r>
      <w:r>
        <w:rPr>
          <w:rFonts w:ascii="Arial" w:cs="Arial" w:eastAsia="Arial" w:hAnsi="Arial"/>
          <w:sz w:val="14"/>
          <w:szCs w:val="14"/>
          <w:color w:val="auto"/>
        </w:rPr>
        <w:t>. Participant agrees and acknowledges that Participant shall bear any and all risk associated with the exchange or fluctuation of currency associated with the Award, including without limitation the settlement of the Award or sale of the Shares (the “Currency Exchange Risk”). Participant waives and releases the Company and its Subsidiaries from any potential claims arising out of the Currency Exchange Risk.</w:t>
      </w:r>
    </w:p>
    <w:p>
      <w:pPr>
        <w:spacing w:after="0" w:line="149" w:lineRule="exact"/>
        <w:rPr>
          <w:rFonts w:ascii="Arial" w:cs="Arial" w:eastAsia="Arial" w:hAnsi="Arial"/>
          <w:sz w:val="14"/>
          <w:szCs w:val="14"/>
          <w:color w:val="auto"/>
        </w:rPr>
      </w:pPr>
    </w:p>
    <w:p>
      <w:pPr>
        <w:jc w:val="both"/>
        <w:ind w:firstLine="514"/>
        <w:spacing w:after="0" w:line="292" w:lineRule="auto"/>
        <w:tabs>
          <w:tab w:leader="none" w:pos="745"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Exhibit B</w:t>
      </w:r>
      <w:r>
        <w:rPr>
          <w:rFonts w:ascii="Arial" w:cs="Arial" w:eastAsia="Arial" w:hAnsi="Arial"/>
          <w:sz w:val="14"/>
          <w:szCs w:val="14"/>
          <w:color w:val="auto"/>
        </w:rPr>
        <w:t>. Notwithstanding any provisions in this Agreement, the Restricted Stock Units shall be subject to any applicable country-specific provisions set forth in Exhibit B to this Agreement for Participant’s country. Moreover, if Participant relocates to one of the countries included in Exhibit B, the provisions for such country will apply to Participant, to the extent the Company determines that the application of such provisions is necessary or advisable for legal or administrative reasons. Exhibit B constitutes part of this Agreement.</w:t>
      </w:r>
    </w:p>
    <w:p>
      <w:pPr>
        <w:spacing w:after="0" w:line="346" w:lineRule="exact"/>
        <w:rPr>
          <w:rFonts w:ascii="Arial" w:cs="Arial" w:eastAsia="Arial" w:hAnsi="Arial"/>
          <w:sz w:val="14"/>
          <w:szCs w:val="14"/>
          <w:color w:val="auto"/>
        </w:rPr>
      </w:pPr>
    </w:p>
    <w:p>
      <w:pPr>
        <w:jc w:val="both"/>
        <w:ind w:firstLine="514"/>
        <w:spacing w:after="0" w:line="287" w:lineRule="auto"/>
        <w:tabs>
          <w:tab w:leader="none" w:pos="745"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Imposition of Other Requirements</w:t>
      </w:r>
      <w:r>
        <w:rPr>
          <w:rFonts w:ascii="Arial" w:cs="Arial" w:eastAsia="Arial" w:hAnsi="Arial"/>
          <w:sz w:val="14"/>
          <w:szCs w:val="14"/>
          <w:color w:val="auto"/>
        </w:rPr>
        <w:t>. 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65" w:lineRule="exact"/>
        <w:rPr>
          <w:rFonts w:ascii="Arial" w:cs="Arial" w:eastAsia="Arial" w:hAnsi="Arial"/>
          <w:sz w:val="14"/>
          <w:szCs w:val="14"/>
          <w:color w:val="auto"/>
        </w:rPr>
      </w:pPr>
    </w:p>
    <w:p>
      <w:pPr>
        <w:jc w:val="both"/>
        <w:ind w:firstLine="514"/>
        <w:spacing w:after="0" w:line="287" w:lineRule="auto"/>
        <w:tabs>
          <w:tab w:leader="none" w:pos="745"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Participant’s participation in the Plan, or Participant’s acquisition or sale of the underlying Shares. Participant understands and agrees that Participant should consult with his or her own personal tax, legal and financial advisors regarding his or her participation in the Plan before taking any action related to the Plan.</w:t>
      </w:r>
    </w:p>
    <w:p>
      <w:pPr>
        <w:spacing w:after="0" w:line="165" w:lineRule="exact"/>
        <w:rPr>
          <w:rFonts w:ascii="Arial" w:cs="Arial" w:eastAsia="Arial" w:hAnsi="Arial"/>
          <w:sz w:val="14"/>
          <w:szCs w:val="14"/>
          <w:color w:val="auto"/>
        </w:rPr>
      </w:pPr>
    </w:p>
    <w:p>
      <w:pPr>
        <w:ind w:firstLine="514"/>
        <w:spacing w:after="0" w:line="306" w:lineRule="auto"/>
        <w:tabs>
          <w:tab w:leader="none" w:pos="745"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Participant acknowledge that a waiver by the Company of breach of any provision of this Agreement shall not operate or be construed as a waiver of any other provision of this Agreement, or of any subsequent breach by Participant or any other Participant.</w:t>
      </w:r>
    </w:p>
    <w:p>
      <w:pPr>
        <w:spacing w:after="0" w:line="141" w:lineRule="exact"/>
        <w:rPr>
          <w:rFonts w:ascii="Arial" w:cs="Arial" w:eastAsia="Arial" w:hAnsi="Arial"/>
          <w:sz w:val="14"/>
          <w:szCs w:val="14"/>
          <w:color w:val="auto"/>
        </w:rPr>
      </w:pPr>
    </w:p>
    <w:p>
      <w:pPr>
        <w:jc w:val="both"/>
        <w:ind w:firstLine="514"/>
        <w:spacing w:after="0" w:line="286" w:lineRule="auto"/>
        <w:tabs>
          <w:tab w:leader="none" w:pos="745"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Insider-Trading/Market-Abuse Laws</w:t>
      </w:r>
      <w:r>
        <w:rPr>
          <w:rFonts w:ascii="Arial" w:cs="Arial" w:eastAsia="Arial" w:hAnsi="Arial"/>
          <w:sz w:val="14"/>
          <w:szCs w:val="14"/>
          <w:color w:val="auto"/>
        </w:rPr>
        <w:t>. Participant may be subject to insider trading restrictions and/or market abuse laws based on the exchange on which the Shares are listed and in applicable jurisdictions including the United States and Participant’s country or his or her broker’s country, if different, which may affect Participant’s ability to accept, acquire, sell or otherwise dispose of Shares, rights to Shares (e.g., Restricted Stock Units) or rights linked to the value of Shares during such times as Participant is considered to have “inside information” regarding the Company (as defined by the laws in applicable jurisdictions). Local insider trading laws and regulations may prohibit the cancellation or amendment of orders Participant placed before he or she possessed inside information. Furthermore,</w:t>
      </w:r>
    </w:p>
    <w:p>
      <w:pPr>
        <w:sectPr>
          <w:pgSz w:w="11900" w:h="16838" w:orient="portrait"/>
          <w:cols w:equalWidth="0" w:num="1">
            <w:col w:w="11280"/>
          </w:cols>
          <w:pgMar w:left="300" w:top="1156" w:right="319" w:bottom="1440" w:gutter="0" w:footer="0" w:header="0"/>
        </w:sectPr>
      </w:pPr>
    </w:p>
    <w:bookmarkStart w:id="175" w:name="page176"/>
    <w:bookmarkEnd w:id="175"/>
    <w:p>
      <w:pPr>
        <w:jc w:val="both"/>
        <w:spacing w:after="0" w:line="286" w:lineRule="auto"/>
        <w:rPr>
          <w:sz w:val="20"/>
          <w:szCs w:val="20"/>
          <w:color w:val="auto"/>
        </w:rPr>
      </w:pPr>
      <w:r>
        <w:rPr>
          <w:rFonts w:ascii="Arial" w:cs="Arial" w:eastAsia="Arial" w:hAnsi="Arial"/>
          <w:sz w:val="14"/>
          <w:szCs w:val="14"/>
          <w:color w:val="auto"/>
        </w:rPr>
        <w:t>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Autodesk, Inc. Insider Trading Policy. Participant is responsible for complying with any applicable restrictions, and should speak to Participant’s personal legal advisor and/or the Company’s Legal Department for further details regarding any applicable insider-trading and/or market-abuse laws in Participant’s country.</w:t>
      </w:r>
    </w:p>
    <w:p>
      <w:pPr>
        <w:spacing w:after="0" w:line="156" w:lineRule="exact"/>
        <w:rPr>
          <w:sz w:val="20"/>
          <w:szCs w:val="20"/>
          <w:color w:val="auto"/>
        </w:rPr>
      </w:pPr>
    </w:p>
    <w:p>
      <w:pPr>
        <w:jc w:val="both"/>
        <w:ind w:firstLine="514"/>
        <w:spacing w:after="0" w:line="282" w:lineRule="auto"/>
        <w:tabs>
          <w:tab w:leader="none" w:pos="756"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Foreign Asset/Account Reporting Requirements and Exchange Controls</w:t>
      </w:r>
      <w:r>
        <w:rPr>
          <w:rFonts w:ascii="Arial" w:cs="Arial" w:eastAsia="Arial" w:hAnsi="Arial"/>
          <w:sz w:val="14"/>
          <w:szCs w:val="14"/>
          <w:color w:val="auto"/>
        </w:rPr>
        <w:t>. Participant acknowledges that Participant’s country may have certain foreign asset and/or foreign account reporting requirements and exchange controls which may affect Participant’s ability to acquire or hold Shares purchased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Participant’s personal legal advisor for any details.</w:t>
      </w:r>
    </w:p>
    <w:p>
      <w:pPr>
        <w:spacing w:after="0" w:line="159" w:lineRule="exact"/>
        <w:rPr>
          <w:rFonts w:ascii="Arial" w:cs="Arial" w:eastAsia="Arial" w:hAnsi="Arial"/>
          <w:sz w:val="14"/>
          <w:szCs w:val="14"/>
          <w:color w:val="auto"/>
        </w:rPr>
      </w:pPr>
    </w:p>
    <w:p>
      <w:pPr>
        <w:jc w:val="both"/>
        <w:ind w:firstLine="514"/>
        <w:spacing w:after="0" w:line="278" w:lineRule="auto"/>
        <w:tabs>
          <w:tab w:leader="none" w:pos="937"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Recoupment</w:t>
      </w:r>
      <w:r>
        <w:rPr>
          <w:rFonts w:ascii="Arial" w:cs="Arial" w:eastAsia="Arial" w:hAnsi="Arial"/>
          <w:sz w:val="14"/>
          <w:szCs w:val="14"/>
          <w:color w:val="auto"/>
        </w:rPr>
        <w:t>. As an additional condition of receiving this award of Restricted Stock Units, Participant agrees that the Restricted Stock Units, whether vested or unvested, and/or the Shares, cash or other benefits acquired pursuant to the Restricted Stock Units (and any proceeds therefrom) may be subject to recoupment to the extent required (i) under the Company’s clawback policies in effect as of the date of this Agreement, or to the extent adopted following the date of this Agreement any similar policy applicable to circumstances where Participant engages in misconduct, fraud, a violation of law or other similar circumstances, and, in each case, as they may be amended from time to time, or (ii) under applicable laws, regulations or stock exchange listing standards (collectively, the “Recoupment Policy”). In order to satisfy any recoupment obligation arising under the Recoupment Policy, among other things, Participant expressly and explicitly authorize the Company to issue instructions, on Participant’s behalf, to any brokerage firm and/or third party administrator engaged by the Company to hold any Shares or other amounts acquired pursuant to the Restricted Stock Units to re-convey, transfer or otherwise return such Shares and/or other amounts to the Company upon the Company’s enforcement of the Recoupment Policy. No recovery of compensation as described in this section will be an event giving rise to your right to resign for “good reason” or “constructive termination” (or similar term) under any plan of, or agreement with, the Company, any Subsidiary and/or the Employer.</w:t>
      </w:r>
    </w:p>
    <w:p>
      <w:pPr>
        <w:sectPr>
          <w:pgSz w:w="11900" w:h="16838" w:orient="portrait"/>
          <w:cols w:equalWidth="0" w:num="1">
            <w:col w:w="11280"/>
          </w:cols>
          <w:pgMar w:left="300" w:top="1154" w:right="3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COUNTRY-SPECIFIC PROVISIONS TO THE</w:t>
      </w:r>
    </w:p>
    <w:p>
      <w:pPr>
        <w:spacing w:after="0" w:line="33"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TERMS AND CONDITIONS OF RESTRICTED STOCK UNITS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the AUTODESK,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2022 EQUITY INCENTIVE PLAN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This Appendix includes additional terms and conditions that govern the Restricted Stock Units granted to Participant under the Autodesk, Inc. (the “Company”) 2022 Equity Incentive Plan (the “Plan”) if Participant works and/or resides in one of the countries listed below. Capitalized terms used but not defined in this Exhibit B have the meanings set forth in the Plan, the Notice of Restricted Stock Unit Grant (the “Notice”) and/or the Terms and Conditions of Restricted Stock Unit Agreement (the “Agreement”).</w:t>
      </w:r>
    </w:p>
    <w:p>
      <w:pPr>
        <w:spacing w:after="0" w:line="14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If Participant is a citizen or resident of a country other than the one in which Participant is currently working and/or residing, is considered a resident of another country for local law purposes or transfers employer and/or residency between countries after the Date of Grant, the Company shall, in its sole discretion, determine to what extent the terms and conditions contained herein shall apply to Participant under these circumstances.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This Exhibit B also includes information regarding securities laws, exchange controls and certain other issues of which Participant should be aware with respect to his or her participation in the Plan. The information is based on the securities laws, exchange controls and other laws in effect in the respective countries as of February 2024. Such laws are often complex and change frequently. As a result, the Company strongly recommends Participant not rely on the information in this Exhibit B as the only source of information relating to the consequences of Participant’s participation in the Plan because the information may be out of date at the time the Restricted Stock Units vest, or Participant sells the Shares acquired upon vesting of the Restricted Stock Units under the Plan.</w:t>
      </w:r>
    </w:p>
    <w:p>
      <w:pPr>
        <w:spacing w:after="0" w:line="158"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w:t>
      </w:r>
    </w:p>
    <w:p>
      <w:pPr>
        <w:spacing w:after="0" w:line="323"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Finally, if Participant is a citizen or resident of a country other than the one in which he or she is currently working and/or residing, transfers after the Date of Grant or is considered a resident of another country for local law purposes, the information contained herein may not apply in the same manner.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COUNTRIES</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Notwithstanding the provisions of the Agreement, if the Company or the Employer develops a good faith belief that any provision may be found to be unlawful, discriminatory or against public policy in any relevant jurisdiction, then the Company in its sole discretion may choose not to apply such provision to the Award, nor any Award grant in Participant’s jurisdiction.</w:t>
      </w:r>
    </w:p>
    <w:p>
      <w:pPr>
        <w:sectPr>
          <w:pgSz w:w="11900" w:h="16838" w:orient="portrait"/>
          <w:cols w:equalWidth="0" w:num="1">
            <w:col w:w="11280"/>
          </w:cols>
          <w:pgMar w:left="300" w:top="1345"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Labor Law Acknowledgement</w:t>
      </w:r>
      <w:r>
        <w:rPr>
          <w:rFonts w:ascii="Arial" w:cs="Arial" w:eastAsia="Arial" w:hAnsi="Arial"/>
          <w:sz w:val="14"/>
          <w:szCs w:val="14"/>
          <w:color w:val="auto"/>
        </w:rPr>
        <w:t>. This provision supplements Section 24 of the Agreement.</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accepting the Award, Participant acknowledges and agrees that the grant of Restricted Stock Units is made by the Company (not the Employer) in its sole discretion and the value of the Restricted Stock Units or any Shares acquired under the Plan shall not constitute salary or wages for any purpose under Argentine labor law, including, but not limited to, the calculation of (i) any labor benefits including, without limitation, vacation pay, compensation in lieu of notice, annual bonus, disability, and leave of absence payments, etc., or (ii) any termination or severance indemnities or similar payments.</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If, notwithstanding the foregoing, any benefits under the Plan are considered as salary or wages for any purpose under Argentine labor law, Participant acknowledges and agrees that such benefits shall not accrue more frequently than on each Restricted Stock Units vesting date. Participant further acknowledges and agrees the Restricted Stock Units are an extraordinary benefit, which for labor law purposes (e.g. thirteenth month salary, Christmas bonuses, or similar payments) are valued at the fair market value of the Shares on the date of vesting, when the Shares are delivered to the Participant. A portion of such value may be deducted, to be taken into account for thirteenth month salary purposes as of the month in which the vesting occurs if required under local law. Further, Participant acknowledges and agrees that, for all legal purposes, the Award and the underlying Shares are the result of commercial transactions unrelated to Participant’s employment and is not part of the terms and conditions of Participant’s employment.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Neither the Restricted Stock Units nor the underlying Shares are publicly offered, listed on any stock exchange in Argentina, or registered with the Argentine Securities Commission (</w:t>
      </w:r>
      <w:r>
        <w:rPr>
          <w:rFonts w:ascii="Arial" w:cs="Arial" w:eastAsia="Arial" w:hAnsi="Arial"/>
          <w:sz w:val="14"/>
          <w:szCs w:val="14"/>
          <w:i w:val="1"/>
          <w:iCs w:val="1"/>
          <w:color w:val="auto"/>
        </w:rPr>
        <w:t>Comisión Nacional de Valores</w:t>
      </w:r>
      <w:r>
        <w:rPr>
          <w:rFonts w:ascii="Arial" w:cs="Arial" w:eastAsia="Arial" w:hAnsi="Arial"/>
          <w:sz w:val="14"/>
          <w:szCs w:val="14"/>
          <w:color w:val="auto"/>
        </w:rPr>
        <w:t>). Neither this Exhibit B nor any other offering material related to the Award nor the underlying Shares may be utilized in connection with any general offering to the public in Argentina.</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Because Participant is not required to purchase foreign currency and remit funds out of Argentina to acquire Shares under the Plan, local exchange control restrictions should not apply. Notwithstanding the foregoing, Participant must comply with any and all Argentine currency exchange restrictions, approvals and reporting requirements in connection with this Award. Argentine residents should consult with their personal advisor to confirm what will be required (if anything) as the exchange control rules and regulations are subject to change without notice.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Form of Settlement</w:t>
      </w:r>
      <w:r>
        <w:rPr>
          <w:rFonts w:ascii="Arial" w:cs="Arial" w:eastAsia="Arial" w:hAnsi="Arial"/>
          <w:sz w:val="14"/>
          <w:szCs w:val="14"/>
          <w:color w:val="auto"/>
        </w:rPr>
        <w:t>. Notwithstanding Section 2 or any other provision of this Agreement, (a) the Restricted Stock Units may not be settled in cash; and (b) the vesting of Restricted Stock Units may be</w:t>
      </w:r>
    </w:p>
    <w:p>
      <w:pPr>
        <w:sectPr>
          <w:pgSz w:w="11900" w:h="16838" w:orient="portrait"/>
          <w:cols w:equalWidth="0" w:num="1">
            <w:col w:w="11280"/>
          </w:cols>
          <w:pgMar w:left="300" w:top="1154" w:right="3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color w:val="auto"/>
        </w:rPr>
        <w:t>accelerated by the Administrator only upon the death or total permanent disablement of Participant, and to the extent permitted by Applicable Law.</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 xml:space="preserve">A Participant will cease to be an employee for the purposes of the Plan (incorporating this Agreement) if he or she is no longer an “Employee” as defined in the Plan, or Participant is no longer employed by any of the following: (a) Participant’s employer in the employment in respect of which Participant acquired the Restricted Stock Units; (b) a holding company (within the meaning of the </w:t>
      </w:r>
      <w:r>
        <w:rPr>
          <w:rFonts w:ascii="Arial" w:cs="Arial" w:eastAsia="Arial" w:hAnsi="Arial"/>
          <w:sz w:val="14"/>
          <w:szCs w:val="14"/>
          <w:i w:val="1"/>
          <w:iCs w:val="1"/>
          <w:color w:val="auto"/>
        </w:rPr>
        <w:t>Corporations Act 2001</w:t>
      </w:r>
      <w:r>
        <w:rPr>
          <w:rFonts w:ascii="Arial" w:cs="Arial" w:eastAsia="Arial" w:hAnsi="Arial"/>
          <w:sz w:val="14"/>
          <w:szCs w:val="14"/>
          <w:color w:val="auto"/>
        </w:rPr>
        <w:t xml:space="preserve"> (Cth)) of Participant’s employer in the employment in respect of which Participant acquired the Restricted Stock Units; (c) a subsidiary (within the meaning of the </w:t>
      </w:r>
      <w:r>
        <w:rPr>
          <w:rFonts w:ascii="Arial" w:cs="Arial" w:eastAsia="Arial" w:hAnsi="Arial"/>
          <w:sz w:val="14"/>
          <w:szCs w:val="14"/>
          <w:i w:val="1"/>
          <w:iCs w:val="1"/>
          <w:color w:val="auto"/>
        </w:rPr>
        <w:t>Income Tax Assessment Act 1997</w:t>
      </w:r>
      <w:r>
        <w:rPr>
          <w:rFonts w:ascii="Arial" w:cs="Arial" w:eastAsia="Arial" w:hAnsi="Arial"/>
          <w:sz w:val="14"/>
          <w:szCs w:val="14"/>
          <w:color w:val="auto"/>
        </w:rPr>
        <w:t xml:space="preserve"> (Cth)) of Participant’s employer in the employment in respect of which Participant acquired the Restricted Stock Units; or (d) a subsidiary (within the meaning of the </w:t>
      </w:r>
      <w:r>
        <w:rPr>
          <w:rFonts w:ascii="Arial" w:cs="Arial" w:eastAsia="Arial" w:hAnsi="Arial"/>
          <w:sz w:val="14"/>
          <w:szCs w:val="14"/>
          <w:i w:val="1"/>
          <w:iCs w:val="1"/>
          <w:color w:val="auto"/>
        </w:rPr>
        <w:t>Income Tax Assessment Act 1997</w:t>
      </w:r>
      <w:r>
        <w:rPr>
          <w:rFonts w:ascii="Arial" w:cs="Arial" w:eastAsia="Arial" w:hAnsi="Arial"/>
          <w:sz w:val="14"/>
          <w:szCs w:val="14"/>
          <w:color w:val="auto"/>
        </w:rPr>
        <w:t xml:space="preserve"> (Cth) of a holding company (within the meaning of the </w:t>
      </w:r>
      <w:r>
        <w:rPr>
          <w:rFonts w:ascii="Arial" w:cs="Arial" w:eastAsia="Arial" w:hAnsi="Arial"/>
          <w:sz w:val="14"/>
          <w:szCs w:val="14"/>
          <w:i w:val="1"/>
          <w:iCs w:val="1"/>
          <w:color w:val="auto"/>
        </w:rPr>
        <w:t>Corporations Act 2001</w:t>
      </w:r>
      <w:r>
        <w:rPr>
          <w:rFonts w:ascii="Arial" w:cs="Arial" w:eastAsia="Arial" w:hAnsi="Arial"/>
          <w:sz w:val="14"/>
          <w:szCs w:val="14"/>
          <w:color w:val="auto"/>
        </w:rPr>
        <w:t xml:space="preserve"> (Cth)) of Participant’s employer in the employment in respect of which Participant acquired the Restricted Stock Units.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Tax Information</w:t>
      </w:r>
      <w:r>
        <w:rPr>
          <w:rFonts w:ascii="Arial" w:cs="Arial" w:eastAsia="Arial" w:hAnsi="Arial"/>
          <w:sz w:val="14"/>
          <w:szCs w:val="14"/>
          <w:color w:val="auto"/>
        </w:rPr>
        <w:t>: The Plan is a plan to which Subdivision 83A-C of the Income Tax Assessment Act 1997 (Cth) (the “Act”) applies (subject to the conditions in that Act).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This offer is being made under Division 1A, Part 7.12 of the Corporations Act 2001 (Cth).</w:t>
      </w:r>
    </w:p>
    <w:p>
      <w:pPr>
        <w:spacing w:after="0" w:line="189"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Please note that if Participant offers Shares for sale to a person or entity resident in Australia, the offer may be subject to disclosure requirements under Australian law. Participant should obtain legal advice on Participant’s disclosure obligations prior to making any such offer.</w:t>
      </w:r>
    </w:p>
    <w:p>
      <w:pPr>
        <w:spacing w:after="0" w:line="13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is an Australian resident, exchange control reporting is required for cash transactions exceeding A$10,000 and for international fund transfers. If an Australian bank is assisting with the transaction, the bank will file the report on Participant’s behalf. If there is no Australian bank involved in the transfer, Participant will be required to file the report.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holds securities (including Shares acquired under the Plan outside Austria, even if Participant holds them outside of Austria with an Austrian bank) or cash (including proceeds from the sale of Shares), Participant understands that Participant must submit quarterly reports to the Austrian National Bank using the form “Standmeldung/Wertpapiere.” An exemption applies if the value of the Shares held outside Austria of any quarter does not exceed €5,000,000. The deadline for filing the quarterly report is the 15th day of the month following the end of the respective quarter.</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Participant sells Shares, or receives any cash dividends, Participant may have exchange control obligations if Participant holds the cash proceeds outside of Austria, as a separate reporting requirement applies to any non-Austrian cash accounts. If the transaction volume of all of Participant’s cash accounts abroad exceeds €10,000,000, Participant must report to the Austrian National Bank the movements and balances of all accounts on a monthly basis, as of the last day of the month, on or before the 15th day of the following month, on the prescribed form (Meldungen SI-Forderungen und/oder SI-Verpflichtungen).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BELGIUM</w:t>
      </w:r>
    </w:p>
    <w:p>
      <w:pPr>
        <w:sectPr>
          <w:pgSz w:w="11900" w:h="16838" w:orient="portrait"/>
          <w:cols w:equalWidth="0" w:num="1">
            <w:col w:w="11280"/>
          </w:cols>
          <w:pgMar w:left="300" w:top="1154"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BRAZIL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Compliance with Law</w:t>
      </w:r>
      <w:r>
        <w:rPr>
          <w:rFonts w:ascii="Arial" w:cs="Arial" w:eastAsia="Arial" w:hAnsi="Arial"/>
          <w:sz w:val="14"/>
          <w:szCs w:val="14"/>
          <w:color w:val="auto"/>
        </w:rPr>
        <w:t>. In accepting the Award, Participant agrees to comply with all applicable Brazilian laws and to report and pay any and all applicable Tax-Related Items associated with the vesting of the Restricted Stock Units and issuance or sale of Shares acquired under the Plan or the receipt of dividends.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Labor Law Acknowledgement</w:t>
      </w:r>
      <w:r>
        <w:rPr>
          <w:rFonts w:ascii="Arial" w:cs="Arial" w:eastAsia="Arial" w:hAnsi="Arial"/>
          <w:sz w:val="14"/>
          <w:szCs w:val="14"/>
          <w:color w:val="auto"/>
        </w:rPr>
        <w:t>. In accepting the Award, Participant agrees that he or she is (i) making an investment decision, and (ii) the value of the underlying Shares is not fixed and may increase or decrease in value over the vesting period without compensation to Participant.</w:t>
      </w:r>
    </w:p>
    <w:p>
      <w:pPr>
        <w:spacing w:after="0" w:line="14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Further, Participant acknowledges and agrees that, for all legal purposes, (i) any benefits provided to Participant under the Plan are unrelated to their employment or service; (ii) the Plan is not a part of the terms and conditions of their employment or service; and (iii) the income from Participant’s participation in the Plan, if any, is not part of Participant’s remuneration from employment or service.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is a resident or domiciled in Brazil, he or she will be required to submit an annual declaration of assets and rights (including Shares issued upon settlement of the Restricted Stock Units) held outside Brazil to the Central Bank of Brazil if the aggregate value of such assets and rights held abroad is equal to or exceeds a threshold that is established annually by the Central Bank. If the value of the Shares received under the Plan exceeds a certain threshold, Participant must report the Shares acquired in the assets and rights section of the annual Natural Person Income Tax Return typically due by the last business day of April. Participant should consult with his or her personal legal advisor to ensure compliance with applicable Brazilian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CANADA</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Form of Settlement</w:t>
      </w:r>
      <w:r>
        <w:rPr>
          <w:rFonts w:ascii="Arial" w:cs="Arial" w:eastAsia="Arial" w:hAnsi="Arial"/>
          <w:sz w:val="14"/>
          <w:szCs w:val="14"/>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Distribution after Vesting</w:t>
      </w:r>
      <w:r>
        <w:rPr>
          <w:rFonts w:ascii="Arial" w:cs="Arial" w:eastAsia="Arial" w:hAnsi="Arial"/>
          <w:sz w:val="14"/>
          <w:szCs w:val="14"/>
          <w:i w:val="1"/>
          <w:iCs w:val="1"/>
          <w:color w:val="auto"/>
        </w:rPr>
        <w:t>.</w:t>
      </w:r>
      <w:r>
        <w:rPr>
          <w:rFonts w:ascii="Arial" w:cs="Arial" w:eastAsia="Arial" w:hAnsi="Arial"/>
          <w:sz w:val="14"/>
          <w:szCs w:val="14"/>
          <w:color w:val="auto"/>
        </w:rPr>
        <w:t xml:space="preserve"> Section 6 of the Agreement shall be deleted in its entirety and replaced with the following language:</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9 and the other provisions of the Agreement. Any Restricted Stock Units that vest in accordance with Section 4 will be settled at the time(s) provided in Section 4, subject to Section 9 and the other provisions of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This provision replaces Section 24(g) of the Agreement:</w:t>
      </w:r>
    </w:p>
    <w:p>
      <w:pPr>
        <w:spacing w:after="0" w:line="25"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Except to the extent explicitly required under local employment standards legislation, the Restricted Stock Unit Award, and any Shares acquired under the Plan, and the income and value of same, is not part of</w:t>
      </w:r>
    </w:p>
    <w:p>
      <w:pPr>
        <w:sectPr>
          <w:pgSz w:w="11900" w:h="16838" w:orient="portrait"/>
          <w:cols w:equalWidth="0" w:num="1">
            <w:col w:w="11280"/>
          </w:cols>
          <w:pgMar w:left="300" w:top="1345" w:right="319" w:bottom="1440" w:gutter="0" w:footer="0" w:header="0"/>
        </w:sectPr>
      </w:pPr>
    </w:p>
    <w:bookmarkStart w:id="180" w:name="page181"/>
    <w:bookmarkEnd w:id="180"/>
    <w:p>
      <w:pPr>
        <w:jc w:val="both"/>
        <w:spacing w:after="0" w:line="295" w:lineRule="auto"/>
        <w:rPr>
          <w:sz w:val="20"/>
          <w:szCs w:val="20"/>
          <w:color w:val="auto"/>
        </w:rPr>
      </w:pPr>
      <w:r>
        <w:rPr>
          <w:rFonts w:ascii="Arial" w:cs="Arial" w:eastAsia="Arial" w:hAnsi="Arial"/>
          <w:sz w:val="14"/>
          <w:szCs w:val="14"/>
          <w:color w:val="auto"/>
        </w:rPr>
        <w:t>normal or expected compensation or salary for any purpose, including, but not limited to, calculating any severance payments, resignation, termination, redundancy, end-of-service payments, holiday pay, bonuses, long-service awards, leave-related payments, pension or retirement or welfare benefits or similar mandatory payments. This applies to any payment even in those jurisdictions requiring such payments upon termination of employment.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This provision replaces Section 24(n)(iii) of the Agreement:</w:t>
      </w:r>
    </w:p>
    <w:p>
      <w:pPr>
        <w:spacing w:after="0" w:line="2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Except to the extent explicitly required under local employment standards legislation, no claim or entitlement to compensation or damages shall arise from forfeiture of the Restricted Stock Units resulting from the termination of Participant’s employment or other service relationship (for any reason whatsoever, whether or not later found to be invalid or in breach of employment laws in the jurisdiction where Participant is employed or the terms of Participant’s employment agreement, if any), and in consideration of the grant of the Restricted Stock Units, Participant agrees not to institute any claim against the Company, the Employer or any of the other Subsidiaries or affiliates.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Vesting/Termination</w:t>
      </w:r>
      <w:r>
        <w:rPr>
          <w:rFonts w:ascii="Arial" w:cs="Arial" w:eastAsia="Arial" w:hAnsi="Arial"/>
          <w:sz w:val="14"/>
          <w:szCs w:val="14"/>
          <w:color w:val="auto"/>
        </w:rPr>
        <w:t>. The following provision supplements Section 5 and replaces 23(a) of the Agreement:</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For purposes of the Agreement, except to the extent expressly provided in the Agreement or expressly required by applicable legislation, in the event Participant ceases his or her employment or service relationship with the Company or Employer (for any reason whatsoever and whether or not later found to be invalid or in breach of local labor laws), Participant’s right to vest in the Restricted Stock Units will terminate as of the date that is the earliest of: (a) the date Participant is no longer employed or providing services to the Company or Employer, (b) the date Participant receives written notice of termination of employment, or (c) the date written notice of termination is delivered to Participant's last known address (together, the “Termination Date”). Except to the extent explicitly required by applicable legislation, the Termination Date will exclude any notice period or period of pay in lieu of such notice required under statute, contract, common/civil law or otherwise. Participant will not earn, or be entitled to earn, any pro-rated vesting for that portion of time before the date on which their right to vest terminates, nor will Participant be entitled to any compensation for lost vesting. In case of any dispute as to whether termination of employment has occurred that cannot be reasonably determined under the Agreement and the Plan, the Administrator shall have the sole discretion, subject to applicable legislation, to determine whether such termination of employment has occurred and the effective date of such termination.</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Notwithstanding the foregoing, if applicable employment standards legislation explicitly requires continued entitlement to vesting during a statutory notice period, Participant’s right to vest in the Restricted Stock Units under the Plan, if any, will terminate effective as of the last day of their minimum statutory notice period, but Participant will not earn or be entitled to pro-rated vesting if the vesting date falls after the end of their statutory notice period, nor will Participant be entitled to any compensation for lost vesting.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following terms and conditions will apply if Participant is a resident of Quebec</w:t>
      </w:r>
      <w:r>
        <w:rPr>
          <w:rFonts w:ascii="Arial" w:cs="Arial" w:eastAsia="Arial" w:hAnsi="Arial"/>
          <w:sz w:val="14"/>
          <w:szCs w:val="14"/>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The following provision supplements section 25 of the Agreement:</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any Parent or Subsidiary and any stock plan service provider that may be selected by the Company to assist with the Plan to disclose and discuss the Plan with their respective advisors. Participant further authorizes the Company and any Parent or Subsidiary to record such information and to keep such information in Participant’s employee</w:t>
      </w:r>
    </w:p>
    <w:p>
      <w:pPr>
        <w:sectPr>
          <w:pgSz w:w="11900" w:h="16838" w:orient="portrait"/>
          <w:cols w:equalWidth="0" w:num="1">
            <w:col w:w="11280"/>
          </w:cols>
          <w:pgMar w:left="300" w:top="1154" w:right="319" w:bottom="1440" w:gutter="0" w:footer="0" w:header="0"/>
        </w:sectPr>
      </w:pPr>
    </w:p>
    <w:bookmarkStart w:id="181" w:name="page182"/>
    <w:bookmarkEnd w:id="181"/>
    <w:p>
      <w:pPr>
        <w:jc w:val="both"/>
        <w:spacing w:after="0" w:line="295" w:lineRule="auto"/>
        <w:rPr>
          <w:sz w:val="20"/>
          <w:szCs w:val="20"/>
          <w:color w:val="auto"/>
        </w:rPr>
      </w:pPr>
      <w:r>
        <w:rPr>
          <w:rFonts w:ascii="Arial" w:cs="Arial" w:eastAsia="Arial" w:hAnsi="Arial"/>
          <w:sz w:val="14"/>
          <w:szCs w:val="14"/>
          <w:color w:val="auto"/>
        </w:rPr>
        <w:t>file. Participant acknowledges and agrees that his or her personal information, including sensitive personal information, may be transferred or disclosed outside of the province of Quebec, including to the United States. Finally, Participant acknowledges and authorizes the Company and other parties involved in the administration of the Plan to use technology for profiling purposes and to make automated decisions that may have an impact on Participant or the administration of the Plan.</w:t>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Language Consent</w:t>
      </w:r>
      <w:r>
        <w:rPr>
          <w:rFonts w:ascii="Arial" w:cs="Arial" w:eastAsia="Arial" w:hAnsi="Arial"/>
          <w:sz w:val="14"/>
          <w:szCs w:val="14"/>
          <w:color w:val="auto"/>
        </w:rPr>
        <w:t>. A French translation of the Plan and the Agreement has been made available to Participant.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Notwithstanding anything to the contrary in the Plan or the Agreement, and unless Participant indicates otherwise, the French translation of this Agreement and the Plan will govern Participant’s participation in the Plan. If Participant transfers residency outside Quebec, the English version of this Agreement and the Plan will govern Participant’s participation in the Plan.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Participant is permitted to sell Shares acquired through the Plan through the designated broker appointed under the Plan, if any, provided the resale of Shares acquired under the Plan takes place outside Canada through the facilities of a stock exchange on which the Shares are listed on the Nasdaq Global Select Market.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CHINA</w:t>
      </w:r>
    </w:p>
    <w:p>
      <w:pPr>
        <w:spacing w:after="0" w:line="212"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The following terms and conditions apply if Participant is subject to exchange control restrictions and regulations in China, including the requirements imposed by the State Administration of Foreign Exchange (“SAFE”) as determined by the Company in its sole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Notwithstanding anything to the contrary in the Plan or this Agreement, unless otherwise determined by the Company, the Restricted Stock Units will not vest and no Shares will be issued to Participant unless and until all necessary exchange control or other approvals with respect to the Restricted Stock Units under the Plan have been obtained from the SAFE or its local counterpart (“SAFE Approval”). In the event that SAFE Approval has not been obtained prior to any date(s) on which the Restricted Stock Units are scheduled to vest in accordance with the vesting schedule set forth in this Agreement, unless otherwise determined by the Company, Participant will receive a vesting credit for the Restricted Stock Units that would have vested once SAFE Approval is obtained (the “Actual Vesting Date”). Unless otherwise determined by the Company, if Participant’s status as an Employee terminates prior to the Actual Vesting Date, Participant shall not be entitled to vest in any portion of the Restricted Stock Units and the Restricted Stock Units shall be forfeited without any liability to the Company, the Employer or any Subsidiary or affiliate of the Company.</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Sale Requirement</w:t>
      </w:r>
      <w:r>
        <w:rPr>
          <w:rFonts w:ascii="Arial" w:cs="Arial" w:eastAsia="Arial" w:hAnsi="Arial"/>
          <w:sz w:val="14"/>
          <w:szCs w:val="14"/>
          <w:color w:val="auto"/>
        </w:rPr>
        <w:t>. Notwithstanding any provisions concerning the conversion of Restricted Stock Units and issuance of Shares set forth in this Agreement and the Plan, due to exchange control laws in China, Participant agrees that the Company reserves the right to require the immediate sale of any Shares issued upon settlement of the Restricted Stock Units. Participant understands and agrees that any such immediate sale of Shares will occur as soon as is practical following settlement of the Restricted Stock Units. Alternatively, if the Shares are not immediately sold upon settlement of the Restricted Stock Units, the Company will require the sale of any Shares Participant may then hold within six (6) months (or such</w:t>
      </w:r>
    </w:p>
    <w:p>
      <w:pPr>
        <w:sectPr>
          <w:pgSz w:w="11900" w:h="16838" w:orient="portrait"/>
          <w:cols w:equalWidth="0" w:num="1">
            <w:col w:w="11280"/>
          </w:cols>
          <w:pgMar w:left="300" w:top="1154" w:right="319" w:bottom="1440" w:gutter="0" w:footer="0" w:header="0"/>
        </w:sectPr>
      </w:pPr>
    </w:p>
    <w:bookmarkStart w:id="182" w:name="page183"/>
    <w:bookmarkEnd w:id="182"/>
    <w:p>
      <w:pPr>
        <w:jc w:val="both"/>
        <w:spacing w:after="0" w:line="306" w:lineRule="auto"/>
        <w:rPr>
          <w:sz w:val="20"/>
          <w:szCs w:val="20"/>
          <w:color w:val="auto"/>
        </w:rPr>
      </w:pPr>
      <w:r>
        <w:rPr>
          <w:rFonts w:ascii="Arial" w:cs="Arial" w:eastAsia="Arial" w:hAnsi="Arial"/>
          <w:sz w:val="14"/>
          <w:szCs w:val="14"/>
          <w:color w:val="auto"/>
        </w:rPr>
        <w:t>other period as may be required under applicable legal or exchange control requirements) following the termination of Participant’s employment with the Company including its Subsidiaries.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Participant agrees that the Company is authorized to instruct such designated broker as may be selected by the Company to assist with the sale of the Shares on Participant’s behalf pursuant to this authorization, and Participant expressly authorizes such broker to complete the sale of such Shares. Participant also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he or she shall not be permitted to exercise any influence over how, when or whether the sales occur. Upon the sale of the Shares, Participant will receive the cash proceeds from the sale, less any applicable Tax-Related Items, brokerage fees or commissions, in accordance with applicable exchange control laws and regulations.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Participant acknowledges that such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Participant may be more or less than the market value of the Shares on the settlement date (which is the amount relevant to determining his or her liability for Tax-Related Items). Participant understands and agrees that the Company is not responsible for the amount of any loss that he or she may incur and that the Company assumes no liability for any fluctuations in the Share price and/or any applicable exchange rate.</w:t>
      </w:r>
    </w:p>
    <w:p>
      <w:pPr>
        <w:spacing w:after="0" w:line="158" w:lineRule="exact"/>
        <w:rPr>
          <w:sz w:val="20"/>
          <w:szCs w:val="20"/>
          <w:color w:val="auto"/>
        </w:rPr>
      </w:pPr>
    </w:p>
    <w:p>
      <w:pPr>
        <w:jc w:val="both"/>
        <w:spacing w:after="0" w:line="321" w:lineRule="auto"/>
        <w:rPr>
          <w:sz w:val="20"/>
          <w:szCs w:val="20"/>
          <w:color w:val="auto"/>
        </w:rPr>
      </w:pPr>
      <w:r>
        <w:rPr>
          <w:rFonts w:ascii="Arial" w:cs="Arial" w:eastAsia="Arial" w:hAnsi="Arial"/>
          <w:sz w:val="14"/>
          <w:szCs w:val="14"/>
          <w:u w:val="single" w:color="auto"/>
          <w:color w:val="auto"/>
        </w:rPr>
        <w:t>Designated Broker Account</w:t>
      </w:r>
      <w:r>
        <w:rPr>
          <w:rFonts w:ascii="Arial" w:cs="Arial" w:eastAsia="Arial" w:hAnsi="Arial"/>
          <w:sz w:val="14"/>
          <w:szCs w:val="14"/>
          <w:color w:val="auto"/>
        </w:rPr>
        <w:t>. If Shares issued upon the settlement of the Restricted Stock Units are not immediately sold, Participant acknowledges that he or she is required to maintain the Shares in an account as may be selected by the Company until the Shares are sold through such Company-designated broker (as further detailed below).</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Participant understands and agrees that, pursuant to local exchange control requirements, he or she will be required to immediately repatriate the cash proceeds from the sale of Shares and any cash dividends paid on such Shares to China. Participant further understands that, under local law, such repatriation of his or her cash proceeds may need to be effectuated through a special exchange control account established by the Company, the Employer or any other parent or Subsidiary, and Participant hereby consents and agrees that any proceeds from the sale of Shares or any cash dividends paid on such Shares may be transferred to such special account prior to being delivered to him or her.</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proceeds may be paid to Participant in US dollars or local currency at the Company’s discretion. In the event the proceeds are paid to Participant in US dollars, he or she understands that he or she will be required to set up a US dollar bank account in China and provide the bank account details to his or her Employer and/or the Company so that the proceeds may be deposited into this account. If the proceeds are paid to Participant in local currency, the Company is under no obligation to secure any particular exchange conversion rate and/or conversion date and the Company may face delays in converting the proceeds to local currency due to exchange control restrictions. Participant agrees to bear any currency fluctuation risk between the time the Shares are sold or dividends are received and the time the proceeds are distributed through any such special exchange account. Participant further agrees to comply with any other requirements that may be imposed by the Company in the future in order to facilitate compliance with exchange control requirements in China.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COLOMBIA</w:t>
      </w:r>
    </w:p>
    <w:p>
      <w:pPr>
        <w:sectPr>
          <w:pgSz w:w="11900" w:h="16838" w:orient="portrait"/>
          <w:cols w:equalWidth="0" w:num="1">
            <w:col w:w="11280"/>
          </w:cols>
          <w:pgMar w:left="300" w:top="1154"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Labor Law Acknowledgement</w:t>
      </w:r>
      <w:r>
        <w:rPr>
          <w:rFonts w:ascii="Arial" w:cs="Arial" w:eastAsia="Arial" w:hAnsi="Arial"/>
          <w:sz w:val="14"/>
          <w:szCs w:val="14"/>
          <w:color w:val="auto"/>
        </w:rPr>
        <w:t>. This provision supplements Section 24 of the Agreement: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Participant expressly acknowledges that, pursuant to Article 15 of Law 50/1990 (Article 128 of the Colombian Labor Code), the Restricted Stock Units and any payments Participant receives pursuant to the Restricted Stock Units are wholly discretionary and are a benefit of an extraordinary nature that do not exclusively depend on Participant’s performance. Accordingly, the Plan, the Restricted Stock Units and related benefits do not constitute a component of Participant’s “salary” for any legal purpose, including for purposes of calculating any and all labor benefits, such as fringe benefits, vacation pay, termination or other indemnities, payroll taxes, social insurance contributions, or any other outstanding employment-related amounts, subject to the limitations provided in Law 1393/2010.</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is responsible for complying with any and all Colombian foreign exchange requirements in connection with the Restricted Stock Units, any Shares acquired and funds remitted into Colombia in connection with the Plan. This may include, among others, reporting obligations to the Central Bank (</w:t>
      </w:r>
      <w:r>
        <w:rPr>
          <w:rFonts w:ascii="Arial" w:cs="Arial" w:eastAsia="Arial" w:hAnsi="Arial"/>
          <w:sz w:val="14"/>
          <w:szCs w:val="14"/>
          <w:i w:val="1"/>
          <w:iCs w:val="1"/>
          <w:color w:val="auto"/>
        </w:rPr>
        <w:t>Banco de la República</w:t>
      </w:r>
      <w:r>
        <w:rPr>
          <w:rFonts w:ascii="Arial" w:cs="Arial" w:eastAsia="Arial" w:hAnsi="Arial"/>
          <w:sz w:val="14"/>
          <w:szCs w:val="14"/>
          <w:color w:val="auto"/>
        </w:rPr>
        <w:t>) and, in certain circumstances, repatriation requirements. Participant is responsible for ensuring his or her compliance with any applicable requirements and should speak to his or her personal legal advisor on this matter.</w:t>
      </w:r>
    </w:p>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Shares are not and will not be registered with the Colombian registry of publicly traded securities (</w:t>
      </w:r>
      <w:r>
        <w:rPr>
          <w:rFonts w:ascii="Arial" w:cs="Arial" w:eastAsia="Arial" w:hAnsi="Arial"/>
          <w:sz w:val="14"/>
          <w:szCs w:val="14"/>
          <w:i w:val="1"/>
          <w:iCs w:val="1"/>
          <w:color w:val="auto"/>
        </w:rPr>
        <w:t>Registro Nacional de Valores y Emisores</w:t>
      </w:r>
      <w:r>
        <w:rPr>
          <w:rFonts w:ascii="Arial" w:cs="Arial" w:eastAsia="Arial" w:hAnsi="Arial"/>
          <w:sz w:val="14"/>
          <w:szCs w:val="14"/>
          <w:color w:val="auto"/>
        </w:rPr>
        <w:t>) and therefore the Shares may not be offered to the public in Colombia. Nothing in this document should be construed as the making of a public offer of securities in Colombia.</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COSTA RICA</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CROATIA</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Croatian residents may be required to report any acquisition of foreign securities (such as Shares) to the Croatian National Bank for statistical purposes. However, because exchange control regulations may change without notice, Participant should consult their personal legal advisor to ensure compliance with current regulations. It is Participant’s responsibility to comply with Croatian exchange control laws.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b w:val="1"/>
          <w:bCs w:val="1"/>
          <w:color w:val="auto"/>
        </w:rPr>
        <w:t>.</w:t>
      </w:r>
      <w:r>
        <w:rPr>
          <w:rFonts w:ascii="Arial" w:cs="Arial" w:eastAsia="Arial" w:hAnsi="Arial"/>
          <w:sz w:val="14"/>
          <w:szCs w:val="14"/>
          <w:color w:val="auto"/>
        </w:rPr>
        <w:t xml:space="preserve"> Proceeds from the sale of Shares, any dividends paid on such Shares may be held in a cash account abroad and Participant is no longer required to report the opening and maintenance of a foreign account to the Czech National Bank (the “CNB”), unless the CNB notifies Participant specifically that such reporting is required. Upon request of the CNB, Participant may need to file a notification within fifteen (15) days of the end of the calendar quarter in which Participant acquires Shares. However, because exchange control regulations change frequently and without notice,</w:t>
      </w:r>
    </w:p>
    <w:p>
      <w:pPr>
        <w:sectPr>
          <w:pgSz w:w="11900" w:h="16838" w:orient="portrait"/>
          <w:cols w:equalWidth="0" w:num="1">
            <w:col w:w="11280"/>
          </w:cols>
          <w:pgMar w:left="300" w:top="1347" w:right="31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color w:val="auto"/>
        </w:rPr>
        <w:t>Participant should consult his or her personal legal advisor prior to vesting to ensure compliance with current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DENMARK</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37" w:lineRule="auto"/>
        <w:rPr>
          <w:sz w:val="20"/>
          <w:szCs w:val="20"/>
          <w:color w:val="auto"/>
        </w:rPr>
      </w:pPr>
      <w:r>
        <w:rPr>
          <w:rFonts w:ascii="Arial" w:cs="Arial" w:eastAsia="Arial" w:hAnsi="Arial"/>
          <w:sz w:val="14"/>
          <w:szCs w:val="14"/>
          <w:u w:val="single" w:color="auto"/>
          <w:color w:val="auto"/>
        </w:rPr>
        <w:t>Danish Stock Option Act</w:t>
      </w:r>
      <w:r>
        <w:rPr>
          <w:rFonts w:ascii="Arial" w:cs="Arial" w:eastAsia="Arial" w:hAnsi="Arial"/>
          <w:sz w:val="14"/>
          <w:szCs w:val="14"/>
          <w:color w:val="auto"/>
        </w:rPr>
        <w:t>. By participating in the Plan, Participant acknowledges that he or she received an Employer Statement translated into Danish, which is being provided to comply with the Danish Stock Option Act, as amended effective January 1, 2019, to the extent the Danish Stock Option Act applies to the Restricted Stock Units.</w:t>
      </w:r>
    </w:p>
    <w:p>
      <w:pPr>
        <w:spacing w:after="0" w:line="14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Securities/Tax Reporting Information</w:t>
      </w:r>
      <w:r>
        <w:rPr>
          <w:rFonts w:ascii="Arial" w:cs="Arial" w:eastAsia="Arial" w:hAnsi="Arial"/>
          <w:sz w:val="14"/>
          <w:szCs w:val="14"/>
          <w:color w:val="auto"/>
        </w:rPr>
        <w:t>. Participant must report the foreign bank/broker accounts and their deposits, and Shares held in a foreign bank or broker in his or her tax return under the section on foreign affairs and income.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FINLAND</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FRANCE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French-qualified Restricted Stock Units</w:t>
      </w:r>
      <w:r>
        <w:rPr>
          <w:rFonts w:ascii="Arial" w:cs="Arial" w:eastAsia="Arial" w:hAnsi="Arial"/>
          <w:sz w:val="14"/>
          <w:szCs w:val="14"/>
          <w:color w:val="auto"/>
        </w:rPr>
        <w:t>. The Restricted Stock Units are intended to qualify for the favorable tax and social security regime in France under Sections L. 225-197-1 to L. 225-197-5 and Sections L. 22-10-59 and L. 22-10-60 of the French Commercial Code, as amended. Certain events may affect the status of the Restricted Stock Units as French-qualified Restricted Stock Units, and the French-qualified Restricted Stock Units may be disqualified in the future. The Company does not make any undertaking or representation to maintain the qualified status of the Restricted Stock Units. If the Restricted Stock Units no longer qualify as French-qualified Restricted Stock Units, the favorable tax and social security treatment will not apply, and the Participant will be required to pay his or her portion of social security contributions resulting from the Restricted Stock Units (as well as any income tax that is due).</w:t>
      </w:r>
    </w:p>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u w:val="single" w:color="auto"/>
          <w:color w:val="auto"/>
        </w:rPr>
        <w:t>Plan Terms</w:t>
      </w:r>
      <w:r>
        <w:rPr>
          <w:rFonts w:ascii="Arial" w:cs="Arial" w:eastAsia="Arial" w:hAnsi="Arial"/>
          <w:sz w:val="14"/>
          <w:szCs w:val="14"/>
          <w:color w:val="auto"/>
        </w:rPr>
        <w:t>. The Restricted Stock Units are subject to the terms and conditions of the Plan and the Rules of the Autodesk, Inc. 2022 Equity Incentive Plan for grants to Participants in France (the “French Sub-plan”). To the extent that any term is defined in both the Plan and the French Sub-plan, for purposes of this grant of a French-qualified Restricted Stock Units, the definitions in the French Sub-plan shall prevail.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This provision supplements Section 3 in the Agreement:</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Except in the event of the Participant’s death to benefit from the favorable tax and social security regime, no vesting shall occur prior to the first anniversary of the Grant Date, or such other minimum period as required for the vesting period applicable to French-qualified Restricted Stock Units under Section L. 225-197-1 of the French Commercial Code, as amended, or relevant Sections of the French Tax Code or the French Social Security Code, as amended.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Death of Participant</w:t>
      </w:r>
      <w:r>
        <w:rPr>
          <w:rFonts w:ascii="Arial" w:cs="Arial" w:eastAsia="Arial" w:hAnsi="Arial"/>
          <w:sz w:val="14"/>
          <w:szCs w:val="14"/>
          <w:color w:val="auto"/>
        </w:rPr>
        <w:t>. This provision replaces Section 7(b) in the Agreement:</w:t>
      </w:r>
    </w:p>
    <w:p>
      <w:pPr>
        <w:sectPr>
          <w:pgSz w:w="11900" w:h="16838" w:orient="portrait"/>
          <w:cols w:equalWidth="0" w:num="1">
            <w:col w:w="11280"/>
          </w:cols>
          <w:pgMar w:left="300" w:top="1154" w:right="319" w:bottom="1440" w:gutter="0" w:footer="0" w:header="0"/>
        </w:sectPr>
      </w:pPr>
    </w:p>
    <w:bookmarkStart w:id="185" w:name="page186"/>
    <w:bookmarkEnd w:id="185"/>
    <w:p>
      <w:pPr>
        <w:jc w:val="both"/>
        <w:spacing w:after="0" w:line="282" w:lineRule="auto"/>
        <w:rPr>
          <w:sz w:val="20"/>
          <w:szCs w:val="20"/>
          <w:color w:val="auto"/>
        </w:rPr>
      </w:pPr>
      <w:r>
        <w:rPr>
          <w:rFonts w:ascii="Arial" w:cs="Arial" w:eastAsia="Arial" w:hAnsi="Arial"/>
          <w:sz w:val="14"/>
          <w:szCs w:val="14"/>
          <w:color w:val="auto"/>
        </w:rPr>
        <w:t>Subject to Section 7(c), in the event of the death of Participant during the term of this Award and while an Employee, all unvested Restricted Stock Units that are Time-Based RSUs shall vest in full as of the date of death and will become fully transferable to the heirs of Participant. Notwithstanding the foregoing, in the event of Participant’s death, Participant’s heirs are entitled to request that the number of Shares corresponding to the unvested Restricted Stock Units as of the date of Participant’s death be delivered to them, provided such request is made within six (6) months following the date of Participant’s death. If Participant’s heir do not request the delivery of the Shares within six (6) months following Participants death, the Restricted Stock Units will be forfeited.</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Restrictions on the Sale or Transfer of Shares.</w:t>
      </w:r>
      <w:r>
        <w:rPr>
          <w:rFonts w:ascii="Arial" w:cs="Arial" w:eastAsia="Arial" w:hAnsi="Arial"/>
          <w:sz w:val="14"/>
          <w:szCs w:val="14"/>
          <w:color w:val="auto"/>
        </w:rPr>
        <w:t xml:space="preserve"> Participant must not sell or otherwise dispose of the Shares until the second anniversary of the Grant Date or such other period as is required to comply with the minimum holding period applicable to shares underlying the French-Qualified Restricted Stock Units under Section L. 225-197-1 of the French Commercial Code, as amended or the relevant sections of the French Tax Code or the French Social Security Code, as amended. The minimum holding period applies even after Participant is no longer an employee of the French Entity, except in the case of Participant’s death or Disability. Additionally, Participant shall not sell the Shares during certain Closed Periods, as defined in the French Sub-Plan, to the extent such Closed Period for French-Qualified Restricted Stock Units apply.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Disqualification of French-Qualified Restricted Stock Units</w:t>
      </w:r>
      <w:r>
        <w:rPr>
          <w:rFonts w:ascii="Arial" w:cs="Arial" w:eastAsia="Arial" w:hAnsi="Arial"/>
          <w:sz w:val="14"/>
          <w:szCs w:val="14"/>
          <w:color w:val="auto"/>
        </w:rPr>
        <w:t>. If the French-qualified Restricted Stock Units are otherwise modified or adjusted in a manner in keeping with the Plan or as mandated as a matter of law and the modification or adjustment is contrary to the terms and conditions of the French Sub-plan or is contrary to French rules, the Restricted Stock Units may no longer qualify as French-qualified Restricted Stock Units. If the Restricted Stock Units no longer qualify as French-qualified Restricted Stock Units, the Administrator may, provided it is authorized to do so under the Plan, determine to lift, shorten or terminate certain restrictions applicable to the vesting of the Restricted Stock Units or the sale of the Shares which may have been imposed under the French Sub-plan and this Agreement.</w:t>
      </w:r>
    </w:p>
    <w:p>
      <w:pPr>
        <w:spacing w:after="0" w:line="15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Language Consent</w:t>
      </w:r>
      <w:r>
        <w:rPr>
          <w:rFonts w:ascii="Arial" w:cs="Arial" w:eastAsia="Arial" w:hAnsi="Arial"/>
          <w:sz w:val="14"/>
          <w:szCs w:val="14"/>
          <w:color w:val="auto"/>
        </w:rPr>
        <w:t>. By accepting the Award, Participant confirms having read and understood the Plan and Agreement which were provided in the English language. Participant accepts the terms of those documents accordingly.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Consentement Relatif à la Langue Utilisée</w:t>
      </w:r>
      <w:r>
        <w:rPr>
          <w:rFonts w:ascii="Arial" w:cs="Arial" w:eastAsia="Arial" w:hAnsi="Arial"/>
          <w:sz w:val="14"/>
          <w:szCs w:val="14"/>
          <w:i w:val="1"/>
          <w:iCs w:val="1"/>
          <w:color w:val="auto"/>
        </w:rPr>
        <w:t>. En acceptant l’Attribution, le Participant confirme avoir lu et compris le Plan et le Contrat, qui ont été communiqués en langue anglaise.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 Participant accepte les termes de ces documents en connaissance de cause.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must declare to the customs and excise authorities any cash or securities he or she imports or exports without the use of a financial institution when the value of the cash or securities is equal to or exceeds a certain amount.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GERMANY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Cross-border payments in excess of €12,500 must be reported to the German Federal Bank (Bundesbank). If Participant makes or receives a payment in excess of this amount (including if Participant acquires Shares under the Plan or receives dividends with a value in excess of this amount or sell Shares via a foreign broker, bank or service provider and receive proceeds</w:t>
      </w:r>
    </w:p>
    <w:p>
      <w:pPr>
        <w:sectPr>
          <w:pgSz w:w="11900" w:h="16838" w:orient="portrait"/>
          <w:cols w:equalWidth="0" w:num="1">
            <w:col w:w="11280"/>
          </w:cols>
          <w:pgMar w:left="300" w:top="1154" w:right="319" w:bottom="1440" w:gutter="0" w:footer="0" w:header="0"/>
        </w:sectPr>
      </w:pPr>
    </w:p>
    <w:bookmarkStart w:id="186" w:name="page187"/>
    <w:bookmarkEnd w:id="186"/>
    <w:p>
      <w:pPr>
        <w:jc w:val="both"/>
        <w:spacing w:after="0" w:line="282" w:lineRule="auto"/>
        <w:rPr>
          <w:sz w:val="20"/>
          <w:szCs w:val="20"/>
          <w:color w:val="auto"/>
        </w:rPr>
      </w:pPr>
      <w:r>
        <w:rPr>
          <w:rFonts w:ascii="Arial" w:cs="Arial" w:eastAsia="Arial" w:hAnsi="Arial"/>
          <w:sz w:val="14"/>
          <w:szCs w:val="14"/>
          <w:color w:val="auto"/>
        </w:rPr>
        <w:t>in excess of this amount) and/or if the Company withholds or sells Shares with a value in excess of this amount to cover the Tax-Related Items, Participant must report the payment and/or the value of the Shares withheld or sold to Bundesbank. Such reports must be filed either electronically using the “General Statistics Reporting Portal” (“</w:t>
      </w:r>
      <w:r>
        <w:rPr>
          <w:rFonts w:ascii="Arial" w:cs="Arial" w:eastAsia="Arial" w:hAnsi="Arial"/>
          <w:sz w:val="14"/>
          <w:szCs w:val="14"/>
          <w:i w:val="1"/>
          <w:iCs w:val="1"/>
          <w:color w:val="auto"/>
        </w:rPr>
        <w:t>Allgemeine</w:t>
      </w:r>
      <w:r>
        <w:rPr>
          <w:rFonts w:ascii="Arial" w:cs="Arial" w:eastAsia="Arial" w:hAnsi="Arial"/>
          <w:sz w:val="14"/>
          <w:szCs w:val="14"/>
          <w:color w:val="auto"/>
        </w:rPr>
        <w:t xml:space="preserve"> </w:t>
      </w:r>
      <w:r>
        <w:rPr>
          <w:rFonts w:ascii="Arial" w:cs="Arial" w:eastAsia="Arial" w:hAnsi="Arial"/>
          <w:sz w:val="14"/>
          <w:szCs w:val="14"/>
          <w:i w:val="1"/>
          <w:iCs w:val="1"/>
          <w:color w:val="auto"/>
        </w:rPr>
        <w:t>Meldeportal Statistik</w:t>
      </w:r>
      <w:r>
        <w:rPr>
          <w:rFonts w:ascii="Arial" w:cs="Arial" w:eastAsia="Arial" w:hAnsi="Arial"/>
          <w:sz w:val="14"/>
          <w:szCs w:val="14"/>
          <w:color w:val="auto"/>
        </w:rPr>
        <w:t>”) available via the Bundesbank’s website (www.bundesbank.de) or via such other method (e.g., by email or telephone) as is permitted or required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Bundesbank. The report must be submitted monthly or within other such timing as is permitted or required by the Bundesbank. Participant should consult with Participant’s personal legal advisor to ensure compliance with applicable reporting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21" w:lineRule="auto"/>
        <w:rPr>
          <w:sz w:val="20"/>
          <w:szCs w:val="20"/>
          <w:color w:val="auto"/>
        </w:rPr>
      </w:pPr>
      <w:r>
        <w:rPr>
          <w:rFonts w:ascii="Arial" w:cs="Arial" w:eastAsia="Arial" w:hAnsi="Arial"/>
          <w:sz w:val="14"/>
          <w:szCs w:val="14"/>
          <w:u w:val="single" w:color="auto"/>
          <w:color w:val="auto"/>
        </w:rPr>
        <w:t>Form of Settlement</w:t>
      </w:r>
      <w:r>
        <w:rPr>
          <w:rFonts w:ascii="Arial" w:cs="Arial" w:eastAsia="Arial" w:hAnsi="Arial"/>
          <w:sz w:val="14"/>
          <w:szCs w:val="14"/>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Securities Law Compliance</w:t>
      </w:r>
      <w:r>
        <w:rPr>
          <w:rFonts w:ascii="Arial" w:cs="Arial" w:eastAsia="Arial" w:hAnsi="Arial"/>
          <w:sz w:val="14"/>
          <w:szCs w:val="14"/>
          <w:color w:val="auto"/>
        </w:rPr>
        <w:t>. Participant acknowledges and agrees that any and all Shares allotted or issued pursuant to the terms and conditions of the Plan are issued to Participant for his/her own account and not with a view to all or any of those Shares being offered for sale to the public. Participant may not sell or offer to sell any Shares issued to him or her within six months following the Date of Grant. By accepting the Restricted Stock Units, Participant acknowledges and agrees that he or she is bound by the provisions of the certificate of incorporation or bylaws of the Company, as amended (including any provisions restricting the sale or transfer of such Shares) and the Plan and that any subsequent sale or transfer of the Shares must be undertaken in accordance with all Applicable Laws and regulations and that no documentation issued by the Company to Participant in respect of the Restricted Stock Units or the Shares may be disseminated or disclosed to any person at any time.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Securities Law Notification</w:t>
      </w:r>
      <w:r>
        <w:rPr>
          <w:rFonts w:ascii="Arial" w:cs="Arial" w:eastAsia="Arial" w:hAnsi="Arial"/>
          <w:sz w:val="14"/>
          <w:szCs w:val="14"/>
          <w:color w:val="auto"/>
        </w:rPr>
        <w:t xml:space="preserve">. </w:t>
      </w:r>
      <w:r>
        <w:rPr>
          <w:rFonts w:ascii="Arial" w:cs="Arial" w:eastAsia="Arial" w:hAnsi="Arial"/>
          <w:sz w:val="14"/>
          <w:szCs w:val="14"/>
          <w:i w:val="1"/>
          <w:iCs w:val="1"/>
          <w:color w:val="auto"/>
        </w:rPr>
        <w:t>WARNING: The contents of this Agreement, the Plan and any other incidental communication materials distributed in connection with the Restricted</w:t>
      </w:r>
      <w:r>
        <w:rPr>
          <w:rFonts w:ascii="Arial" w:cs="Arial" w:eastAsia="Arial" w:hAnsi="Arial"/>
          <w:sz w:val="14"/>
          <w:szCs w:val="14"/>
          <w:color w:val="auto"/>
        </w:rPr>
        <w:t xml:space="preserve"> </w:t>
      </w:r>
      <w:r>
        <w:rPr>
          <w:rFonts w:ascii="Arial" w:cs="Arial" w:eastAsia="Arial" w:hAnsi="Arial"/>
          <w:sz w:val="14"/>
          <w:szCs w:val="14"/>
          <w:i w:val="1"/>
          <w:iCs w:val="1"/>
          <w:color w:val="auto"/>
        </w:rPr>
        <w:t>Stock Units have not been reviewed by any regulatory authority in Hong Kong. Participant should exercise caution in relation to the Award. If Participant is in any doubt about any of the contents of this Agreement, including this Exhibit B, the Plan any other incidental communication materials distributed in connection with the Restricted Stock Units, Participant should obtain independent professional advice.</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The Restricted Stock Units and Shares that may be issued in respect of the Restricted Stock Units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This Agreement, including this Exhibit B, and the information contained herein may not be used other than by Participant and may not be reproduced in any form or transferred to any person in Hong Kong. This Award is not an offer for sale to the public in Hong Kong and it is not the intention of the Company that the Restricted Stock Units or the Shares be offered for sale to the public in Hong Kong.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HUNGARY</w:t>
      </w:r>
    </w:p>
    <w:p>
      <w:pPr>
        <w:sectPr>
          <w:pgSz w:w="11900" w:h="16838" w:orient="portrait"/>
          <w:cols w:equalWidth="0" w:num="1">
            <w:col w:w="11280"/>
          </w:cols>
          <w:pgMar w:left="300" w:top="1154" w:right="31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INDIA</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must repatriate any proceeds from the sale of Shares acquired under the Plan and any cash dividends to India and convert the proceeds into local currency within such time as prescribed under applicable Indian exchange control laws, as may be amended from time to time. Participant will receive a foreign inward remittance certificate (“FIRC”) from the bank where Participant deposits the foreign currency. Participant should retain the FIRC as evidence of the repatriation of funds in the event the Reserve Bank of India or the Employer requests proof of repatriation. Participant agrees to provide any information that may be required by the Company or the Employer to make any applicable filings under exchange control laws in India. It is Participant’s responsibility to comply with applicable exchange control laws in India.</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INDONESIA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Language Consent and Information</w:t>
      </w:r>
      <w:r>
        <w:rPr>
          <w:rFonts w:ascii="Arial" w:cs="Arial" w:eastAsia="Arial" w:hAnsi="Arial"/>
          <w:sz w:val="14"/>
          <w:szCs w:val="14"/>
          <w:color w:val="auto"/>
        </w:rPr>
        <w:t>. By accepting the grant of Restricted Stock Units, Participant (i) confirms having read and understood the documents relating to this grant (i.e., the Notice of Grant, the Agreement (including Exhibit A and B thereof) and the Plan)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In general, no exchange control approvals are required in Indonesia. However, foreign exchange activity is subject to certain reporting requirements. For foreign currency transactions exceeding US$25,000, the underlying document of that transaction will have to be submitted to the relevant local bank. If there is a change of position of any the foreign asset held (including Shares acquired under the Plan), Participant must report this change in position (i.e., sale of Shares) to the Bank of Indonesia no later than the 15th day of the month following the change in position. If Indonesian residents remit proceeds from the sale of Shares into Indonesia, the Indonesian Bank through which the transaction is made will submit a report on the transaction to the Bank of Indonesia. For transactions of US$10,000 or more (or its equivalent in other currency), a description of the transaction must be included in the report. Although the bank through which the transaction is made is required to make the report, Indonesian residents must complete a “Transfer Report Form.” The Transfer Report Form will be provided to the Indonesian residents by the bank through which the transaction is made.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IRELAND</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ectPr>
          <w:pgSz w:w="11900" w:h="16838" w:orient="portrait"/>
          <w:cols w:equalWidth="0" w:num="1">
            <w:col w:w="11280"/>
          </w:cols>
          <w:pgMar w:left="300" w:top="1154" w:right="31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i w:val="1"/>
          <w:iCs w:val="1"/>
          <w:color w:val="auto"/>
        </w:rPr>
        <w:t>The following provisions apply to Participants who are in Israel on the Date of Grant.</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Section 1 of the Agreement shall be supplemented to add the following language at the end thereof:</w:t>
      </w:r>
    </w:p>
    <w:p>
      <w:pPr>
        <w:spacing w:after="0" w:line="3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References to the Plan will be deemed to include the Sub-plan for Israeli Participants (the “Sub-plan”). The Restricted Stock Units are granted as a 102 Capital Gains Track Grant, subject to the terms and conditions of Section 102(b)(2) and 102(b)(3) of the Income Tax Ordinance (New Version) – 1961 (the “ITO”), the Plan and the Trust Agreement (“Trust Agreement”), entered into between the Company and ESOP Management and Trust Services Ltd. (the “Trustee”). References to the issuance of Shares to Participant shall be deemed to include the words “or the Trustee”. References to “Applicable Law” shall be deemed to include Section 102 of the ITO.</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Section 102 Compliance</w:t>
      </w:r>
      <w:r>
        <w:rPr>
          <w:rFonts w:ascii="Arial" w:cs="Arial" w:eastAsia="Arial" w:hAnsi="Arial"/>
          <w:sz w:val="14"/>
          <w:szCs w:val="14"/>
          <w:color w:val="auto"/>
        </w:rPr>
        <w:t>. By accepting this Restricted Stock Unit Award, Participant acknowledges and agrees that: (a) the Award is granted under and governed by the Plan, Sections 102(b)(2) and 102(b)(3) of the ITO and the Rules promulgated in connection therewith, and the Trust Agreement; (b) the Shares issued upon vesting of the Restricted Stock Units will be issued to the Trustee to hold on behalf of Participant, pursuant to the terms of Section 102 of the ITO and the Trust Agreement; (c) Participant agrees to the terms of the Section 102 Confirmation Letter, attached hereto as Exhibit C, and (d) Participant is familiar with the terms and provisions of the ITO, particularly the “Capital Gains Track” described in Sections 102(b)(2) and 102(b)(3) thereof, and will not require the Trustee to release or sell the Restricted Stock Units or Shares during the Required Holding Period (defined in the Sub-plan), unless permitted to do so by Applicable Law.</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Distribution after Vesting</w:t>
      </w:r>
      <w:r>
        <w:rPr>
          <w:rFonts w:ascii="Arial" w:cs="Arial" w:eastAsia="Arial" w:hAnsi="Arial"/>
          <w:sz w:val="14"/>
          <w:szCs w:val="14"/>
          <w:color w:val="auto"/>
        </w:rPr>
        <w:t>. Section 6 of the Agreement shall be deleted in its entirety and replaced by the following language:</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Shares will be issued in the name of the Trustee as required by Applicable Law to qualify under Section 102 of the ITO, for the benefit of Participant. Participant shall comply with the ITO, the Rules, and the terms and conditions of the Trust Agreement entered into between the Company and the Trustee. The Trustee will hold the Shares for the Required Holding Period, as set forth in the Sub-Plan. Participant hereby undertakes to release the Trustee from any liability in respect of any action or decision duly taken and bona fide executed in relation to the Plan and the Sub-Plan, or any Shares issued to the Trustee hereunder. Participant hereby confirms that s/he shall execute any and all documents that the Company or the Trustee may reasonably determine to be necessary in order to comply with the ITO and, in particular, the Rules.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Section 8 of the Agreement shall be supplemented by the following language:</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To the extent required by Applicable Law on any date Participant is required to recognize taxable income with respect to the Restricted Stock Units, Participant will be required to pay, and the Trustee and/or the Company will withhold any Tax-Related Items which will enable the Company and/or the Trustee to satisfy its obligation to withhold any Tax-Related Items arising on such date Participant is required to recognize taxable income with respect to the Restricted Stock Units. The Company, in its sole discretion, may, to the extent permitted by Applicable Law, require or otherwise allow the Trustee or the Company to withhold and/or Participant to pay such Tax-Related Items by (i) withholding cash from Participant’s account at the broker designated by the Company for such purpose, (ii) selling of sufficient Shares on the date Participant is required to recognize taxable income with respect to the Restricted Stock Units, (iii) deductions from compensation payable to Participant or (iv) any other method permitted by Applicable Law.</w:t>
      </w:r>
    </w:p>
    <w:p>
      <w:pPr>
        <w:sectPr>
          <w:pgSz w:w="11900" w:h="16838" w:orient="portrait"/>
          <w:cols w:equalWidth="0" w:num="1">
            <w:col w:w="11280"/>
          </w:cols>
          <w:pgMar w:left="300" w:top="1156" w:right="319" w:bottom="1440" w:gutter="0" w:footer="0" w:header="0"/>
        </w:sectPr>
      </w:pPr>
    </w:p>
    <w:bookmarkStart w:id="189" w:name="page190"/>
    <w:bookmarkEnd w:id="189"/>
    <w:p>
      <w:pPr>
        <w:jc w:val="both"/>
        <w:spacing w:after="0" w:line="286" w:lineRule="auto"/>
        <w:rPr>
          <w:sz w:val="20"/>
          <w:szCs w:val="20"/>
          <w:color w:val="auto"/>
        </w:rPr>
      </w:pPr>
      <w:r>
        <w:rPr>
          <w:rFonts w:ascii="Arial" w:cs="Arial" w:eastAsia="Arial" w:hAnsi="Arial"/>
          <w:sz w:val="14"/>
          <w:szCs w:val="14"/>
          <w:color w:val="auto"/>
        </w:rPr>
        <w:t>In the event Participant disposes of any Shares issued upon vesting of the Restricted Stock Units prior to the expiration of the Required Holding Period, Participant acknowledges and agrees that such shares will not qualify for 102 Capital Gains Tax Treatment and will be subject to taxation in Israel in accordance with ordinary income tax principles. Further, Participant acknowledges and agrees that Participant will be liable for the Employer’s component of payments to the National Insurance Institute (to the extent such payments by the Employer are required).</w:t>
      </w:r>
    </w:p>
    <w:p>
      <w:pPr>
        <w:spacing w:after="0" w:line="156"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Participant further agrees that the Trustee may act on behalf of the Company or the Employer, as applicable, to satisfy any obligation to withhold Tax-Related Items applicable to Participant in connection with the Units granted under the Sub-Plan.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Section 11 of the Agreement shall be deleted in its entirety and replaced by the following language:</w:t>
      </w: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 xml:space="preserve">Any notice to be given to the Company under the terms of this Agreement will be addressed to the Company at Autodesk, Inc., c/o Stock Administrator, </w:t>
      </w:r>
      <w:r>
        <w:rPr>
          <w:rFonts w:ascii="Arial" w:cs="Arial" w:eastAsia="Arial" w:hAnsi="Arial"/>
          <w:sz w:val="14"/>
          <w:szCs w:val="14"/>
          <w:b w:val="1"/>
          <w:bCs w:val="1"/>
          <w:color w:val="auto"/>
        </w:rPr>
        <w:t>The Landmark @ One</w:t>
      </w:r>
      <w:r>
        <w:rPr>
          <w:rFonts w:ascii="Arial" w:cs="Arial" w:eastAsia="Arial" w:hAnsi="Arial"/>
          <w:sz w:val="14"/>
          <w:szCs w:val="14"/>
          <w:color w:val="auto"/>
        </w:rPr>
        <w:t xml:space="preserve"> </w:t>
      </w:r>
      <w:r>
        <w:rPr>
          <w:rFonts w:ascii="Arial" w:cs="Arial" w:eastAsia="Arial" w:hAnsi="Arial"/>
          <w:sz w:val="14"/>
          <w:szCs w:val="14"/>
          <w:b w:val="1"/>
          <w:bCs w:val="1"/>
          <w:color w:val="auto"/>
        </w:rPr>
        <w:t>Market, 1 Market Street, Suite 400, San Francisco, CA 94105 U.S.A.</w:t>
      </w:r>
      <w:r>
        <w:rPr>
          <w:rFonts w:ascii="Arial" w:cs="Arial" w:eastAsia="Arial" w:hAnsi="Arial"/>
          <w:sz w:val="14"/>
          <w:szCs w:val="14"/>
          <w:color w:val="auto"/>
        </w:rPr>
        <w:t>, or at such other address as the Company may hereafter designate in writing, unless otherwise expressly</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instructed by the Company or the Trustee with respect to a specific type of notice.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Section 25 of the Agreement shall be supplemented by the following language:</w:t>
      </w:r>
    </w:p>
    <w:p>
      <w:pPr>
        <w:spacing w:after="0" w:line="221"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Without derogating from the scope of Section 25 of the Agreement, Participant hereby explicitly consents to the transfer of Data between the Company, the Trustee, and/or a designated Plan broker, including any requisite transfer of such Data outside the Participant’s country and further transfers thereafter as may be required to a broker or other third party.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following provisions apply to Participants who permanently transfer to Israel after the Date of Grant.</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Mandatory Sale Restriction</w:t>
      </w:r>
      <w:r>
        <w:rPr>
          <w:rFonts w:ascii="Arial" w:cs="Arial" w:eastAsia="Arial" w:hAnsi="Arial"/>
          <w:sz w:val="14"/>
          <w:szCs w:val="14"/>
          <w:color w:val="auto"/>
        </w:rPr>
        <w:t>. To facilitate compliance with local tax requirements, Participant agrees to the sale of any Shares to be issued to him or her upon settlement of the Restricted Stock Units. The sale may occur (i) immediately upon settlement, (ii) following Participant’s termination of employment, or (iii) within any other time frame as the Company determines to be necessary to comply with local tax requirements. Participant further agrees the Company is authorized to instruct its designated broker to assist with the mandatory sale of such Shares (on his or her behalf pursuant to this authorization) and Participant expressly authorizes the Company’s designated broker to complete the sale of such Shares. Participant acknowledges the Company’s designated broker is under no obligation to arrange for the sale of the Shares at any particular price. Upon the sale of the Shares, the Company agrees to pay Participant the cash proceeds from the sale, less any brokerage fees or commissions and subject to any obligation to satisfy Tax-Related Items.</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Participant further agrees any Shares to be issued to him or her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issued to Participant under the Plan, whether or not he or she continues to be employed by the Company or any parent or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ITALY</w:t>
      </w:r>
    </w:p>
    <w:p>
      <w:pPr>
        <w:sectPr>
          <w:pgSz w:w="11900" w:h="16838" w:orient="portrait"/>
          <w:cols w:equalWidth="0" w:num="1">
            <w:col w:w="11280"/>
          </w:cols>
          <w:pgMar w:left="300" w:top="1154" w:right="31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21" w:lineRule="auto"/>
        <w:rPr>
          <w:sz w:val="20"/>
          <w:szCs w:val="20"/>
          <w:color w:val="auto"/>
        </w:rPr>
      </w:pPr>
      <w:r>
        <w:rPr>
          <w:rFonts w:ascii="Arial" w:cs="Arial" w:eastAsia="Arial" w:hAnsi="Arial"/>
          <w:sz w:val="14"/>
          <w:szCs w:val="14"/>
          <w:u w:val="single" w:color="auto"/>
          <w:color w:val="auto"/>
        </w:rPr>
        <w:t>Plan Document Acknowledgement</w:t>
      </w:r>
      <w:r>
        <w:rPr>
          <w:rFonts w:ascii="Arial" w:cs="Arial" w:eastAsia="Arial" w:hAnsi="Arial"/>
          <w:sz w:val="14"/>
          <w:szCs w:val="14"/>
          <w:color w:val="auto"/>
        </w:rPr>
        <w:t>. By accepting the Award, Participant acknowledges he or she has received a copy of the Plan and the Agreement and has reviewed the Plan and the Agreement, including this Exhibit B, in their entirety and fully understands and accepts all provisions of the Plan and the Agreement, including this Exhibit B.</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Participant further acknowledges having read and specifically approves the following sections of the Agreement: Section 3 (Vesting Schedule), Section 5 (Forfeiture upon Termination of Service as a an Employee), Section 7 (Disability or Death of Participant), Section 8 (Responsibility for Taxes), Section 24 (Nature of Grant), Section 14 (Additional Conditions to Issuance of Stock), Section 17 (Electronic Delivery), Section 22 (Governing Law), Section 23 (Language); Section 25 (Data Privacy Information and Consent), and Section 30 (Insider Trading Restrictions/Market Abuse Laws).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JAPAN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JORDAN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Currently, Korean residents may not be permitted to sell foreign securities (such as Shares) through non-Korean brokers or deposit funds resulting</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14"/>
          <w:szCs w:val="14"/>
          <w:color w:val="auto"/>
        </w:rPr>
        <w:t>from the sale of Shares in an overseas financial institution. Therefore, prior to selling any Shares acquired under the Plan, Korean residents may be required to transfer the Shares to a domestic investment broker. Participant acknowledges that Participant is solely responsible for engaging such domestic broker. However, on December 29, 2023, the Financial Services Commission (the “FSC”), issued an advance notice of legislative action which may allow the Korean residents to dispose of overseas-listed securities without using Korean</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licensed brokers as early as March 2024, subject to the public comment process. Because the exchange control regulations may change without notice, Participant understand that Participant should consult with a personal legal advisor to ensure compliance with any exchange control regulations applicable to any aspect of my participation in the Plan.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MALAYSIA</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This provision replaces Section 8 of the Agreement in its entirety:</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a condition of grant, Participant hereby elects to pay any and all income tax due on the benefits derived from the Restricted Stock Units and/or the receipt of Shares upon vesting of the Restricted Stock Units (“Taxes on RSUs”) directly to the Malaysian Inland Revenue Board and report such benefits on his or her annual tax return for the relevant year of the tax assessment. Participant further understands and agrees that by making this election, the Company and the Employer will not withhold any taxes pursuant to the Income Tax (Deduction of Remuneration) Rules 1994 in respect of the Taxes on RSUs, and</w:t>
      </w:r>
    </w:p>
    <w:p>
      <w:pPr>
        <w:sectPr>
          <w:pgSz w:w="11900" w:h="16838" w:orient="portrait"/>
          <w:cols w:equalWidth="0" w:num="1">
            <w:col w:w="11280"/>
          </w:cols>
          <w:pgMar w:left="300" w:top="1347" w:right="31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color w:val="auto"/>
        </w:rPr>
        <w:t>Participant acknowledges and agrees that the ultimate liability for all Taxes on RSUs is and remains Participant’s responsibility.</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Further, if Participant becomes subject to taxation in more than one jurisdiction between the Date of Grant and the date of any relevant taxable event, Participant acknowledges that the Company and/or the Employer (or former employer, as applicable) may be required to withhold or account for the Taxes on RSUs in any relevant jurisdiction outside Malaysia and may do so in the manner set forth in the Agreement.</w:t>
      </w:r>
    </w:p>
    <w:p>
      <w:pPr>
        <w:spacing w:after="0" w:line="149"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This election will remain in effect unless and until Participant actively cancels the election by notifying the Employer in writing and the Employer confirms receipt of such cancellation notice.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i w:val="1"/>
          <w:iCs w:val="1"/>
          <w:color w:val="auto"/>
        </w:rPr>
        <w:t>.</w:t>
      </w:r>
      <w:r>
        <w:rPr>
          <w:rFonts w:ascii="Arial" w:cs="Arial" w:eastAsia="Arial" w:hAnsi="Arial"/>
          <w:sz w:val="14"/>
          <w:szCs w:val="14"/>
          <w:color w:val="auto"/>
        </w:rPr>
        <w:t xml:space="preserve"> This provision replaces Section 25 of the Agreement in its entirety:</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Participant hereby explicitly, voluntarily and unambiguously consents to the collection, use and transfer, in electronic or other form, of his or her personal data as described in this Agreement and any other Plan participation materials by and among, as applicable, the Employer, the Company and any Parent or Subsidiary or any third parties authorized by same in assisting in the implementation, administration and management of Participant’s participation in the Plan.</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Participant may have previously provided the Company and the Employer with, and the Company and the Employer may hold, certain personal information about Participant, including, but not limited to, his or her name, home address and telephone number, date of birth, social insurance number or other identification number, salary, nationality, job title, any Shares or directorships held in the Company, the fact and conditions of Participant’s participation in the Plan, details of all Restricted Stock Units or any other entitlement to Shares awarded, cancelled, exercised, vested, unvested or outstanding in Participant’s favor (“Data”), for the exclusive purpose of implementing, administering and managing the Plan.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Participant also authorizes any transfer of Data, as may be required, to such stock plan service provider as may be selected by the Company from time to time, which is assisting the Company with the implementation, administration and management of the Plan and/or with whom any Shares acquired upon settlement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 with the names and addresses of any potential recipients of Data by contacting his or her local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HRGC APAC, whose contact details are hrgc.apac@autodesk.com</w:t>
      </w:r>
      <w:r>
        <w:rPr>
          <w:rFonts w:ascii="Arial" w:cs="Arial" w:eastAsia="Arial" w:hAnsi="Arial"/>
          <w:sz w:val="14"/>
          <w:szCs w:val="14"/>
          <w:color w:val="auto"/>
        </w:rPr>
        <w:t>.</w:t>
      </w:r>
      <w:r>
        <w:rPr>
          <w:rFonts w:ascii="Arial" w:cs="Arial" w:eastAsia="Arial" w:hAnsi="Arial"/>
          <w:sz w:val="14"/>
          <w:szCs w:val="14"/>
          <w:i w:val="1"/>
          <w:iCs w:val="1"/>
          <w:color w:val="auto"/>
        </w:rPr>
        <w:t xml:space="preserve"> Further, Participant understands that he or she is providing the consents herein on a purely voluntary basis. If Participant does not consent, or if Participant later seeks to revoke the consent, his or her employment status or service and career with the Employer will not be adversely affected; the only adverse consequence of refusing or withdrawing the consent is that the Company would not be able to grant future Restricted Stock Units or other equity</w:t>
      </w:r>
    </w:p>
    <w:p>
      <w:pPr>
        <w:sectPr>
          <w:pgSz w:w="11900" w:h="16838" w:orient="portrait"/>
          <w:cols w:equalWidth="0" w:num="1">
            <w:col w:w="11280"/>
          </w:cols>
          <w:pgMar w:left="300" w:top="1154" w:right="319" w:bottom="1440" w:gutter="0" w:footer="0" w:header="0"/>
        </w:sectPr>
      </w:pPr>
    </w:p>
    <w:bookmarkStart w:id="192" w:name="page193"/>
    <w:bookmarkEnd w:id="192"/>
    <w:p>
      <w:pPr>
        <w:jc w:val="both"/>
        <w:spacing w:after="0" w:line="293" w:lineRule="auto"/>
        <w:rPr>
          <w:sz w:val="20"/>
          <w:szCs w:val="20"/>
          <w:color w:val="auto"/>
        </w:rPr>
      </w:pPr>
      <w:r>
        <w:rPr>
          <w:rFonts w:ascii="Arial" w:cs="Arial" w:eastAsia="Arial" w:hAnsi="Arial"/>
          <w:sz w:val="14"/>
          <w:szCs w:val="14"/>
          <w:i w:val="1"/>
          <w:iCs w:val="1"/>
          <w:color w:val="auto"/>
        </w:rPr>
        <w:t>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local human resources representative.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Notifikasi Privasi Data</w:t>
      </w:r>
      <w:r>
        <w:rPr>
          <w:rFonts w:ascii="Arial" w:cs="Arial" w:eastAsia="Arial" w:hAnsi="Arial"/>
          <w:sz w:val="14"/>
          <w:szCs w:val="14"/>
          <w:color w:val="auto"/>
        </w:rPr>
        <w:t>. Peruntukan ini menggantikan Seksyen 25 dalam Perjanjian Anugerah secara keseluruhan :</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Pesertadengan ini secara eksplisit, secara sukarela dan tanpa sebarang keraguan mengizinkan pengumpulan, penggunaan dan pemindahan, dalam bentuk elektronik atau lain-lain, data peribadinya seperti yang dinyatakan dalam Perjanjian Penganugerahan ini dan apa-apa bahan Pelan penyertaan oleh dan di antara Majikan, Syarikat dan mana-mana Syarikat Induk atau Anak Syarikat atau mana-mana pihak ketiga yang diberi kuasa oleh yang sama untuk membantu dalam pelaksanaan, pentadbiran dan pengurusan penyertaan Peserta dalam Pelan tersebut.</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Sebelum ini, Peserta mungkin telah membekalkan Syarikat dan Majikan dengan, dan Syarikat dan Majikan mungkin memegang, maklumat peribadi tertentu tentang Peserta, termasuk, tetapi tidak terhad kepada, namanya , alamat rumah dan nombor telefon, tarikh lahir, nombor insurans sosial atau nombor pengenalan lain, gaji, kewarganegaraan, jawatan, apa-apa saham atau jawatan pengarah yang dipegang dalam Syarikat, fakta dan syarat-syarat penyertaan Peserta dalam Pelan tersebut, butir-butir semua Unit-unit Saham Terbatas atau apa-apa hak lain untuk saham yang dianugerahkan, dibatalkan, dilaksanakan, terletak hak, tidak diletak hak ataupun bagi faedah Peserta (“Data”), untuk tujuan yang eksklusif bagi melaksanakan, mentadbir dan menguruskan Pelan tersebut.</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i w:val="1"/>
          <w:iCs w:val="1"/>
          <w:color w:val="auto"/>
        </w:rPr>
        <w:t>Peserta juga memberi kuasa untuk membuat apa-apa pemindahan Data, sebagaimana yang diperlukan, kepada pembekal perkhidmatan pelan saham yang lain sebagaimana yang dipilih oleh Syarikat dari semasa ke semasa, yang membantu Syarikat dalam pelaksanaan, pentadbiran dan pengurusan Pelan dan/atau dengan sesiapa yang mendepositkan Saham-Saham yang diperolehi melalui penyelesaian Unit-unit Saham Terbatas. Peserta mengakui bahawa penerima-penerima ini mungkin berada di negara Peserta atau di tempat lain, dan bahawa negara penerima (contohnya, Amerika Syarikat) mungkin mempunyai undang-undang privasi data dan perlindungan yang berbeza daripada negara Peserta, yang mungkin tidak boleh memberi tahap perlindungan yang sama kepada Data. Pesertafaham bahawa dia boleh meminta senarai nama dan alamat mana-mana penerima Data dengan menghubungi wakil sumber manusia tempatannya .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untuk melaksanakan, mentadbir dan menguruskan penyertaan Peserta dalam Pelan tersebut. Peserta faham bahawa Data akan dipegang hanya untuk tempoh yang diperlukan untuk melaksanakan, mentadbir dan menguruskan penyertaannya dalam Pelan tesebut. Peserta faham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 di mana butir-butir hubungannya adalah hrgc.apac@autodesk.com. Selanjutnya, Peserta memahami bahawa dia memberikan persetujuan di sini secara sukarela. Jika Peserta tidak bersetuju, atau jika Peserta kemudian membatalkan persetujuannya, status pekerjaan atau perkhidmatan dan kerjayanya dengan Majikan tidak akan terjejas; satunya akibat buruk jika dia tidak bersetuju atau menarik balik persetujuannya adalah bahawa Syarikat tidak akan dapat memberikan Unit-unit Saham Terbatas pada masa depan atau anugerah ekuiti lain kepada Peserta atau mentadbir atau mengekalkan anugerah-anugerah tersebut.</w:t>
      </w:r>
    </w:p>
    <w:p>
      <w:pPr>
        <w:sectPr>
          <w:pgSz w:w="11900" w:h="16838" w:orient="portrait"/>
          <w:cols w:equalWidth="0" w:num="1">
            <w:col w:w="11280"/>
          </w:cols>
          <w:pgMar w:left="300" w:top="1156" w:right="319" w:bottom="1440" w:gutter="0" w:footer="0" w:header="0"/>
        </w:sectPr>
      </w:pPr>
    </w:p>
    <w:bookmarkStart w:id="193" w:name="page194"/>
    <w:bookmarkEnd w:id="193"/>
    <w:p>
      <w:pPr>
        <w:jc w:val="both"/>
        <w:spacing w:after="0" w:line="293" w:lineRule="auto"/>
        <w:rPr>
          <w:sz w:val="20"/>
          <w:szCs w:val="20"/>
          <w:color w:val="auto"/>
        </w:rPr>
      </w:pPr>
      <w:r>
        <w:rPr>
          <w:rFonts w:ascii="Arial" w:cs="Arial" w:eastAsia="Arial" w:hAnsi="Arial"/>
          <w:sz w:val="14"/>
          <w:szCs w:val="14"/>
          <w:i w:val="1"/>
          <w:iCs w:val="1"/>
          <w:color w:val="auto"/>
        </w:rPr>
        <w:t>Oleh itu, Peserta faham bahawa keengganan atau penarikan balik persetujuannya boleh menjejaskan keupayaannya untuk mengambil bahagian dalam Pelan tesebut. Untuk maklumat lanjut mengenai akibat keengganan untuk memberikan keizinan atau penarikan balik keizinan, Peserta fahami bahawa dia boleh menghubungi wakil sumber manusia tempatannya .</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u w:val="single" w:color="auto"/>
          <w:color w:val="auto"/>
        </w:rPr>
        <w:t>Director Notification Obligation</w:t>
      </w:r>
      <w:r>
        <w:rPr>
          <w:rFonts w:ascii="Arial" w:cs="Arial" w:eastAsia="Arial" w:hAnsi="Arial"/>
          <w:sz w:val="14"/>
          <w:szCs w:val="14"/>
          <w:i w:val="1"/>
          <w:iCs w:val="1"/>
          <w:color w:val="auto"/>
        </w:rPr>
        <w:t>.</w:t>
      </w:r>
      <w:r>
        <w:rPr>
          <w:rFonts w:ascii="Arial" w:cs="Arial" w:eastAsia="Arial" w:hAnsi="Arial"/>
          <w:sz w:val="14"/>
          <w:szCs w:val="14"/>
          <w:color w:val="auto"/>
        </w:rPr>
        <w:t xml:space="preserve"> If Participant is a director of a Malaysian Subsidiary, Participant is subject to certain notification requirements under the Malaysian Companies Act. Among these requirements is an obligation to notify the Malaysian Subsidiary in writing when Participant receives or disposes of an interest (e.g., Restricted Stock Units, Shares, etc.) in the Company or any related company. This notification must be made within fourteen (14) days of receiving or disposing of any interest in the Company or any related company.</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 Document Acknowledgement</w:t>
      </w:r>
      <w:r>
        <w:rPr>
          <w:rFonts w:ascii="Arial" w:cs="Arial" w:eastAsia="Arial" w:hAnsi="Arial"/>
          <w:sz w:val="14"/>
          <w:szCs w:val="14"/>
          <w:color w:val="auto"/>
        </w:rPr>
        <w:t>. This provision supplements Section 24 of the Agreement:</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By accepting the Restricted Stock Units, Participant acknowledges that he or she has received a copy of the Plan and the Agreement, including this Exhibit B, which he or she has reviewed. Participant further acknowledges that he or she accepts all the provisions of the Plan and the Agreement, including this Exhibit B. Participant also acknowledges that he or she has read and specifically and expressly approves the terms and conditions set forth in the “Nature of Grant” Section of the Agreement, which clearly provide as follows:</w:t>
      </w:r>
    </w:p>
    <w:p>
      <w:pPr>
        <w:spacing w:after="0" w:line="165" w:lineRule="exact"/>
        <w:rPr>
          <w:sz w:val="20"/>
          <w:szCs w:val="20"/>
          <w:color w:val="auto"/>
        </w:rPr>
      </w:pPr>
    </w:p>
    <w:p>
      <w:pPr>
        <w:ind w:left="220" w:hanging="215"/>
        <w:spacing w:after="0"/>
        <w:tabs>
          <w:tab w:leader="none" w:pos="2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Participant’s participation in the Plan does not constitute an acquired right;</w:t>
      </w:r>
    </w:p>
    <w:p>
      <w:pPr>
        <w:spacing w:after="0" w:line="210" w:lineRule="exact"/>
        <w:rPr>
          <w:rFonts w:ascii="Arial" w:cs="Arial" w:eastAsia="Arial" w:hAnsi="Arial"/>
          <w:sz w:val="14"/>
          <w:szCs w:val="14"/>
          <w:color w:val="auto"/>
        </w:rPr>
      </w:pPr>
    </w:p>
    <w:p>
      <w:pPr>
        <w:ind w:left="220" w:hanging="215"/>
        <w:spacing w:after="0"/>
        <w:tabs>
          <w:tab w:leader="none" w:pos="2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Plan and Participant’s participation in it are offered by the Company on a wholly discretionary basis; and</w:t>
      </w:r>
    </w:p>
    <w:p>
      <w:pPr>
        <w:spacing w:after="0" w:line="210" w:lineRule="exact"/>
        <w:rPr>
          <w:rFonts w:ascii="Arial" w:cs="Arial" w:eastAsia="Arial" w:hAnsi="Arial"/>
          <w:sz w:val="14"/>
          <w:szCs w:val="14"/>
          <w:color w:val="auto"/>
        </w:rPr>
      </w:pPr>
    </w:p>
    <w:p>
      <w:pPr>
        <w:ind w:left="220" w:hanging="215"/>
        <w:spacing w:after="0"/>
        <w:tabs>
          <w:tab w:leader="none" w:pos="2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Participant’s participation in the Plan is voluntary.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Labor Law Acknowledgement and Policy Statement</w:t>
      </w:r>
      <w:r>
        <w:rPr>
          <w:rFonts w:ascii="Arial" w:cs="Arial" w:eastAsia="Arial" w:hAnsi="Arial"/>
          <w:sz w:val="14"/>
          <w:szCs w:val="14"/>
          <w:color w:val="auto"/>
        </w:rPr>
        <w:t>. By accepting the Restricted Stock Units, Participant acknowledges that Autodesk, Inc., with registered offices at The Landmark</w:t>
      </w:r>
    </w:p>
    <w:p>
      <w:pPr>
        <w:spacing w:after="0" w:line="25" w:lineRule="exact"/>
        <w:rPr>
          <w:sz w:val="20"/>
          <w:szCs w:val="20"/>
          <w:color w:val="auto"/>
        </w:rPr>
      </w:pPr>
    </w:p>
    <w:p>
      <w:pPr>
        <w:jc w:val="both"/>
        <w:ind w:firstLine="5"/>
        <w:spacing w:after="0" w:line="280" w:lineRule="auto"/>
        <w:tabs>
          <w:tab w:leader="none" w:pos="184" w:val="left"/>
        </w:tabs>
        <w:numPr>
          <w:ilvl w:val="0"/>
          <w:numId w:val="123"/>
        </w:numPr>
        <w:rPr>
          <w:rFonts w:ascii="Arial" w:cs="Arial" w:eastAsia="Arial" w:hAnsi="Arial"/>
          <w:sz w:val="14"/>
          <w:szCs w:val="14"/>
          <w:color w:val="auto"/>
        </w:rPr>
      </w:pPr>
      <w:r>
        <w:rPr>
          <w:rFonts w:ascii="Arial" w:cs="Arial" w:eastAsia="Arial" w:hAnsi="Arial"/>
          <w:sz w:val="14"/>
          <w:szCs w:val="14"/>
          <w:color w:val="auto"/>
        </w:rPr>
        <w:t>One Market, 1 Market Street, Suite 400, San Francisco, CA 94105 U.S.A., is solely responsible for the administration of the Plan. Participant further acknowledges that his or her participation in the Plan, the grant of the Restricted Stock Units and any acquisition of Shares under the Plan do not constitute an employment relationship or service contract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Employer, and do not form part of the employment conditions and/or benefits provided by the Company or any Subsidiary, and any modification of the Plan or its termination shall not constitute a change or impairment of the terms and conditions of Participant’s employment.</w:t>
      </w:r>
    </w:p>
    <w:p>
      <w:pPr>
        <w:spacing w:after="0" w:line="162"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sectPr>
          <w:pgSz w:w="11900" w:h="16838" w:orient="portrait"/>
          <w:cols w:equalWidth="0" w:num="1">
            <w:col w:w="11280"/>
          </w:cols>
          <w:pgMar w:left="300" w:top="1156" w:right="319" w:bottom="1440" w:gutter="0" w:footer="0" w:header="0"/>
        </w:sectPr>
      </w:pPr>
    </w:p>
    <w:bookmarkStart w:id="194" w:name="page195"/>
    <w:bookmarkEnd w:id="194"/>
    <w:p>
      <w:pPr>
        <w:jc w:val="both"/>
        <w:spacing w:after="0" w:line="295" w:lineRule="auto"/>
        <w:rPr>
          <w:sz w:val="20"/>
          <w:szCs w:val="20"/>
          <w:color w:val="auto"/>
        </w:rPr>
      </w:pPr>
      <w:r>
        <w:rPr>
          <w:rFonts w:ascii="Arial" w:cs="Arial" w:eastAsia="Arial" w:hAnsi="Arial"/>
          <w:sz w:val="14"/>
          <w:szCs w:val="14"/>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and legal representatives, with respect to any claim that may arise.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Términos y Condiciones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Documento de Reconocimiento del Plan</w:t>
      </w:r>
      <w:r>
        <w:rPr>
          <w:rFonts w:ascii="Arial" w:cs="Arial" w:eastAsia="Arial" w:hAnsi="Arial"/>
          <w:sz w:val="14"/>
          <w:szCs w:val="14"/>
          <w:i w:val="1"/>
          <w:iCs w:val="1"/>
          <w:color w:val="auto"/>
        </w:rPr>
        <w:t>. Esta disposición suplementa la Sección 24 del Contrato:</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Al aceptar las Unidades de Acción Restringida, el Participante reconoce que ha recibido una copia del Plan y del Contrato, incluyendo este Anexo B, que ha sido revisado por el Participante. El Participante reconoce, además, que acepta todas las disposiciones del Plan y del Contrato, incluyendo este Anexo B. El Participante también reconoce que ha leído y específica y expresamente aprueba los términos y condiciones establecidos en la Sección del Contrato intitulada “Naturaleza del Otorgamiento”, que claramente establece lo siguiente:</w:t>
      </w:r>
    </w:p>
    <w:p>
      <w:pPr>
        <w:spacing w:after="0" w:line="158" w:lineRule="exact"/>
        <w:rPr>
          <w:sz w:val="20"/>
          <w:szCs w:val="20"/>
          <w:color w:val="auto"/>
        </w:rPr>
      </w:pPr>
    </w:p>
    <w:p>
      <w:pPr>
        <w:ind w:left="220" w:hanging="215"/>
        <w:spacing w:after="0"/>
        <w:tabs>
          <w:tab w:leader="none" w:pos="2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La participación del Participante en el Plan no constituye un derecho adquirido;</w:t>
      </w:r>
    </w:p>
    <w:p>
      <w:pPr>
        <w:spacing w:after="0" w:line="210" w:lineRule="exact"/>
        <w:rPr>
          <w:rFonts w:ascii="Arial" w:cs="Arial" w:eastAsia="Arial" w:hAnsi="Arial"/>
          <w:sz w:val="14"/>
          <w:szCs w:val="14"/>
          <w:i w:val="1"/>
          <w:iCs w:val="1"/>
          <w:color w:val="auto"/>
        </w:rPr>
      </w:pPr>
    </w:p>
    <w:p>
      <w:pPr>
        <w:ind w:left="380" w:hanging="375"/>
        <w:spacing w:after="0"/>
        <w:tabs>
          <w:tab w:leader="none" w:pos="38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El Plan y la participación del Participante en el Plan se ofrecen por la Compañía de manera totalmente discrecional; y</w:t>
      </w:r>
    </w:p>
    <w:p>
      <w:pPr>
        <w:spacing w:after="0" w:line="220" w:lineRule="exact"/>
        <w:rPr>
          <w:rFonts w:ascii="Arial" w:cs="Arial" w:eastAsia="Arial" w:hAnsi="Arial"/>
          <w:sz w:val="14"/>
          <w:szCs w:val="14"/>
          <w:i w:val="1"/>
          <w:iCs w:val="1"/>
          <w:color w:val="auto"/>
        </w:rPr>
      </w:pPr>
    </w:p>
    <w:p>
      <w:pPr>
        <w:ind w:left="220" w:hanging="215"/>
        <w:spacing w:after="0"/>
        <w:tabs>
          <w:tab w:leader="none" w:pos="2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La participación del Participante en el Plan es voluntaria.</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u w:val="single" w:color="auto"/>
          <w:color w:val="auto"/>
        </w:rPr>
        <w:t>Reconocimiento de Ley Laboral y Declaración de Política</w:t>
      </w:r>
      <w:r>
        <w:rPr>
          <w:rFonts w:ascii="Arial" w:cs="Arial" w:eastAsia="Arial" w:hAnsi="Arial"/>
          <w:sz w:val="14"/>
          <w:szCs w:val="14"/>
          <w:i w:val="1"/>
          <w:iCs w:val="1"/>
          <w:color w:val="auto"/>
        </w:rPr>
        <w:t>. Al aceptar las Unidades de Acción Restringida, el Participante reconoce que Autodesk, Inc., con oficinas registradas en The Landmark @ One Market, 1 Market Street, Suite 400, San Francisco, CA 94105, EE.UU., es únicamente responsable por la administración del Plan. Además, el Participante reconoce que su participación en el Plan, el otorgamiento de las Unidades de Acción Restringida y cualquier adquisición de Acciones de conformidad con el Plan no constituyen una relación laboral o un contrato de servicio entre el Participante y la Compañía, ya que el Participante está participando en el Plan sobre una base exclusivamente comercial. Con base en lo anterior, el Participante expresamente reconoce que el Plan y los beneficios que le deriven de la participación en el Plan no establecen derecho alguno entre el Participante y el Patrón y no forman parte de las condiciones de trabajo y/o prestaciones otorgadas por la Compañía o cualquier Subsidiaria de la Compañía, y cualquier modificación del Plan o su terminación no constituirá un cambio o deterioro de los términos y condiciones de empleo del Participante.</w:t>
      </w:r>
    </w:p>
    <w:p>
      <w:pPr>
        <w:spacing w:after="0" w:line="165" w:lineRule="exact"/>
        <w:rPr>
          <w:sz w:val="20"/>
          <w:szCs w:val="20"/>
          <w:color w:val="auto"/>
        </w:rPr>
      </w:pPr>
    </w:p>
    <w:p>
      <w:pPr>
        <w:jc w:val="both"/>
        <w:spacing w:after="0" w:line="318" w:lineRule="auto"/>
        <w:rPr>
          <w:sz w:val="20"/>
          <w:szCs w:val="20"/>
          <w:color w:val="auto"/>
        </w:rPr>
      </w:pPr>
      <w:r>
        <w:rPr>
          <w:rFonts w:ascii="Arial" w:cs="Arial" w:eastAsia="Arial" w:hAnsi="Arial"/>
          <w:sz w:val="14"/>
          <w:szCs w:val="14"/>
          <w:i w:val="1"/>
          <w:iCs w:val="1"/>
          <w:color w:val="auto"/>
        </w:rPr>
        <w:t>Además, el Participante entiende que su participación en el Plan es resultado de una decisión unilateral y discrecional de la Compañía y, por lo tanto, la Compañía se reserva el derecho absoluto de modificar y/o discontinuar la participación del Participante en el Plan en cualquier momento, sin responsabilidad alguna para con el Participante.</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Finalmente, el Participante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sus Subsidiarias, afiliadas, sucursales, oficinas de representación, accionistas, directores, funcionarios, agentes y representantes con respecto a cualquier demanda o reclamación que pudiera surgir.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ectPr>
          <w:pgSz w:w="11900" w:h="16838" w:orient="portrait"/>
          <w:cols w:equalWidth="0" w:num="1">
            <w:col w:w="11280"/>
          </w:cols>
          <w:pgMar w:left="300" w:top="1154" w:right="319" w:bottom="1440" w:gutter="0" w:footer="0" w:header="0"/>
        </w:sectPr>
      </w:pPr>
    </w:p>
    <w:bookmarkStart w:id="195" w:name="page196"/>
    <w:bookmarkEnd w:id="195"/>
    <w:p>
      <w:pPr>
        <w:jc w:val="both"/>
        <w:spacing w:after="0" w:line="282"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Any Restricted Stock Units offered under the Plan and the Shares underlying the Restricted Stock Units have not been registered with the National Register of Securities maintained by the Mexican National Banking and Securities Commission and cannot be offered or sold publicly in Mexico. In addition, the Plan and any other document relating to any Restricted Stock Units may not be publicly distributed in Mexico. These materials are addressed to Participant only because of their existing relationship with the Company and its Subsidiaries and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and affiliates, made in accordance with the provisions of the Mexican Securities Market Law, and any rights under such offering shall not be assigned or transferred.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NETHERLANDS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ZEALAND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Warning: This is an offer of rights to receive Shares upon vesting of the Restricted Stock Units subject to the terms of the Plan and this Agreement.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Units give the Participant a stake in the ownership of the Company. Participant may receive a return if dividends are paid on the Shares.</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If the Company runs into financial difficulties and is wound up, Participant will be paid only after all creditors have been paid. Participant may lose some or all of his or her investment.</w:t>
      </w:r>
    </w:p>
    <w:p>
      <w:pPr>
        <w:spacing w:after="0" w:line="37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the Participant may not be given all the information usually required. Participant will also have fewer other legal protections for this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Participant should ask questions, read all documents carefully, and seek independent financial advice before committing to participate in the Plan.</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A copy of the Company’s latest annual report and most recent published annual financial statements are available online at www.sec.gov/, as well as on the Company’s website at http://investors.autodesk.com.</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As noted above, Participant is advised to carefully read the materials provided before making a decision whether to participate in the Plan. Participant is also encouraged to contact his or her tax advisor for specific information concerning Participant’s personal tax situation with regard to Plan participation.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NORWAY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In general, Participant should not be subject to any foreign exchange requirements in connection with the acquisition or sale of Shares under the Plan, except normal reporting</w:t>
      </w:r>
    </w:p>
    <w:p>
      <w:pPr>
        <w:sectPr>
          <w:pgSz w:w="11900" w:h="16838" w:orient="portrait"/>
          <w:cols w:equalWidth="0" w:num="1">
            <w:col w:w="11280"/>
          </w:cols>
          <w:pgMar w:left="300" w:top="1154" w:right="31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color w:val="auto"/>
        </w:rPr>
        <w:t>requirements to the Norwegian Currency Registry. If the transfer of funds into or out of Norway is made through a Norwegian bank, the bank will make the registration.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PHILIPPINES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u w:val="single" w:color="auto"/>
          <w:color w:val="auto"/>
        </w:rPr>
        <w:t>Form of Settlement</w:t>
      </w:r>
      <w:r>
        <w:rPr>
          <w:rFonts w:ascii="Arial" w:cs="Arial" w:eastAsia="Arial" w:hAnsi="Arial"/>
          <w:sz w:val="14"/>
          <w:szCs w:val="14"/>
          <w:color w:val="auto"/>
        </w:rPr>
        <w:t>. As detailed in Section 2 of the Agreement and notwithstanding any discretion in the Plan, the Company reserves the right to settle Restricted Stock Units in cash.</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This offering is subject to exemption from the requirements of securities registration with the Philippines Securities and Exchange Commission, under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10.1 (k) of the Philippine Securities Regulation Code. Section 10.1(k) of the Philippine Securities Regulation Code provides as follows: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“Section 10.1 Exempt Transactions – The requirement of registration under Subsection 8.1 shall not apply to the sale of any security in any of the following section;</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 .]</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“(k) The sale of securities by an issuer to fewer than twenty (20) persons in the Philippines during any twelve-month period.”</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http://investors.autodesk.com. In addition, Participant may receive, free of charge, a copy of the Company’s Annual Report, Quarterly Reports or any other reports, proxy statements or communications distributed to the Company’s stockholders by contacting john.clancy@autodesk.com.</w:t>
      </w:r>
    </w:p>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Participant acknowledges he or she is permitted to dispose or sell Shares acquired under the Plan provided the offer and resale of the Shares takes place outside the Philippines through the facilities of a stock exchange on which the Shares are listed. The Shares are currently listed on the Nasdaq Global Select Market in the United States of America.</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321"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Polish residents are required to transfer funds (e.g., in connection with the sale of Shares) through a bank in Poland if the transferred amount in any single transaction exceeds a specified threshold (currently €15,000 unless the transfer of funds is considered to be connected with the</w:t>
      </w:r>
    </w:p>
    <w:p>
      <w:pPr>
        <w:sectPr>
          <w:pgSz w:w="11900" w:h="16838" w:orient="portrait"/>
          <w:cols w:equalWidth="0" w:num="1">
            <w:col w:w="11280"/>
          </w:cols>
          <w:pgMar w:left="300" w:top="1154" w:right="319" w:bottom="1440" w:gutter="0" w:footer="0" w:header="0"/>
        </w:sectPr>
      </w:pPr>
    </w:p>
    <w:bookmarkStart w:id="197" w:name="page198"/>
    <w:bookmarkEnd w:id="197"/>
    <w:p>
      <w:pPr>
        <w:jc w:val="both"/>
        <w:spacing w:after="0" w:line="306" w:lineRule="auto"/>
        <w:rPr>
          <w:sz w:val="20"/>
          <w:szCs w:val="20"/>
          <w:color w:val="auto"/>
        </w:rPr>
      </w:pPr>
      <w:r>
        <w:rPr>
          <w:rFonts w:ascii="Arial" w:cs="Arial" w:eastAsia="Arial" w:hAnsi="Arial"/>
          <w:sz w:val="14"/>
          <w:szCs w:val="14"/>
          <w:color w:val="auto"/>
        </w:rPr>
        <w:t>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PORTUGAL</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21" w:lineRule="auto"/>
        <w:rPr>
          <w:sz w:val="20"/>
          <w:szCs w:val="20"/>
          <w:color w:val="auto"/>
        </w:rPr>
      </w:pPr>
      <w:r>
        <w:rPr>
          <w:rFonts w:ascii="Arial" w:cs="Arial" w:eastAsia="Arial" w:hAnsi="Arial"/>
          <w:sz w:val="14"/>
          <w:szCs w:val="14"/>
          <w:u w:val="single" w:color="auto"/>
          <w:color w:val="auto"/>
        </w:rPr>
        <w:t>Language Consent</w:t>
      </w:r>
      <w:r>
        <w:rPr>
          <w:rFonts w:ascii="Arial" w:cs="Arial" w:eastAsia="Arial" w:hAnsi="Arial"/>
          <w:sz w:val="14"/>
          <w:szCs w:val="14"/>
          <w:color w:val="auto"/>
        </w:rPr>
        <w:t>. Participant hereby expressly declares that Participant has full knowledge of the English language and has read, understood and fully accepted and agreed with the terms and conditions established in the Plan and Agreement.</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Conhecimento da Lingua</w:t>
      </w:r>
      <w:r>
        <w:rPr>
          <w:rFonts w:ascii="Arial" w:cs="Arial" w:eastAsia="Arial" w:hAnsi="Arial"/>
          <w:sz w:val="14"/>
          <w:szCs w:val="14"/>
          <w:color w:val="auto"/>
        </w:rPr>
        <w:t xml:space="preserve">. </w:t>
      </w:r>
      <w:r>
        <w:rPr>
          <w:rFonts w:ascii="Arial" w:cs="Arial" w:eastAsia="Arial" w:hAnsi="Arial"/>
          <w:sz w:val="14"/>
          <w:szCs w:val="14"/>
          <w:i w:val="1"/>
          <w:iCs w:val="1"/>
          <w:color w:val="auto"/>
        </w:rPr>
        <w:t>Por meio do presente, eu declaro expressamente que tem pleno conhecimento da língua inglesa e que li, compreendi e livremente aceitei e concordei</w:t>
      </w:r>
      <w:r>
        <w:rPr>
          <w:rFonts w:ascii="Arial" w:cs="Arial" w:eastAsia="Arial" w:hAnsi="Arial"/>
          <w:sz w:val="14"/>
          <w:szCs w:val="14"/>
          <w:color w:val="auto"/>
        </w:rPr>
        <w:t xml:space="preserve"> </w:t>
      </w:r>
      <w:r>
        <w:rPr>
          <w:rFonts w:ascii="Arial" w:cs="Arial" w:eastAsia="Arial" w:hAnsi="Arial"/>
          <w:sz w:val="14"/>
          <w:szCs w:val="14"/>
          <w:i w:val="1"/>
          <w:iCs w:val="1"/>
          <w:color w:val="auto"/>
        </w:rPr>
        <w:t>com os termos e condições estabelecidas no Plano e no Acordo.</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is a resident of Portugal and he or she receives Shares, the acquisition of such Shares should be reported to the Banco de Portugal for statistical purposes. If the Shares are deposited with a commercial bank or financial intermediary in Portugal, such bank or financial intermediary will submit the report to the Banco de Portugal. If the Shares are not deposited with a commercial bank, broker or financial intermediary in Portugal, Participant will be responsible for submitting the report to the Banco de Portugal.</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ROMANIA</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Notwithstanding Section 3 of the Agreement and the vesting provisions set forth in the Notice of Grant, Participant’s Restricted Stock Units will not vest prior to one year anniversary of the Date of Grant.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Romanian residents are not required to seek authorization from the National Bank of Romania to participate in the Plan nor to obtain special authorization to open and operate a foreign bank account in order to deposit any dividends received or the proceeds from the sale of Shares. However, if Participant deposits the sale of Shares acquired under the Plan in a bank account in Romania, Participant may be required to provide the Romanian bank with appropriate documentation explaining the source of the funds. Romanian residents should consult their personal advisor to determine whether they will be required to submit such documentation to the Romanian bank.</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SINGAPORE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Form of Settlement</w:t>
      </w:r>
      <w:r>
        <w:rPr>
          <w:rFonts w:ascii="Arial" w:cs="Arial" w:eastAsia="Arial" w:hAnsi="Arial"/>
          <w:sz w:val="14"/>
          <w:szCs w:val="14"/>
          <w:color w:val="auto"/>
        </w:rPr>
        <w:t>. As detailed in Section 2 of the Agreement and notwithstanding any discretion in the Plan, the Restricted Stock Units will be settled only in Shares. The Restricted Stock Units do not provide any right for Participant to receive a cash payment.</w:t>
      </w:r>
    </w:p>
    <w:p>
      <w:pPr>
        <w:sectPr>
          <w:pgSz w:w="11900" w:h="16838" w:orient="portrait"/>
          <w:cols w:equalWidth="0" w:num="1">
            <w:col w:w="11280"/>
          </w:cols>
          <w:pgMar w:left="300" w:top="1154" w:right="319"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Award is being granted pursuant to the “Qualifying Person” exemption under section 273(1)(f) of the Singapore Securities and Futures Act (Chapter 289, 2006 Ed.) (“SFA”) and is not being granted to Participant with a view to the Shares acquired from the Award being subsequently offered for sale to any other party. The Plan has not been, and will not be, lodged or registered as a prospectus with the Monetary Authority of Singapore. Further, the grant of the Award is subject to section 257 of the SFA and Participant should not sell, or offer to sell, any Shares acquired pursuant to the award in Singapore, unless such sale or offer is made (i) after six months from the Date of Grant or (ii) pursuant to the exemptions under Part XIII Division (1) Subdivision (4) (other than section 280) of the SFA.</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To the extent Participant sells, offers to sell or otherwise disposes of Shares acquired through the Plan within six months of the Date of Grant, Participant is permitted to dispose of such Shares through the designated broker appointed under the Plan, if any, provided the resale of Shares acquired under the Plan takes place outside Singapore through the facilities of a stock exchange on which the Shares are listed. The Shares are currently listed on the Nasdaq Global Select Market in the United States of America.</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u w:val="single" w:color="auto"/>
          <w:color w:val="auto"/>
        </w:rPr>
        <w:t>Director Notification Obligation</w:t>
      </w:r>
      <w:r>
        <w:rPr>
          <w:rFonts w:ascii="Arial" w:cs="Arial" w:eastAsia="Arial" w:hAnsi="Arial"/>
          <w:sz w:val="14"/>
          <w:szCs w:val="14"/>
          <w:color w:val="auto"/>
        </w:rPr>
        <w:t>. If Participant is a director, associate director or shadow director of a Singaporean Subsidiary, Participant is subject to certain notification requirements under the Singapore Companies Act. Among these requirements is an obligation to notify the Singaporean Subsidiary in writing when Participant receives an interest (e.g., Restricted Stock Units, Shares) in the Company or a Subsidiary or related entity. In addition, Participant must notify the Singaporean Subsidiary when he or she sells any Shares (including when Participant sells the Shares acquired under the Plan). These notifications must be made within two (2) business days of acquiring or disposing of any interest in the Company or any Subsidiary or related entity. In addition, a notification must be made of Participant’s interests in the Company or any Subsidiary or related entity within two (2) business days of becoming a director, associate director or shadow director of a parent, Subsidiary or affiliate in Singapore. Participant understands if he or she is the Chief Executive Officer (“CEO”) of the Company’s Subsidiary or affiliate in Singapore and the above notification requirements are determined to apply to the CEO of the Company’s Subsidiary or affiliate in Singapore, the above notification requirements also may apply to Participant.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Termination of Employment</w:t>
      </w:r>
      <w:r>
        <w:rPr>
          <w:rFonts w:ascii="Arial" w:cs="Arial" w:eastAsia="Arial" w:hAnsi="Arial"/>
          <w:sz w:val="14"/>
          <w:szCs w:val="14"/>
          <w:color w:val="auto"/>
        </w:rPr>
        <w:t>. For purposes of the Award, a termination of employment includes any termination that is deemed an “unfair dismissal” or a “constructive dismissal.”</w:t>
      </w:r>
    </w:p>
    <w:p>
      <w:pPr>
        <w:spacing w:after="0" w:line="22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Labor Law Acknowledgement</w:t>
      </w:r>
      <w:r>
        <w:rPr>
          <w:rFonts w:ascii="Arial" w:cs="Arial" w:eastAsia="Arial" w:hAnsi="Arial"/>
          <w:sz w:val="14"/>
          <w:szCs w:val="14"/>
          <w:color w:val="auto"/>
        </w:rPr>
        <w:t>. As a condition of receipt of the Award, Participant acknowledges that he or she understands and agrees to participation in the Plan and that he or she has received a copy of the Plan.</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Participant understands that the Company has unilaterally, gratuitously and discretionally decided to grant Restricted Stock Units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any grant is given on the assumption and condition that it shall not become a part of any employment contract (either with the Company or any of its Subsidiaries) and shall not be considered a mandatory benefit, salary for any</w:t>
      </w:r>
    </w:p>
    <w:p>
      <w:pPr>
        <w:sectPr>
          <w:pgSz w:w="11900" w:h="16838" w:orient="portrait"/>
          <w:cols w:equalWidth="0" w:num="1">
            <w:col w:w="11280"/>
          </w:cols>
          <w:pgMar w:left="300" w:top="1347" w:right="319" w:bottom="1440" w:gutter="0" w:footer="0" w:header="0"/>
        </w:sectPr>
      </w:pPr>
    </w:p>
    <w:bookmarkStart w:id="199" w:name="page200"/>
    <w:bookmarkEnd w:id="199"/>
    <w:p>
      <w:pPr>
        <w:jc w:val="both"/>
        <w:spacing w:after="0" w:line="286" w:lineRule="auto"/>
        <w:rPr>
          <w:sz w:val="20"/>
          <w:szCs w:val="20"/>
          <w:color w:val="auto"/>
        </w:rPr>
      </w:pPr>
      <w:r>
        <w:rPr>
          <w:rFonts w:ascii="Arial" w:cs="Arial" w:eastAsia="Arial" w:hAnsi="Arial"/>
          <w:sz w:val="14"/>
          <w:szCs w:val="14"/>
          <w:color w:val="auto"/>
        </w:rPr>
        <w:t>purposes (including severance compensation) or any other right whatsoever. Furthermore, Participant understands and freely accepts that there is no guarantee that any benefit whatsoever shall arise from any gratuitous and discretionary grant since the future value of the Award and the underlying Shares is unknown and unpredictable. In addition, Participant understands that this grant would not be made but for the assumptions and conditions referred to above; thus, Participant understands, acknowledges and freely accepts that should any or all of the assumptions be mistaken or should any of the conditions not be met for any reason, then the Award shall be null and void.</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Furthermore, Participant understands that the Award is a conditional right. Except as determined by the Committee or as provided in the Agreement, Participant shall forfeit any unvested Award upon termination of employment. The terms of this provision apply even if Participant is considered to be unfairly dismissed without good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may be required to electronically declare to the Bank of Spain any foreign accounts (including brokerage accounts held abroad), any foreign instruments (including Shares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 xml:space="preserve">If Participant holds 10% or more of the Share capital of the Company or such other amount that would entitle Participant to join the Company’s board of directors, then the acquisition, ownership and disposition of such Shares must be declared for statistical purposes to the </w:t>
      </w:r>
      <w:r>
        <w:rPr>
          <w:rFonts w:ascii="Arial" w:cs="Arial" w:eastAsia="Arial" w:hAnsi="Arial"/>
          <w:sz w:val="14"/>
          <w:szCs w:val="14"/>
          <w:i w:val="1"/>
          <w:iCs w:val="1"/>
          <w:color w:val="auto"/>
        </w:rPr>
        <w:t>Spanish Dirección General de Comercio e Inversiones</w:t>
      </w:r>
      <w:r>
        <w:rPr>
          <w:rFonts w:ascii="Arial" w:cs="Arial" w:eastAsia="Arial" w:hAnsi="Arial"/>
          <w:sz w:val="14"/>
          <w:szCs w:val="14"/>
          <w:color w:val="auto"/>
        </w:rPr>
        <w:t xml:space="preserve"> (the Bureau for Commerce and Investments), which is a department of the Ministry of Economy and Competitiveness. The declaration (via Form 6) must be made in January for Shares acquired or disposed of during the prior calendar year and/or for Shares owned as of December 31 of the prior calendar year; provided, if the value of the Shares acquired or sold exceeds €1,502,530, the declaration must be filed within one month of the acquisition or disposition of the Shares, as applicable.</w:t>
      </w:r>
    </w:p>
    <w:p>
      <w:pPr>
        <w:spacing w:after="0" w:line="16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xml:space="preserve">. No “offer of securities to the public,” as defined under Spanish law, has taken place or will take place in the Spanish territory in connection with the Award. The Agreement has not been nor will it be registered with the </w:t>
      </w:r>
      <w:r>
        <w:rPr>
          <w:rFonts w:ascii="Arial" w:cs="Arial" w:eastAsia="Arial" w:hAnsi="Arial"/>
          <w:sz w:val="14"/>
          <w:szCs w:val="14"/>
          <w:i w:val="1"/>
          <w:iCs w:val="1"/>
          <w:color w:val="auto"/>
        </w:rPr>
        <w:t>Comisión Nacional del Mercado de Valores</w:t>
      </w:r>
      <w:r>
        <w:rPr>
          <w:rFonts w:ascii="Arial" w:cs="Arial" w:eastAsia="Arial" w:hAnsi="Arial"/>
          <w:sz w:val="14"/>
          <w:szCs w:val="14"/>
          <w:color w:val="auto"/>
        </w:rPr>
        <w:t>, and does not constitute a public offering prospectus.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SWEDEN</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The following provisions supplement Section 8 of the Agreement:</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Without limiting the Company’s and the Employer's authority to satisfy their withholding obligations for Tax-Related Items as set forth in Section 8 of the Agreement, in accepting the Restricted Stock Units, Participant authorizes the Company and/or the Employer to withhold Shares or to sell Shares otherwise deliverable to Participant upon vesting/settlement to satisfy Tax-Related Items, regardless of whether the Company and/or the Employer have an obligation to withhold such Tax-Related Items.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SWITZERLAND</w:t>
      </w:r>
    </w:p>
    <w:p>
      <w:pPr>
        <w:sectPr>
          <w:pgSz w:w="11900" w:h="16838" w:orient="portrait"/>
          <w:cols w:equalWidth="0" w:num="1">
            <w:col w:w="11280"/>
          </w:cols>
          <w:pgMar w:left="300" w:top="1154" w:right="319"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Because the grant of Restricted Stock Units is considered a private offering in Switzerland; it is not subject to registration in Switzerland. Neither this Agreement nor any other materials relating to the Restricted Stock Units (1) constitute a prospectus according to articles 35 et seq. of the Swiss Federal Act on Financial Services (“FinSA”), (2) may be publicly distributed nor otherwise made publicly available in Switzerland to any person other than an employee of the Company or Employer or (3) has been or will be filed with, approved or supervised by any Swiss reviewing body according to article 51 FinSA or any Swiss regulatory authority, including the Swiss Financial Market Supervisory Authority (“FINMA”).</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TAIWAN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Data Privacy Acknowledgement</w:t>
      </w:r>
      <w:r>
        <w:rPr>
          <w:rFonts w:ascii="Arial" w:cs="Arial" w:eastAsia="Arial" w:hAnsi="Arial"/>
          <w:sz w:val="14"/>
          <w:szCs w:val="14"/>
          <w:color w:val="auto"/>
        </w:rPr>
        <w:t>. Participant hereby acknowledges having read and understood the terms regarding collection, processing and transfer of Participant’s data contained in Section 25 of the Agreement and agrees that, by enrolling in the Plan, Participant is agreeing to such terms. In this regard, upon request of the Company or the Employer, Participant agrees to provide any executed data privacy consent form (or any other agreements or consents that may be required by the Employer or the Company) should the Company and/or the Employer deem such agreement or consent necessary under the data privacy laws, either now or in the future. Participant understands that Participant will not be able to participate in the Plan if Participant fails to execute any such consent or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xml:space="preserve"> The offer of participation in the Plan is available only for Employees. The offer of participation in the Plan is not a public offer of securities by a Taiwanese company.</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Taiwanese residents may acquire and remit foreign currency (including funds to purchase or proceeds from the sale of Shares) into and out of Taiwan, through an authorized foreign exchange bank,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Participant is personally responsible for complying with exchange control restrictions in Taiwan.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THAILAND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realizes US$1,000,000 or more in a single transaction from the sale of Shares or the payment of dividends, he or she is required to repatriate the funds to Thailand immediately following the receipt of the funds and to then either convert such repatriated funds into Thai Baht or deposit the funds into a foreign currency account opened with any commercial bank in Thailand acting as an authorized agent within 360 days of repatriation. Further, Participant must specifically report the inward remittance to the Bank of Thailand on a Foreign Exchange Transaction Form. If Participant fails to comply with these obligations, Participant may be subject to penalties assessed by the Bank of</w:t>
      </w:r>
    </w:p>
    <w:p>
      <w:pPr>
        <w:sectPr>
          <w:pgSz w:w="11900" w:h="16838" w:orient="portrait"/>
          <w:cols w:equalWidth="0" w:num="1">
            <w:col w:w="11280"/>
          </w:cols>
          <w:pgMar w:left="300" w:top="1347" w:right="319" w:bottom="1440" w:gutter="0" w:footer="0" w:header="0"/>
        </w:sectPr>
      </w:pPr>
    </w:p>
    <w:bookmarkStart w:id="201" w:name="page202"/>
    <w:bookmarkEnd w:id="201"/>
    <w:p>
      <w:pPr>
        <w:jc w:val="both"/>
        <w:spacing w:after="0" w:line="295" w:lineRule="auto"/>
        <w:rPr>
          <w:sz w:val="20"/>
          <w:szCs w:val="20"/>
          <w:color w:val="auto"/>
        </w:rPr>
      </w:pPr>
      <w:r>
        <w:rPr>
          <w:rFonts w:ascii="Arial" w:cs="Arial" w:eastAsia="Arial" w:hAnsi="Arial"/>
          <w:sz w:val="14"/>
          <w:szCs w:val="14"/>
          <w:color w:val="auto"/>
        </w:rPr>
        <w:t>Thailand. Because exchange control regulations change frequently and without notice, Participant should consult his or her legal advisor before selling any Shares (or receiving any other funds in connection with the Plan) to ensure compliance with current regulations. Participant is personally responsible for complying with exchange control restrictions in Thailand.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TURKEY</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Under Turkish law, Participant is not permitted to sell any Shares acquired under the Plan in Turkey. The Shares are currently traded on the Nasdaq Global Select Market, which is located outside Turkey, under the ticker symbol “ADSK” and the Shares may be sold through this exchange.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will likely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for further information regarding these requirements to ensure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ARAB EMIRATES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Notifications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Participation in the Plan is being offered only to selected employees and is in the nature of providing equity incentives to employees of the Company or its Subsidiaries and affiliates in the United Arab Emirates. The Plan and the Agreement are intended for distribution only to such employees and must not be delivered to, or relied on by, any other person. Prospective purchasers of the securities offered should conduct their own due diligence on the securities. If Participant does not understand the contents of the Plan or the Agreement (including this Exhibit B), Participant understands that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KINGDOM</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and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Disability or Death of Participant</w:t>
      </w:r>
      <w:r>
        <w:rPr>
          <w:rFonts w:ascii="Arial" w:cs="Arial" w:eastAsia="Arial" w:hAnsi="Arial"/>
          <w:sz w:val="14"/>
          <w:szCs w:val="14"/>
          <w:color w:val="auto"/>
        </w:rPr>
        <w:t>. The following provision replaces Section 7(b) of the Agreement:</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1280"/>
          </w:cols>
          <w:pgMar w:left="300" w:top="1154" w:right="31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The following provisions supplement Section 8 of the Agreement:</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Participant agrees to be liable for any Tax-Related Items and hereby covenants to pay any such Tax-Related Items, as and when requested by the Company or, if different, the Employer or by HM Revenue &amp; Customs (“HMRC”) (or any other tax authority or any other relevant authority). Participant also agrees to indemnify and keep indemnified the Company and, if different, the Employer against any Tax-Related Items that they are required to pay or withhold or have paid or will pay to HMRC on his or her behalf (or any other tax authority or any other relevant authority).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Notwithstanding the foregoing, if Participant is a director or an executive officer of the Company (within the meaning of such terms for purposes of Section 13(k) of the Exchange Act), Participant acknowledges that he or she may not be able to indemnify the Company or the Employer for the amount of any income tax not collected from or paid by him or her, as it may be considered a loan. In this case, the amount of any income tax not collected within 90 days of the end of the U.K. tax year in which the event giving rise to the Tax-Related Item(s) occurs may constitute an additional benefit to Participant on which additional income tax and National Insurance contributions (“NICs”) may be payable. Participant will be responsible for reporting and paying any income tax due on this additional benefit directly to HMRC under the self-assessment regime and for reimbursing the Company or the Employer (as appropriate) for the value of any NICs due on this additional benefit, which the Company or the Employer may recover from Participant by any of the means referred to in the Plan or Section 8 of the Agreement. However, Participant is primarily responsible for reporting and paying any income tax due on this additional benefit directly to HMRC under the self-assessment regime.</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Administrator may require a Participant, as a condition of the grant or vesting of an Award granted under this Award Agreement, to enter into an election under section 431 of the Income Tax (Earnings and Pensions) Act 2003 before or within 14 days after the acquisition of Shares in connection to the Award.</w:t>
      </w:r>
    </w:p>
    <w:p>
      <w:pPr>
        <w:sectPr>
          <w:pgSz w:w="11900" w:h="16838" w:orient="portrait"/>
          <w:cols w:equalWidth="0" w:num="1">
            <w:col w:w="11280"/>
          </w:cols>
          <w:pgMar w:left="300" w:top="1345" w:right="31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Autodesk, Inc.</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Section 102 Confirmation Letter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APPROVAL OF THE DESIGNATED EMPLOYEE</w:t>
      </w:r>
    </w:p>
    <w:p>
      <w:pPr>
        <w:spacing w:after="0" w:line="14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I hereby agree that the Awards granted to me by Autodesk, Inc. shall be allocated under the provisions of the track referred to as the "Capital Gains Track", according to Section 102(b)(2) and 102(b)(3) of the Israeli Income Tax Ordinance and shall be held by the Trustee for the periods stated in Section 102 and in accordance with the provisions of the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hereby declare that:</w:t>
      </w:r>
    </w:p>
    <w:p>
      <w:pPr>
        <w:spacing w:after="0" w:line="156" w:lineRule="exact"/>
        <w:rPr>
          <w:sz w:val="20"/>
          <w:szCs w:val="20"/>
          <w:color w:val="auto"/>
        </w:rPr>
      </w:pPr>
    </w:p>
    <w:p>
      <w:pPr>
        <w:ind w:left="520" w:hanging="515"/>
        <w:spacing w:after="0"/>
        <w:tabs>
          <w:tab w:leader="none" w:pos="5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the provisions of Section 102 and the applicable tax track of this grant of Awards.</w:t>
      </w:r>
    </w:p>
    <w:p>
      <w:pPr>
        <w:spacing w:after="0" w:line="166" w:lineRule="exact"/>
        <w:rPr>
          <w:rFonts w:ascii="Times New Roman" w:cs="Times New Roman" w:eastAsia="Times New Roman" w:hAnsi="Times New Roman"/>
          <w:sz w:val="16"/>
          <w:szCs w:val="16"/>
          <w:color w:val="auto"/>
        </w:rPr>
      </w:pPr>
    </w:p>
    <w:p>
      <w:pPr>
        <w:jc w:val="both"/>
        <w:ind w:left="520" w:hanging="515"/>
        <w:spacing w:after="0" w:line="221" w:lineRule="auto"/>
        <w:tabs>
          <w:tab w:leader="none" w:pos="5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102, I confirm that I shall not sell and/or transfer the Awards or Shares before the end of the Holding Period. In the event that I shall elect to sell or release the Shares, as the case may be, prior to the expiration of the Holding Period, the sanctions under Section 102 shall apply to and shall be borne solely by me.</w:t>
      </w:r>
    </w:p>
    <w:p>
      <w:pPr>
        <w:spacing w:after="0" w:line="149"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understand that this Award grant is conditioned upon the receipt of all required approvals from Israeli tax authorities.</w:t>
      </w:r>
    </w:p>
    <w:p>
      <w:pPr>
        <w:spacing w:after="0" w:line="166"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agree to be bonded by the provisions of the trust agreement.</w:t>
      </w:r>
    </w:p>
    <w:p>
      <w:pPr>
        <w:spacing w:after="0" w:line="155" w:lineRule="exact"/>
        <w:rPr>
          <w:rFonts w:ascii="Times New Roman" w:cs="Times New Roman" w:eastAsia="Times New Roman" w:hAnsi="Times New Roman"/>
          <w:sz w:val="16"/>
          <w:szCs w:val="16"/>
          <w:color w:val="auto"/>
        </w:rPr>
      </w:pPr>
    </w:p>
    <w:p>
      <w:pPr>
        <w:ind w:left="520" w:hanging="515"/>
        <w:spacing w:after="0" w:line="235" w:lineRule="auto"/>
        <w:tabs>
          <w:tab w:leader="none" w:pos="5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hereby confirm that I have: (i) read and understand this letter; (ii) received all the clarifications and explanations that I have requested; and (iii) had the opportunity to consult with my advisers before signing this confirmation letter.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Employee</w:t>
      </w:r>
    </w:p>
    <w:p>
      <w:pPr>
        <w:spacing w:after="0" w:line="15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The Employee acknowledges that, as a condition of accepting the Awards and/or participating in the employee equity benefit plans implemented by Autodesk, by electronically accepting the Awards, the Employee agrees to be bound by the terms of this letter.</w:t>
      </w:r>
    </w:p>
    <w:p>
      <w:pPr>
        <w:sectPr>
          <w:pgSz w:w="11900" w:h="16838" w:orient="portrait"/>
          <w:cols w:equalWidth="0" w:num="1">
            <w:col w:w="11280"/>
          </w:cols>
          <w:pgMar w:left="300" w:top="1127" w:right="319" w:bottom="1440" w:gutter="0" w:footer="0" w:header="0"/>
        </w:sectPr>
      </w:pPr>
    </w:p>
    <w:bookmarkStart w:id="204" w:name="page205"/>
    <w:bookmarkEnd w:id="204"/>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6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6940" w:type="dxa"/>
            <w:vAlign w:val="bottom"/>
            <w:gridSpan w:val="3"/>
          </w:tcPr>
          <w:p>
            <w:pPr>
              <w:jc w:val="center"/>
              <w:ind w:right="4249"/>
              <w:spacing w:after="0"/>
              <w:rPr>
                <w:sz w:val="20"/>
                <w:szCs w:val="20"/>
                <w:color w:val="auto"/>
              </w:rPr>
            </w:pPr>
            <w:r>
              <w:rPr>
                <w:rFonts w:ascii="Times New Roman" w:cs="Times New Roman" w:eastAsia="Times New Roman" w:hAnsi="Times New Roman"/>
                <w:sz w:val="14"/>
                <w:szCs w:val="14"/>
                <w:b w:val="1"/>
                <w:bCs w:val="1"/>
                <w:color w:val="auto"/>
              </w:rPr>
              <w:t>SUBSIDIARIES OF AUTODESK, INC.</w:t>
            </w:r>
          </w:p>
        </w:tc>
      </w:tr>
      <w:tr>
        <w:trPr>
          <w:trHeight w:val="233"/>
        </w:trPr>
        <w:tc>
          <w:tcPr>
            <w:tcW w:w="4320" w:type="dxa"/>
            <w:vAlign w:val="bottom"/>
          </w:tcPr>
          <w:p>
            <w:pPr>
              <w:spacing w:after="0"/>
              <w:rPr>
                <w:sz w:val="20"/>
                <w:szCs w:val="20"/>
                <w:color w:val="auto"/>
              </w:rPr>
            </w:pPr>
          </w:p>
        </w:tc>
        <w:tc>
          <w:tcPr>
            <w:tcW w:w="6940" w:type="dxa"/>
            <w:vAlign w:val="bottom"/>
            <w:gridSpan w:val="3"/>
          </w:tcPr>
          <w:p>
            <w:pPr>
              <w:jc w:val="center"/>
              <w:ind w:right="4249"/>
              <w:spacing w:after="0"/>
              <w:rPr>
                <w:sz w:val="20"/>
                <w:szCs w:val="20"/>
                <w:color w:val="auto"/>
              </w:rPr>
            </w:pPr>
            <w:r>
              <w:rPr>
                <w:rFonts w:ascii="Times New Roman" w:cs="Times New Roman" w:eastAsia="Times New Roman" w:hAnsi="Times New Roman"/>
                <w:sz w:val="14"/>
                <w:szCs w:val="14"/>
                <w:b w:val="1"/>
                <w:bCs w:val="1"/>
                <w:color w:val="auto"/>
              </w:rPr>
              <w:t>a Delaware Corporation</w:t>
            </w:r>
          </w:p>
        </w:tc>
      </w:tr>
      <w:tr>
        <w:trPr>
          <w:trHeight w:val="244"/>
        </w:trPr>
        <w:tc>
          <w:tcPr>
            <w:tcW w:w="4320" w:type="dxa"/>
            <w:vAlign w:val="bottom"/>
          </w:tcPr>
          <w:p>
            <w:pPr>
              <w:spacing w:after="0"/>
              <w:rPr>
                <w:sz w:val="21"/>
                <w:szCs w:val="21"/>
                <w:color w:val="auto"/>
              </w:rPr>
            </w:pPr>
          </w:p>
        </w:tc>
        <w:tc>
          <w:tcPr>
            <w:tcW w:w="6940" w:type="dxa"/>
            <w:vAlign w:val="bottom"/>
            <w:gridSpan w:val="3"/>
          </w:tcPr>
          <w:p>
            <w:pPr>
              <w:jc w:val="center"/>
              <w:ind w:right="4249"/>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r>
      <w:tr>
        <w:trPr>
          <w:trHeight w:val="531"/>
        </w:trPr>
        <w:tc>
          <w:tcPr>
            <w:tcW w:w="432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3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67"/>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ADSK Ireland Limited</w:t>
            </w: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ADSK Norway AS</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Norway</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ADSK Norway Holdings AS</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Norway</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Assemble Systems, LLC</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(China) Software Research and Development Co., Ltd.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(EMEA) Sárl</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Switzerland</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AB</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Sweden</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ApS</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Denmark</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Asia Pte. Ltd.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Australia Pty. Ltd.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Australia Holding Pty. Ltd.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B.V.</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Canada Co.</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Colombia, S.A.S.</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Colombia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d.o.o.</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Croatia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de Argentina S.A.</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Argentina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de Costa Rica, S.R.L.</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 Rica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de Mexico, S.A. de C.V.</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de Venezuela, S.A.</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Venezuela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Development S.á.r.l.</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Switzerland</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Direct Limited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do Brasil Ltda</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Far East Limited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Finance Holdings Limited (Ireland)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France S.A.S.</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France</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Ges.mbH</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Austria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Global, Inc.</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Global Holdings Limited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GmbH</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Hungary Kft.</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Hungary</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India Private Limited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International Holding Co.</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Ireland Operations Unlimited Company</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Israel Ltd.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Israel</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Korea Limited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Korea</w:t>
            </w: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Limited</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Saudi Arabia</w:t>
            </w:r>
          </w:p>
        </w:tc>
      </w:tr>
      <w:tr>
        <w:trPr>
          <w:trHeight w:val="18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Autodesk Limited</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679"/>
        </w:trPr>
        <w:tc>
          <w:tcPr>
            <w:tcW w:w="4320" w:type="dxa"/>
            <w:vAlign w:val="bottom"/>
          </w:tcPr>
          <w:p>
            <w:pPr>
              <w:spacing w:after="0"/>
              <w:rPr>
                <w:sz w:val="24"/>
                <w:szCs w:val="24"/>
                <w:color w:val="auto"/>
              </w:rPr>
            </w:pPr>
          </w:p>
        </w:tc>
        <w:tc>
          <w:tcPr>
            <w:tcW w:w="31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ectPr>
          <w:pgSz w:w="11900" w:h="16838" w:orient="portrait"/>
          <w:cols w:equalWidth="0" w:num="1">
            <w:col w:w="11260"/>
          </w:cols>
          <w:pgMar w:left="320" w:top="727"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color w:val="auto"/>
        </w:rPr>
        <w:t>Autodesk Ltd. Japan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Netherlands Holdings B.V.</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Norway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S.r.l.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S.R.L.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Software (China) Co.,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Sp. Z o.o.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spol. s.r.o.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Taiwan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Japan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Netherlands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Norway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Italy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Romania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Switzerland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Czech Republic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Taiwan, Republic of China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9" w:lineRule="exact"/>
        <w:rPr>
          <w:sz w:val="20"/>
          <w:szCs w:val="20"/>
          <w:color w:val="auto"/>
        </w:rPr>
      </w:pPr>
    </w:p>
    <w:p>
      <w:pPr>
        <w:sectPr>
          <w:pgSz w:w="11900" w:h="16838" w:orient="portrait"/>
          <w:cols w:equalWidth="0" w:num="2">
            <w:col w:w="6880" w:space="720"/>
            <w:col w:w="2539"/>
          </w:cols>
          <w:pgMar w:left="320" w:top="835" w:right="1440"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Autodesk Yazilim Hizmetleri Ticaret Limited Sirketi</w:t>
      </w:r>
    </w:p>
    <w:p>
      <w:pPr>
        <w:sectPr>
          <w:pgSz w:w="11900" w:h="16838" w:orient="portrait"/>
          <w:cols w:equalWidth="0" w:num="1">
            <w:col w:w="10139"/>
          </w:cols>
          <w:pgMar w:left="320" w:top="835" w:right="1440" w:bottom="1440" w:gutter="0" w:footer="0" w:header="0"/>
          <w:type w:val="continuous"/>
        </w:sectPr>
      </w:pPr>
    </w:p>
    <w:p>
      <w:pPr>
        <w:spacing w:after="0" w:line="234" w:lineRule="auto"/>
        <w:rPr>
          <w:sz w:val="20"/>
          <w:szCs w:val="20"/>
          <w:color w:val="auto"/>
        </w:rPr>
      </w:pPr>
      <w:r>
        <w:rPr>
          <w:rFonts w:ascii="Times New Roman" w:cs="Times New Roman" w:eastAsia="Times New Roman" w:hAnsi="Times New Roman"/>
          <w:sz w:val="14"/>
          <w:szCs w:val="14"/>
          <w:color w:val="auto"/>
        </w:rPr>
        <w:t>(Autodesk Limited Sirketi)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Autodesk Inc Jordan PSC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BuildingConnected,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CadSoft Computer GmbH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Delcam Australia Pty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Delcam Consulting and Technology Services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Delcam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Delcam Software (India) Private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Flexsim Software Products,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Graitec GmbH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HD Solutions Co.,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Innovyze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Innovyze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Innovyze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Moxion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netfabb GmbH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PlanGrid Australia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PlanGrid Canada ULC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PlanGrid,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Prodsmart,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Prodsmart Informatica, S.A.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ProEst,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Pype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Pype Technologies Private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Shotgun Software,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Spacemaker AEC Software Oy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Spacemaker AS Norway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Spacemaker France SAS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Spacemaker Sweden AB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Solid Angle S.L.U.</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Storm Australia Holdco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TradeTapp,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Turkey</w:t>
      </w: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Jordan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Republic of Korea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Zealand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Canada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Portugal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Norway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Sweden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200" w:lineRule="exact"/>
        <w:rPr>
          <w:sz w:val="20"/>
          <w:szCs w:val="20"/>
          <w:color w:val="auto"/>
        </w:rPr>
      </w:pPr>
    </w:p>
    <w:p>
      <w:pPr>
        <w:sectPr>
          <w:pgSz w:w="11900" w:h="16838" w:orient="portrait"/>
          <w:cols w:equalWidth="0" w:num="2">
            <w:col w:w="6880" w:space="720"/>
            <w:col w:w="2539"/>
          </w:cols>
          <w:pgMar w:left="320" w:top="835" w:right="1440" w:bottom="1440" w:gutter="0" w:footer="0" w:header="0"/>
          <w:type w:val="continuous"/>
        </w:sectPr>
      </w:pP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39"/>
          </w:cols>
          <w:pgMar w:left="320" w:top="835" w:right="1440"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color w:val="auto"/>
        </w:rPr>
        <w:t>Unifi Labs,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Wild 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XP Software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XP Solutions Software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200" w:lineRule="exact"/>
        <w:rPr>
          <w:sz w:val="20"/>
          <w:szCs w:val="20"/>
          <w:color w:val="auto"/>
        </w:rPr>
      </w:pPr>
    </w:p>
    <w:p>
      <w:pPr>
        <w:sectPr>
          <w:pgSz w:w="11900" w:h="16838" w:orient="portrait"/>
          <w:cols w:equalWidth="0" w:num="2">
            <w:col w:w="6880" w:space="720"/>
            <w:col w:w="2539"/>
          </w:cols>
          <w:pgMar w:left="320" w:top="835" w:right="1440" w:bottom="1440" w:gutter="0" w:footer="0" w:header="0"/>
        </w:sectPr>
      </w:pP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39"/>
          </w:cols>
          <w:pgMar w:left="320" w:top="835" w:right="1440" w:bottom="1440" w:gutter="0" w:footer="0" w:header="0"/>
          <w:type w:val="continuous"/>
        </w:sectPr>
      </w:pPr>
    </w:p>
    <w:bookmarkStart w:id="225" w:name="page226"/>
    <w:bookmarkEnd w:id="22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333-265742</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2022 Equity Incentive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S-3ASR</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333-248557</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Senior Debt Securities</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333-229346</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Amended and Restated BuildingConnected, Inc. 2013 Stock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333-228934</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PlanGrid 2012 Equity Incentive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333-223861</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2012 Employee Stock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333-213701</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333-205038</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 and Autodesk, Inc. 2012 Employee Stock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333-194463</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 and Autodesk, Inc. 2012 Employee Stock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333-187338</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w:t>
            </w:r>
          </w:p>
        </w:tc>
      </w:tr>
      <w:tr>
        <w:trPr>
          <w:trHeight w:val="142"/>
        </w:trPr>
        <w:tc>
          <w:tcPr>
            <w:tcW w:w="1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333-179514</w:t>
            </w:r>
          </w:p>
        </w:tc>
        <w:tc>
          <w:tcPr>
            <w:tcW w:w="862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color w:val="auto"/>
              </w:rPr>
              <w:t>Autodesk, Inc. 1998 Employee Qualified Stock Purchase Plan, Autodesk, Inc. 2012 Employee Stock Plan and Autodesk, Inc. 2012 Outside</w:t>
            </w:r>
          </w:p>
        </w:tc>
      </w:tr>
      <w:tr>
        <w:trPr>
          <w:trHeight w:val="184"/>
        </w:trPr>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Directors' Stock Plan</w:t>
            </w:r>
          </w:p>
        </w:tc>
      </w:tr>
      <w:tr>
        <w:trPr>
          <w:trHeight w:val="18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333-172936</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333-165561</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 and Autodesk, Inc. 2010 Outside Directors' Stock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333-158131</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333-149964</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Autodesk, Inc. 2008 Employee Stock Plan, Autodesk, Inc. 1998 Employee Qualified Stock Purchase Plan</w:t>
            </w:r>
          </w:p>
        </w:tc>
      </w:tr>
      <w:tr>
        <w:trPr>
          <w:trHeight w:val="142"/>
        </w:trPr>
        <w:tc>
          <w:tcPr>
            <w:tcW w:w="1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333-133015</w:t>
            </w:r>
          </w:p>
        </w:tc>
        <w:tc>
          <w:tcPr>
            <w:tcW w:w="862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color w:val="auto"/>
              </w:rPr>
              <w:t>Autodesk, Inc. 2006 Employee Stock Plan, Autodesk, Inc. 2000 Directors' Option Plan, Autodesk, Inc. 1998 Employee Qualified Stock Purchase</w:t>
            </w:r>
          </w:p>
        </w:tc>
      </w:tr>
      <w:tr>
        <w:trPr>
          <w:trHeight w:val="184"/>
        </w:trPr>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Plan, and Alias Systems Holdings Inc. 2004 Stock Option Plan</w:t>
            </w:r>
          </w:p>
        </w:tc>
      </w:tr>
      <w:tr>
        <w:trPr>
          <w:trHeight w:val="18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333-116203</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and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333-106556</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and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333-88682</w:t>
            </w:r>
          </w:p>
        </w:tc>
        <w:tc>
          <w:tcPr>
            <w:tcW w:w="8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Revit Technology Corporation 1998 Stock Plan, 1996 Stock Plan and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333-67974</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1998 Employee Qualified Stock Purchase Plan and Nonstatutory Stock Option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333-45928</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2000 Directors' Option Plan and 1998 Employee Qualified Stock Purchase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333-81207</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1998 Employee Qualified Stock Purchase Plan and Nonstatutory Stock Option Plan</w:t>
            </w:r>
          </w:p>
        </w:tc>
      </w:tr>
      <w:tr>
        <w:trPr>
          <w:trHeight w:val="180"/>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333-62655</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and 1998 Employee Qualified Stock Purchase Plan</w:t>
            </w:r>
          </w:p>
        </w:tc>
      </w:t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Form S-8</w:t>
            </w:r>
          </w:p>
        </w:tc>
        <w:tc>
          <w:tcPr>
            <w:tcW w:w="1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333-08693</w:t>
            </w: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1996</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 1990 Directors' Option Plan, 1998 Employee Qualified Stock Purchase Plan and Teleos Research 1996 Stock Plan</w:t>
            </w:r>
          </w:p>
        </w:tc>
      </w:tr>
    </w:tbl>
    <w:p>
      <w:pPr>
        <w:spacing w:after="0" w:line="240"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of our reports dated June 10, 2024, with respect to the consolidated financial statements and schedule of Autodesk, Inc., and the effectiveness of internal control over financial reporting of Autodesk, Inc., included in this Annual Report (Form 10-K) of Autodesk, Inc. for the year ended January 31,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w:t>
      </w:r>
      <w:r>
        <w:rPr>
          <w:rFonts w:ascii="Times New Roman" w:cs="Times New Roman" w:eastAsia="Times New Roman" w:hAnsi="Times New Roman"/>
          <w:sz w:val="11"/>
          <w:szCs w:val="11"/>
          <w:color w:val="auto"/>
        </w:rPr>
        <w:t>RNST</w:t>
      </w:r>
      <w:r>
        <w:rPr>
          <w:rFonts w:ascii="Times New Roman" w:cs="Times New Roman" w:eastAsia="Times New Roman" w:hAnsi="Times New Roman"/>
          <w:sz w:val="14"/>
          <w:szCs w:val="14"/>
          <w:color w:val="auto"/>
        </w:rPr>
        <w:t xml:space="preserve"> &amp; Y</w:t>
      </w:r>
      <w:r>
        <w:rPr>
          <w:rFonts w:ascii="Times New Roman" w:cs="Times New Roman" w:eastAsia="Times New Roman" w:hAnsi="Times New Roman"/>
          <w:sz w:val="11"/>
          <w:szCs w:val="11"/>
          <w:color w:val="auto"/>
        </w:rPr>
        <w:t>OUNG</w:t>
      </w:r>
      <w:r>
        <w:rPr>
          <w:rFonts w:ascii="Times New Roman" w:cs="Times New Roman" w:eastAsia="Times New Roman" w:hAnsi="Times New Roman"/>
          <w:sz w:val="14"/>
          <w:szCs w:val="14"/>
          <w:color w:val="auto"/>
        </w:rPr>
        <w:t xml:space="preserv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10, 2024</w:t>
      </w:r>
    </w:p>
    <w:p>
      <w:pPr>
        <w:sectPr>
          <w:pgSz w:w="11900" w:h="16838" w:orient="portrait"/>
          <w:cols w:equalWidth="0" w:num="1">
            <w:col w:w="11280"/>
          </w:cols>
          <w:pgMar w:left="300" w:top="728"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Anagnost, certify that:</w:t>
      </w:r>
    </w:p>
    <w:p>
      <w:pPr>
        <w:spacing w:after="0" w:line="83" w:lineRule="exact"/>
        <w:rPr>
          <w:sz w:val="20"/>
          <w:szCs w:val="20"/>
          <w:color w:val="auto"/>
        </w:rPr>
      </w:pPr>
    </w:p>
    <w:p>
      <w:pPr>
        <w:ind w:left="260" w:hanging="255"/>
        <w:spacing w:after="0"/>
        <w:tabs>
          <w:tab w:leader="none" w:pos="2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10-K of Autodesk, Inc.;</w:t>
      </w:r>
    </w:p>
    <w:p>
      <w:pPr>
        <w:spacing w:after="0" w:line="72"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3"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3"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sz w:val="20"/>
          <w:szCs w:val="20"/>
          <w:color w:val="auto"/>
        </w:rPr>
      </w:pPr>
    </w:p>
    <w:p>
      <w:pPr>
        <w:ind w:left="520" w:right="540" w:hanging="260"/>
        <w:spacing w:after="0" w:line="287" w:lineRule="auto"/>
        <w:tabs>
          <w:tab w:leader="none" w:pos="5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3"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14605</wp:posOffset>
            </wp:positionV>
            <wp:extent cx="306514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1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3"/>
          <w:szCs w:val="13"/>
          <w:b w:val="1"/>
          <w:bCs w:val="1"/>
          <w:color w:val="auto"/>
        </w:rPr>
        <w:t>Andrew Anagnost</w:t>
      </w:r>
    </w:p>
    <w:p>
      <w:pPr>
        <w:spacing w:after="0" w:line="1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ind w:left="808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10, 2024</w:t>
      </w:r>
    </w:p>
    <w:p>
      <w:pPr>
        <w:sectPr>
          <w:pgSz w:w="11900" w:h="16838" w:orient="portrait"/>
          <w:cols w:equalWidth="0" w:num="1">
            <w:col w:w="11280"/>
          </w:cols>
          <w:pgMar w:left="300" w:top="993" w:right="31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Elizabeth Rafael, certify that:</w:t>
      </w:r>
    </w:p>
    <w:p>
      <w:pPr>
        <w:spacing w:after="0" w:line="83" w:lineRule="exact"/>
        <w:rPr>
          <w:sz w:val="20"/>
          <w:szCs w:val="20"/>
          <w:color w:val="auto"/>
        </w:rPr>
      </w:pPr>
    </w:p>
    <w:p>
      <w:pPr>
        <w:ind w:left="260" w:hanging="255"/>
        <w:spacing w:after="0"/>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10-K of Autodesk, Inc.;</w:t>
      </w:r>
    </w:p>
    <w:p>
      <w:pPr>
        <w:spacing w:after="0" w:line="72"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3"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3"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sz w:val="20"/>
          <w:szCs w:val="20"/>
          <w:color w:val="auto"/>
        </w:rPr>
      </w:pPr>
    </w:p>
    <w:p>
      <w:pPr>
        <w:ind w:left="520" w:right="540" w:hanging="260"/>
        <w:spacing w:after="0" w:line="287" w:lineRule="auto"/>
        <w:tabs>
          <w:tab w:leader="none" w:pos="5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3"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336169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13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3"/>
          <w:szCs w:val="13"/>
          <w:b w:val="1"/>
          <w:bCs w:val="1"/>
          <w:color w:val="auto"/>
        </w:rPr>
        <w:t>Elizabeth Rafael</w:t>
      </w:r>
    </w:p>
    <w:p>
      <w:pPr>
        <w:spacing w:after="0" w:line="1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10, 2024</w:t>
      </w:r>
    </w:p>
    <w:p>
      <w:pPr>
        <w:sectPr>
          <w:pgSz w:w="11900" w:h="16838" w:orient="portrait"/>
          <w:cols w:equalWidth="0" w:num="1">
            <w:col w:w="11280"/>
          </w:cols>
          <w:pgMar w:left="300" w:top="993" w:right="31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6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Based on my knowledge, I, Andrew Anagnost, certify, pursuant to 18 U.S.C. Section 1350, as adopted pursuant to Section 906 of the Sarbanes-Oxley Act of 2002, that the Annual Report of Autodesk, Inc. on Form 10-K for the annual period ended January 31, 2024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7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14605</wp:posOffset>
            </wp:positionV>
            <wp:extent cx="306514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1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3"/>
          <w:szCs w:val="13"/>
          <w:b w:val="1"/>
          <w:bCs w:val="1"/>
          <w:color w:val="auto"/>
        </w:rPr>
        <w:t>Andrew Anagnost</w:t>
      </w:r>
    </w:p>
    <w:p>
      <w:pPr>
        <w:spacing w:after="0" w:line="1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ind w:left="808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10,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Based on my knowledge, I, Elizabeth Rafael, certify, pursuant to 18 U.S.C. Section 1350, as adopted pursuant to Section 906 of the Sarbanes-Oxley Act of 2002, that the Annual Report of Autodesk, Inc. on Form 10-K for the annual period ended January 31, 2024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7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14605</wp:posOffset>
            </wp:positionV>
            <wp:extent cx="306514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13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3"/>
          <w:szCs w:val="13"/>
          <w:b w:val="1"/>
          <w:bCs w:val="1"/>
          <w:color w:val="auto"/>
        </w:rPr>
        <w:t>Elizabeth Rafael</w:t>
      </w:r>
    </w:p>
    <w:p>
      <w:pPr>
        <w:spacing w:after="0" w:line="2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3"/>
          <w:szCs w:val="13"/>
          <w:b w:val="1"/>
          <w:bCs w:val="1"/>
          <w:color w:val="auto"/>
        </w:rPr>
        <w:t>Interim Chief Financial Officer</w:t>
      </w:r>
    </w:p>
    <w:p>
      <w:pPr>
        <w:spacing w:after="0" w:line="2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3"/>
          <w:szCs w:val="13"/>
          <w:b w:val="1"/>
          <w:bCs w:val="1"/>
          <w:color w:val="auto"/>
        </w:rPr>
        <w:t>(Principal Financial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10, 2024</w:t>
      </w:r>
    </w:p>
    <w:p>
      <w:pPr>
        <w:sectPr>
          <w:pgSz w:w="11900" w:h="16838" w:orient="portrait"/>
          <w:cols w:equalWidth="0" w:num="1">
            <w:col w:w="11280"/>
          </w:cols>
          <w:pgMar w:left="300" w:top="993" w:right="31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7"/>
          <w:szCs w:val="17"/>
          <w:b w:val="1"/>
          <w:bCs w:val="1"/>
          <w:color w:val="auto"/>
        </w:rPr>
        <w:t>AUTODESK,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1.  Purpose</w:t>
      </w:r>
    </w:p>
    <w:p>
      <w:pPr>
        <w:spacing w:after="0" w:line="53"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 Autodesk,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this Clawback Policy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to be applied to the Executive Officers of the Company in accordance with. Section 954 of the Dodd-Frank Act, and any related rules or regulations promulgated by the SEC or Nasdaq.</w:t>
      </w:r>
    </w:p>
    <w:p>
      <w:pPr>
        <w:spacing w:after="0" w:line="11" w:lineRule="exact"/>
        <w:rPr>
          <w:sz w:val="20"/>
          <w:szCs w:val="20"/>
          <w:color w:val="auto"/>
        </w:rPr>
      </w:pPr>
    </w:p>
    <w:p>
      <w:pPr>
        <w:ind w:left="520" w:hanging="260"/>
        <w:spacing w:after="0"/>
        <w:tabs>
          <w:tab w:leader="none" w:pos="52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52"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this Policy, the following definitions shall apply:</w:t>
      </w:r>
    </w:p>
    <w:p>
      <w:pPr>
        <w:spacing w:after="0" w:line="48" w:lineRule="exact"/>
        <w:rPr>
          <w:rFonts w:ascii="Times New Roman" w:cs="Times New Roman" w:eastAsia="Times New Roman" w:hAnsi="Times New Roman"/>
          <w:sz w:val="17"/>
          <w:szCs w:val="17"/>
          <w:b w:val="1"/>
          <w:bCs w:val="1"/>
          <w:color w:val="auto"/>
        </w:rPr>
      </w:pPr>
    </w:p>
    <w:p>
      <w:pPr>
        <w:ind w:left="1020" w:hanging="445"/>
        <w:spacing w:after="0"/>
        <w:tabs>
          <w:tab w:leader="none" w:pos="10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and Human Resources Committee of the Board.</w:t>
      </w:r>
    </w:p>
    <w:p>
      <w:pPr>
        <w:spacing w:after="0" w:line="144" w:lineRule="exact"/>
        <w:rPr>
          <w:rFonts w:ascii="Times New Roman" w:cs="Times New Roman" w:eastAsia="Times New Roman" w:hAnsi="Times New Roman"/>
          <w:sz w:val="17"/>
          <w:szCs w:val="17"/>
          <w:color w:val="auto"/>
        </w:rPr>
      </w:pPr>
    </w:p>
    <w:p>
      <w:pPr>
        <w:ind w:left="1020" w:hanging="445"/>
        <w:spacing w:after="0"/>
        <w:tabs>
          <w:tab w:leader="none" w:pos="10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Group</w:t>
      </w:r>
      <w:r>
        <w:rPr>
          <w:rFonts w:ascii="Times New Roman" w:cs="Times New Roman" w:eastAsia="Times New Roman" w:hAnsi="Times New Roman"/>
          <w:sz w:val="17"/>
          <w:szCs w:val="17"/>
          <w:color w:val="auto"/>
        </w:rPr>
        <w:t>” means the Company and each of its Subsidiaries, as applicable.</w:t>
      </w:r>
    </w:p>
    <w:p>
      <w:pPr>
        <w:spacing w:after="0" w:line="144" w:lineRule="exact"/>
        <w:rPr>
          <w:rFonts w:ascii="Times New Roman" w:cs="Times New Roman" w:eastAsia="Times New Roman" w:hAnsi="Times New Roman"/>
          <w:sz w:val="17"/>
          <w:szCs w:val="17"/>
          <w:color w:val="auto"/>
        </w:rPr>
      </w:pPr>
    </w:p>
    <w:p>
      <w:pPr>
        <w:jc w:val="both"/>
        <w:ind w:left="1020" w:hanging="445"/>
        <w:spacing w:after="0" w:line="223" w:lineRule="auto"/>
        <w:tabs>
          <w:tab w:leader="none" w:pos="101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Compensation</w:t>
      </w:r>
      <w:r>
        <w:rPr>
          <w:rFonts w:ascii="Times New Roman" w:cs="Times New Roman" w:eastAsia="Times New Roman" w:hAnsi="Times New Roman"/>
          <w:sz w:val="17"/>
          <w:szCs w:val="17"/>
          <w:color w:val="auto"/>
        </w:rPr>
        <w:t>” means any Incentive-Based Compensation granted, vested or paid to a person who served as an Executive Officer at any time during the performance period for the Incentive-Based Compensation and that was received (i) on or after the effective date of the Nasdaq listing standard, (ii) after the person became an Executive Officer and (iii) at a time that the Company had a class of securities listed on a national securities exchange or a national securities association.</w:t>
      </w:r>
    </w:p>
    <w:p>
      <w:pPr>
        <w:spacing w:after="0" w:line="122" w:lineRule="exact"/>
        <w:rPr>
          <w:rFonts w:ascii="Times New Roman" w:cs="Times New Roman" w:eastAsia="Times New Roman" w:hAnsi="Times New Roman"/>
          <w:sz w:val="17"/>
          <w:szCs w:val="17"/>
          <w:color w:val="auto"/>
        </w:rPr>
      </w:pPr>
    </w:p>
    <w:p>
      <w:pPr>
        <w:ind w:left="1020" w:hanging="445"/>
        <w:spacing w:after="0"/>
        <w:tabs>
          <w:tab w:leader="none" w:pos="10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Dodd-Frank Act</w:t>
      </w:r>
      <w:r>
        <w:rPr>
          <w:rFonts w:ascii="Times New Roman" w:cs="Times New Roman" w:eastAsia="Times New Roman" w:hAnsi="Times New Roman"/>
          <w:sz w:val="17"/>
          <w:szCs w:val="17"/>
          <w:color w:val="auto"/>
        </w:rPr>
        <w:t>” means the Dodd-Frank Wall Street Reform and Consumer Protection Act, as it may be amended from time to time.</w:t>
      </w:r>
    </w:p>
    <w:p>
      <w:pPr>
        <w:spacing w:after="0" w:line="144" w:lineRule="exact"/>
        <w:rPr>
          <w:rFonts w:ascii="Times New Roman" w:cs="Times New Roman" w:eastAsia="Times New Roman" w:hAnsi="Times New Roman"/>
          <w:sz w:val="17"/>
          <w:szCs w:val="17"/>
          <w:color w:val="auto"/>
        </w:rPr>
      </w:pPr>
    </w:p>
    <w:p>
      <w:pPr>
        <w:ind w:left="1020" w:hanging="445"/>
        <w:spacing w:after="0"/>
        <w:tabs>
          <w:tab w:leader="none" w:pos="10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December 1, 2023.</w:t>
      </w:r>
    </w:p>
    <w:p>
      <w:pPr>
        <w:spacing w:after="0" w:line="144" w:lineRule="exact"/>
        <w:rPr>
          <w:rFonts w:ascii="Times New Roman" w:cs="Times New Roman" w:eastAsia="Times New Roman" w:hAnsi="Times New Roman"/>
          <w:sz w:val="17"/>
          <w:szCs w:val="17"/>
          <w:color w:val="auto"/>
        </w:rPr>
      </w:pPr>
    </w:p>
    <w:p>
      <w:pPr>
        <w:jc w:val="both"/>
        <w:ind w:left="1020" w:hanging="445"/>
        <w:spacing w:after="0" w:line="216" w:lineRule="auto"/>
        <w:tabs>
          <w:tab w:leader="none" w:pos="1017"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Erroneously Awarded Compensation</w:t>
      </w:r>
      <w:r>
        <w:rPr>
          <w:rFonts w:ascii="Times New Roman" w:cs="Times New Roman" w:eastAsia="Times New Roman" w:hAnsi="Times New Roman"/>
          <w:sz w:val="17"/>
          <w:szCs w:val="17"/>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20" w:lineRule="exact"/>
        <w:rPr>
          <w:rFonts w:ascii="Times New Roman" w:cs="Times New Roman" w:eastAsia="Times New Roman" w:hAnsi="Times New Roman"/>
          <w:sz w:val="17"/>
          <w:szCs w:val="17"/>
          <w:color w:val="auto"/>
        </w:rPr>
      </w:pPr>
    </w:p>
    <w:p>
      <w:pPr>
        <w:ind w:left="1020" w:hanging="445"/>
        <w:spacing w:after="0"/>
        <w:tabs>
          <w:tab w:leader="none" w:pos="10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U.S. Securities Exchange Act of 1934.</w:t>
      </w:r>
    </w:p>
    <w:p>
      <w:pPr>
        <w:spacing w:after="0" w:line="144" w:lineRule="exact"/>
        <w:rPr>
          <w:rFonts w:ascii="Times New Roman" w:cs="Times New Roman" w:eastAsia="Times New Roman" w:hAnsi="Times New Roman"/>
          <w:sz w:val="17"/>
          <w:szCs w:val="17"/>
          <w:color w:val="auto"/>
        </w:rPr>
      </w:pPr>
    </w:p>
    <w:p>
      <w:pPr>
        <w:jc w:val="both"/>
        <w:ind w:left="1020" w:hanging="445"/>
        <w:spacing w:after="0" w:line="228" w:lineRule="auto"/>
        <w:tabs>
          <w:tab w:leader="none" w:pos="1014"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 Officer</w:t>
      </w:r>
      <w:r>
        <w:rPr>
          <w:rFonts w:ascii="Times New Roman" w:cs="Times New Roman" w:eastAsia="Times New Roman" w:hAnsi="Times New Roman"/>
          <w:sz w:val="17"/>
          <w:szCs w:val="17"/>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ectPr>
          <w:pgSz w:w="11900" w:h="16838" w:orient="portrait"/>
          <w:cols w:equalWidth="0" w:num="1">
            <w:col w:w="11280"/>
          </w:cols>
          <w:pgMar w:left="300" w:top="1292" w:right="319" w:bottom="1440" w:gutter="0" w:footer="0" w:header="0"/>
        </w:sectPr>
      </w:pPr>
    </w:p>
    <w:bookmarkStart w:id="230" w:name="page231"/>
    <w:bookmarkEnd w:id="230"/>
    <w:p>
      <w:pPr>
        <w:jc w:val="both"/>
        <w:ind w:left="445" w:hanging="445"/>
        <w:spacing w:after="0" w:line="215" w:lineRule="auto"/>
        <w:tabs>
          <w:tab w:leader="none" w:pos="44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Reporting Measure</w:t>
      </w:r>
      <w:r>
        <w:rPr>
          <w:rFonts w:ascii="Times New Roman" w:cs="Times New Roman" w:eastAsia="Times New Roman" w:hAnsi="Times New Roman"/>
          <w:sz w:val="17"/>
          <w:szCs w:val="17"/>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w:t>
      </w:r>
    </w:p>
    <w:p>
      <w:pPr>
        <w:spacing w:after="0" w:line="1" w:lineRule="exact"/>
        <w:rPr>
          <w:rFonts w:ascii="Times New Roman" w:cs="Times New Roman" w:eastAsia="Times New Roman" w:hAnsi="Times New Roman"/>
          <w:sz w:val="17"/>
          <w:szCs w:val="17"/>
          <w:color w:val="auto"/>
        </w:rPr>
      </w:pPr>
    </w:p>
    <w:p>
      <w:pPr>
        <w:jc w:val="both"/>
        <w:ind w:left="445" w:firstLine="3"/>
        <w:spacing w:after="0" w:line="221" w:lineRule="auto"/>
        <w:tabs>
          <w:tab w:leader="none" w:pos="765"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21" w:lineRule="exact"/>
        <w:rPr>
          <w:rFonts w:ascii="Times New Roman" w:cs="Times New Roman" w:eastAsia="Times New Roman" w:hAnsi="Times New Roman"/>
          <w:sz w:val="17"/>
          <w:szCs w:val="17"/>
          <w:color w:val="auto"/>
        </w:rPr>
      </w:pPr>
    </w:p>
    <w:p>
      <w:pPr>
        <w:ind w:left="445" w:hanging="445"/>
        <w:spacing w:after="0" w:line="238" w:lineRule="auto"/>
        <w:tabs>
          <w:tab w:leader="none" w:pos="44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w:t>
      </w:r>
    </w:p>
    <w:p>
      <w:pPr>
        <w:spacing w:after="0" w:line="121" w:lineRule="exact"/>
        <w:rPr>
          <w:rFonts w:ascii="Times New Roman" w:cs="Times New Roman" w:eastAsia="Times New Roman" w:hAnsi="Times New Roman"/>
          <w:sz w:val="17"/>
          <w:szCs w:val="17"/>
          <w:color w:val="auto"/>
        </w:rPr>
      </w:pPr>
    </w:p>
    <w:p>
      <w:pPr>
        <w:jc w:val="both"/>
        <w:ind w:left="445" w:hanging="445"/>
        <w:spacing w:after="0" w:line="217" w:lineRule="auto"/>
        <w:tabs>
          <w:tab w:leader="none" w:pos="43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Lookback Period</w:t>
      </w:r>
      <w:r>
        <w:rPr>
          <w:rFonts w:ascii="Times New Roman" w:cs="Times New Roman" w:eastAsia="Times New Roman" w:hAnsi="Times New Roman"/>
          <w:sz w:val="17"/>
          <w:szCs w:val="17"/>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20" w:lineRule="exact"/>
        <w:rPr>
          <w:rFonts w:ascii="Times New Roman" w:cs="Times New Roman" w:eastAsia="Times New Roman" w:hAnsi="Times New Roman"/>
          <w:sz w:val="17"/>
          <w:szCs w:val="17"/>
          <w:color w:val="auto"/>
        </w:rPr>
      </w:pPr>
    </w:p>
    <w:p>
      <w:pPr>
        <w:ind w:left="445" w:hanging="445"/>
        <w:spacing w:after="0"/>
        <w:tabs>
          <w:tab w:leader="none" w:pos="44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means the Nasdaq Stock Market.</w:t>
      </w:r>
    </w:p>
    <w:p>
      <w:pPr>
        <w:spacing w:after="0" w:line="144" w:lineRule="exact"/>
        <w:rPr>
          <w:rFonts w:ascii="Times New Roman" w:cs="Times New Roman" w:eastAsia="Times New Roman" w:hAnsi="Times New Roman"/>
          <w:sz w:val="17"/>
          <w:szCs w:val="17"/>
          <w:color w:val="auto"/>
        </w:rPr>
      </w:pPr>
    </w:p>
    <w:p>
      <w:pPr>
        <w:jc w:val="both"/>
        <w:ind w:left="445" w:hanging="445"/>
        <w:spacing w:after="0" w:line="228" w:lineRule="auto"/>
        <w:tabs>
          <w:tab w:leader="none" w:pos="44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Received</w:t>
      </w:r>
      <w:r>
        <w:rPr>
          <w:rFonts w:ascii="Times New Roman" w:cs="Times New Roman" w:eastAsia="Times New Roman" w:hAnsi="Times New Roman"/>
          <w:sz w:val="17"/>
          <w:szCs w:val="17"/>
          <w:color w:val="auto"/>
        </w:rPr>
        <w:t>” (whether capitalized or lower case) as used in this Policy means the following: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21" w:lineRule="exact"/>
        <w:rPr>
          <w:rFonts w:ascii="Times New Roman" w:cs="Times New Roman" w:eastAsia="Times New Roman" w:hAnsi="Times New Roman"/>
          <w:sz w:val="17"/>
          <w:szCs w:val="17"/>
          <w:color w:val="auto"/>
        </w:rPr>
      </w:pPr>
    </w:p>
    <w:p>
      <w:pPr>
        <w:jc w:val="both"/>
        <w:ind w:left="445" w:hanging="445"/>
        <w:spacing w:after="0" w:line="217" w:lineRule="auto"/>
        <w:tabs>
          <w:tab w:leader="none" w:pos="43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Restatement</w:t>
      </w:r>
      <w:r>
        <w:rPr>
          <w:rFonts w:ascii="Times New Roman" w:cs="Times New Roman" w:eastAsia="Times New Roman" w:hAnsi="Times New Roman"/>
          <w:sz w:val="17"/>
          <w:szCs w:val="17"/>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20" w:lineRule="exact"/>
        <w:rPr>
          <w:rFonts w:ascii="Times New Roman" w:cs="Times New Roman" w:eastAsia="Times New Roman" w:hAnsi="Times New Roman"/>
          <w:sz w:val="17"/>
          <w:szCs w:val="17"/>
          <w:color w:val="auto"/>
        </w:rPr>
      </w:pPr>
    </w:p>
    <w:p>
      <w:pPr>
        <w:ind w:left="445" w:hanging="445"/>
        <w:spacing w:after="0"/>
        <w:tabs>
          <w:tab w:leader="none" w:pos="44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U.S. Securities and Exchange Commission.</w:t>
      </w:r>
    </w:p>
    <w:p>
      <w:pPr>
        <w:spacing w:after="0" w:line="144" w:lineRule="exact"/>
        <w:rPr>
          <w:rFonts w:ascii="Times New Roman" w:cs="Times New Roman" w:eastAsia="Times New Roman" w:hAnsi="Times New Roman"/>
          <w:sz w:val="17"/>
          <w:szCs w:val="17"/>
          <w:color w:val="auto"/>
        </w:rPr>
      </w:pPr>
    </w:p>
    <w:p>
      <w:pPr>
        <w:ind w:left="445" w:hanging="445"/>
        <w:spacing w:after="0" w:line="238" w:lineRule="auto"/>
        <w:tabs>
          <w:tab w:leader="none" w:pos="43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domestic or foreign corporation, partnership, association, joint stock company, joint venture, trust or unincorporated organization “affiliated” with the Company, that is, directly or indirectly, through one or more intermediaries,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5"/>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705"/>
          </w:cols>
          <w:pgMar w:left="875" w:top="1201" w:right="319" w:bottom="1440" w:gutter="0" w:footer="0" w:header="0"/>
        </w:sectPr>
      </w:pPr>
    </w:p>
    <w:bookmarkStart w:id="231" w:name="page232"/>
    <w:bookmarkEnd w:id="231"/>
    <w:p>
      <w:pPr>
        <w:jc w:val="both"/>
        <w:ind w:left="1020"/>
        <w:spacing w:after="0" w:line="228" w:lineRule="auto"/>
        <w:rPr>
          <w:sz w:val="20"/>
          <w:szCs w:val="20"/>
          <w:color w:val="auto"/>
        </w:rPr>
      </w:pPr>
      <w:r>
        <w:rPr>
          <w:rFonts w:ascii="Times New Roman" w:cs="Times New Roman" w:eastAsia="Times New Roman" w:hAnsi="Times New Roman"/>
          <w:sz w:val="17"/>
          <w:szCs w:val="17"/>
          <w:color w:val="auto"/>
        </w:rPr>
        <w:t>“controlling”,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3.  Scope</w:t>
      </w:r>
    </w:p>
    <w:p>
      <w:pPr>
        <w:spacing w:after="0" w:line="148" w:lineRule="exact"/>
        <w:rPr>
          <w:sz w:val="20"/>
          <w:szCs w:val="20"/>
          <w:color w:val="auto"/>
        </w:rPr>
      </w:pPr>
    </w:p>
    <w:p>
      <w:pPr>
        <w:ind w:right="360" w:firstLine="509"/>
        <w:spacing w:after="0" w:line="223" w:lineRule="auto"/>
        <w:rPr>
          <w:sz w:val="20"/>
          <w:szCs w:val="20"/>
          <w:color w:val="auto"/>
        </w:rPr>
      </w:pPr>
      <w:r>
        <w:rPr>
          <w:rFonts w:ascii="Times New Roman" w:cs="Times New Roman" w:eastAsia="Times New Roman" w:hAnsi="Times New Roman"/>
          <w:sz w:val="17"/>
          <w:szCs w:val="17"/>
          <w:color w:val="auto"/>
        </w:rPr>
        <w:t>This Policy shall apply to all Executive Officers of the Company as of the Effective Date and any other individuals who hold Executive Officer status following the Effective Date, and will continue to apply to such Executive Officers in accordance with its terms for the duration of the Lookback Period, even following the termination of their status as an Executive Officer. This Policy shall also apply to any former Executive Officers as of the Effective Date who may receive Incentive-Based Compensation on or after October 2, 2023.</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4.  Policy Requirements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a.  Recoupment of Erroneously Awarded Compensation</w:t>
      </w:r>
    </w:p>
    <w:p>
      <w:pPr>
        <w:spacing w:after="0" w:line="53"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In the event of a Restatement, any Erroneously Awarded Compensation received during the Lookback Period prior to the Restatement (I) that is then-outstanding but has not yet been paid shall be automatically and immediately forfeited and (II) that has been paid to any person shall be subject to reasonably prompt repayment to the Company Group in accordance with Section 4 of this Policy. The Committee must pursue (and shall not have the discretion to waive) the forfeiture and/or repayment of such Erroneously Awarded Compensation in accordance with Section 4 of this Policy, except as provided below.</w:t>
      </w:r>
    </w:p>
    <w:p>
      <w:pPr>
        <w:spacing w:after="0" w:line="2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Notwithstanding the foregoing, the Committee may determine not to pursue the forfeiture and/or recovery of Erroneously Awarded Compensation from any person if the Committee determines that such forfeiture and/or recovery would be impracticable due to any of the following circumstances:</w:t>
      </w:r>
    </w:p>
    <w:p>
      <w:pPr>
        <w:spacing w:after="0" w:line="15" w:lineRule="exact"/>
        <w:rPr>
          <w:sz w:val="20"/>
          <w:szCs w:val="20"/>
          <w:color w:val="auto"/>
        </w:rPr>
      </w:pPr>
    </w:p>
    <w:p>
      <w:pPr>
        <w:jc w:val="both"/>
        <w:ind w:left="1540" w:hanging="517"/>
        <w:spacing w:after="0" w:line="215" w:lineRule="auto"/>
        <w:tabs>
          <w:tab w:leader="none" w:pos="153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Nasdaq),</w:t>
      </w:r>
    </w:p>
    <w:p>
      <w:pPr>
        <w:spacing w:after="0" w:line="1" w:lineRule="exact"/>
        <w:rPr>
          <w:rFonts w:ascii="Times New Roman" w:cs="Times New Roman" w:eastAsia="Times New Roman" w:hAnsi="Times New Roman"/>
          <w:sz w:val="17"/>
          <w:szCs w:val="17"/>
          <w:color w:val="auto"/>
        </w:rPr>
      </w:pPr>
    </w:p>
    <w:p>
      <w:pPr>
        <w:ind w:left="1540" w:hanging="517"/>
        <w:spacing w:after="0" w:line="208" w:lineRule="auto"/>
        <w:tabs>
          <w:tab w:leader="none" w:pos="1535"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such recovery would violate the U.S. laws adopted prior to November 28, 2022 (provided that the Company obtains an opinion of U.S. counsel acceptable to the Nasdaq that recovery would result in such a violation and provides such opinion to the Nasdaq), or</w:t>
      </w:r>
    </w:p>
    <w:p>
      <w:pPr>
        <w:ind w:left="1540" w:hanging="517"/>
        <w:spacing w:after="0" w:line="227" w:lineRule="auto"/>
        <w:tabs>
          <w:tab w:leader="none" w:pos="154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any otherwise tax-qualified retirement plan, under which benefits are broadly available to employees of Company Group, to fail to meet the requirements of 26 U.S.C. 401(a)(13) or 26 U.S.C. 411(a) and regulations thereunder.</w:t>
      </w:r>
    </w:p>
    <w:p>
      <w:pPr>
        <w:spacing w:after="0" w:line="21"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Means of Repayment</w:t>
      </w:r>
    </w:p>
    <w:p>
      <w:pPr>
        <w:spacing w:after="0" w:line="53"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201" w:right="3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color w:val="auto"/>
        </w:rPr>
        <w:t>to repay the Erroneously Awarded Compensation to the Company Group by wire, cash or cashier’s check no later than thirty (30) days after receipt of such notice.</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c.  No Indemnification</w:t>
      </w:r>
    </w:p>
    <w:p>
      <w:pPr>
        <w:spacing w:after="0" w:line="53"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No person shall be indemnified, insured, or reimbursed by the Company Group for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7"/>
          <w:szCs w:val="17"/>
          <w:i w:val="1"/>
          <w:iCs w:val="1"/>
          <w:color w:val="auto"/>
        </w:rPr>
        <w:t>de facto</w:t>
      </w:r>
      <w:r>
        <w:rPr>
          <w:rFonts w:ascii="Times New Roman" w:cs="Times New Roman" w:eastAsia="Times New Roman" w:hAnsi="Times New Roman"/>
          <w:sz w:val="17"/>
          <w:szCs w:val="17"/>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d.  Miscellaneous</w:t>
      </w:r>
    </w:p>
    <w:p>
      <w:pPr>
        <w:spacing w:after="0" w:line="4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need not be uniform with respect to all persons, and may be made selectively amongst persons, whether or not such persons are similarly situated.</w:t>
      </w:r>
    </w:p>
    <w:p>
      <w:pPr>
        <w:spacing w:after="0" w:line="27"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This Policy is intended to satisfy the requirements of Section 954 of the Dodd-Frank Act,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26"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w:t>
      </w:r>
    </w:p>
    <w:p>
      <w:pPr>
        <w:spacing w:after="0" w:line="16"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5.  Policy Governance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a.  Amendment and Termination</w:t>
      </w:r>
    </w:p>
    <w:p>
      <w:pPr>
        <w:spacing w:after="0" w:line="5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To the extent permitted by, and in a manner consistent with applicable law, including SEC and Nasdaq rules, the Committee may terminate, suspend, or amend this Policy at any time in its discretion.</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b.  Successors</w:t>
      </w:r>
    </w:p>
    <w:p>
      <w:pPr>
        <w:spacing w:after="0" w:line="5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201" w:right="31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9019"/>
          </w:cols>
          <w:pgMar w:left="1440" w:top="1440" w:right="1440" w:bottom="1440" w:gutter="0" w:footer="0" w:header="0"/>
        </w:sectPr>
      </w:pPr>
    </w:p>
    <w:bookmarkStart w:id="234" w:name="page235"/>
    <w:bookmarkEnd w:id="234"/>
    <w:p>
      <w:pPr>
        <w:ind w:left="220"/>
        <w:spacing w:after="0"/>
        <w:rPr>
          <w:sz w:val="20"/>
          <w:szCs w:val="20"/>
          <w:color w:val="auto"/>
        </w:rPr>
      </w:pPr>
      <w:r>
        <w:rPr>
          <w:rFonts w:ascii="Times New Roman" w:cs="Times New Roman" w:eastAsia="Times New Roman" w:hAnsi="Times New Roman"/>
          <w:sz w:val="17"/>
          <w:szCs w:val="17"/>
          <w:b w:val="1"/>
          <w:bCs w:val="1"/>
          <w:color w:val="auto"/>
        </w:rPr>
        <w:t>6.  Policy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59690</wp:posOffset>
            </wp:positionV>
            <wp:extent cx="7168515" cy="1556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168515" cy="1556385"/>
                    </a:xfrm>
                    <a:prstGeom prst="rect">
                      <a:avLst/>
                    </a:prstGeom>
                    <a:noFill/>
                  </pic:spPr>
                </pic:pic>
              </a:graphicData>
            </a:graphic>
          </wp:anchor>
        </w:drawing>
      </w:r>
    </w:p>
    <w:p>
      <w:pPr>
        <w:spacing w:after="0" w:line="81"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666666"/>
        </w:rPr>
        <w:t>Summary Table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Owner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Legal Officer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Approver</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Approval Date</w:t>
      </w:r>
    </w:p>
    <w:p>
      <w:pPr>
        <w:spacing w:after="0" w:line="18" w:lineRule="exact"/>
        <w:rPr>
          <w:sz w:val="20"/>
          <w:szCs w:val="20"/>
          <w:color w:val="auto"/>
        </w:rPr>
      </w:pPr>
    </w:p>
    <w:p>
      <w:pPr>
        <w:jc w:val="right"/>
        <w:ind w:right="2839"/>
        <w:spacing w:after="0"/>
        <w:rPr>
          <w:sz w:val="20"/>
          <w:szCs w:val="20"/>
          <w:color w:val="auto"/>
        </w:rPr>
      </w:pPr>
      <w:r>
        <w:rPr>
          <w:rFonts w:ascii="Arial" w:cs="Arial" w:eastAsia="Arial" w:hAnsi="Arial"/>
          <w:sz w:val="17"/>
          <w:szCs w:val="17"/>
          <w:color w:val="auto"/>
        </w:rPr>
        <w:t>September 20, 2023</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Effective Date</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December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119"/>
          </w:cols>
          <w:pgMar w:left="340" w:top="1197"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7"/>
          <w:szCs w:val="17"/>
          <w:b w:val="1"/>
          <w:bCs w:val="1"/>
          <w:color w:val="auto"/>
        </w:rPr>
        <w:t>AUTODESK,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ACKNOWLEDGMENT, CONSENT AND AGREEMENT</w:t>
      </w:r>
    </w:p>
    <w:p>
      <w:pPr>
        <w:spacing w:after="0" w:line="148" w:lineRule="exact"/>
        <w:rPr>
          <w:sz w:val="20"/>
          <w:szCs w:val="20"/>
          <w:color w:val="auto"/>
        </w:rPr>
      </w:pPr>
    </w:p>
    <w:p>
      <w:pPr>
        <w:jc w:val="both"/>
        <w:ind w:firstLine="255"/>
        <w:spacing w:after="0" w:line="217" w:lineRule="auto"/>
        <w:rPr>
          <w:sz w:val="20"/>
          <w:szCs w:val="20"/>
          <w:color w:val="auto"/>
        </w:rPr>
      </w:pPr>
      <w:r>
        <w:rPr>
          <w:rFonts w:ascii="Times New Roman" w:cs="Times New Roman" w:eastAsia="Times New Roman" w:hAnsi="Times New Roman"/>
          <w:sz w:val="17"/>
          <w:szCs w:val="17"/>
          <w:color w:val="auto"/>
        </w:rPr>
        <w:t>I acknowledge that I have received and reviewed a copy of the Autodesk, Inc. Clawback Policy (as may be amended from time to time,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recoupment and/or forfeiture under the Policy. Capitalized terms used but not defined herein have the meanings set forth in the Policy.</w:t>
      </w:r>
    </w:p>
    <w:p>
      <w:pPr>
        <w:spacing w:after="0" w:line="200" w:lineRule="exact"/>
        <w:rPr>
          <w:sz w:val="20"/>
          <w:szCs w:val="20"/>
          <w:color w:val="auto"/>
        </w:rPr>
      </w:pPr>
    </w:p>
    <w:p>
      <w:pPr>
        <w:spacing w:after="0" w:line="278" w:lineRule="exact"/>
        <w:rPr>
          <w:sz w:val="20"/>
          <w:szCs w:val="20"/>
          <w:color w:val="auto"/>
        </w:rPr>
      </w:pPr>
    </w:p>
    <w:p>
      <w:pPr>
        <w:ind w:left="260"/>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Signed:</w:t>
      </w:r>
      <w:r>
        <w:rPr>
          <w:sz w:val="20"/>
          <w:szCs w:val="20"/>
          <w:color w:val="auto"/>
        </w:rPr>
        <w:tab/>
      </w:r>
      <w:r>
        <w:rPr>
          <w:rFonts w:ascii="Times New Roman" w:cs="Times New Roman" w:eastAsia="Times New Roman" w:hAnsi="Times New Roman"/>
          <w:sz w:val="17"/>
          <w:szCs w:val="17"/>
          <w:b w:val="1"/>
          <w:bCs w:val="1"/>
          <w:color w:val="auto"/>
        </w:rPr>
        <w:t>_________________________________________</w:t>
      </w:r>
    </w:p>
    <w:p>
      <w:pPr>
        <w:spacing w:after="0" w:line="144" w:lineRule="exact"/>
        <w:rPr>
          <w:sz w:val="20"/>
          <w:szCs w:val="20"/>
          <w:color w:val="auto"/>
        </w:rPr>
      </w:pPr>
    </w:p>
    <w:p>
      <w:pPr>
        <w:ind w:left="26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Print Name:</w:t>
      </w:r>
      <w:r>
        <w:rPr>
          <w:sz w:val="20"/>
          <w:szCs w:val="20"/>
          <w:color w:val="auto"/>
        </w:rPr>
        <w:tab/>
      </w:r>
      <w:r>
        <w:rPr>
          <w:rFonts w:ascii="Times New Roman" w:cs="Times New Roman" w:eastAsia="Times New Roman" w:hAnsi="Times New Roman"/>
          <w:sz w:val="16"/>
          <w:szCs w:val="16"/>
          <w:b w:val="1"/>
          <w:bCs w:val="1"/>
          <w:color w:val="auto"/>
        </w:rPr>
        <w:t>_________________________________________</w:t>
      </w:r>
    </w:p>
    <w:p>
      <w:pPr>
        <w:spacing w:after="0" w:line="144"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Date:</w:t>
      </w:r>
      <w:r>
        <w:rPr>
          <w:sz w:val="20"/>
          <w:szCs w:val="20"/>
          <w:color w:val="auto"/>
        </w:rPr>
        <w:tab/>
      </w:r>
      <w:r>
        <w:rPr>
          <w:rFonts w:ascii="Times New Roman" w:cs="Times New Roman" w:eastAsia="Times New Roman" w:hAnsi="Times New Roman"/>
          <w:sz w:val="17"/>
          <w:szCs w:val="17"/>
          <w:b w:val="1"/>
          <w:bCs w:val="1"/>
          <w:color w:val="auto"/>
        </w:rPr>
        <w:t>_________________________________________</w:t>
      </w:r>
    </w:p>
    <w:sectPr>
      <w:pgSz w:w="11900" w:h="16838" w:orient="portrait"/>
      <w:cols w:equalWidth="0" w:num="1">
        <w:col w:w="11280"/>
      </w:cols>
      <w:pgMar w:left="300" w:top="129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decimal"/>
      <w:start w:val="8"/>
    </w:lvl>
    <w:lvl w:ilvl="1">
      <w:lvlJc w:val="left"/>
      <w:lvlText w:val="•"/>
      <w:numFmt w:val="bullet"/>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decimal"/>
      <w:start w:val="1"/>
    </w:lvl>
  </w:abstractNum>
  <w:abstractNum w:abstractNumId="31">
    <w:nsid w:val="7FFFCA11"/>
    <w:multiLevelType w:val="hybridMultilevel"/>
    <w:lvl w:ilvl="0">
      <w:lvlJc w:val="left"/>
      <w:lvlText w:val="(%1)"/>
      <w:numFmt w:val="decimal"/>
      <w:start w:val="1"/>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1."/>
      <w:numFmt w:val="decimal"/>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4"/>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1)"/>
      <w:numFmt w:val="decimal"/>
      <w:start w:val="1"/>
    </w:lvl>
  </w:abstractNum>
  <w:abstractNum w:abstractNumId="47">
    <w:nsid w:val="2DF6D648"/>
    <w:multiLevelType w:val="hybridMultilevel"/>
    <w:lvl w:ilvl="0">
      <w:lvlJc w:val="left"/>
      <w:lvlText w:val="%1."/>
      <w:numFmt w:val="decimal"/>
      <w:start w:val="6"/>
    </w:lvl>
  </w:abstractNum>
  <w:abstractNum w:abstractNumId="48">
    <w:nsid w:val="46B7D447"/>
    <w:multiLevelType w:val="hybridMultilevel"/>
    <w:lvl w:ilvl="0">
      <w:lvlJc w:val="left"/>
      <w:lvlText w:val="%1."/>
      <w:numFmt w:val="decimal"/>
      <w:start w:val="7"/>
    </w:lvl>
  </w:abstractNum>
  <w:abstractNum w:abstractNumId="49">
    <w:nsid w:val="4A2AC315"/>
    <w:multiLevelType w:val="hybridMultilevel"/>
    <w:lvl w:ilvl="0">
      <w:lvlJc w:val="left"/>
      <w:lvlText w:val="%1."/>
      <w:numFmt w:val="decimal"/>
      <w:start w:val="8"/>
    </w:lvl>
  </w:abstractNum>
  <w:abstractNum w:abstractNumId="50">
    <w:nsid w:val="39EE015C"/>
    <w:multiLevelType w:val="hybridMultilevel"/>
    <w:lvl w:ilvl="0">
      <w:lvlJc w:val="left"/>
      <w:lvlText w:val="(%1)"/>
      <w:numFmt w:val="decimal"/>
      <w:start w:val="1"/>
    </w:lvl>
  </w:abstractNum>
  <w:abstractNum w:abstractNumId="51">
    <w:nsid w:val="57FC4FBB"/>
    <w:multiLevelType w:val="hybridMultilevel"/>
    <w:lvl w:ilvl="0">
      <w:lvlJc w:val="left"/>
      <w:lvlText w:val="%1."/>
      <w:numFmt w:val="decimal"/>
      <w:start w:val="11"/>
    </w:lvl>
  </w:abstractNum>
  <w:abstractNum w:abstractNumId="52">
    <w:nsid w:val="CC1016F"/>
    <w:multiLevelType w:val="hybridMultilevel"/>
    <w:lvl w:ilvl="0">
      <w:lvlJc w:val="left"/>
      <w:lvlText w:val="%1."/>
      <w:numFmt w:val="decimal"/>
      <w:start w:val="12"/>
    </w:lvl>
  </w:abstractNum>
  <w:abstractNum w:abstractNumId="53">
    <w:nsid w:val="43F18422"/>
    <w:multiLevelType w:val="hybridMultilevel"/>
    <w:lvl w:ilvl="0">
      <w:lvlJc w:val="left"/>
      <w:lvlText w:val="%1."/>
      <w:numFmt w:val="decimal"/>
      <w:start w:val="13"/>
    </w:lvl>
  </w:abstractNum>
  <w:abstractNum w:abstractNumId="54">
    <w:nsid w:val="60EF0119"/>
    <w:multiLevelType w:val="hybridMultilevel"/>
    <w:lvl w:ilvl="0">
      <w:lvlJc w:val="left"/>
      <w:lvlText w:val="%1."/>
      <w:numFmt w:val="decimal"/>
      <w:start w:val="14"/>
    </w:lvl>
  </w:abstractNum>
  <w:abstractNum w:abstractNumId="55">
    <w:nsid w:val="26F324BA"/>
    <w:multiLevelType w:val="hybridMultilevel"/>
    <w:lvl w:ilvl="0">
      <w:lvlJc w:val="left"/>
      <w:lvlText w:val="%1."/>
      <w:numFmt w:val="decimal"/>
      <w:start w:val="15"/>
    </w:lvl>
  </w:abstractNum>
  <w:abstractNum w:abstractNumId="56">
    <w:nsid w:val="7F01579B"/>
    <w:multiLevelType w:val="hybridMultilevel"/>
    <w:lvl w:ilvl="0">
      <w:lvlJc w:val="left"/>
      <w:lvlText w:val="%1."/>
      <w:numFmt w:val="decimal"/>
      <w:start w:val="16"/>
    </w:lvl>
  </w:abstractNum>
  <w:abstractNum w:abstractNumId="57">
    <w:nsid w:val="49DA307D"/>
    <w:multiLevelType w:val="hybridMultilevel"/>
    <w:lvl w:ilvl="0">
      <w:lvlJc w:val="left"/>
      <w:lvlText w:val="&amp;"/>
      <w:numFmt w:val="bullet"/>
      <w:start w:val="1"/>
    </w:lvl>
  </w:abstractNum>
  <w:abstractNum w:abstractNumId="58">
    <w:nsid w:val="7055A5F5"/>
    <w:multiLevelType w:val="hybridMultilevel"/>
    <w:lvl w:ilvl="0">
      <w:lvlJc w:val="left"/>
      <w:lvlText w:val="ü"/>
      <w:numFmt w:val="bullet"/>
      <w:start w:val="1"/>
    </w:lvl>
  </w:abstractNum>
  <w:abstractNum w:abstractNumId="59">
    <w:nsid w:val="5FB8370B"/>
    <w:multiLevelType w:val="hybridMultilevel"/>
    <w:lvl w:ilvl="0">
      <w:lvlJc w:val="left"/>
      <w:lvlText w:val="À"/>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a"/>
      <w:numFmt w:val="bullet"/>
      <w:start w:val="1"/>
    </w:lvl>
  </w:abstractNum>
  <w:abstractNum w:abstractNumId="69">
    <w:nsid w:val="73A1821B"/>
    <w:multiLevelType w:val="hybridMultilevel"/>
    <w:lvl w:ilvl="0">
      <w:lvlJc w:val="left"/>
      <w:lvlText w:val="a"/>
      <w:numFmt w:val="bullet"/>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decimal"/>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1)"/>
      <w:numFmt w:val="decimal"/>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1)"/>
      <w:numFmt w:val="decimal"/>
      <w:start w:val="1"/>
    </w:lvl>
  </w:abstractNum>
  <w:abstractNum w:abstractNumId="81">
    <w:nsid w:val="59ADEA3D"/>
    <w:multiLevelType w:val="hybridMultilevel"/>
    <w:lvl w:ilvl="0">
      <w:lvlJc w:val="left"/>
      <w:lvlText w:val="(%1)"/>
      <w:numFmt w:val="decimal"/>
      <w:start w:val="4"/>
    </w:lvl>
  </w:abstractNum>
  <w:abstractNum w:abstractNumId="82">
    <w:nsid w:val="288F1A34"/>
    <w:multiLevelType w:val="hybridMultilevel"/>
    <w:lvl w:ilvl="0">
      <w:lvlJc w:val="left"/>
      <w:lvlText w:val="(%1)"/>
      <w:numFmt w:val="decimal"/>
      <w:start w:val="6"/>
    </w:lvl>
  </w:abstractNum>
  <w:abstractNum w:abstractNumId="83">
    <w:nsid w:val="2A155DBC"/>
    <w:multiLevelType w:val="hybridMultilevel"/>
    <w:lvl w:ilvl="0">
      <w:lvlJc w:val="left"/>
      <w:lvlText w:val="(%1)"/>
      <w:numFmt w:val="decimal"/>
      <w:start w:val="1"/>
    </w:lvl>
  </w:abstractNum>
  <w:abstractNum w:abstractNumId="84">
    <w:nsid w:val="1D9F6E5F"/>
    <w:multiLevelType w:val="hybridMultilevel"/>
    <w:lvl w:ilvl="0">
      <w:lvlJc w:val="left"/>
      <w:lvlText w:val="(%1)"/>
      <w:numFmt w:val="decimal"/>
      <w:start w:val="3"/>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1)"/>
      <w:numFmt w:val="lowerRoman"/>
      <w:start w:val="5"/>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1)"/>
      <w:numFmt w:val="decimal"/>
      <w:start w:val="8"/>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decimal"/>
      <w:start w:val="2"/>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lowerLetter"/>
      <w:start w:val="1"/>
    </w:lvl>
    <w:lvl w:ilvl="1">
      <w:lvlJc w:val="left"/>
      <w:lvlText w:val="%2."/>
      <w:numFmt w:val="decimal"/>
      <w:start w:val="1"/>
    </w:lvl>
  </w:abstractNum>
  <w:abstractNum w:abstractNumId="98">
    <w:nsid w:val="39B7AAA2"/>
    <w:multiLevelType w:val="hybridMultilevel"/>
    <w:lvl w:ilvl="0">
      <w:lvlJc w:val="left"/>
      <w:lvlText w:val="%1"/>
      <w:numFmt w:val="lowerLetter"/>
      <w:start w:val="1"/>
    </w:lvl>
    <w:lvl w:ilvl="1">
      <w:lvlJc w:val="left"/>
      <w:lvlText w:val="%2."/>
      <w:numFmt w:val="decimal"/>
      <w:start w:val="3"/>
    </w:lvl>
  </w:abstractNum>
  <w:abstractNum w:abstractNumId="99">
    <w:nsid w:val="2B0D8DBE"/>
    <w:multiLevelType w:val="hybridMultilevel"/>
    <w:lvl w:ilvl="0">
      <w:lvlJc w:val="left"/>
      <w:lvlText w:val="(%1)"/>
      <w:numFmt w:val="lowerLetter"/>
      <w:start w:val="2"/>
    </w:lvl>
    <w:lvl w:ilvl="1">
      <w:lvlJc w:val="left"/>
      <w:lvlText w:val="%2"/>
      <w:numFmt w:val="decimal"/>
      <w:start w:val="1"/>
    </w:lvl>
  </w:abstractNum>
  <w:abstractNum w:abstractNumId="100">
    <w:nsid w:val="6C80EC70"/>
    <w:multiLevelType w:val="hybridMultilevel"/>
    <w:lvl w:ilvl="0">
      <w:lvlJc w:val="left"/>
      <w:lvlText w:val="(%1)"/>
      <w:numFmt w:val="lowerLetter"/>
      <w:start w:val="3"/>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
      <w:numFmt w:val="bullet"/>
      <w:start w:val="1"/>
    </w:lvl>
  </w:abstractNum>
  <w:abstractNum w:abstractNumId="104">
    <w:nsid w:val="4C9B0904"/>
    <w:multiLevelType w:val="hybridMultilevel"/>
    <w:lvl w:ilvl="0">
      <w:lvlJc w:val="left"/>
      <w:lvlText w:val="%1."/>
      <w:numFmt w:val="decimal"/>
      <w:start w:val="1"/>
    </w:lvl>
  </w:abstractNum>
  <w:abstractNum w:abstractNumId="105">
    <w:nsid w:val="6AA7B75C"/>
    <w:multiLevelType w:val="hybridMultilevel"/>
    <w:lvl w:ilvl="0">
      <w:lvlJc w:val="left"/>
      <w:lvlText w:val="%1."/>
      <w:numFmt w:val="decimal"/>
      <w:start w:val="5"/>
    </w:lvl>
    <w:lvl w:ilvl="1">
      <w:lvlJc w:val="left"/>
      <w:lvlText w:val="(%2)"/>
      <w:numFmt w:val="lowerLetter"/>
      <w:start w:val="1"/>
    </w:lvl>
  </w:abstractNum>
  <w:abstractNum w:abstractNumId="106">
    <w:nsid w:val="1DF029D3"/>
    <w:multiLevelType w:val="hybridMultilevel"/>
    <w:lvl w:ilvl="0">
      <w:lvlJc w:val="left"/>
      <w:lvlText w:val="%1."/>
      <w:numFmt w:val="decimal"/>
      <w:start w:val="7"/>
    </w:lvl>
  </w:abstractNum>
  <w:abstractNum w:abstractNumId="107">
    <w:nsid w:val="5675FF36"/>
    <w:multiLevelType w:val="hybridMultilevel"/>
    <w:lvl w:ilvl="0">
      <w:lvlJc w:val="left"/>
      <w:lvlText w:val="(%1)"/>
      <w:numFmt w:val="lowerLetter"/>
      <w:start w:val="1"/>
    </w:lvl>
  </w:abstractNum>
  <w:abstractNum w:abstractNumId="108">
    <w:nsid w:val="3DD15094"/>
    <w:multiLevelType w:val="hybridMultilevel"/>
    <w:lvl w:ilvl="0">
      <w:lvlJc w:val="left"/>
      <w:lvlText w:val="%1."/>
      <w:numFmt w:val="decimal"/>
      <w:start w:val="8"/>
    </w:lvl>
  </w:abstractNum>
  <w:abstractNum w:abstractNumId="109">
    <w:nsid w:val="3DB012B3"/>
    <w:multiLevelType w:val="hybridMultilevel"/>
    <w:lvl w:ilvl="0">
      <w:lvlJc w:val="left"/>
      <w:lvlText w:val="(%1)"/>
      <w:numFmt w:val="lowerRoman"/>
      <w:start w:val="1"/>
    </w:lvl>
  </w:abstractNum>
  <w:abstractNum w:abstractNumId="110">
    <w:nsid w:val="2708C9AF"/>
    <w:multiLevelType w:val="hybridMultilevel"/>
    <w:lvl w:ilvl="0">
      <w:lvlJc w:val="left"/>
      <w:lvlText w:val="%1."/>
      <w:numFmt w:val="decimal"/>
      <w:start w:val="9"/>
    </w:lvl>
  </w:abstractNum>
  <w:abstractNum w:abstractNumId="111">
    <w:nsid w:val="5B25ACE2"/>
    <w:multiLevelType w:val="hybridMultilevel"/>
    <w:lvl w:ilvl="0">
      <w:lvlJc w:val="left"/>
      <w:lvlText w:val="%1."/>
      <w:numFmt w:val="decimal"/>
      <w:start w:val="11"/>
    </w:lvl>
  </w:abstractNum>
  <w:abstractNum w:abstractNumId="112">
    <w:nsid w:val="175DFCF0"/>
    <w:multiLevelType w:val="hybridMultilevel"/>
    <w:lvl w:ilvl="0">
      <w:lvlJc w:val="left"/>
      <w:lvlText w:val="%1."/>
      <w:numFmt w:val="decimal"/>
      <w:start w:val="15"/>
    </w:lvl>
  </w:abstractNum>
  <w:abstractNum w:abstractNumId="113">
    <w:nsid w:val="4F97E3E4"/>
    <w:multiLevelType w:val="hybridMultilevel"/>
    <w:lvl w:ilvl="0">
      <w:lvlJc w:val="left"/>
      <w:lvlText w:val="%1."/>
      <w:numFmt w:val="decimal"/>
      <w:start w:val="22"/>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8"/>
    </w:lvl>
    <w:lvl w:ilvl="1">
      <w:lvlJc w:val="left"/>
      <w:lvlText w:val="(%2)"/>
      <w:numFmt w:val="lowerRoman"/>
      <w:start w:val="1"/>
    </w:lvl>
  </w:abstractNum>
  <w:abstractNum w:abstractNumId="116">
    <w:nsid w:val="5915FF32"/>
    <w:multiLevelType w:val="hybridMultilevel"/>
    <w:lvl w:ilvl="0">
      <w:lvlJc w:val="left"/>
      <w:lvlText w:val="%1."/>
      <w:numFmt w:val="decimal"/>
      <w:start w:val="25"/>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6"/>
    </w:lvl>
  </w:abstractNum>
  <w:abstractNum w:abstractNumId="119">
    <w:nsid w:val="2C6E4AFD"/>
    <w:multiLevelType w:val="hybridMultilevel"/>
    <w:lvl w:ilvl="0">
      <w:lvlJc w:val="left"/>
      <w:lvlText w:val="%1."/>
      <w:numFmt w:val="decimal"/>
      <w:start w:val="26"/>
    </w:lvl>
  </w:abstractNum>
  <w:abstractNum w:abstractNumId="120">
    <w:nsid w:val="17A1B582"/>
    <w:multiLevelType w:val="hybridMultilevel"/>
    <w:lvl w:ilvl="0">
      <w:lvlJc w:val="left"/>
      <w:lvlText w:val="%1."/>
      <w:numFmt w:val="decimal"/>
      <w:start w:val="32"/>
    </w:lvl>
  </w:abstractNum>
  <w:abstractNum w:abstractNumId="121">
    <w:nsid w:val="4DF72E4E"/>
    <w:multiLevelType w:val="hybridMultilevel"/>
    <w:lvl w:ilvl="0">
      <w:lvlJc w:val="left"/>
      <w:lvlText w:val="(%1)"/>
      <w:numFmt w:val="decimal"/>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decimal"/>
      <w:start w:val="1"/>
    </w:lvl>
  </w:abstractNum>
  <w:abstractNum w:abstractNumId="125">
    <w:nsid w:val="5EC6AFD4"/>
    <w:multiLevelType w:val="hybridMultilevel"/>
    <w:lvl w:ilvl="0">
      <w:lvlJc w:val="left"/>
      <w:lvlText w:val="%1."/>
      <w:numFmt w:val="decimal"/>
      <w:start w:val="1"/>
    </w:lvl>
    <w:lvl w:ilvl="1">
      <w:lvlJc w:val="left"/>
      <w:lvlText w:val="%2)"/>
      <w:numFmt w:val="lowerLetter"/>
      <w:start w:val="1"/>
    </w:lvl>
  </w:abstractNum>
  <w:abstractNum w:abstractNumId="126">
    <w:nsid w:val="19E21BB2"/>
    <w:multiLevelType w:val="hybridMultilevel"/>
    <w:lvl w:ilvl="0">
      <w:lvlJc w:val="left"/>
      <w:lvlText w:val="%1."/>
      <w:numFmt w:val="decimal"/>
      <w:start w:val="5"/>
    </w:lvl>
    <w:lvl w:ilvl="1">
      <w:lvlJc w:val="left"/>
      <w:lvlText w:val="%2)"/>
      <w:numFmt w:val="lowerLetter"/>
      <w:start w:val="1"/>
    </w:lvl>
  </w:abstractNum>
  <w:abstractNum w:abstractNumId="127">
    <w:nsid w:val="75E0858A"/>
    <w:multiLevelType w:val="hybridMultilevel"/>
    <w:lvl w:ilvl="0">
      <w:lvlJc w:val="left"/>
      <w:lvlText w:val="%1."/>
      <w:numFmt w:val="decimal"/>
      <w:start w:val="1"/>
    </w:lvl>
    <w:lvl w:ilvl="1">
      <w:lvlJc w:val="left"/>
      <w:lvlText w:val="%2)"/>
      <w:numFmt w:val="lowerLetter"/>
      <w:start w:val="1"/>
    </w:lvl>
  </w:abstractNum>
  <w:abstractNum w:abstractNumId="128">
    <w:nsid w:val="57A61A29"/>
    <w:multiLevelType w:val="hybridMultilevel"/>
    <w:lvl w:ilvl="0">
      <w:lvlJc w:val="left"/>
      <w:lvlText w:val="%1."/>
      <w:numFmt w:val="decimal"/>
      <w:start w:val="5"/>
    </w:lvl>
    <w:lvl w:ilvl="1">
      <w:lvlJc w:val="left"/>
      <w:lvlText w:val="%2)"/>
      <w:numFmt w:val="lowerLetter"/>
      <w:start w:val="1"/>
    </w:lvl>
  </w:abstractNum>
  <w:abstractNum w:abstractNumId="129">
    <w:nsid w:val="5399C654"/>
    <w:multiLevelType w:val="hybridMultilevel"/>
    <w:lvl w:ilvl="0">
      <w:lvlJc w:val="left"/>
      <w:lvlText w:val="%1."/>
      <w:numFmt w:val="decimal"/>
      <w:start w:val="2"/>
    </w:lvl>
    <w:lvl w:ilvl="1">
      <w:lvlJc w:val="left"/>
      <w:lvlText w:val="(%2)"/>
      <w:numFmt w:val="lowerLetter"/>
      <w:start w:val="1"/>
    </w:lvl>
  </w:abstractNum>
  <w:abstractNum w:abstractNumId="130">
    <w:nsid w:val="20EE1348"/>
    <w:multiLevelType w:val="hybridMultilevel"/>
    <w:lvl w:ilvl="0">
      <w:lvlJc w:val="left"/>
      <w:lvlText w:val="(%1)"/>
      <w:numFmt w:val="lowerLetter"/>
      <w:start w:val="9"/>
    </w:lvl>
    <w:lvl w:ilvl="1">
      <w:lvlJc w:val="left"/>
      <w:lvlText w:val="(%2)"/>
      <w:numFmt w:val="lowerLetter"/>
      <w:start w:val="61"/>
    </w:lvl>
  </w:abstractNum>
  <w:abstractNum w:abstractNumId="131">
    <w:nsid w:val="4427069A"/>
    <w:multiLevelType w:val="hybridMultilevel"/>
    <w:lvl w:ilvl="0">
      <w:lvlJc w:val="left"/>
      <w:lvlText w:val="%1"/>
      <w:numFmt w:val="lowerLetter"/>
      <w:start w:val="1"/>
    </w:lvl>
    <w:lvl w:ilvl="1">
      <w:lvlJc w:val="left"/>
      <w:lvlText w:val="(%2)"/>
      <w:numFmt w:val="lowerRoman"/>
      <w:start w:val="1"/>
    </w:lvl>
  </w:abstractNum>
  <w:abstractNum w:abstractNumId="132">
    <w:nsid w:val="B37E80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37"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06" Type="http://schemas.openxmlformats.org/officeDocument/2006/relationships/hyperlink" Target="https://www.sec.gov/Archives/edgar/data/769397/000119312506068809/dex31.htm" TargetMode="External"/><Relationship Id="rId207" Type="http://schemas.openxmlformats.org/officeDocument/2006/relationships/hyperlink" Target="https://www.sec.gov/Archives/edgar/data/769397/000076939722000153/autodeskbylaws.htm" TargetMode="External"/><Relationship Id="rId208" Type="http://schemas.openxmlformats.org/officeDocument/2006/relationships/hyperlink" Target="https://www.sec.gov/Archives/edgar/data/769397/000119312512501656/d452709dex41.htm" TargetMode="External"/><Relationship Id="rId209" Type="http://schemas.openxmlformats.org/officeDocument/2006/relationships/hyperlink" Target="https://www.sec.gov/Archives/edgar/data/769397/000119312512501656/d452709dex42.htm" TargetMode="External"/><Relationship Id="rId210" Type="http://schemas.openxmlformats.org/officeDocument/2006/relationships/hyperlink" Target="https://www.sec.gov/Archives/edgar/data/769397/000119312517198513/d399645dex41.htm" TargetMode="External"/><Relationship Id="rId211" Type="http://schemas.openxmlformats.org/officeDocument/2006/relationships/hyperlink" Target="https://www.sec.gov/Archives/edgar/data/769397/000119312520006887/d817406dex41.htm" TargetMode="External"/><Relationship Id="rId212" Type="http://schemas.openxmlformats.org/officeDocument/2006/relationships/hyperlink" Target="https://www.sec.gov/Archives/edgar/data/769397/000119312521294288/d221160dex41.htm" TargetMode="External"/><Relationship Id="rId213" Type="http://schemas.openxmlformats.org/officeDocument/2006/relationships/hyperlink" Target="https://www.sec.gov/Archives/edgar/data/769397/000076939720000013/ex46autodesk-descripti.htm" TargetMode="External"/><Relationship Id="rId214" Type="http://schemas.openxmlformats.org/officeDocument/2006/relationships/hyperlink" Target="https://www.sec.gov/Archives/edgar/data/769397/000076939718000015/form8-kx2018xmarchx21item5.htm" TargetMode="External"/><Relationship Id="rId215" Type="http://schemas.openxmlformats.org/officeDocument/2006/relationships/hyperlink" Target="https://www.sec.gov/Archives/edgar/data/769397/000076939718000042/ex102-2012employeestoc.htm" TargetMode="External"/><Relationship Id="rId216" Type="http://schemas.openxmlformats.org/officeDocument/2006/relationships/hyperlink" Target="https://www.sec.gov/Archives/edgar/data/769397/000076939716000087/adsk07312016ex102.htm" TargetMode="External"/><Relationship Id="rId217" Type="http://schemas.openxmlformats.org/officeDocument/2006/relationships/hyperlink" Target="https://www.sec.gov/Archives/edgar/data/769397/000076939716000087/adsk07312016ex103.htm" TargetMode="External"/><Relationship Id="rId218" Type="http://schemas.openxmlformats.org/officeDocument/2006/relationships/hyperlink" Target="https://www.sec.gov/Archives/edgar/data/769397/000119312512112024/d314351dex102.htm" TargetMode="External"/><Relationship Id="rId219" Type="http://schemas.openxmlformats.org/officeDocument/2006/relationships/hyperlink" Target="https://www.sec.gov/Archives/edgar/data/769397/000119312512112024/d314351dex104.htm" TargetMode="External"/><Relationship Id="rId220" Type="http://schemas.openxmlformats.org/officeDocument/2006/relationships/hyperlink" Target="https://www.sec.gov/Archives/edgar/data/769397/000076939718000057/plangrid2012equityincentiv.htm" TargetMode="External"/><Relationship Id="rId221" Type="http://schemas.openxmlformats.org/officeDocument/2006/relationships/hyperlink" Target="https://www.sec.gov/Archives/edgar/data/769397/000076939719000002/ex991buildingconnected2013.htm" TargetMode="External"/><Relationship Id="rId222" Type="http://schemas.openxmlformats.org/officeDocument/2006/relationships/hyperlink" Target="https://www.sec.gov/Archives/edgar/data/769397/000076939717000014/adsk01312017ex1018.htm" TargetMode="External"/><Relationship Id="rId223" Type="http://schemas.openxmlformats.org/officeDocument/2006/relationships/hyperlink" Target="https://www.sec.gov/Archives/edgar/data/769397/000119312512112024/d314351dex105.htm" TargetMode="External"/><Relationship Id="rId224" Type="http://schemas.openxmlformats.org/officeDocument/2006/relationships/hyperlink" Target="https://www.sec.gov/Archives/edgar/data/769397/000076939719000030/exhibit101-directordef.htm" TargetMode="External"/><Relationship Id="rId225" Type="http://schemas.openxmlformats.org/officeDocument/2006/relationships/hyperlink" Target="https://www.sec.gov/Archives/edgar/data/769397/000076939716000067/adsk01312016ex1023.htm" TargetMode="External"/><Relationship Id="rId226" Type="http://schemas.openxmlformats.org/officeDocument/2006/relationships/hyperlink" Target="https://www.sec.gov/Archives/edgar/data/769397/000119312509249297/dex101.htm" TargetMode="External"/><Relationship Id="rId227" Type="http://schemas.openxmlformats.org/officeDocument/2006/relationships/hyperlink" Target="https://www.sec.gov/Archives/edgar/data/769397/000076939722000051/exhibit101amendedandrestat.htm" TargetMode="External"/><Relationship Id="rId228" Type="http://schemas.openxmlformats.org/officeDocument/2006/relationships/hyperlink" Target="https://www.sec.gov/Archives/edgar/data/769397/000119312505067261/dex108.htm" TargetMode="External"/><Relationship Id="rId229" Type="http://schemas.openxmlformats.org/officeDocument/2006/relationships/hyperlink" Target="https://www.sec.gov/Archives/edgar/data/769397/000076939721000075/exh101formofqualifiedretir.htm" TargetMode="External"/><Relationship Id="rId230" Type="http://schemas.openxmlformats.org/officeDocument/2006/relationships/hyperlink" Target="https://www.sec.gov/Archives/edgar/data/769397/000119312517207116/d372890dex101.htm" TargetMode="External"/><Relationship Id="rId231" Type="http://schemas.openxmlformats.org/officeDocument/2006/relationships/hyperlink" Target="https://www.sec.gov/Archives/edgar/data/769397/000076939722000051/exhibit102firstamendmentto.htm" TargetMode="External"/><Relationship Id="rId232" Type="http://schemas.openxmlformats.org/officeDocument/2006/relationships/hyperlink" Target="https://www.sec.gov/Archives/edgar/data/769397/000076939721000034/exh101cfoofferletterfinal.htm" TargetMode="External"/><Relationship Id="rId233" Type="http://schemas.openxmlformats.org/officeDocument/2006/relationships/hyperlink" Target="https://www.sec.gov/Archives/edgar/data/769397/000076939721000017/exh991severanceplan.htm" TargetMode="External"/><Relationship Id="rId234" Type="http://schemas.openxmlformats.org/officeDocument/2006/relationships/hyperlink" Target="https://www.sec.gov/Archives/edgar/data/769397/000076939721000014/adsk01312021ex1021.htm" TargetMode="External"/><Relationship Id="rId235" Type="http://schemas.openxmlformats.org/officeDocument/2006/relationships/hyperlink" Target="https://www.sec.gov/Archives/edgar/data/769397/000076939722000148/amendmentno1tothecredita.htm" TargetMode="External"/><Relationship Id="rId236" Type="http://schemas.openxmlformats.org/officeDocument/2006/relationships/hyperlink" Target="https://www.sec.gov/Archives/edgar/data/769397/000076939722000079/exhibit101autodeskinc2022e.htm" TargetMode="External"/><Relationship Id="rId238" Type="http://schemas.openxmlformats.org/officeDocument/2006/relationships/hyperlink" Target="https://www.sec.gov/Archives/edgar/data/769397/000076939722000110/directorcompensationpolicy.htm" TargetMode="External"/><Relationship Id="rId239" Type="http://schemas.openxmlformats.org/officeDocument/2006/relationships/hyperlink" Target="https://www.sec.gov/Archives/edgar/data/769397/000076939722000110/formofdirectorrsu.htm" TargetMode="External"/><Relationship Id="rId240" Type="http://schemas.openxmlformats.org/officeDocument/2006/relationships/hyperlink" Target="https://www.sec.gov/Archives/edgar/data/769397/000076939723000036/registrant1998esppasame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2024-06-10T15:38:28Z</dcterms:created>
  <dcterms:modified xsi:type="dcterms:W3CDTF">2024-06-10T15:38:28Z</dcterms:modified>
</cp:coreProperties>
</file>