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22, 2016, registrant had outstanding 222,556,352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for the Three and Nine Months Ended October 31, 2016 and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Loss for the Three and Nine Months Ended October 31, 2016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31, 2016 and January 31,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October 31, 2016 and 2015</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372"/>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1">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7">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7">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9">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3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October 31,</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2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967.5</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957.7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1,552.2</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1,855.8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Cost of subscription revenue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license and 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1,580.0</w:t>
            </w: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738.1</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585.5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1,625.7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1,569.0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(1.83)</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per share</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223.3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8000" w:type="dxa"/>
            <w:vAlign w:val="bottom"/>
          </w:tcPr>
          <w:p>
            <w:pPr>
              <w:spacing w:after="0"/>
              <w:rPr>
                <w:sz w:val="16"/>
                <w:szCs w:val="16"/>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October 31,</w:t>
            </w: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October 31,</w:t>
            </w:r>
          </w:p>
        </w:tc>
      </w:tr>
      <w:tr>
        <w:trPr>
          <w:trHeight w:val="264"/>
        </w:trPr>
        <w:tc>
          <w:tcPr>
            <w:tcW w:w="800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r>
      <w:tr>
        <w:trPr>
          <w:trHeight w:val="23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(142.8)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 (408.7)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Other comprehensive loss, net of reclassifications: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$0.2, $0.0, ($0.6) and ($0.7), respectively)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20"/>
        </w:trPr>
        <w:tc>
          <w:tcPr>
            <w:tcW w:w="8000" w:type="dxa"/>
            <w:vAlign w:val="bottom"/>
          </w:tcPr>
          <w:p>
            <w:pPr>
              <w:ind w:left="280"/>
              <w:spacing w:after="0"/>
              <w:rPr>
                <w:sz w:val="20"/>
                <w:szCs w:val="20"/>
                <w:color w:val="auto"/>
              </w:rPr>
            </w:pPr>
            <w:r>
              <w:rPr>
                <w:rFonts w:ascii="Arial" w:cs="Arial" w:eastAsia="Arial" w:hAnsi="Arial"/>
                <w:sz w:val="16"/>
                <w:szCs w:val="16"/>
                <w:color w:val="auto"/>
                <w:w w:val="94"/>
              </w:rPr>
              <w:t>Change in net unrealized (loss) gain on available-for-sale securities (net of tax effect of $0.0, $0.0, ($0.6) and $0.2,</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80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$0.0, $0.0, ($0.2) and $0.0, respectively)</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20"/>
        </w:trPr>
        <w:tc>
          <w:tcPr>
            <w:tcW w:w="800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(net of tax effect of ($0.5), ($4.5), ($0.5) and $0.0,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80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70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80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44"/>
        </w:trPr>
        <w:tc>
          <w:tcPr>
            <w:tcW w:w="800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 (200.5)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 (475.1)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(326.5)</w:t>
            </w:r>
          </w:p>
        </w:tc>
      </w:tr>
      <w:tr>
        <w:trPr>
          <w:trHeight w:val="20"/>
        </w:trPr>
        <w:tc>
          <w:tcPr>
            <w:tcW w:w="8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2016</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2016</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897.9</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88.6</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4,829.2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5,515.3</w:t>
            </w:r>
          </w:p>
        </w:tc>
      </w:tr>
      <w:tr>
        <w:trPr>
          <w:trHeight w:val="73"/>
        </w:trPr>
        <w:tc>
          <w:tcPr>
            <w:tcW w:w="8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243.3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1,068.9</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1,591.0</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161.4</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1,487.7</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1,821.5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1,619.6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4,829.2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5,515.3</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(408.7)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(293.3)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109.7</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221.9</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97.4</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(1,827.9)</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263.0</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970.7</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(756.1)</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748.3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8580" w:type="dxa"/>
            <w:vAlign w:val="bottom"/>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441.3</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8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beginning of period</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360" w:val="left"/>
        </w:tabs>
        <w:rPr>
          <w:sz w:val="20"/>
          <w:szCs w:val="20"/>
          <w:color w:val="auto"/>
        </w:rPr>
      </w:pPr>
      <w:r>
        <w:rPr>
          <w:rFonts w:ascii="Arial" w:cs="Arial" w:eastAsia="Arial" w:hAnsi="Arial"/>
          <w:sz w:val="16"/>
          <w:szCs w:val="16"/>
          <w:color w:val="auto"/>
        </w:rPr>
        <w:t>83.5</w:t>
      </w:r>
      <w:r>
        <w:rPr>
          <w:sz w:val="20"/>
          <w:szCs w:val="20"/>
          <w:color w:val="auto"/>
        </w:rPr>
        <w:tab/>
      </w:r>
      <w:r>
        <w:rPr>
          <w:rFonts w:ascii="Arial" w:cs="Arial" w:eastAsia="Arial" w:hAnsi="Arial"/>
          <w:sz w:val="14"/>
          <w:szCs w:val="14"/>
          <w:color w:val="auto"/>
        </w:rPr>
        <w:t>(73.1)</w:t>
      </w:r>
    </w:p>
    <w:p>
      <w:pPr>
        <w:spacing w:after="0" w:line="73"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16"/>
          <w:szCs w:val="16"/>
          <w:color w:val="auto"/>
        </w:rPr>
        <w:t>1,353.0</w:t>
      </w:r>
      <w:r>
        <w:rPr>
          <w:sz w:val="20"/>
          <w:szCs w:val="20"/>
          <w:color w:val="auto"/>
        </w:rPr>
        <w:tab/>
      </w:r>
      <w:r>
        <w:rPr>
          <w:rFonts w:ascii="Arial" w:cs="Arial" w:eastAsia="Arial" w:hAnsi="Arial"/>
          <w:sz w:val="14"/>
          <w:szCs w:val="14"/>
          <w:color w:val="auto"/>
        </w:rPr>
        <w:t>1,410.6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spacing w:after="0"/>
        <w:tabs>
          <w:tab w:leader="none" w:pos="740" w:val="left"/>
          <w:tab w:leader="none" w:pos="1480" w:val="left"/>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1,436.5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1,337.5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58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October 31, 2016, and for the three and nine months ended October 31, 2016 and 2015,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2016 are not necessarily indicative of the results for the entire fiscal year ending January 31, 2017, or for any other period. There have been no material changes, other than what is discussed herein, to Autodesk's significant accounting policies as compared to the significant accounting policies disclosed in the Annual Report on Form 10-K for the fiscal year ended January 31, 2016.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2016, filed on March 23, 2016.</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right="200" w:firstLine="243"/>
        <w:spacing w:after="0" w:line="257" w:lineRule="auto"/>
        <w:rPr>
          <w:sz w:val="20"/>
          <w:szCs w:val="20"/>
          <w:color w:val="auto"/>
        </w:rPr>
      </w:pPr>
      <w:r>
        <w:rPr>
          <w:rFonts w:ascii="Arial" w:cs="Arial" w:eastAsia="Arial" w:hAnsi="Arial"/>
          <w:sz w:val="18"/>
          <w:szCs w:val="18"/>
          <w:color w:val="auto"/>
        </w:rPr>
        <w:t>Through the second quarter of fiscal 2017, Autodesk had four operating and reportable segments: Architecture, Engineering, and Construction ("AEC"), Manufacturing ("MFG"), Platform Solutions and Emerging Business ("PSEB"), and Media and Entertainment ("M&amp;E"). During the third quarter of fiscal 2017, as a result of changes in our organizational structure from the business model transition and various other factors described further in Note 18, "Segments," Autodesk has determined the Company operates as a single operating segment and single reporting unit. However, we will continue to provide disaggregation of revenue by product family within Note 18, "Segments."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the course of preparing the Condensed Consolidated Financial Statements for the three and nine months ended October 31, 2015, Autodesk determined that it had understated income tax expense by $33.1 million for the three and six months ended July 31, 2015, primarily related to an error in the establishment of the valuation allowance, which had been understated at July 31, 2015.</w:t>
      </w:r>
    </w:p>
    <w:p>
      <w:pPr>
        <w:spacing w:after="0" w:line="18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 xml:space="preserve">Autodesk performed the analysis required by Staff Accounting Bulletin No. 99, </w:t>
      </w:r>
      <w:r>
        <w:rPr>
          <w:rFonts w:ascii="Arial" w:cs="Arial" w:eastAsia="Arial" w:hAnsi="Arial"/>
          <w:sz w:val="17"/>
          <w:szCs w:val="17"/>
          <w:i w:val="1"/>
          <w:iCs w:val="1"/>
          <w:color w:val="auto"/>
        </w:rPr>
        <w:t>Materiality</w:t>
      </w:r>
      <w:r>
        <w:rPr>
          <w:rFonts w:ascii="Arial" w:cs="Arial" w:eastAsia="Arial" w:hAnsi="Arial"/>
          <w:sz w:val="17"/>
          <w:szCs w:val="17"/>
          <w:color w:val="auto"/>
        </w:rPr>
        <w:t>, to evaluate the materiality of the error, quantitatively and qualitatively, and concluded it was not material to the Company’s Condensed Consolidated Financial Statements as of July 31, 2015 and for the three and six month periods ended July 31, 2015; however, in light of the significance of a correction of the error to the results for the three months ended October 31, 2015, Autodesk chose to correct the error by revising the previously reported results for the three and six months ended July 31, 2015. See Note 6, "Income Tax," in the Notes to Condensed Consolidated Financial Statements for further discussion.</w:t>
      </w:r>
    </w:p>
    <w:p>
      <w:pPr>
        <w:spacing w:after="0" w:line="173"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During the quarter ended April 30, 2015, Autodesk determined that it had not correctly accounted for certain liabilities primarily related to employee benefits and unclaimed property. Accordingly, during the nine months ended October 31, 2015, we recorded $5.7 million of additional operating expenses related to prior periods.</w:t>
      </w:r>
    </w:p>
    <w:p>
      <w:pPr>
        <w:spacing w:after="0" w:line="18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As these adjustments were related to the correction of errors, Autodesk performed the analysis required by Staff Accounting Bulletin No. 99, </w:t>
      </w:r>
      <w:r>
        <w:rPr>
          <w:rFonts w:ascii="Arial" w:cs="Arial" w:eastAsia="Arial" w:hAnsi="Arial"/>
          <w:sz w:val="17"/>
          <w:szCs w:val="17"/>
          <w:i w:val="1"/>
          <w:iCs w:val="1"/>
          <w:color w:val="auto"/>
        </w:rPr>
        <w:t>Materiality</w:t>
      </w:r>
      <w:r>
        <w:rPr>
          <w:rFonts w:ascii="Arial" w:cs="Arial" w:eastAsia="Arial" w:hAnsi="Arial"/>
          <w:sz w:val="17"/>
          <w:szCs w:val="17"/>
          <w:color w:val="auto"/>
        </w:rPr>
        <w:t>, and Staff Accounting Bulletin No. 108,</w:t>
      </w:r>
      <w:r>
        <w:rPr>
          <w:rFonts w:ascii="Arial" w:cs="Arial" w:eastAsia="Arial" w:hAnsi="Arial"/>
          <w:sz w:val="17"/>
          <w:szCs w:val="17"/>
          <w:i w:val="1"/>
          <w:iCs w:val="1"/>
          <w:color w:val="auto"/>
        </w:rPr>
        <w:t xml:space="preserve"> Considering the Effects of Prior Year Misstatements When Quantifying Misstatements in Current Year Financial Statements</w:t>
      </w:r>
      <w:r>
        <w:rPr>
          <w:rFonts w:ascii="Arial" w:cs="Arial" w:eastAsia="Arial" w:hAnsi="Arial"/>
          <w:sz w:val="17"/>
          <w:szCs w:val="17"/>
          <w:color w:val="auto"/>
        </w:rPr>
        <w:t>. Based on this analysis, Autodesk concluded that the effect of the errors was not material to the financial position,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cash flows in fiscal 2016 or any other prior fiscal year from both a quantitative and qualitative perspective.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2016,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March 2016, the FASB issued Accounting Standards Update No. 2016-09 ("ASU 2016-09") regarding ASC Topic 718, “Improvements to Employee Share-Based Payment Accounting.”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increases the amount of shares an employer can withhold for tax purposes without triggering liability accounting, clarifies that all cash payments made on an employee's behalf for withheld shares should be presented as a financing activity in the statements of cash flows, and provides an entity-wide accounting policy election to account for forfeitures as they occur.</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early adopted the standard during the three months ended July 31, 2016. Upon adoption, under the modified retrospective transition method, the Company recognized the previously unrecognized excess tax benefits as increases in deferred tax assets for tax credit and tax loss carryovers, of which $116.5 million were available to offset liabilities for uncertain tax benefits. This reduction in liabilities for uncertain tax benefits resulted in a cumulative-effect increase of $116.5 million to the February 1, 2016 opening accumulated deficit balance. Tax attributes not available to offset uncertain tax benefits were fully offset by a valuation allowance.</w:t>
      </w:r>
    </w:p>
    <w:p>
      <w:pPr>
        <w:spacing w:after="0" w:line="188"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Autodesk elected to account for forfeitures as they occur using a modified retrospective transition method, which resulted in a cumulative-effect adjustment of $6.9 million to reduce the February 1, 2016 opening accumulated deficit balance.</w:t>
      </w:r>
    </w:p>
    <w:p>
      <w:pPr>
        <w:spacing w:after="0" w:line="17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Autodesk elected to apply the change in presentation of excess tax benefits in the statements of cash flows retrospectively to all periods presented and no longer classifies them as a reduction from operating cash flows. However, the adoption did not impact the current or prior period presented as there were no excess tax benefits recorded. The retrospective presentation requirements for cash flows related to employee taxes paid for withheld shares had no impact to any prior period since such cash flows have historically been presented as a financing activity. Additional amendments to the accounting for minimum statutory withholding tax requirements had no impact to opening accumulated deficit as of February 1, 2016 as Autodesk does not withhold more than the minimum statutory requirements.</w:t>
      </w:r>
    </w:p>
    <w:p>
      <w:pPr>
        <w:spacing w:after="0" w:line="166"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As Autodesk elected to early adopt in the second quarter of fiscal 2017, we are required to reflect any adjustments as of February 1, 2016, the beginning of the annual period that includes the interim period of adoption, and are required to revise our reported quarterly results for the three months ended April 30, 2016. Accordingly, the following table reflects the retrospective adjustments made to beginning accumulated deficit and to the previously reported results for the three months ended April 30, 2016:</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3660" w:type="dxa"/>
            <w:vAlign w:val="bottom"/>
            <w:gridSpan w:val="4"/>
          </w:tcPr>
          <w:p>
            <w:pPr>
              <w:ind w:left="560"/>
              <w:spacing w:after="0"/>
              <w:rPr>
                <w:sz w:val="20"/>
                <w:szCs w:val="20"/>
                <w:color w:val="auto"/>
              </w:rPr>
            </w:pPr>
            <w:r>
              <w:rPr>
                <w:rFonts w:ascii="Arial" w:cs="Arial" w:eastAsia="Arial" w:hAnsi="Arial"/>
                <w:sz w:val="14"/>
                <w:szCs w:val="14"/>
                <w:b w:val="1"/>
                <w:bCs w:val="1"/>
                <w:color w:val="auto"/>
              </w:rPr>
              <w:t>ASU 2016-09 Adoption Adjustments:</w:t>
            </w:r>
          </w:p>
        </w:tc>
        <w:tc>
          <w:tcPr>
            <w:tcW w:w="200" w:type="dxa"/>
            <w:vAlign w:val="bottom"/>
          </w:tcPr>
          <w:p>
            <w:pPr>
              <w:spacing w:after="0"/>
              <w:rPr>
                <w:sz w:val="16"/>
                <w:szCs w:val="16"/>
                <w:color w:val="auto"/>
              </w:rPr>
            </w:pPr>
          </w:p>
        </w:tc>
        <w:tc>
          <w:tcPr>
            <w:tcW w:w="1260" w:type="dxa"/>
            <w:vAlign w:val="bottom"/>
          </w:tcPr>
          <w:p>
            <w:pPr>
              <w:jc w:val="right"/>
              <w:ind w:right="26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65"/>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April 30,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right"/>
              <w:ind w:right="363"/>
              <w:spacing w:after="0"/>
              <w:rPr>
                <w:sz w:val="20"/>
                <w:szCs w:val="20"/>
                <w:color w:val="auto"/>
              </w:rPr>
            </w:pPr>
            <w:r>
              <w:rPr>
                <w:rFonts w:ascii="Arial" w:cs="Arial" w:eastAsia="Arial" w:hAnsi="Arial"/>
                <w:sz w:val="14"/>
                <w:szCs w:val="14"/>
                <w:b w:val="1"/>
                <w:bCs w:val="1"/>
                <w:color w:val="auto"/>
              </w:rPr>
              <w:t>February 1, 2016</w:t>
            </w:r>
          </w:p>
        </w:tc>
        <w:tc>
          <w:tcPr>
            <w:tcW w:w="22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12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April 30, 2016</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9"/>
              </w:rPr>
              <w:t>Accumulated Deficit</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Ended April 30, 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income taxes payable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Common stock and additional paid-in capital</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1,865.6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63"/>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1,867.2</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109.6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33"/>
        </w:trPr>
        <w:tc>
          <w:tcPr>
            <w:tcW w:w="4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As Reported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As Adjusted</w:t>
            </w:r>
          </w:p>
        </w:tc>
      </w:tr>
      <w:tr>
        <w:trPr>
          <w:trHeight w:val="165"/>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Three Months Ended April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ASU 2016-09 Adoption</w:t>
            </w:r>
          </w:p>
        </w:tc>
        <w:tc>
          <w:tcPr>
            <w:tcW w:w="120" w:type="dxa"/>
            <w:vAlign w:val="bottom"/>
          </w:tcPr>
          <w:p>
            <w:pPr>
              <w:spacing w:after="0"/>
              <w:rPr>
                <w:sz w:val="14"/>
                <w:szCs w:val="14"/>
                <w:color w:val="auto"/>
              </w:rPr>
            </w:pPr>
          </w:p>
        </w:tc>
        <w:tc>
          <w:tcPr>
            <w:tcW w:w="20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Increase/(Decrease)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2016</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39.8</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Cost of license and other revenue</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52.6</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242.9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240.8</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74.7</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Basic and diluted weighted average shares outstanding</w:t>
            </w:r>
          </w:p>
        </w:tc>
        <w:tc>
          <w:tcPr>
            <w:tcW w:w="120" w:type="dxa"/>
            <w:vAlign w:val="bottom"/>
          </w:tcPr>
          <w:p>
            <w:pPr>
              <w:spacing w:after="0"/>
              <w:rPr>
                <w:sz w:val="19"/>
                <w:szCs w:val="19"/>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224.4</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r>
      <w:tr>
        <w:trPr>
          <w:trHeight w:val="33"/>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Effective in the first quarter of fiscal 2017, Autodesk adopted FASB's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for ASU 2015-05 were prospectively applied and did not have a material impact on Autodesk's consolidated financial statements.</w:t>
      </w:r>
    </w:p>
    <w:p>
      <w:pPr>
        <w:spacing w:after="0" w:line="165"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Effective in the first quarter of fiscal 2017, Autodesk adopted FASB's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were applied retrospectively by removing from the fair value hierarchy any investments for which fair value is measured using the net asset value per share practical expedient. Adoption did not have a material impact on Autodesk's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unless Autodesk elects early adoption. The new guidance is required to be applied on a modified retrospective basis through a cumulative-effect adjustment directly to retained earnings as of the beginning of the period of adoption. Autodesk is currently evaluating the accounting, transition, and disclosure requirements of the standard and cannot currently estimate the financial statement impact of adoption.</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June 2016, the FASB issued Accounting Standards Update No. 2016-13 ("ASU 2016-13") regarding ASC Topic 326, "Financial Instruments - Credit Losses," which modifies the measurement of expected credit losses of certain financial instruments. The amendments will be effective for Autodesk's fiscal year beginning February 1, 2019 unless Autodesk elects early adoption. Autodesk does not believe ASU 2016-13 will have a material impact on its consolidated financial statements.</w:t>
      </w:r>
    </w:p>
    <w:p>
      <w:pPr>
        <w:spacing w:after="0" w:line="18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February 2016, the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right="400"/>
        <w:spacing w:after="0" w:line="264" w:lineRule="auto"/>
        <w:rPr>
          <w:sz w:val="20"/>
          <w:szCs w:val="20"/>
          <w:color w:val="auto"/>
        </w:rPr>
      </w:pPr>
      <w:r>
        <w:rPr>
          <w:rFonts w:ascii="Arial" w:cs="Arial" w:eastAsia="Arial" w:hAnsi="Arial"/>
          <w:sz w:val="18"/>
          <w:szCs w:val="18"/>
          <w:color w:val="auto"/>
        </w:rPr>
        <w:t>adopt ASU 2016-02 as of the effective date which represents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January 2016, the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7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May 2014, the FASB issued Accounting Standards Update No.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the FASB issued Accounting Standards Update No. 2015-14 to defer the effective date by one year with early adoption permitted as of the original effective date. In addition, the FASB issued Accounting Standards Update No. 2016-08, Accounting Standards Update No. 2016-10, and Accounting Standards Update No. 2016-12 in March 2016, April 2016, and May 2016, respectively, to help provide interpretive clarifications on the new guidance in ASC Topic 606.</w:t>
      </w:r>
    </w:p>
    <w:p>
      <w:pPr>
        <w:spacing w:after="0" w:line="16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Autodesk plans to adopt ASU 2014-09 as of the deferred effective date, which represents Autodesk’s fiscal year beginning February 1, 2018. Autodesk is currently evaluating the accounting and disclosure requirements of the standard. The Company's preliminary assessment is that there should be no material change in the timing and amount of the recognition of revenue for the majority of the Company's desktop subscription offerings. This preliminary assessment is based on the conclusion that the related software and cloud services are considered highly interrelated and represent a single combined performance obligation that should be recognized over time. Autodesk is reviewing its other offerings, including enterprise arrangements, and anticipates providing its preliminary assessment on the impact of adoption and transition method in its Form 10-K for this fiscal year ended January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31% and 30% of Autodesk’s total net revenue for the three and nine months ended October 31, 2016, respectively, and 26% and 25% for the three and nine months ended October 31, 2015, respectively. The majority of the net revenue from sales to Tech Data is for sales made outside of the United States. In addition, Tech Data accounted for 25% and 22% of trade accounts receivable at October 31, 2016 and January 31, 2016,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2016 and January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October 31, 2016</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Long-term available-for-sale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4"/>
        </w:trPr>
        <w:tc>
          <w:tcPr>
            <w:tcW w:w="4080" w:type="dxa"/>
            <w:vAlign w:val="bottom"/>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1,928.0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1,930.9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1,591.1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January 31,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 available-for-sale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Asset backed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Municipal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Sovereign debt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U.S. government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Agency bonds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Asset 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6"/>
                <w:szCs w:val="16"/>
                <w:color w:val="auto"/>
              </w:rPr>
              <w:t>Sovereign debt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408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2,310.6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22" w:right="239" w:bottom="1440" w:gutter="0" w:footer="0" w:header="0"/>
        </w:sectPr>
      </w:pPr>
    </w:p>
    <w:bookmarkStart w:id="12" w:name="page13"/>
    <w:bookmarkEnd w:id="12"/>
    <w:p>
      <w:pPr>
        <w:ind w:right="120"/>
        <w:spacing w:after="0" w:line="257" w:lineRule="auto"/>
        <w:rPr>
          <w:sz w:val="20"/>
          <w:szCs w:val="20"/>
          <w:color w:val="auto"/>
        </w:rPr>
      </w:pPr>
      <w:r>
        <w:rPr>
          <w:rFonts w:ascii="Arial" w:cs="Arial" w:eastAsia="Arial" w:hAnsi="Arial"/>
          <w:sz w:val="18"/>
          <w:szCs w:val="18"/>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nine months ended October 31, 2016.</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2016 follows:</w:t>
      </w:r>
    </w:p>
    <w:p>
      <w:pPr>
        <w:spacing w:after="0" w:line="379"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13335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Contracts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40" w:type="dxa"/>
            <w:vAlign w:val="bottom"/>
          </w:tcPr>
          <w:p>
            <w:pPr>
              <w:spacing w:after="0"/>
              <w:rPr>
                <w:sz w:val="13"/>
                <w:szCs w:val="13"/>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674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Gains (losses) included in earnings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380"/>
              <w:spacing w:after="0"/>
              <w:rPr>
                <w:sz w:val="20"/>
                <w:szCs w:val="20"/>
                <w:color w:val="auto"/>
              </w:rPr>
            </w:pPr>
            <w:r>
              <w:rPr>
                <w:rFonts w:ascii="Arial" w:cs="Arial" w:eastAsia="Arial" w:hAnsi="Arial"/>
                <w:sz w:val="16"/>
                <w:szCs w:val="16"/>
                <w:color w:val="auto"/>
              </w:rPr>
              <w:t>Gains included in OCI</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October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w w:val="96"/>
              </w:rPr>
              <w:t>October 31, 2016</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9"/>
              </w:rPr>
              <w:t>490.2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491.6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w w:val="99"/>
              </w:rPr>
              <w:t>448.3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449.1</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9"/>
              </w:rPr>
              <w:t>947.0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949.2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October 31, 2016 and January 31, 2016, Autodesk had no material securities, individually and in the aggregate, in a continuous unrealized loss position for greater than twelve months.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October 31, 2016 and January 31, 2016, Autodesk had $116.6 million and $104.3 million, respectively, in direct investments in privately held companies accounted for under the cost method, which are periodically assessed for other-than-temporary impairment. Other than the amounts disclosed in the following paragraph,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October 31, 2016.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8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If Autodesk determines that an other-than-temporary impairment has occurred, Autodesk writes down the investment to its fair value. During the nine months ended October 31, 2016 and 2015, Autodesk recorded $0.3 million and $0.2 million, respectively, in other-than-temporary impairments on its privately held equity investments.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20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nine months ended October 31, 2016 and 2015 resulted in gains of $0.7 million and $0.3 million, respectively. Gains and losses resulting from the sale or redemption of "available-for-sale securities" are recorded in “Interest and other expense, net” on the Company's Condensed Consolidated Statements of Operations.</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2016 and 2015 were $1,557.3 million and $1,233.7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$530.4 million at October 31, 2016 and $142.4 million at January 31, 2016. Outstanding contracts are recognized as either assets or liabilities on the balance sheet at fair value. The majority of the net gain of $4.0 million remaining in “Accumulated other comprehensive loss” as of October 31, 2016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$7.8 million at October 31, 2016 and $231.6 million at January 31, 2016.</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584" w:right="31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October 31, 2016 and January 31,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380" w:type="dxa"/>
            <w:vAlign w:val="bottom"/>
          </w:tcPr>
          <w:p>
            <w:pPr>
              <w:spacing w:after="0"/>
              <w:rPr>
                <w:sz w:val="22"/>
                <w:szCs w:val="22"/>
                <w:color w:val="auto"/>
              </w:rPr>
            </w:pPr>
          </w:p>
        </w:tc>
        <w:tc>
          <w:tcPr>
            <w:tcW w:w="2980" w:type="dxa"/>
            <w:vAlign w:val="bottom"/>
            <w:gridSpan w:val="2"/>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2016</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980" w:type="dxa"/>
            <w:vAlign w:val="bottom"/>
            <w:gridSpan w:val="2"/>
          </w:tcPr>
          <w:p>
            <w:pPr>
              <w:ind w:left="40"/>
              <w:spacing w:after="0"/>
              <w:rPr>
                <w:sz w:val="20"/>
                <w:szCs w:val="20"/>
                <w:color w:val="auto"/>
              </w:rPr>
            </w:pPr>
            <w:r>
              <w:rPr>
                <w:rFonts w:ascii="Arial" w:cs="Arial" w:eastAsia="Arial" w:hAnsi="Arial"/>
                <w:sz w:val="16"/>
                <w:szCs w:val="16"/>
                <w:color w:val="auto"/>
                <w:w w:val="95"/>
              </w:rPr>
              <w:t>Prepaid expenses and other current assets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5"/>
              </w:rPr>
              <w:t>Prepaid expenses and other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3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and 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84"/>
        </w:trPr>
        <w:tc>
          <w:tcPr>
            <w:tcW w:w="53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980" w:type="dxa"/>
            <w:vAlign w:val="bottom"/>
            <w:gridSpan w:val="2"/>
          </w:tcPr>
          <w:p>
            <w:pPr>
              <w:ind w:left="4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44"/>
        </w:trPr>
        <w:tc>
          <w:tcPr>
            <w:tcW w:w="538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w:t>
            </w:r>
          </w:p>
        </w:tc>
      </w:tr>
      <w:tr>
        <w:trPr>
          <w:trHeight w:val="20"/>
        </w:trPr>
        <w:tc>
          <w:tcPr>
            <w:tcW w:w="5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2016 and 2015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Foreign Currency Contracts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100" w:type="dxa"/>
            <w:vAlign w:val="bottom"/>
            <w:gridSpan w:val="7"/>
          </w:tcPr>
          <w:p>
            <w:pPr>
              <w:ind w:left="80"/>
              <w:spacing w:after="0" w:line="153" w:lineRule="exact"/>
              <w:rPr>
                <w:sz w:val="20"/>
                <w:szCs w:val="20"/>
                <w:color w:val="auto"/>
              </w:rPr>
            </w:pPr>
            <w:r>
              <w:rPr>
                <w:rFonts w:ascii="Arial" w:cs="Arial" w:eastAsia="Arial" w:hAnsi="Arial"/>
                <w:sz w:val="14"/>
                <w:szCs w:val="14"/>
                <w:b w:val="1"/>
                <w:bCs w:val="1"/>
                <w:color w:val="auto"/>
              </w:rPr>
              <w:t>Three Months Ended October</w:t>
            </w:r>
          </w:p>
        </w:tc>
        <w:tc>
          <w:tcPr>
            <w:tcW w:w="1880" w:type="dxa"/>
            <w:vAlign w:val="bottom"/>
            <w:gridSpan w:val="6"/>
          </w:tcPr>
          <w:p>
            <w:pPr>
              <w:jc w:val="right"/>
              <w:spacing w:after="0" w:line="153" w:lineRule="exact"/>
              <w:rPr>
                <w:sz w:val="20"/>
                <w:szCs w:val="20"/>
                <w:color w:val="auto"/>
              </w:rPr>
            </w:pPr>
            <w:r>
              <w:rPr>
                <w:rFonts w:ascii="Arial" w:cs="Arial" w:eastAsia="Arial" w:hAnsi="Arial"/>
                <w:sz w:val="14"/>
                <w:szCs w:val="14"/>
                <w:b w:val="1"/>
                <w:bCs w:val="1"/>
                <w:color w:val="auto"/>
                <w:w w:val="96"/>
              </w:rPr>
              <w:t>Nine Months Ended October</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2"/>
              </w:rPr>
              <w:t>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tcPr>
          <w:p>
            <w:pPr>
              <w:spacing w:after="0"/>
              <w:rPr>
                <w:sz w:val="22"/>
                <w:szCs w:val="22"/>
                <w:color w:val="auto"/>
              </w:rPr>
            </w:pPr>
          </w:p>
        </w:tc>
        <w:tc>
          <w:tcPr>
            <w:tcW w:w="6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1"/>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6"/>
                <w:shd w:val="clear" w:color="auto" w:fill="CCEEFF"/>
              </w:rPr>
              <w:t>Amount</w:t>
            </w:r>
          </w:p>
        </w:tc>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3"/>
              </w:rPr>
              <w:t xml:space="preserve">of gain (loss) recognized </w:t>
            </w:r>
            <w:r>
              <w:rPr>
                <w:rFonts w:ascii="Arial" w:cs="Arial" w:eastAsia="Arial" w:hAnsi="Arial"/>
                <w:sz w:val="16"/>
                <w:szCs w:val="16"/>
                <w:i w:val="1"/>
                <w:iCs w:val="1"/>
                <w:color w:val="auto"/>
                <w:w w:val="93"/>
                <w:shd w:val="clear" w:color="auto" w:fill="CCEEFF"/>
              </w:rPr>
              <w:t>in accumulated other comprehensive income on derivatives (effective portion)</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7"/>
              </w:rPr>
              <w:t>Amount and location of gain (loss) reclassified from accumulated other comprehensive income into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420" w:type="dxa"/>
            <w:vAlign w:val="bottom"/>
            <w:gridSpan w:val="2"/>
          </w:tcPr>
          <w:p>
            <w:pPr>
              <w:ind w:left="200"/>
              <w:spacing w:after="0"/>
              <w:rPr>
                <w:sz w:val="20"/>
                <w:szCs w:val="20"/>
                <w:color w:val="auto"/>
              </w:rPr>
            </w:pPr>
            <w:r>
              <w:rPr>
                <w:rFonts w:ascii="Arial" w:cs="Arial" w:eastAsia="Arial" w:hAnsi="Arial"/>
                <w:sz w:val="16"/>
                <w:szCs w:val="16"/>
                <w:i w:val="1"/>
                <w:iCs w:val="1"/>
                <w:color w:val="auto"/>
              </w:rPr>
              <w:t>(effective portion)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742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shd w:val="clear" w:color="auto" w:fill="CCEEFF"/>
          </w:tcPr>
          <w:p>
            <w:pPr>
              <w:spacing w:after="0"/>
              <w:rPr>
                <w:sz w:val="21"/>
                <w:szCs w:val="21"/>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recognized in income on derivatives (ineffective portion and amount excluded from</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420" w:type="dxa"/>
            <w:vAlign w:val="bottom"/>
            <w:gridSpan w:val="2"/>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nine months ended October 31, 2016 and 2015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1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October</w:t>
            </w: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r>
      <w:tr>
        <w:trPr>
          <w:trHeight w:val="192"/>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31,</w:t>
            </w:r>
          </w:p>
        </w:tc>
        <w:tc>
          <w:tcPr>
            <w:tcW w:w="70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recognized in income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left="220" w:right="4880" w:hanging="212"/>
        <w:spacing w:after="0" w:line="501" w:lineRule="auto"/>
        <w:tabs>
          <w:tab w:leader="none" w:pos="18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unit activity for the nine months ended October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2016</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October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7,739.6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3,661.7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(2,848.8)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50.46</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(609.6)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7,913.2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740" w:space="600"/>
            <w:col w:w="308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340" w:hanging="412"/>
        <w:spacing w:after="0" w:line="263"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2016 performance period. The performance stock units were attained at rates ranging from 86.1% to 98.0%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nine months ended October 31, 2016 and 2015 was $180.3 million and $156.6 million, respectively.</w:t>
      </w:r>
    </w:p>
    <w:p>
      <w:pPr>
        <w:spacing w:after="0" w:line="23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nine months ended October 31, 2016, Autodesk granted 3.2 million restricted stock units. Autodesk recorded stock-based compensation expense related to restricted stock units of $45.2 million and $37.9 million during the three months ended October 31, 2016 and 2015, respectively. Autodesk recorded stock-based compensation expense related to restricted stock units of $125.5 million and $103.7 million during the nine months ended October 31, 2016 and 2015, respectively.</w:t>
      </w:r>
    </w:p>
    <w:p>
      <w:pPr>
        <w:spacing w:after="0" w:line="187"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During the nine months ended October 31, 2016, Autodesk granted 0.4 million performance stock units (“PSUs”) for which the ultimate number of shares earned is determined based on the achievement of performance criteria at the end of the stated service and performance period. The performance criteria for these grants are based upon net new model subscription additions, new model Annualized Recurring Revenue ("ARR"), non-GAAP total spend, and total subscription renewal rate goals ("FY17 performance criteria") adopted by the Compensation and Human Resource Committee, as well as total stockholder return compared against companies in the S&amp;P Computer Software Select Index (“Relative TSR”). Each PSU covers a three-year period:</w:t>
      </w:r>
    </w:p>
    <w:p>
      <w:pPr>
        <w:spacing w:after="0" w:line="158" w:lineRule="exact"/>
        <w:rPr>
          <w:sz w:val="20"/>
          <w:szCs w:val="20"/>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one, depending upon the achievement of the FY17 performance criteria as well as 1-year Relative TSR (covering year one).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PSUs are not considered outstanding stock at the time of grant, as the holders of these units are not entitled to any of the rights of a stockholder, including voting rights. Autodesk has determined the grant date fair value for these awards using a Monte Carlo simulation model since the awards are also subject to a market condition. The fair value of the PSUs is expensed using the accelerated attribution over the vesting period. Autodesk recorded stock-based compensation expense related to PSUs of $4.9 million and $5.7 million for the three months ended October 31, 2016 and 2015, respectively. Autodesk recorded stock-based compensation expense related to PSUs of $17.1 million and $17.2 million for the nine months ended October 31, 2016 and 2015,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300"/>
        <w:spacing w:after="0" w:line="277" w:lineRule="auto"/>
        <w:rPr>
          <w:sz w:val="20"/>
          <w:szCs w:val="20"/>
          <w:color w:val="auto"/>
        </w:rPr>
      </w:pPr>
      <w:r>
        <w:rPr>
          <w:rFonts w:ascii="Arial" w:cs="Arial" w:eastAsia="Arial" w:hAnsi="Arial"/>
          <w:sz w:val="18"/>
          <w:szCs w:val="18"/>
          <w:color w:val="auto"/>
        </w:rPr>
        <w:t>85% of the lower of Autodesk's closing price (fair market value) on the offering date or the exercise date. The offering period for ESPP awards consists of four, six-month exercise periods within a 24-month offering period.</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issued 1.1 million and 1.0 million shares under the ESPP during the three months ended October 31, 2016 and 2015, respectively, with an average price of $37.36 and $35.59 per share. The weighted average grant date fair value of awards granted under the ESPP was $20.75 and $11.91 during the three months ended October 31, 2016 and 2015, respectively, calculated as of the award grant date using the Black-Scholes Merton (“BSM") option pricing model.</w:t>
      </w:r>
    </w:p>
    <w:p>
      <w:pPr>
        <w:spacing w:after="0" w:line="187"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Autodesk issued 2.3 million and 2.1 million shares under the ESPP during the nine months ended October 31, 2016 and 2015, respectively, with an average price of $36.99 and $36.29 per share. The weighted average grant date fair value of awards granted under the ESPP was $19.20 and $11.85 during the nine months ended October 31, 2016 and 2015, respectively, in each case, calculated as of the award grant date using the BSM option pricing model.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2016 and 2015, respectively,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85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Cost of license and other revenue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17.5</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86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50.2</w:t>
            </w:r>
          </w:p>
        </w:tc>
      </w:tr>
      <w:tr>
        <w:trPr>
          <w:trHeight w:val="33"/>
        </w:trPr>
        <w:tc>
          <w:tcPr>
            <w:tcW w:w="85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42"/>
        </w:trPr>
        <w:tc>
          <w:tcPr>
            <w:tcW w:w="8580" w:type="dxa"/>
            <w:vAlign w:val="bottom"/>
            <w:tcBorders>
              <w:bottom w:val="single" w:sz="8" w:color="CCEEFF"/>
            </w:tcBorders>
          </w:tcPr>
          <w:p>
            <w:pPr>
              <w:spacing w:after="0"/>
              <w:rPr>
                <w:sz w:val="24"/>
                <w:szCs w:val="24"/>
                <w:color w:val="auto"/>
              </w:rPr>
            </w:pPr>
          </w:p>
        </w:tc>
        <w:tc>
          <w:tcPr>
            <w:tcW w:w="28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 October 31,</w:t>
            </w:r>
          </w:p>
        </w:tc>
      </w:tr>
      <w:tr>
        <w:trPr>
          <w:trHeight w:val="270"/>
        </w:trPr>
        <w:tc>
          <w:tcPr>
            <w:tcW w:w="85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61.3</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21.4</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Three Months Ended October 31, 2016</w:t>
            </w:r>
          </w:p>
        </w:tc>
        <w:tc>
          <w:tcPr>
            <w:tcW w:w="100" w:type="dxa"/>
            <w:vAlign w:val="bottom"/>
          </w:tcPr>
          <w:p>
            <w:pPr>
              <w:spacing w:after="0"/>
              <w:rPr>
                <w:sz w:val="16"/>
                <w:szCs w:val="16"/>
                <w:color w:val="auto"/>
              </w:rPr>
            </w:pPr>
          </w:p>
        </w:tc>
        <w:tc>
          <w:tcPr>
            <w:tcW w:w="3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2015</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100" w:type="dxa"/>
            <w:vAlign w:val="bottom"/>
            <w:vMerge w:val="restart"/>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Performance Stock Unit</w:t>
            </w:r>
          </w:p>
        </w:tc>
        <w:tc>
          <w:tcPr>
            <w:tcW w:w="1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(1)</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31.0 - 33.9%</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28.6 - 28.9%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0.5 - 0.8%</w:t>
            </w: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0.2 - 0.7%</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Nine Months Ended October 31, 2016</w:t>
            </w:r>
          </w:p>
        </w:tc>
        <w:tc>
          <w:tcPr>
            <w:tcW w:w="100" w:type="dxa"/>
            <w:vAlign w:val="bottom"/>
          </w:tcPr>
          <w:p>
            <w:pPr>
              <w:spacing w:after="0"/>
              <w:rPr>
                <w:sz w:val="19"/>
                <w:szCs w:val="19"/>
                <w:color w:val="auto"/>
              </w:rPr>
            </w:pPr>
          </w:p>
        </w:tc>
        <w:tc>
          <w:tcPr>
            <w:tcW w:w="3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 31, 2015</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Performance Stock Unit</w:t>
            </w:r>
          </w:p>
        </w:tc>
        <w:tc>
          <w:tcPr>
            <w:tcW w:w="1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70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38.4 - 38.6%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30.0 - 40.2%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27.7 - 28.9%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0.6 - 0.7%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0.1 - 0.7%</w:t>
            </w: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8"/>
                <w:szCs w:val="18"/>
                <w:color w:val="auto"/>
              </w:rPr>
              <w:t>____________________</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October 31, 2016 and 2015 that were subject to market conditions.</w:t>
      </w:r>
    </w:p>
    <w:p>
      <w:pPr>
        <w:spacing w:after="0" w:line="20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As permitted by ASU 2016-09, Autodesk has elected to account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Autodesk's income tax expense was $13.5 million and $21.3 million for the three months ended October 31, 2016 and 2015, respectively, relative to a pre-tax loss of $129.3 million and pre-tax income of $22.5 million, respectively, for the same periods. Autodesk's income tax expense was $53.1 million and $293.5 million for the nine months ended October 31, 2016 and 2015, respectively, relative to a pre-tax loss of $355.6 million and pre-tax income of $0.2 million, respectively, for the same periods. The decrease in income tax expense was primarily due to the valuation allowance that was established during the three months ended October 31, 2015. Income tax expense consists primarily of foreign taxes and U.S. tax expense related to indefinite-lived intangibles.</w:t>
      </w:r>
    </w:p>
    <w:p>
      <w:pPr>
        <w:spacing w:after="0" w:line="158"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7"/>
          <w:szCs w:val="17"/>
          <w:color w:val="auto"/>
        </w:rPr>
        <w:t>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deferred tax assets in the three months ended July 31, 2015. Subsequently, Autodesk determined that it had understated income tax expense by $33.1 million for the three and six months ended July 31, 2015, primarily related to an error in the establishment of the valuation allowance, which had been understated at July 31, 2015. Autodesk evaluated the materiality of the error, quantitatively and qualitatively, and concluded it was not material to the Company’s condensed consolidated financial statements for the quarter ended July 31, 2015 but chose to correct the error by revising the previously reported results for the three and six months ended July 31, 2015.</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summarizes the impact of adjusting the condensed consolidated income statement balances presented for the three and six months ended July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As adjusted</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 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 31, 2015</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(268.6)</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 Ended July 31, 2015</w:t>
            </w:r>
          </w:p>
        </w:tc>
        <w:tc>
          <w:tcPr>
            <w:tcW w:w="2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24"/>
                <w:szCs w:val="24"/>
                <w:color w:val="auto"/>
              </w:rPr>
            </w:pPr>
          </w:p>
        </w:tc>
        <w:tc>
          <w:tcPr>
            <w:tcW w:w="214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Six Months Ended July 31, 2015</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impact of adjusting the Condensed Consolidated Balance Sheet balances as of July 31,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1"/>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1"/>
                <w:szCs w:val="21"/>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420" w:type="dxa"/>
            <w:vAlign w:val="bottom"/>
          </w:tcPr>
          <w:p>
            <w:pPr>
              <w:spacing w:after="0"/>
              <w:rPr>
                <w:sz w:val="21"/>
                <w:szCs w:val="21"/>
                <w:color w:val="auto"/>
              </w:rPr>
            </w:pPr>
          </w:p>
        </w:tc>
        <w:tc>
          <w:tcPr>
            <w:tcW w:w="1840" w:type="dxa"/>
            <w:vAlign w:val="bottom"/>
          </w:tcPr>
          <w:p>
            <w:pPr>
              <w:jc w:val="right"/>
              <w:ind w:right="662"/>
              <w:spacing w:after="0"/>
              <w:rPr>
                <w:sz w:val="20"/>
                <w:szCs w:val="20"/>
                <w:color w:val="auto"/>
              </w:rPr>
            </w:pPr>
            <w:r>
              <w:rPr>
                <w:rFonts w:ascii="Arial" w:cs="Arial" w:eastAsia="Arial" w:hAnsi="Arial"/>
                <w:sz w:val="14"/>
                <w:szCs w:val="14"/>
                <w:b w:val="1"/>
                <w:bCs w:val="1"/>
                <w:color w:val="auto"/>
              </w:rPr>
              <w:t>July 31, 2015</w:t>
            </w:r>
          </w:p>
        </w:tc>
      </w:tr>
      <w:tr>
        <w:trPr>
          <w:trHeight w:val="236"/>
        </w:trPr>
        <w:tc>
          <w:tcPr>
            <w:tcW w:w="20" w:type="dxa"/>
            <w:vAlign w:val="bottom"/>
          </w:tcPr>
          <w:p>
            <w:pPr>
              <w:spacing w:after="0"/>
              <w:rPr>
                <w:sz w:val="20"/>
                <w:szCs w:val="20"/>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tax liabilities (1)</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r>
      <w:tr>
        <w:trPr>
          <w:trHeight w:val="237"/>
        </w:trPr>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20"/>
                <w:szCs w:val="20"/>
                <w:color w:val="auto"/>
              </w:rPr>
            </w:pPr>
          </w:p>
        </w:tc>
        <w:tc>
          <w:tcPr>
            <w:tcW w:w="2020" w:type="dxa"/>
            <w:vAlign w:val="bottom"/>
          </w:tcPr>
          <w:p>
            <w:pPr>
              <w:jc w:val="right"/>
              <w:ind w:right="42"/>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22.9</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54.0</w:t>
            </w:r>
          </w:p>
        </w:tc>
      </w:tr>
      <w:tr>
        <w:trPr>
          <w:trHeight w:val="237"/>
        </w:trPr>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Long-term income tax payable</w:t>
            </w:r>
          </w:p>
        </w:tc>
        <w:tc>
          <w:tcPr>
            <w:tcW w:w="280" w:type="dxa"/>
            <w:vAlign w:val="bottom"/>
          </w:tcPr>
          <w:p>
            <w:pPr>
              <w:spacing w:after="0"/>
              <w:rPr>
                <w:sz w:val="20"/>
                <w:szCs w:val="20"/>
                <w:color w:val="auto"/>
              </w:rPr>
            </w:pPr>
          </w:p>
        </w:tc>
        <w:tc>
          <w:tcPr>
            <w:tcW w:w="2020" w:type="dxa"/>
            <w:vAlign w:val="bottom"/>
          </w:tcPr>
          <w:p>
            <w:pPr>
              <w:jc w:val="right"/>
              <w:ind w:right="42"/>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160.2</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131.3</w:t>
            </w:r>
          </w:p>
        </w:tc>
      </w:tr>
      <w:tr>
        <w:trPr>
          <w:trHeight w:val="22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17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October 31, 2016, the Company had $264.3 million of gross unrecognized tax benefits, excluding interest, of which approximately $250.4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negotiated settlement for a tax audit in China covering certain transfer pricing matters from 2004 to 2013 was finalized and paid in mid-November.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payment was for $9.9 million, which included tax and interest. There was an accrual of $9.9 million for this liability as of October 31, 2016.</w:t>
      </w:r>
    </w:p>
    <w:p>
      <w:pPr>
        <w:spacing w:after="0" w:line="21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accrual for the adjustment for calendar years 2014 and 2015 will be kept on the books as the Company works with the State Administration of Taxation to settle the liabilities for these years.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680"/>
        <w:spacing w:after="0" w:line="277" w:lineRule="auto"/>
        <w:rPr>
          <w:sz w:val="20"/>
          <w:szCs w:val="20"/>
          <w:color w:val="auto"/>
        </w:rPr>
      </w:pPr>
      <w:r>
        <w:rPr>
          <w:rFonts w:ascii="Arial" w:cs="Arial" w:eastAsia="Arial" w:hAnsi="Arial"/>
          <w:sz w:val="18"/>
          <w:szCs w:val="18"/>
          <w:color w:val="auto"/>
        </w:rPr>
        <w:t>its positions are consistent with the tax law, and the balance sheet reflects appropriate liabilities for uncertain federal tax positions for the years being examined.</w:t>
      </w:r>
    </w:p>
    <w:p>
      <w:pPr>
        <w:spacing w:after="0" w:line="17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nine months ended October 31, 2016, Autodesk completed several business combinations and technology acquisitions for total cash consideration of approximately $87.0 million. Pro forma results of operations have not been presented because the effects of the acquisitions, individually and in the aggregate, were not material to Autodesk’s Condensed Consolidated Financial Statements.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nine months ended October 31,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w w:val="93"/>
              </w:rPr>
              <w:t>October 31,</w:t>
            </w:r>
          </w:p>
        </w:tc>
      </w:tr>
      <w:tr>
        <w:trPr>
          <w:trHeight w:val="192"/>
        </w:trPr>
        <w:tc>
          <w:tcPr>
            <w:tcW w:w="10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r>
      <w:tr>
        <w:trPr>
          <w:trHeight w:val="236"/>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10.2</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62.8</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r>
      <w:tr>
        <w:trPr>
          <w:trHeight w:val="244"/>
        </w:trPr>
        <w:tc>
          <w:tcPr>
            <w:tcW w:w="1040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87.0</w:t>
            </w:r>
          </w:p>
        </w:tc>
      </w:tr>
      <w:tr>
        <w:trPr>
          <w:trHeight w:val="20"/>
        </w:trPr>
        <w:tc>
          <w:tcPr>
            <w:tcW w:w="10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 and the valuation of certain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23"/>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583.3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571.4</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375.4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371.6</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943.0</w:t>
            </w: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(796.2)</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146.8</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“Other assets” in the accompanying Condensed Consolidated Balance Sheets.</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changes in the carrying amount of goodwill for the periods ended October 31, 2016 and January 31, 2016:</w:t>
      </w: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2016</w:t>
            </w:r>
          </w:p>
        </w:tc>
        <w:tc>
          <w:tcPr>
            <w:tcW w:w="160" w:type="dxa"/>
            <w:vAlign w:val="bottom"/>
          </w:tcPr>
          <w:p>
            <w:pPr>
              <w:spacing w:after="0"/>
              <w:rPr>
                <w:sz w:val="16"/>
                <w:szCs w:val="16"/>
                <w:color w:val="auto"/>
              </w:rPr>
            </w:pP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January 31, 2016</w:t>
            </w:r>
          </w:p>
        </w:tc>
      </w:tr>
      <w:tr>
        <w:trPr>
          <w:trHeight w:val="236"/>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beginning of the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1,605.4</w:t>
            </w:r>
          </w:p>
        </w:tc>
      </w:tr>
      <w:tr>
        <w:trPr>
          <w:trHeight w:val="237"/>
        </w:trPr>
        <w:tc>
          <w:tcPr>
            <w:tcW w:w="8280" w:type="dxa"/>
            <w:vAlign w:val="bottom"/>
          </w:tcPr>
          <w:p>
            <w:pPr>
              <w:ind w:left="20"/>
              <w:spacing w:after="0"/>
              <w:rPr>
                <w:sz w:val="20"/>
                <w:szCs w:val="20"/>
                <w:color w:val="auto"/>
              </w:rPr>
            </w:pPr>
            <w:r>
              <w:rPr>
                <w:rFonts w:ascii="Arial" w:cs="Arial" w:eastAsia="Arial" w:hAnsi="Arial"/>
                <w:sz w:val="16"/>
                <w:szCs w:val="16"/>
                <w:color w:val="auto"/>
              </w:rPr>
              <w:t>Less: accumulated impairment losses, beginning of the period</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arising from acquisitions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97.3</w:t>
            </w:r>
          </w:p>
        </w:tc>
      </w:tr>
      <w:tr>
        <w:trPr>
          <w:trHeight w:val="237"/>
        </w:trPr>
        <w:tc>
          <w:tcPr>
            <w:tcW w:w="8280" w:type="dxa"/>
            <w:vAlign w:val="bottom"/>
          </w:tcPr>
          <w:p>
            <w:pPr>
              <w:ind w:left="20"/>
              <w:spacing w:after="0"/>
              <w:rPr>
                <w:sz w:val="20"/>
                <w:szCs w:val="20"/>
                <w:color w:val="auto"/>
              </w:rPr>
            </w:pPr>
            <w:r>
              <w:rPr>
                <w:rFonts w:ascii="Arial" w:cs="Arial" w:eastAsia="Arial" w:hAnsi="Arial"/>
                <w:sz w:val="16"/>
                <w:szCs w:val="16"/>
                <w:color w:val="auto"/>
              </w:rPr>
              <w:t>Effect of foreign currency translation, purchase accounting adjustments, and other</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6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described in Note 18, "Segments," commencing in the third quarter of fiscal 2017, Autodesk changed its segment reporting as it now operates as a single operating segment and single reporting unit. We were required to conduct impairment tests immediately before and after the change in the composition of our reporting units.</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Accordingly, for the "before" test, we assessed goodwill for impairment during the third quarter of fiscal 2017 using the two-step quantitative test for each of our legacy reporting units: PSEB, MFG, AEC, M&amp;E, and Delcam -- a component of our MFG operating segment. In performing the quantitative two-step test, Autodesk used a discounted cash flow model which included assumptions regarding projected cash flows. Based on this testing, Autodesk determined that the fair value was in excess of the carrying value for each of the five reporting units and therefore the goodwill of each reporting unit was not impaired during the quarter ended October 31, 2016.</w:t>
      </w:r>
    </w:p>
    <w:p>
      <w:pPr>
        <w:spacing w:after="0" w:line="18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part of the "after" test, in situations in which an entity's reporting unit is publicly traded, the fair value of the Company may be approximated by its market capitalization. The market capitalization of the Company is in excess of the carrying value of its reporting unit as of October 31, 2016. The Company determined that there were no indicators of impairment as of October 31,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October 31, 2016, Autodesk had marketable securities totaling $1.0 billion, of which $45.6 million related to investments in debt and equity securities that are held in a rabbi trust under non-qualified deferred compensation plans. The total related deferred compensation liability was $45.6 million at October 31, 2016, of which $2.5 million was classified as current and $43.1 million was classified as non-current liabilities. The total related deferred compensation liability at January 31, 2016 was $38.0 million, of which $1.9 million was classified as current and $36.1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85.6</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59.0</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(380.9)</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$772.5 million as of October 31, 2016.</w:t>
      </w:r>
    </w:p>
    <w:p>
      <w:pPr>
        <w:spacing w:after="0" w:line="16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2012 Notes was approximately $760.3 million as of October 31, 2016.</w:t>
      </w:r>
    </w:p>
    <w:p>
      <w:pPr>
        <w:spacing w:after="0" w:line="16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right="180"/>
        <w:spacing w:after="0" w:line="264" w:lineRule="auto"/>
        <w:rPr>
          <w:sz w:val="20"/>
          <w:szCs w:val="20"/>
          <w:color w:val="auto"/>
        </w:rPr>
      </w:pPr>
      <w:r>
        <w:rPr>
          <w:rFonts w:ascii="Arial" w:cs="Arial" w:eastAsia="Arial" w:hAnsi="Arial"/>
          <w:sz w:val="18"/>
          <w:szCs w:val="18"/>
          <w:color w:val="auto"/>
        </w:rPr>
        <w:t>ratio. The line of credit is syndicated with various financial institutions, including Citibank, N.A., an affiliate of Citigroup, which is one of the lead lenders and an agent. The maturity date on the line of credit is May 2020. At October 31, 2016,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 charges and other facility exit costs, net</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the Board of Directors approved a world-wide restructuring plan (“Fiscal 2017 Plan”) in order to re-balance staffing levels and reduce operating expenses to better align them with the evolving needs of the business. The Company's Fiscal 2017 Plan consists of employee termination benefits related to the reduction of its workforce with expected costs of approximately $65.0 million, and lease terminations and other exit costs expected to be approximately $7.0 million. During the three and nine months ended October 31, 2016, restructuring charges under the Fiscal 2017 Plan included $2.8 million and $58.5 million in employee termination benefits, respectively, and $0.4 million and $5.6 million in lease termination and other exit costs, respectively. During the nine months ended October 31, 2016, we incurred $7.4 million in lease termination costs not related to the Fiscal 2017 Plan. Other costs primarily consist of legal, consulting, and other costs related to employee terminations and are expensed when incurred.</w:t>
      </w:r>
    </w:p>
    <w:p>
      <w:pPr>
        <w:spacing w:after="0" w:line="17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expects to pay substantially all of the employee termination benefits and facility related liabilities under the Fiscal 2017 Plan by the end of fiscal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restructuring charges and other lease termination exit costs during the nine months ended October 31, 2016: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89"/>
              </w:rPr>
              <w:t>Balances, October</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41"/>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Lease Termination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Adjustments include the impact of computer equipment, software, furniture, straight-line rent and leasehold improvement write-offs, and foreign currency translation.</w:t>
      </w:r>
    </w:p>
    <w:p>
      <w:pPr>
        <w:spacing w:after="0" w:line="20" w:lineRule="exact"/>
        <w:rPr>
          <w:rFonts w:ascii="Arial" w:cs="Arial" w:eastAsia="Arial" w:hAnsi="Arial"/>
          <w:sz w:val="15"/>
          <w:szCs w:val="15"/>
          <w:color w:val="auto"/>
        </w:rPr>
      </w:pPr>
    </w:p>
    <w:p>
      <w:pPr>
        <w:ind w:left="420" w:right="100" w:hanging="412"/>
        <w:spacing w:after="0" w:line="257"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nine months ended October 31, 2016, Autodesk repurchased and retired 2.0 million and 6.8 million shares at an average repurchase price of $68.74 and $59.92 per share, respectively. Common stock and additional paid-in capital and accumulated deficit were reduced by $39.9 million and $99.7 million, respectively, during the three months ended October 31, 2016. Common stock and additional paid-in capital and accumulated deficit were reduced by $151.4 million and $258.2 million, respectively, during the nine months ended October 31, 2016.</w:t>
      </w:r>
    </w:p>
    <w:p>
      <w:pPr>
        <w:spacing w:after="0" w:line="16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At October 31, 2016, 29.5 million shares remained available for repurchase under the repurchase program approved by the Board of Directors, including the 30.0 million share increase approved by the Board of Directors in September 2016. During the nine months ended October 31, 2016,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5260" w:type="dxa"/>
            <w:vAlign w:val="bottom"/>
            <w:gridSpan w:val="5"/>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2"/>
              </w:rPr>
              <w:t>Pre-ta</w:t>
            </w:r>
          </w:p>
        </w:tc>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7"/>
                <w:shd w:val="clear" w:color="auto" w:fill="CCEEFF"/>
              </w:rPr>
              <w:t>x (gains) losses re</w:t>
            </w: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5"/>
              </w:rPr>
              <w:t>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5260" w:type="dxa"/>
            <w:vAlign w:val="bottom"/>
            <w:gridSpan w:val="5"/>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87"/>
              </w:rPr>
              <w:t>Net current period other comprehensive</w:t>
            </w:r>
          </w:p>
        </w:tc>
        <w:tc>
          <w:tcPr>
            <w:tcW w:w="1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0"/>
                <w:shd w:val="clear" w:color="auto" w:fill="CCEEFF"/>
              </w:rPr>
              <w:t>(loss) income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44"/>
        </w:trPr>
        <w:tc>
          <w:tcPr>
            <w:tcW w:w="5260" w:type="dxa"/>
            <w:vAlign w:val="bottom"/>
            <w:gridSpan w:val="5"/>
          </w:tcPr>
          <w:p>
            <w:pPr>
              <w:ind w:left="40"/>
              <w:spacing w:after="0"/>
              <w:rPr>
                <w:sz w:val="20"/>
                <w:szCs w:val="20"/>
                <w:color w:val="auto"/>
              </w:rPr>
            </w:pPr>
            <w:r>
              <w:rPr>
                <w:rFonts w:ascii="Arial" w:cs="Arial" w:eastAsia="Arial" w:hAnsi="Arial"/>
                <w:sz w:val="16"/>
                <w:szCs w:val="16"/>
                <w:color w:val="auto"/>
              </w:rPr>
              <w:t>Balances, October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160" w:type="dxa"/>
            <w:vAlign w:val="bottom"/>
          </w:tcPr>
          <w:p>
            <w:pPr>
              <w:spacing w:after="0"/>
              <w:rPr>
                <w:sz w:val="20"/>
                <w:szCs w:val="20"/>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5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 of dilutive securities of 4.4 million shares and 3.4 million shares for the three months ended October 31, 2016 and 2015, respectively, have been excluded from the calculation of diluted net loss per share as those shares would have been anti-dilutive due to the net loss incurred during those periods. The effect of dilutive securities of 4.0 million shares in each of the nine months ended October 31, 2016 and 2015 have been excluded from the calculation of diluted net loss per share as those shares would have been anti-dilutive due to the net loss incurred during those periods.</w:t>
      </w:r>
    </w:p>
    <w:p>
      <w:pPr>
        <w:spacing w:after="0" w:line="18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October 31, 2016, no potentially anti-dilutive shares were excluded from the computation of diluted net loss per share. For the three months ended October 31, 2015, 0.6 million potentially anti-dilutive shares were excluded from the computation of diluted net loss per share. For the nine months ended October 31, 2016 and 2015, 0.4 million and 0.1 million potentially anti-dilutive shares were excluded from the computation of diluted net loss per share,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Prior to the third quarter of fiscal 2017, Autodesk had four operating segments: AEC, MFG, PSEB, and M&amp;E.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As a result of the Company’s business model transition, there have been a number of changes in the business including a platform shift from perpetual licenses to subscription-based offerings and organizational changes in how the business is managed including a restructuring announced in the first quarter of fiscal 2017. In the third quarter of fiscal 2017, these organizational changes resulted in a change in the internal reporting provided to Autodesk’s chief operating decision maker (“CODM”) used to assess the performance of the business to focus on consolidated operating results. Accordingly, the Company's CODM now allocates resources and assesses the operating performance of the Company as a whole. As such, beginning in the third quarter of fiscal 2017, Autodesk concluded that it has one segment manager (the CODM), one operating segment, and one reporting unit for goodwill impairment purposes.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1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6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24"/>
        </w:trPr>
        <w:tc>
          <w:tcPr>
            <w:tcW w:w="69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589.7</w:t>
            </w:r>
          </w:p>
        </w:tc>
      </w:tr>
      <w:tr>
        <w:trPr>
          <w:trHeight w:val="237"/>
        </w:trPr>
        <w:tc>
          <w:tcPr>
            <w:tcW w:w="69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125.8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715.5</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696.2</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6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6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6"/>
                <w:szCs w:val="16"/>
                <w:color w:val="auto"/>
              </w:rPr>
              <w:t>Japan</w:t>
            </w:r>
          </w:p>
        </w:tc>
        <w:tc>
          <w:tcPr>
            <w:tcW w:w="2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164.8</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279.3</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277.0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444.1</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684.4</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695.0</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530.7</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451.7</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119.8</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1,552.2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-835660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-492760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-149860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260" w:space="720"/>
            <w:col w:w="444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Prior periods have been adjusted to conform with current period's presentation.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4" w:right="239" w:bottom="1440" w:gutter="0" w:footer="0" w:header="0"/>
          <w:type w:val="continuous"/>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2016 and 2015” below, future net revenue, future GAAP and non-GAAP net (loss) income per share, operating margin, operating expenses,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newly announced stock buy-back plan, and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 — who design and make the world's places (architecture, engineering, and construction), things (manufacturing), and media (games and digital entertainment).</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represent a hybrid of desktop software and SaaS functionality, which provides a device-independent, collaborative design workflow for designers and their stakeholders. Our cloud service offerings, for example, Autodesk BIM 360, Fusion 360, and AutoCAD 360 Pro,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allow access to a broad set of products that exceeds those previously available in suites - simplifying the customer ability to get access to a complete set of tools for their industry. We now offer term-based product subscriptions for individual products and industry collections, cloud service offerings, and flexible enterprise business agreements ("new model subscription offerings"). These offerings are designed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color w:val="auto"/>
        </w:rPr>
        <w:t>give our customers more flexibility with how they use our products and service offerings and to attract a broader range of customers such as project-based users and small businesses.</w:t>
      </w:r>
    </w:p>
    <w:p>
      <w:pPr>
        <w:spacing w:after="0" w:line="17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With the discontinuation of the sale of most perpetual licenses, we have accelerated our transition away from selling a mix of perpetual licenses and term-based product subscriptions toward a single subscription model. As a result of this shift and various other factors described in Note 18, "Segments," we now operate as a single operating segment. During the transition, revenue, margins, EPS, deferred revenue and cash flow from operations will be impacted as more revenue is recognized ratably rather than up front and as new product offerings generally have a lower initial purchase price.</w:t>
      </w:r>
    </w:p>
    <w:p>
      <w:pPr>
        <w:spacing w:after="0" w:line="15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As we progress through the business model transition, reported revenue is less relevant to measure the success of the business as perpetual license sales are discontinued in favor of subscription offerings, which have considerably lower up-front prices. Annualized recurring revenue ("ARR") and growth of subscriptions better reflect business momentum and provide additional transparency into the transition. To further analyze progress, we disaggregate our growth in these metrics between the original maintenance model ("maintenance") and the new model subscription offerings. Maintenance subscriptions peaked in the fourth quarter of our fiscal 2016, and we expect them to decline slowly over time.</w:t>
      </w:r>
    </w:p>
    <w:p>
      <w:pPr>
        <w:spacing w:after="0" w:line="17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sell our products and services globally, through a combination of indirect and direct channels. During the three months ended October 31, 2016 and 2015, our indirect channels, which include value added resellers, direct market resellers, distributors, computer manufacturers, and other software developers, were responsible for 71% and 79% of our overall revenue, respectively. During the same periods, our direct channels, which include sales resources dedicated to selling in our largest accounts, our highly specialized products, and business transacted through our company e-store, were responsible for 29% and 21% of our overall revenue, respectively. During the nine months ended October 31, 2016 and 2015, our indirect channels were responsible for 74% and 80% of our overall revenue, respectively. During the same periods, our direct channels were responsible for 26% and 20% of our overall revenue, respectively.</w:t>
      </w:r>
    </w:p>
    <w:p>
      <w:pPr>
        <w:spacing w:after="0" w:line="16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anticipate that our channel mix will continue to change, particularly as we scale our digitally transacted e-store business and our largest accounts shift towards direct-only business models. Importantly, our indirect channel will continue to transact and support the majority of our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Spark program to support ideas that push the boundaries of 3D printing and nurture the companies that will advance innovations within 3D printing hardware and software. We have also created the Autodesk Forge program to support innovators that build solutions to facilitate the development of a single connected ecosystem for the future of how things are designed, made, and used.</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Our intention is to make Autodesk software ubiquitous and the design software of choice for those poised to become the next generation of professional users.</w:t>
      </w:r>
    </w:p>
    <w:p>
      <w:pPr>
        <w:spacing w:after="0" w:line="191"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right="200"/>
        <w:spacing w:after="0" w:line="308" w:lineRule="auto"/>
        <w:rPr>
          <w:sz w:val="20"/>
          <w:szCs w:val="20"/>
          <w:color w:val="auto"/>
        </w:rPr>
      </w:pPr>
      <w:r>
        <w:rPr>
          <w:rFonts w:ascii="Arial" w:cs="Arial" w:eastAsia="Arial" w:hAnsi="Arial"/>
          <w:sz w:val="17"/>
          <w:szCs w:val="17"/>
          <w:color w:val="auto"/>
        </w:rPr>
        <w:t>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4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2016.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2016 and 2015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Change compared to</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40"/>
              <w:spacing w:after="0" w:line="145"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32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October 31,</w:t>
            </w:r>
          </w:p>
        </w:tc>
        <w:tc>
          <w:tcPr>
            <w:tcW w:w="120" w:type="dxa"/>
            <w:vAlign w:val="bottom"/>
          </w:tcPr>
          <w:p>
            <w:pPr>
              <w:spacing w:after="0"/>
              <w:rPr>
                <w:sz w:val="4"/>
                <w:szCs w:val="4"/>
                <w:color w:val="auto"/>
              </w:rPr>
            </w:pPr>
          </w:p>
        </w:tc>
        <w:tc>
          <w:tcPr>
            <w:tcW w:w="1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As a % of Net</w:t>
            </w: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October 31,</w:t>
            </w:r>
          </w:p>
        </w:tc>
        <w:tc>
          <w:tcPr>
            <w:tcW w:w="120" w:type="dxa"/>
            <w:vAlign w:val="bottom"/>
          </w:tcPr>
          <w:p>
            <w:pPr>
              <w:spacing w:after="0"/>
              <w:rPr>
                <w:sz w:val="4"/>
                <w:szCs w:val="4"/>
                <w:color w:val="auto"/>
              </w:rPr>
            </w:pP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65"/>
        </w:trPr>
        <w:tc>
          <w:tcPr>
            <w:tcW w:w="25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(110.2)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91.0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528.0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523.6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(105.1)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7"/>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Change compared to</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As a % of Net</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72"/>
        </w:trPr>
        <w:tc>
          <w:tcPr>
            <w:tcW w:w="25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(303.6)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1,855.8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259.0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275.8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1,293.2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(286.8)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1,625.7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1,569.0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We are undergoing a business model transition in which we have discontinued selling new perpetual licenses for most of our products in favor of new model subscriptions. During the transition, revenue, margins, EPS, deferred revenue and cash flow from operations will be impacted as more revenue is recognized ratably rather than up front and as new product offerings generally have a lower initial purchase price.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Net revenue decreased during the three months ended October 31, 2016, as compared to the same period in the prior fiscal year, primarily due to a 39% decrease in license and other revenue resulting from the discontinuation of the sales of most individual perpetual products as of February 1, 2016, and of new perpetual licenses of suites effective August 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40" w:firstLine="405"/>
        <w:spacing w:after="0" w:line="257" w:lineRule="auto"/>
        <w:rPr>
          <w:sz w:val="20"/>
          <w:szCs w:val="20"/>
          <w:color w:val="auto"/>
        </w:rPr>
      </w:pPr>
      <w:r>
        <w:rPr>
          <w:rFonts w:ascii="Arial" w:cs="Arial" w:eastAsia="Arial" w:hAnsi="Arial"/>
          <w:sz w:val="18"/>
          <w:szCs w:val="18"/>
          <w:color w:val="auto"/>
        </w:rPr>
        <w:t>Net revenue decreased during the nine months ended October 31, 2016, as compared to the same period in the prior fiscal year, primarily due to a 35% decrease in license and other revenue, partially offset by a 1% increase in subscription revenue. The 35% decrease in license and other revenue was primarily a result of the discontinuation of the sales of most individual perpetual products as of February 1, 2016, and of new perpetual licenses of suites effective August 1, 2016. The 1% increase in subscription revenue was primarily driven by a 37% increase in revenue from our new model subscription offerings, partially offset by a 3% decrease in maintenance revenue.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31% and 30% of Autodesk’s total net revenue for the three and nine months ended October 31, 2016, respectively, and 26% and 25% for the three and nine months ended October 31, 2015, respectively. Our customers through Tech Data are the resellers and end users who purchase our software licenses and services. Should any of our agreements with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Our operating margin decreased to (24)% for the three months ended October 31, 2016 from (2)% for the three months ended October 31, 2015. The decrease in operating margin was primarily driven by a decrease in revenue related to the discontinuation of the sales of most individual perpetual products as of February 1, 2016, and of new perpetual licenses of suites effective August 1, 2016, partially offset by lower costs of revenue.</w:t>
      </w:r>
    </w:p>
    <w:p>
      <w:pPr>
        <w:spacing w:after="0" w:line="16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operating margin decreased to (21)% for the nine months ended October 31, 2016 from 1% for the nine months ended October 31, 2015. The decrease in operating margin was primarily driven by a decrease in revenue and an increase in operating expenses during the nine months ended October 31, 2016, partially offset by lower costs of revenue. The increase in operating expenses was primarily driven by restructuring charges and other facility exit costs during the nine months ended October 31,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during and after the transition, we have introduced several new metrics including recurring revenue, total subscriptions, ARR, and annualized revenue per subscription ("ARPS"). ARR, ARPS, and recurring revenue are performance metrics and should be viewed independently of revenue and deferred revenue as ARR and ARPS are not intended to be combined with those items. Please refer to the "Glossary of Terms" for further discussion regarding the new metric terminology.</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To simplify the reconciliation between the income statement presentation and recurring revenue, we are assessing potential changes to revenue and cost of revenue classifications, including adding a third revenue line for maintenance in addition to subscription revenue and license &amp; other revenue, on our Condensed Consolidated Statements of Operations in fiscal 2018.</w:t>
      </w:r>
    </w:p>
    <w:p>
      <w:pPr>
        <w:spacing w:after="0" w:line="1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Recurring revenue represents the revenue for the period from our traditional maintenance plans and revenue from our new model subscription offerings, including portions of revenue allocated to license and other revenue for those offerings. It excludes subscription revenue related to consumer product offerings, select Creative Finishing product offerings, Autodesk Buzzsaw, Autodesk Constructware, education offerings, and third party products. Recurring revenue acquired with the acquisition of a business is captured and may cause variability in the comparison of this calculation.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800" w:right="27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color w:val="auto"/>
        </w:rPr>
        <w:t>The following table outlines our recurring revenue for the three and nine months ended October 31, 2016 and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8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Nine Months</w:t>
            </w:r>
          </w:p>
        </w:tc>
        <w:tc>
          <w:tcPr>
            <w:tcW w:w="240" w:type="dxa"/>
            <w:vAlign w:val="bottom"/>
          </w:tcPr>
          <w:p>
            <w:pPr>
              <w:spacing w:after="0"/>
              <w:rPr>
                <w:sz w:val="14"/>
                <w:szCs w:val="14"/>
                <w:color w:val="auto"/>
              </w:rPr>
            </w:pPr>
          </w:p>
        </w:tc>
        <w:tc>
          <w:tcPr>
            <w:tcW w:w="18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Months</w:t>
            </w: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40" w:type="dxa"/>
            <w:vAlign w:val="bottom"/>
          </w:tcPr>
          <w:p>
            <w:pPr>
              <w:spacing w:after="0"/>
              <w:rPr>
                <w:sz w:val="13"/>
                <w:szCs w:val="13"/>
                <w:color w:val="auto"/>
              </w:rPr>
            </w:pPr>
          </w:p>
        </w:tc>
        <w:tc>
          <w:tcPr>
            <w:tcW w:w="6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October 31,</w:t>
            </w:r>
          </w:p>
        </w:tc>
        <w:tc>
          <w:tcPr>
            <w:tcW w:w="10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October 31,</w:t>
            </w:r>
          </w:p>
        </w:tc>
        <w:tc>
          <w:tcPr>
            <w:tcW w:w="240" w:type="dxa"/>
            <w:vAlign w:val="bottom"/>
          </w:tcPr>
          <w:p>
            <w:pPr>
              <w:spacing w:after="0"/>
              <w:rPr>
                <w:sz w:val="13"/>
                <w:szCs w:val="13"/>
                <w:color w:val="auto"/>
              </w:rPr>
            </w:pPr>
          </w:p>
        </w:tc>
        <w:tc>
          <w:tcPr>
            <w:tcW w:w="6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Subscription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9.8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957.7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Add: License and other revenue from new model</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offerings (1)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Less: other adjustments (2)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recurring revenue (3)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portion of revenue for new model subscription offerings allocated to license &amp; other revenue within our Condensed Consolidated Statements of Operations.</w:t>
      </w:r>
    </w:p>
    <w:p>
      <w:pPr>
        <w:spacing w:after="0" w:line="28" w:lineRule="exact"/>
        <w:rPr>
          <w:rFonts w:ascii="Arial" w:cs="Arial" w:eastAsia="Arial" w:hAnsi="Arial"/>
          <w:sz w:val="14"/>
          <w:szCs w:val="14"/>
          <w:color w:val="auto"/>
        </w:rPr>
      </w:pPr>
    </w:p>
    <w:p>
      <w:pPr>
        <w:ind w:left="420" w:right="80" w:hanging="412"/>
        <w:spacing w:after="0" w:line="246"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adjustments include subscription revenue related to select Creative Finishing product offerings, Autodesk Buzzsaw, Autodesk Constructware, education offerings, and third party products which are excluded from recurring revenue.</w:t>
      </w: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recurring revenue as presented may not recalculate on an annualized basis to total ARR in the next table due to rounding.</w:t>
      </w:r>
    </w:p>
    <w:p>
      <w:pPr>
        <w:spacing w:after="0" w:line="20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During the three months ended October 31, 2016 and 2015, recurring revenue was 76% and 56% of total net revenue, respectively. During the nine months ended October 31, 2016 and 2015, recurring revenue was 71% and 54% of total net revenue,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total subscriptions, ARR and ARPS metrics as of October 31, 2016, July 31, 2016, and January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Balances,</w:t>
            </w:r>
          </w:p>
        </w:tc>
        <w:tc>
          <w:tcPr>
            <w:tcW w:w="280" w:type="dxa"/>
            <w:vAlign w:val="bottom"/>
          </w:tcPr>
          <w:p>
            <w:pPr>
              <w:spacing w:after="0"/>
              <w:rPr>
                <w:sz w:val="14"/>
                <w:szCs w:val="14"/>
                <w:color w:val="auto"/>
              </w:rPr>
            </w:pP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Balances,</w:t>
            </w:r>
          </w:p>
        </w:tc>
        <w:tc>
          <w:tcPr>
            <w:tcW w:w="280" w:type="dxa"/>
            <w:vAlign w:val="bottom"/>
          </w:tcPr>
          <w:p>
            <w:pPr>
              <w:spacing w:after="0"/>
              <w:rPr>
                <w:sz w:val="14"/>
                <w:szCs w:val="14"/>
                <w:color w:val="auto"/>
              </w:rPr>
            </w:pP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3"/>
          </w:tcPr>
          <w:p>
            <w:pPr>
              <w:jc w:val="right"/>
              <w:ind w:right="620"/>
              <w:spacing w:after="0" w:line="145" w:lineRule="exact"/>
              <w:rPr>
                <w:sz w:val="20"/>
                <w:szCs w:val="20"/>
                <w:color w:val="auto"/>
              </w:rPr>
            </w:pPr>
            <w:r>
              <w:rPr>
                <w:rFonts w:ascii="Arial" w:cs="Arial" w:eastAsia="Arial" w:hAnsi="Arial"/>
                <w:sz w:val="14"/>
                <w:szCs w:val="14"/>
                <w:b w:val="1"/>
                <w:bCs w:val="1"/>
                <w:color w:val="auto"/>
              </w:rPr>
              <w:t>prior quarter end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Balances, July</w:t>
            </w:r>
          </w:p>
        </w:tc>
        <w:tc>
          <w:tcPr>
            <w:tcW w:w="140" w:type="dxa"/>
            <w:vAlign w:val="bottom"/>
          </w:tcPr>
          <w:p>
            <w:pPr>
              <w:spacing w:after="0"/>
              <w:rPr>
                <w:sz w:val="4"/>
                <w:szCs w:val="4"/>
                <w:color w:val="auto"/>
              </w:rPr>
            </w:pPr>
          </w:p>
        </w:tc>
        <w:tc>
          <w:tcPr>
            <w:tcW w:w="9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61"/>
              <w:spacing w:after="0" w:line="13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65"/>
        </w:trPr>
        <w:tc>
          <w:tcPr>
            <w:tcW w:w="2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31, 2016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Maintenance subscriptions</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2,093.1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(33.9)</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2,093.1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(57.9)</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2,151.0</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433.5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427.2</w:t>
            </w: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subscriptions</w:t>
            </w: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2,953.8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134.1</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2,819.7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2,953.8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375.6</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2,578.2</w:t>
            </w:r>
          </w:p>
        </w:tc>
        <w:tc>
          <w:tcPr>
            <w:tcW w:w="0" w:type="dxa"/>
            <w:vAlign w:val="bottom"/>
          </w:tcPr>
          <w:p>
            <w:pPr>
              <w:spacing w:after="0"/>
              <w:rPr>
                <w:sz w:val="1"/>
                <w:szCs w:val="1"/>
                <w:color w:val="auto"/>
              </w:rPr>
            </w:pPr>
          </w:p>
        </w:tc>
      </w:tr>
      <w:tr>
        <w:trPr>
          <w:trHeight w:val="311"/>
        </w:trPr>
        <w:tc>
          <w:tcPr>
            <w:tcW w:w="2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ARR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1,121.4</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New model ARR</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42.7</w:t>
            </w:r>
          </w:p>
        </w:tc>
        <w:tc>
          <w:tcPr>
            <w:tcW w:w="11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159.0</w:t>
            </w:r>
          </w:p>
        </w:tc>
        <w:tc>
          <w:tcPr>
            <w:tcW w:w="112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ARR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120.2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1,376.4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(ARR divided by Subscriptions)</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Maintenance ARPS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20" w:type="dxa"/>
            <w:vAlign w:val="bottom"/>
            <w:gridSpan w:val="2"/>
          </w:tcPr>
          <w:p>
            <w:pPr>
              <w:ind w:left="740"/>
              <w:spacing w:after="0"/>
              <w:rPr>
                <w:sz w:val="20"/>
                <w:szCs w:val="20"/>
                <w:color w:val="auto"/>
              </w:rPr>
            </w:pPr>
            <w:r>
              <w:rPr>
                <w:rFonts w:ascii="Arial" w:cs="Arial" w:eastAsia="Arial" w:hAnsi="Arial"/>
                <w:sz w:val="16"/>
                <w:szCs w:val="16"/>
                <w:color w:val="auto"/>
              </w:rPr>
              <w:t>—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ARPS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7"/>
        </w:trPr>
        <w:tc>
          <w:tcPr>
            <w:tcW w:w="2560" w:type="dxa"/>
            <w:vAlign w:val="bottom"/>
          </w:tcPr>
          <w:p>
            <w:pPr>
              <w:ind w:left="40"/>
              <w:spacing w:after="0"/>
              <w:rPr>
                <w:sz w:val="20"/>
                <w:szCs w:val="20"/>
                <w:color w:val="auto"/>
              </w:rPr>
            </w:pPr>
            <w:r>
              <w:rPr>
                <w:rFonts w:ascii="Arial" w:cs="Arial" w:eastAsia="Arial" w:hAnsi="Arial"/>
                <w:sz w:val="16"/>
                <w:szCs w:val="16"/>
                <w:color w:val="auto"/>
              </w:rPr>
              <w:t>Total ARPS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Total subscriptions increased 5% or approximately 134,000 from the end of the second quarter of fiscal 2017 to 2.95 million as of October 31, 2016. Maintenance subscriptions decreased 2% or approximately 34,000 from the end of the second quarter of fiscal 2017, primarily as a result of the discontinuation of new perpetual license sales for most individual products at the end of the fourth quarter of fiscal 2016 and the end of perpetual suites at the end of second quarter of fiscal 2017. New model subscriptions increased 24% or approximately 168,000 as of October 31, 2016 as compared to the end of the second quarter of fiscal 2017, primarily driven by growth in all new model subscription types, led by product subscription.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1" w:name="page32"/>
    <w:bookmarkEnd w:id="31"/>
    <w:p>
      <w:pPr>
        <w:ind w:right="20" w:firstLine="405"/>
        <w:spacing w:after="0" w:line="272" w:lineRule="auto"/>
        <w:rPr>
          <w:sz w:val="20"/>
          <w:szCs w:val="20"/>
          <w:color w:val="auto"/>
        </w:rPr>
      </w:pPr>
      <w:r>
        <w:rPr>
          <w:rFonts w:ascii="Arial" w:cs="Arial" w:eastAsia="Arial" w:hAnsi="Arial"/>
          <w:sz w:val="17"/>
          <w:szCs w:val="17"/>
          <w:color w:val="auto"/>
        </w:rPr>
        <w:t>Total subscriptions increased 15% or approximately 376,000 from the fourth quarter of fiscal 2016 to 2.95 million as of October 31, 2016. Maintenance subscriptions decreased approximately 58,000 from the end of fiscal 2016, primarily as a result of the discontinuation of new perpetual license sales for most individual products at the end of the fourth quarter of fiscal 2016 and the end of perpetual suites at the end of second quarter of fiscal 2017, partially offset by the addition of approximately 13,000 maintenance subscriptions associated with an acquisition in the first quarter of fiscal 2017. New model subscriptions increased 101% or approximately 434,000 as of October 31, 2016 as compared to the end of fiscal 2016, primarily driven by growth in all new model subscription types, led by product subscription. New model subscriptions also benefited from a promotion aimed at converting legacy non-subscribers, which captured approximately 72,000 additional product subscriptions.</w:t>
      </w:r>
    </w:p>
    <w:p>
      <w:pPr>
        <w:spacing w:after="0" w:line="178"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ARR increased 2% or $27.6 million from the second quarter of fiscal 2017 to $1,496.6 million as of October 31, 2016, primarily due to a 12% increase in new model ARR driven by growth in all new model subscription types, led by product subscription. ARR growth was impacted by the allocation of existing marketing development funds (“MDF”). MDF is recorded as contra revenue and historically was predominantly allocated against license revenue. With the end of sale of perpetual licenses, MDF is now allocated against recurring revenue, negatively impacting total ARR growth by 3 percentage points.</w:t>
      </w:r>
    </w:p>
    <w:p>
      <w:pPr>
        <w:spacing w:after="0" w:line="15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ARR increased 9% or $120.2 million from the fourth quarter of fiscal 2016 to $1,496.6 million as of October 31, 2016, primarily due to a 62% increase in new model ARR driven by growth in all new model subscription types, led by product subscription. ARR growth was negatively impacted by 3 percentage points from the allocation of existing MDF.</w:t>
      </w:r>
    </w:p>
    <w:p>
      <w:pPr>
        <w:spacing w:after="0" w:line="208"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ARPS decreased 3% from the second quarter of fiscal 2017 to $507 as of October 31, 2016 primarily due to a 10% decrease in new model ARPS. The decrease in new model ARPS was driven by individual product subscriptions leading the growth in new model subscriptions, which included a higher mix of multi-year versus monthly product subscriptions.</w:t>
      </w:r>
    </w:p>
    <w:p>
      <w:pPr>
        <w:spacing w:after="0" w:line="23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ARPS decreased 5% from the fourth quarter of fiscal 2016 to $507 as of October 31, 2016 primarily due to a 19% decrease in new model ARPS, which decreased as a result of individual product subscriptions leading the growth in new model subscriptions, which are priced lower than our flexible enterprise business agreements.</w:t>
      </w:r>
    </w:p>
    <w:p>
      <w:pPr>
        <w:spacing w:after="0" w:line="28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ARPS is declining because of various factors including mix, foreign currency, and the contract-revenue impact of MDF discussed above. As we complete our business model transition, we expect all of these impacts to start to stabilize.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generate a significant amount of our revenue in the U.S., Germany, the United Kingdom, Japan and Canada. Our revenue was negatively impacted by foreign exchange rate changes during the three months ended October 31, 2016 as compared to the same period in the prior fiscal year. Had applicable exchange rates from the three months ended October 31, 2015 been in effect during the three months ended October 31, 2016 and had we excluded foreign exchange hedge gains and losses from the three months ended October 31, 2016, net revenue would have decreased 16%, on a constant currency basis during the three months ended October 31, 2016 as compared to the same period in the prior fiscal year.</w:t>
      </w:r>
    </w:p>
    <w:p>
      <w:pPr>
        <w:spacing w:after="0" w:line="1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revenue was negatively impacted by foreign exchange rate changes during the nine months ended October 31, 2016 as compared to the same period in the prior fiscal year. Had applicable exchange rates from the nine months ended October 31, 2015 been in effect during the nine months ended October 31, 2016 and had we excluded foreign exchange hedge gains and losses from the nine months ended October 31, 2016, net revenue would have decreased 13%, on a constant currency basis during the nine months ended October 31, 2016 as compared to the same period in the prior fiscal year.</w:t>
      </w:r>
    </w:p>
    <w:p>
      <w:pPr>
        <w:spacing w:after="0" w:line="154"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total spend, defined as cost of revenue plus operating expenses, during the three months ended October 31, 2016 decreased 1%, on an as reported basis as compared to the same period in the prior fiscal year. Had applicable exchange rates from the three months ended October 31, 2015 been in effect during the three months ended October 31, 2016 and had we excluded foreign exchange hedge gains and losses from the three months ended October 31, 2016, total spend would have remained flat on a constant currency basis compared to the same period in the prior fiscal year.</w:t>
      </w:r>
    </w:p>
    <w:p>
      <w:pPr>
        <w:spacing w:after="0" w:line="15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total spend during the nine months ended October 31, 2016 increased 2%, on an as reported basis as compared to the same period in the prior fiscal year. Had applicable exchange rates from the nine months ended October 31, 2015 been in effect during the nine months ended October 31, 2016 and had we excluded foreign exchange hedge gains and losses from the nine months ended October 31, 2016, total spend would have increased 3%, on a constant currency basis compared to the same period in the prior fiscal year.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At October 31, 2016, we had $2.4 billion in cash and marketable securities. We completed the nine months ended October 31, 2016 with lower accounts receivable and higher deferred revenue balances as compared to the fiscal year ended January 31, 2016. Our deferred revenue balance at October 31, 2016 was $1.5 billion, which will be recognized as revenue ratably over the life of the contracts. The term of our subscription contracts is typically between one and three years. Our cash flow from operations decreased 37% to $154.1 million for the nine months ended October 31, 2016 compared to $244.1 million for the nine months ended October 31, 2015. We repurchased 2.0 million and 6.8 million shares of our common stock for $139.6 million and $409.6 million during the three and nine months ended October 31, 2016, respectively. Comparatively, we repurchased 3.2 million and 6.9 million shares of our common stock for $150.0 million and $357.7 million during the three and nine months ended October 31, 2015, respectively. Further discussion regarding the balance sheet and cash flow activities are discussed below under the heading “Liquidity and Capital Resources.”</w:t>
      </w:r>
    </w:p>
    <w:p>
      <w:pPr>
        <w:sectPr>
          <w:pgSz w:w="11900" w:h="16838" w:orient="portrait"/>
          <w:cols w:equalWidth="0" w:num="1">
            <w:col w:w="11420"/>
          </w:cols>
          <w:pgMar w:left="240" w:top="584"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Revenue by Product Family:</w:t>
      </w:r>
    </w:p>
    <w:p>
      <w:pPr>
        <w:spacing w:after="0" w:line="125" w:lineRule="exact"/>
        <w:rPr>
          <w:sz w:val="20"/>
          <w:szCs w:val="20"/>
          <w:color w:val="auto"/>
        </w:rPr>
      </w:pPr>
    </w:p>
    <w:p>
      <w:pPr>
        <w:ind w:left="380"/>
        <w:spacing w:after="0" w:line="293" w:lineRule="auto"/>
        <w:rPr>
          <w:sz w:val="20"/>
          <w:szCs w:val="20"/>
          <w:color w:val="auto"/>
        </w:rPr>
      </w:pPr>
      <w:r>
        <w:rPr>
          <w:rFonts w:ascii="Arial" w:cs="Arial" w:eastAsia="Arial" w:hAnsi="Arial"/>
          <w:sz w:val="16"/>
          <w:szCs w:val="16"/>
          <w:color w:val="auto"/>
        </w:rPr>
        <w:t>Architecture, Engineering and Construction</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right="80"/>
        <w:spacing w:after="0" w:line="293" w:lineRule="auto"/>
        <w:rPr>
          <w:sz w:val="20"/>
          <w:szCs w:val="20"/>
          <w:color w:val="auto"/>
        </w:rPr>
      </w:pPr>
      <w:r>
        <w:rPr>
          <w:rFonts w:ascii="Arial" w:cs="Arial" w:eastAsia="Arial" w:hAnsi="Arial"/>
          <w:sz w:val="16"/>
          <w:szCs w:val="16"/>
          <w:color w:val="auto"/>
        </w:rPr>
        <w:t>AutoCAD and AutoCAD LT family (1)</w:t>
      </w:r>
    </w:p>
    <w:p>
      <w:pPr>
        <w:spacing w:after="0" w:line="10" w:lineRule="exact"/>
        <w:rPr>
          <w:sz w:val="20"/>
          <w:szCs w:val="20"/>
          <w:color w:val="auto"/>
        </w:rPr>
      </w:pPr>
    </w:p>
    <w:p>
      <w:pPr>
        <w:ind w:left="380" w:right="300"/>
        <w:spacing w:after="0" w:line="423" w:lineRule="auto"/>
        <w:rPr>
          <w:sz w:val="20"/>
          <w:szCs w:val="20"/>
          <w:color w:val="auto"/>
        </w:rPr>
      </w:pPr>
      <w:r>
        <w:rPr>
          <w:rFonts w:ascii="Arial" w:cs="Arial" w:eastAsia="Arial" w:hAnsi="Arial"/>
          <w:sz w:val="15"/>
          <w:szCs w:val="15"/>
          <w:color w:val="auto"/>
        </w:rPr>
        <w:t>Media and Entertainment Other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2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2"/>
              </w:rPr>
              <w:t>October 31, 2016</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3"/>
                <w:szCs w:val="13"/>
                <w:color w:val="auto"/>
              </w:rPr>
            </w:pPr>
          </w:p>
        </w:tc>
        <w:tc>
          <w:tcPr>
            <w:tcW w:w="90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6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3"/>
                <w:szCs w:val="13"/>
                <w:color w:val="auto"/>
              </w:rPr>
            </w:pPr>
          </w:p>
        </w:tc>
        <w:tc>
          <w:tcPr>
            <w:tcW w:w="9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October 31, 2015</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319.5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957.7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280.9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584.7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(313.4)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1,552.2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1,855.8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684.4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695.0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481.5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(212.6)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451.7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(110.2)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1,552.2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1,855.8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-2148205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-1796415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-1444625</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-964565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-501650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-158750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340" w:space="140"/>
            <w:col w:w="894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-130175</wp:posOffset>
            </wp:positionV>
            <wp:extent cx="711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-130175</wp:posOffset>
            </wp:positionV>
            <wp:extent cx="4262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perpetual software products; (2) maintenance revenue from our term-based product subscriptions and flexible enterprise business agreements; and (3) revenue from our cloud service offerings. Our maintenance plans provide our customers with a cost effective and predictable budgetary option to obtain the productivity 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 Revenue for our cloud service offerings is recognized ratably over the contract term commencing with the date our service is made available to customers and when all other revenue recognition criteria have been satisfied.</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Subscription revenue remained flat during the three months ended October 31, 2016, as compared to the three months ended October 31, 2015, primarily due to a 40% increase in new model subscription revenue, offset by a 4% decrease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ind w:right="120"/>
        <w:spacing w:after="0" w:line="312" w:lineRule="auto"/>
        <w:rPr>
          <w:sz w:val="20"/>
          <w:szCs w:val="20"/>
          <w:color w:val="auto"/>
        </w:rPr>
      </w:pPr>
      <w:r>
        <w:rPr>
          <w:rFonts w:ascii="Arial" w:cs="Arial" w:eastAsia="Arial" w:hAnsi="Arial"/>
          <w:sz w:val="16"/>
          <w:szCs w:val="16"/>
          <w:color w:val="auto"/>
        </w:rPr>
        <w:t>maintenance revenue. The 40% increase in new model subscription revenue was due to a 158% increase in product subscription revenue and a 25% increase in revenue from flexible enterprise business agreements. The 4% decrease in maintenance revenue was attributable to the business model transition, as we expect maintenance revenue will slowly decline as perpetual license sales have ended, and customers adopt our new model subscription offerings.</w:t>
      </w:r>
    </w:p>
    <w:p>
      <w:pPr>
        <w:spacing w:after="0" w:line="14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Maintenance revenue from perpetual software products represented 86% and 90% of subscription revenue for the three months ended October 31, 2016 and 2015, respectively. New model subscription revenue represented 14% and 10% of subscription revenue for the three months ended October 31, 2016 and 2015, respectively.</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Subscription revenue increased 1% during the nine months ended October 31, 2016, as compared to the nine months ended October 31, 2015, primarily due to a 37% increase in new model subscription revenue, partially offset by a 3% decrease in maintenance revenue. The 37% increase in new model subscription revenue was due to a 182% increase in product subscription revenue and a 29% increase in revenue from flexible enterprise business agreements. The 3% decrease in maintenance revenue was attributable to the business model transition, as we expect maintenance revenue will slowly decline as perpetual license sales have ended, and customers adopt our new model subscription offerings.</w:t>
      </w:r>
    </w:p>
    <w:p>
      <w:pPr>
        <w:spacing w:after="0" w:line="17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Maintenance revenue from perpetual software products represented 87% and 90% of subscription revenue for the nine months ended October 31, 2016 and 2015, respectively. New model subscription revenue represented 13% and 10% of subscription revenue for the nine months ended October 31, 2016 and 2015,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License and other revenue decreased 39% during the three months ended October 31, 2016, as compared to the three months ended October 31, 2015. Product license revenue, as a percentage of license and other revenue, was 80% and 86% for the three months ended October 31, 2016 and 2015, respectively. The decrease in product license revenue was due to the business model transition, which led to a 66% decrease in revenue from perpetual licenses as we have discontinued selling perpetual seats of most of our product offerings. This decrease was partially offset by a 133% increase in license revenue from our new model subscription offerings.</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License and other revenue decreased 35% during the nine months ended October 31, 2016, as compared to the nine months ended October 31, 2015. Product license revenue, as a percentage of license and other revenue, was 82% and 88% for the nine months ended October 31, 2016 and 2015, respectively. The decrease in product license revenue was due to the business model transition, which led to a 55% decrease in revenue from perpetual licenses as we have discontinued selling perpetual seats of most of our product offerings. This decrease was partially offset by a 115% increase in license revenue from our new model subscription offerings.</w:t>
      </w:r>
    </w:p>
    <w:p>
      <w:pPr>
        <w:spacing w:after="0" w:line="18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Other revenue decreased 12% during the three months ended October 31, 2016, as compared to the three months ended October 31, 2015 due to a decrease in revenue from Creative Finishing as we exited the Creative Finishing hardware business at the beginning of the fourth quarter of fiscal 2016. Other revenue represented 7% and 6% of total net revenue for the three months ended October 31, 2016 and 2015, respectively.</w:t>
      </w:r>
    </w:p>
    <w:p>
      <w:pPr>
        <w:spacing w:after="0" w:line="16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Other revenue decreased 5% during the nine months ended October 31, 2016, as compared to the nine months ended October 31, 2015 due to a decrease in revenue from Creative Finishing as we exited the Creative Finishing hardware business at the beginning of the fourth quarter of fiscal 2016, partially offset by an increase in revenue from consumer products. Other revenue represented 7% and 6% of total net revenue for the nine months ended October 31, 2016 and 2015, respectively.</w:t>
      </w:r>
    </w:p>
    <w:p>
      <w:pPr>
        <w:spacing w:after="0" w:line="18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There was no backlog at October 31, 2016 compared to $31.4 million at January 31, 2016. Backlog from current software license product orders that have not been delivered consists of orders for currently available licensed software products from customers with approved credit status. Due to the business model transition, we do not expect material backlog in future periods.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Manufacturing (“MFG”), AutoCAD and AutoCAD LT (“ACAD”), and Media &amp; Entertainment (“M&amp;E”). During the business model transition, revenue has been and will be negatively impacted as more revenue is recognized ratably rather than up front and as new product offerings generally have a lower initial purchase price. As part of the transition, we discontinued selling new perpetual licenses of most individual software products effective February 1, 2016, and discontinued selling new perpetual licenses of suites while introducing industry collections effective August 1, 2016. These broad impacts are reflected in the drivers below.</w:t>
      </w:r>
    </w:p>
    <w:p>
      <w:pPr>
        <w:spacing w:after="0" w:line="1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three months ended October 31, 2016, net revenue for the AEC product family decreased by 6% as compared to the same period in the prior fiscal year primarily due to a 13% decrease in revenue from individual product offerings and a 5% decrease in suites.</w:t>
      </w:r>
    </w:p>
    <w:p>
      <w:pPr>
        <w:spacing w:after="0" w:line="170"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During the nine months ended October 31, 2016, net revenue for the AEC product family decreased by 2% as compared to the same period in the prior fiscal year primarily due to 14% decrease in revenue from individual product offerings, partially offset by a 7% increase in suites.</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the three and nine months ended October 31, 2016, net revenue for the MFG product family decreased by 16% and 9%, respectively, as compared to the same periods in the prior fiscal year primarily due to 22% and 9% respective decreases in our MFG suites as well as 12% and 9% respective decrease in individual product offerings.</w:t>
      </w:r>
    </w:p>
    <w:p>
      <w:pPr>
        <w:spacing w:after="0" w:line="18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the three and nine months ended October 31, 2016, net revenue for the ACAD product family decreased by 44% and 47%, respectively, as compared to the same periods in the prior fiscal year. As part of the transition to term-based product subscriptions for our individual software products in February 2016, products like AutoCAD and ACAD LT will be negatively impacted when compared to the same period in the prior fiscal year as revenue is recognized ratably rather than up front.</w:t>
      </w:r>
    </w:p>
    <w:p>
      <w:pPr>
        <w:spacing w:after="0" w:line="18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During the three and nine months ended October 31, 2016, net revenue for the M&amp;E product family decreased by 13% and 14%, respectively, as compared to the same periods in the prior fiscal year, primarily due to 61% and 51% respective decreases in Creative Finishing, as we exited the Creative Finishing hardware business at the beginning of the fourth quarter of fiscal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October</w:t>
            </w:r>
          </w:p>
        </w:tc>
        <w:tc>
          <w:tcPr>
            <w:tcW w:w="1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As a % of Net</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October</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92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31, 2016</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9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31, 2015</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60"/>
        </w:trPr>
        <w:tc>
          <w:tcPr>
            <w:tcW w:w="3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21"/>
              <w:spacing w:after="0"/>
              <w:rPr>
                <w:sz w:val="20"/>
                <w:szCs w:val="20"/>
                <w:color w:val="auto"/>
              </w:rPr>
            </w:pPr>
            <w:r>
              <w:rPr>
                <w:rFonts w:ascii="Arial" w:cs="Arial" w:eastAsia="Arial" w:hAnsi="Arial"/>
                <w:sz w:val="16"/>
                <w:szCs w:val="16"/>
                <w:color w:val="auto"/>
              </w:rPr>
              <w:t>213.3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41"/>
              <w:spacing w:after="0"/>
              <w:rPr>
                <w:sz w:val="20"/>
                <w:szCs w:val="20"/>
                <w:color w:val="auto"/>
              </w:rPr>
            </w:pPr>
            <w:r>
              <w:rPr>
                <w:rFonts w:ascii="Arial" w:cs="Arial" w:eastAsia="Arial" w:hAnsi="Arial"/>
                <w:sz w:val="16"/>
                <w:szCs w:val="16"/>
                <w:color w:val="auto"/>
              </w:rPr>
              <w:t>235.8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1920" w:type="dxa"/>
            <w:vAlign w:val="bottom"/>
          </w:tcPr>
          <w:p>
            <w:pPr>
              <w:jc w:val="right"/>
              <w:ind w:right="21"/>
              <w:spacing w:after="0"/>
              <w:rPr>
                <w:sz w:val="20"/>
                <w:szCs w:val="20"/>
                <w:color w:val="auto"/>
              </w:rPr>
            </w:pPr>
            <w:r>
              <w:rPr>
                <w:rFonts w:ascii="Arial" w:cs="Arial" w:eastAsia="Arial" w:hAnsi="Arial"/>
                <w:sz w:val="16"/>
                <w:szCs w:val="16"/>
                <w:color w:val="auto"/>
              </w:rPr>
              <w:t>85.3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41"/>
              <w:spacing w:after="0"/>
              <w:rPr>
                <w:sz w:val="20"/>
                <w:szCs w:val="20"/>
                <w:color w:val="auto"/>
              </w:rPr>
            </w:pPr>
            <w:r>
              <w:rPr>
                <w:rFonts w:ascii="Arial" w:cs="Arial" w:eastAsia="Arial" w:hAnsi="Arial"/>
                <w:sz w:val="16"/>
                <w:szCs w:val="16"/>
                <w:color w:val="auto"/>
              </w:rPr>
              <w:t>138.9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489.6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599.8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7"/>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Nine Months Ended October</w:t>
            </w:r>
          </w:p>
        </w:tc>
        <w:tc>
          <w:tcPr>
            <w:tcW w:w="12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As a % of Net</w:t>
            </w:r>
          </w:p>
        </w:tc>
        <w:tc>
          <w:tcPr>
            <w:tcW w:w="120" w:type="dxa"/>
            <w:vAlign w:val="bottom"/>
          </w:tcPr>
          <w:p>
            <w:pPr>
              <w:spacing w:after="0"/>
              <w:rPr>
                <w:sz w:val="24"/>
                <w:szCs w:val="24"/>
                <w:color w:val="auto"/>
              </w:rPr>
            </w:pPr>
          </w:p>
        </w:tc>
        <w:tc>
          <w:tcPr>
            <w:tcW w:w="19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Nine Months Ended October</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92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31, 2016</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9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31, 2015</w:t>
            </w: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60"/>
        </w:trPr>
        <w:tc>
          <w:tcPr>
            <w:tcW w:w="3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21"/>
              <w:spacing w:after="0"/>
              <w:rPr>
                <w:sz w:val="20"/>
                <w:szCs w:val="20"/>
                <w:color w:val="auto"/>
              </w:rPr>
            </w:pPr>
            <w:r>
              <w:rPr>
                <w:rFonts w:ascii="Arial" w:cs="Arial" w:eastAsia="Arial" w:hAnsi="Arial"/>
                <w:sz w:val="16"/>
                <w:szCs w:val="16"/>
                <w:color w:val="auto"/>
              </w:rPr>
              <w:t>661.1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41"/>
              <w:spacing w:after="0"/>
              <w:rPr>
                <w:sz w:val="20"/>
                <w:szCs w:val="20"/>
                <w:color w:val="auto"/>
              </w:rPr>
            </w:pPr>
            <w:r>
              <w:rPr>
                <w:rFonts w:ascii="Arial" w:cs="Arial" w:eastAsia="Arial" w:hAnsi="Arial"/>
                <w:sz w:val="16"/>
                <w:szCs w:val="16"/>
                <w:color w:val="auto"/>
              </w:rPr>
              <w:t>715.5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696.2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1920" w:type="dxa"/>
            <w:vAlign w:val="bottom"/>
          </w:tcPr>
          <w:p>
            <w:pPr>
              <w:jc w:val="right"/>
              <w:ind w:right="21"/>
              <w:spacing w:after="0"/>
              <w:rPr>
                <w:sz w:val="20"/>
                <w:szCs w:val="20"/>
                <w:color w:val="auto"/>
              </w:rPr>
            </w:pPr>
            <w:r>
              <w:rPr>
                <w:rFonts w:ascii="Arial" w:cs="Arial" w:eastAsia="Arial" w:hAnsi="Arial"/>
                <w:sz w:val="16"/>
                <w:szCs w:val="16"/>
                <w:color w:val="auto"/>
              </w:rPr>
              <w:t>277.0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41"/>
              <w:spacing w:after="0"/>
              <w:rPr>
                <w:sz w:val="20"/>
                <w:szCs w:val="20"/>
                <w:color w:val="auto"/>
              </w:rPr>
            </w:pPr>
            <w:r>
              <w:rPr>
                <w:rFonts w:ascii="Arial" w:cs="Arial" w:eastAsia="Arial" w:hAnsi="Arial"/>
                <w:sz w:val="16"/>
                <w:szCs w:val="16"/>
                <w:color w:val="auto"/>
              </w:rPr>
              <w:t>444.1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1,552.2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1,855.8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Net revenue in the Americas geography decreased by 10% on an as reported basis and 9% on a constant currency basis during the three months ended October 31, 2016, as compared to the same period in the prior fiscal year. Net revenue in the Americas attributable to the United States was approximately 85% and 83% for three months ended October 31, 2016 and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jc w:val="both"/>
        <w:ind w:right="280" w:firstLine="432"/>
        <w:spacing w:after="0" w:line="264" w:lineRule="auto"/>
        <w:rPr>
          <w:sz w:val="20"/>
          <w:szCs w:val="20"/>
          <w:color w:val="auto"/>
        </w:rPr>
      </w:pPr>
      <w:r>
        <w:rPr>
          <w:rFonts w:ascii="Arial" w:cs="Arial" w:eastAsia="Arial" w:hAnsi="Arial"/>
          <w:sz w:val="18"/>
          <w:szCs w:val="18"/>
          <w:color w:val="auto"/>
        </w:rPr>
        <w:t>Net revenue in the Americas geography decreased by 8% on an as reported basis and 7% on a constant currency basis during the nine months ended October 31, 2016, as compared to the same period in the prior fiscal year. Net revenue in the Americas attributable to the United States was approximately 85% and 82% for the nine months ended October 31, 2016 and 2015, respectively.</w:t>
      </w:r>
    </w:p>
    <w:p>
      <w:pPr>
        <w:spacing w:after="0" w:line="181"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International net revenue represented 63% and 67% of our net revenue for the three months ended October 31, 2016 and 2015, respectively. Net revenue in the Europe, Middle East and Africa ("EMEA") geography decreased by 15% on an as reported basis and 9% on a constant currency basis during the three months ended October 31, 2016 as compared to the same period in the prior fiscal year. Net revenue in the Asia Pacific ("APAC") geography decreased by 39% on an as reported basis and 38% on a constant currency basis during the three months ended October 31, 2016 as compared to the same period in the prior fiscal year, primarily as a result of the business model transition and continued weakness in Japan.</w:t>
      </w:r>
    </w:p>
    <w:p>
      <w:pPr>
        <w:spacing w:after="0" w:line="17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International net revenue represented 64% and 68% of our net revenue for the nine months ended October 31, 2016 and 2015, respectively. Net revenue in the EMEA geography decreased by 12% on an as reported basis and 5% on a constant currency basis during the nine months ended October 31, 2016 as compared to the same period in the prior fiscal year. Net revenue in the APAC geography decreased by 38% on an as reported basis and 36% on a constant currency basis during the nine months ended October 31, 2016 as compared to the same period in the prior fiscal year, primarily as a result of the business model transition and continued weakness in Japan.</w:t>
      </w:r>
    </w:p>
    <w:p>
      <w:pPr>
        <w:spacing w:after="0" w:line="18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 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revenue in emerging economies decreased by 36% on an as reported basis and 35% on a constant currency basis during the three and nine months ended October 31, 2016, respectively, as compared to the same periods in the prior fiscal year. Revenue from emerging economies represented 12% and 15% of net revenue for the three months ended October 31, 2016 and 2015, respectively. Revenue from emerging economies represented 11% and 15% of net revenue for the nine months ended October 31,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600" w:type="dxa"/>
            <w:vAlign w:val="bottom"/>
            <w:gridSpan w:val="4"/>
          </w:tcPr>
          <w:p>
            <w:pPr>
              <w:ind w:left="4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Pr>
          <w:p>
            <w:pPr>
              <w:spacing w:after="0"/>
              <w:rPr>
                <w:sz w:val="22"/>
                <w:szCs w:val="22"/>
                <w:color w:val="auto"/>
              </w:rPr>
            </w:pPr>
          </w:p>
        </w:tc>
        <w:tc>
          <w:tcPr>
            <w:tcW w:w="5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2016</w:t>
            </w:r>
          </w:p>
        </w:tc>
        <w:tc>
          <w:tcPr>
            <w:tcW w:w="200" w:type="dxa"/>
            <w:vAlign w:val="bottom"/>
          </w:tcPr>
          <w:p>
            <w:pPr>
              <w:spacing w:after="0"/>
              <w:rPr>
                <w:sz w:val="22"/>
                <w:szCs w:val="22"/>
                <w:color w:val="auto"/>
              </w:rPr>
            </w:pPr>
          </w:p>
        </w:tc>
        <w:tc>
          <w:tcPr>
            <w:tcW w:w="60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r>
      <w:tr>
        <w:trPr>
          <w:trHeight w:val="210"/>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60"/>
        </w:trPr>
        <w:tc>
          <w:tcPr>
            <w:tcW w:w="2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116.7</w:t>
            </w:r>
          </w:p>
        </w:tc>
      </w:tr>
      <w:tr>
        <w:trPr>
          <w:trHeight w:val="33"/>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159.1</w:t>
            </w:r>
          </w:p>
        </w:tc>
      </w:tr>
      <w:tr>
        <w:trPr>
          <w:trHeight w:val="284"/>
        </w:trPr>
        <w:tc>
          <w:tcPr>
            <w:tcW w:w="26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9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259.0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275.8</w:t>
            </w:r>
          </w:p>
        </w:tc>
      </w:tr>
      <w:tr>
        <w:trPr>
          <w:trHeight w:val="224"/>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subscription revenue includes the labor costs of providing product support to our maintenance and new model subscription customers, including allocated IT and facilities costs, shipping and handling costs, professional services fees related to operating our network and cloud infrastructure, depreciation expense and operating lease payments associated with computer equipment, data center costs, salaries, related expenses of network operations, amortization of developed technologies, and stock-based compensation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140" w:firstLine="432"/>
        <w:spacing w:after="0" w:line="264" w:lineRule="auto"/>
        <w:rPr>
          <w:sz w:val="20"/>
          <w:szCs w:val="20"/>
          <w:color w:val="auto"/>
        </w:rPr>
      </w:pPr>
      <w:r>
        <w:rPr>
          <w:rFonts w:ascii="Arial" w:cs="Arial" w:eastAsia="Arial" w:hAnsi="Arial"/>
          <w:sz w:val="18"/>
          <w:szCs w:val="18"/>
          <w:color w:val="auto"/>
        </w:rPr>
        <w:t>Cost of subscription revenue decreased 8% during the three months ended October 31, 2016 as compared to the same period in the prior fiscal year, primarily due to a decrease in employee related costs from reduced headcount as well as lower hosting fees related to operating our cloud network and cloud infrastructure.</w:t>
      </w:r>
    </w:p>
    <w:p>
      <w:pPr>
        <w:spacing w:after="0" w:line="18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Cost of subscription revenue decreased 3% during the nine months ended October 31, 2016 as compared to the same period in the prior fiscal year, primarily due to decreases in employee related costs from reduced headcount, product support costs to our maintenance and new model subscription customers, and amortization expense of developed technologies.</w:t>
      </w:r>
    </w:p>
    <w:p>
      <w:pPr>
        <w:spacing w:after="0" w:line="18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allocated IT and facilities costs, professional services fees and royalties. Direct material and overhead charges include the cost of hardware sold (mainly Ember printers), and costs associated with electronic and physical fulfillment.</w:t>
      </w:r>
    </w:p>
    <w:p>
      <w:pPr>
        <w:spacing w:after="0" w:line="1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 of license and other revenue decreased 12% and 8% for the three and nine months ended October 31, 2016, respectively, as compared to the same period in the prior fiscal year, primarily due to lower professional fees for our consulting related offerings as well as discontinued sales and associated costs of our Creative Finishing hardware business in the fourth quarter of fiscal 2016.</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expect cost of revenue to decrease in absolute dollars and increase as a percentage of net revenue during the fourth quarter of fiscal 2017, as compared to the fourth quarter of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Change compared to</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Change compared to prior</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4"/>
                <w:szCs w:val="14"/>
                <w:b w:val="1"/>
                <w:bCs w:val="1"/>
                <w:color w:val="auto"/>
                <w:w w:val="90"/>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October 31,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  11.6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738.9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738.1</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3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and allocated IT and facilities costs.</w:t>
      </w:r>
    </w:p>
    <w:p>
      <w:pPr>
        <w:spacing w:after="0" w:line="15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Marketing and sales expenses increased 5% for the three months ended October 31, 2016 as compared to the same period in the prior fiscal year, primarily due to increases in advertising expenses, sales and dealer commissions.</w:t>
      </w:r>
    </w:p>
    <w:p>
      <w:pPr>
        <w:spacing w:after="0" w:line="1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Marketing and sales expenses remained flat for the nine months ended October 31, 2016 as compared to the same period in the prior fiscal year, primarily due to decreases in employee-related costs, travel, and professional fees, offset by increases in stock-based compensation expense and advertising expenses.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marketing and sales expenses to slightly increase in absolute dollars and increase as a percentage of net revenue during the fourth quarter of fiscal 2017, as compared to the fourth quarter of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Change compared to prior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Change compared to prior</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w w:val="90"/>
              </w:rPr>
              <w:t>fiscal year</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2016</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2015</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31, 2016</w:t>
            </w:r>
          </w:p>
        </w:tc>
        <w:tc>
          <w:tcPr>
            <w:tcW w:w="140" w:type="dxa"/>
            <w:vAlign w:val="bottom"/>
          </w:tcPr>
          <w:p>
            <w:pPr>
              <w:spacing w:after="0"/>
              <w:rPr>
                <w:sz w:val="22"/>
                <w:szCs w:val="22"/>
                <w:color w:val="auto"/>
              </w:rPr>
            </w:pPr>
          </w:p>
        </w:tc>
        <w:tc>
          <w:tcPr>
            <w:tcW w:w="840" w:type="dxa"/>
            <w:vAlign w:val="bottom"/>
          </w:tcPr>
          <w:p>
            <w:pPr>
              <w:jc w:val="right"/>
              <w:ind w:right="36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r>
      <w:tr>
        <w:trPr>
          <w:trHeight w:val="236"/>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585.5</w:t>
            </w: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2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and allocated IT and facilities costs.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Research and development expenses decreased 3% and 1% during the three and nine months ended October 31, 2016, respectively, as compared to the same period in the prior fiscal year, primarily due to decreases in professional fees and employee related costs, partially offset by an increase in stock-based compensation expense.</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expect research and development expenses to remain flat in absolute dollars and increase as a percentage of net revenue during the fourth quarter of fiscal 2017, as compared to the fourth quarter of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Nine Months</w:t>
            </w:r>
          </w:p>
        </w:tc>
        <w:tc>
          <w:tcPr>
            <w:tcW w:w="200" w:type="dxa"/>
            <w:vAlign w:val="bottom"/>
          </w:tcPr>
          <w:p>
            <w:pPr>
              <w:spacing w:after="0"/>
              <w:rPr>
                <w:sz w:val="14"/>
                <w:szCs w:val="14"/>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Change compared to</w:t>
            </w: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103"/>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October 31, 2015</w:t>
            </w:r>
          </w:p>
        </w:tc>
      </w:tr>
      <w:tr>
        <w:trPr>
          <w:trHeight w:val="236"/>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220.2</w:t>
            </w:r>
          </w:p>
        </w:tc>
      </w:tr>
      <w:tr>
        <w:trPr>
          <w:trHeight w:val="237"/>
        </w:trPr>
        <w:tc>
          <w:tcPr>
            <w:tcW w:w="2280" w:type="dxa"/>
            <w:vAlign w:val="bottom"/>
          </w:tcPr>
          <w:p>
            <w:pPr>
              <w:ind w:left="40"/>
              <w:spacing w:after="0"/>
              <w:rPr>
                <w:sz w:val="20"/>
                <w:szCs w:val="20"/>
                <w:color w:val="auto"/>
              </w:rPr>
            </w:pPr>
            <w:r>
              <w:rPr>
                <w:rFonts w:ascii="Arial" w:cs="Arial" w:eastAsia="Arial" w:hAnsi="Arial"/>
                <w:sz w:val="16"/>
                <w:szCs w:val="16"/>
                <w:color w:val="auto"/>
                <w:w w:val="99"/>
              </w:rPr>
              <w:t>As a percentage of net revenue</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3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IT and facilities costs, and the cost of supplies and equipment.</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General and administrative expenses decreased 5% during the three months ended October 31, 2016, as compared to the same period in the prior fiscal year primarily due to decreases in one-time charges and professional fees.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General and administrative expenses decreased 3% during the nine months ended October 31, 2016, as compared to the same period in the prior fiscal year primarily due to decreases in one-time charges, professional fees, and advertising expenses.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expect general and administrative expenses to decrease in absolute dollars and increase as a percentage of net revenue during the fourth quarter of fiscal 2017, as compared to the fourth quarter of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840" w:type="dxa"/>
            <w:vAlign w:val="bottom"/>
            <w:gridSpan w:val="5"/>
          </w:tcPr>
          <w:p>
            <w:pPr>
              <w:ind w:left="24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compared to</w:t>
            </w: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2016</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31, 2016</w:t>
            </w:r>
          </w:p>
        </w:tc>
        <w:tc>
          <w:tcPr>
            <w:tcW w:w="180" w:type="dxa"/>
            <w:vAlign w:val="bottom"/>
          </w:tcPr>
          <w:p>
            <w:pPr>
              <w:spacing w:after="0"/>
              <w:rPr>
                <w:sz w:val="22"/>
                <w:szCs w:val="22"/>
                <w:color w:val="auto"/>
              </w:rPr>
            </w:pPr>
          </w:p>
        </w:tc>
        <w:tc>
          <w:tcPr>
            <w:tcW w:w="600" w:type="dxa"/>
            <w:vAlign w:val="bottom"/>
          </w:tcPr>
          <w:p>
            <w:pPr>
              <w:jc w:val="right"/>
              <w:ind w:right="28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October 31, 2015</w:t>
            </w:r>
          </w:p>
        </w:tc>
        <w:tc>
          <w:tcPr>
            <w:tcW w:w="0" w:type="dxa"/>
            <w:vAlign w:val="bottom"/>
          </w:tcPr>
          <w:p>
            <w:pPr>
              <w:spacing w:after="0"/>
              <w:rPr>
                <w:sz w:val="1"/>
                <w:szCs w:val="1"/>
                <w:color w:val="auto"/>
              </w:rPr>
            </w:pPr>
          </w:p>
        </w:tc>
      </w:tr>
      <w:tr>
        <w:trPr>
          <w:trHeight w:val="206"/>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Amortization of purchased intangibles decreased 16% and 11% during the three and nine months ended October 31, 2016, respectively, primarily as a result of fewer intangible assets acquired during the three and nine months ended October 31, 2016, as compared to the same periods in the prior fiscal year, as well as the accumulated effects associated with amortization expense of intangible assets purchased over time.</w:t>
      </w:r>
    </w:p>
    <w:p>
      <w:pPr>
        <w:spacing w:after="0" w:line="16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expect amortization of purchased intangibles to decrease in absolute dollars and remain flat as a percentage of net revenue during the fourth quarter of fiscal 2017, as compared to the fourth quarter of fiscal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and Other Facility Exit Costs,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 compared to</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2016</w:t>
            </w:r>
          </w:p>
        </w:tc>
        <w:tc>
          <w:tcPr>
            <w:tcW w:w="120" w:type="dxa"/>
            <w:vAlign w:val="bottom"/>
          </w:tcPr>
          <w:p>
            <w:pPr>
              <w:spacing w:after="0"/>
              <w:rPr>
                <w:sz w:val="22"/>
                <w:szCs w:val="22"/>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68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2015</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2016</w:t>
            </w:r>
          </w:p>
        </w:tc>
        <w:tc>
          <w:tcPr>
            <w:tcW w:w="200" w:type="dxa"/>
            <w:vAlign w:val="bottom"/>
          </w:tcPr>
          <w:p>
            <w:pPr>
              <w:spacing w:after="0"/>
              <w:rPr>
                <w:sz w:val="22"/>
                <w:szCs w:val="22"/>
                <w:color w:val="auto"/>
              </w:rPr>
            </w:pPr>
          </w:p>
        </w:tc>
        <w:tc>
          <w:tcPr>
            <w:tcW w:w="700" w:type="dxa"/>
            <w:vAlign w:val="bottom"/>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00" w:type="dxa"/>
            <w:vAlign w:val="bottom"/>
          </w:tcPr>
          <w:p>
            <w:pPr>
              <w:jc w:val="right"/>
              <w:ind w:right="3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and other</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facility exit costs,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9"/>
        </w:trPr>
        <w:tc>
          <w:tcPr>
            <w:tcW w:w="2360" w:type="dxa"/>
            <w:vAlign w:val="bottom"/>
          </w:tcPr>
          <w:p>
            <w:pPr>
              <w:ind w:left="60"/>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8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the Board of Directors approved a world-wide restructuring plan (“Fiscal 2017 Plan”) in order to re-balance staffing levels and reduce operating expenses to better align them with the evolving needs of the Company's business. The Company's Fiscal 2017 Plan consists of employee termination benefits related to the reduction of its workforce of approximately $65.0 million, and lease terminations and other exit costs of approximately $7.0 million. Under the Fiscal 2017 Plan, we recorded $3.2 million and $64.1 million in employee termination benefits, lease termination costs and other facility exit costs during the three and nine months ended October 31, 2016, respectively. Additionally, during the nine months ended October 31, 2016, we recorded $7.4 million in other facility exit costs not related to the Fiscal 2017 Plan. See Note 13, "Restructuring charges and other facility exit costs, net" in the Notes to Condensed Consolidated Financial Statements for additional information.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r>
      <w:tr>
        <w:trPr>
          <w:trHeight w:val="192"/>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180" w:type="dxa"/>
            <w:vAlign w:val="bottom"/>
          </w:tcPr>
          <w:p>
            <w:pPr>
              <w:spacing w:after="0"/>
              <w:rPr>
                <w:sz w:val="20"/>
                <w:szCs w:val="20"/>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8.5</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300" w:firstLine="405"/>
        <w:spacing w:after="0" w:line="264" w:lineRule="auto"/>
        <w:rPr>
          <w:sz w:val="20"/>
          <w:szCs w:val="20"/>
          <w:color w:val="auto"/>
        </w:rPr>
      </w:pPr>
      <w:r>
        <w:rPr>
          <w:rFonts w:ascii="Arial" w:cs="Arial" w:eastAsia="Arial" w:hAnsi="Arial"/>
          <w:sz w:val="18"/>
          <w:szCs w:val="18"/>
          <w:color w:val="auto"/>
        </w:rPr>
        <w:t>Interest and other expense, net increased $1.7 million in the three months ended October 31, 2016, as compared to the same period in the prior fiscal year, primarily due to a Canadian multimedia tax credit received in the previous fiscal year within other (expense) income. This increase in expense was partially offset by foreign currency gains realized during the three months ended October 31, 2016.</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Interest and other expense, net increased $12.3 million in the nine months ended October 31, 2016, as compared to the same period in the prior fiscal year, primarily due to Canadian multimedia tax credits received in the previous fiscal year within other (expense) income and an increase in interest expense from the June 2015 issuance of $450.0 million aggregate principal amount of 3.125% notes due June 15, 2020 and $300.0 million aggregate principal amount of 4.375% notes due June 15, 2025, within interest and investment expense.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6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Income tax expense was $13.5 million and $21.3 million for the three months ended October 31, 2016 and 2015, respectively. Income tax expense was $53.1 million and $293.5 million for the nine months ended October 31, 2016 and 2015, respectively. Income tax expense consists primarily of foreign taxes and U.S. tax expense related to indefinite-lived intangibles.</w:t>
      </w:r>
    </w:p>
    <w:p>
      <w:pPr>
        <w:spacing w:after="0" w:line="181"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October 31, 2016, we had $264.3 million of gross unrecognized tax benefits, excluding interest, of which approximately $250.4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countries where we have lower statutory tax rates or we repatriate certain foreign earnings on which U.S. taxes have not previously been provided.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negotiated settlement for a tax audit in China covering certain transfer pricing matters from 2004 to 2013 was finalized and paid in mid-November.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payment was for $9.9 million, which included tax and interest. There was an accrual of $9.9 million for this liability as of October 31, 2016.</w:t>
      </w:r>
    </w:p>
    <w:p>
      <w:pPr>
        <w:spacing w:after="0" w:line="21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accrual for the adjustment for calendar years 2014 and 2015 will be kept on the books as the Company works with the State Administration of Taxation to settle the liabilities for these years.</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nine months ended October 31, 2016 and 2015,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October 31,</w:t>
            </w:r>
          </w:p>
        </w:tc>
        <w:tc>
          <w:tcPr>
            <w:tcW w:w="240" w:type="dxa"/>
            <w:vAlign w:val="bottom"/>
          </w:tcPr>
          <w:p>
            <w:pPr>
              <w:spacing w:after="0"/>
              <w:rPr>
                <w:sz w:val="16"/>
                <w:szCs w:val="16"/>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Nine Months Ended October 31,</w:t>
            </w:r>
          </w:p>
        </w:tc>
      </w:tr>
      <w:tr>
        <w:trPr>
          <w:trHeight w:val="264"/>
        </w:trPr>
        <w:tc>
          <w:tcPr>
            <w:tcW w:w="58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r>
      <w:tr>
        <w:trPr>
          <w:trHeight w:val="250"/>
        </w:trPr>
        <w:tc>
          <w:tcPr>
            <w:tcW w:w="5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408.1</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1,293.2</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1,580.0</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422.0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1,335.5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1,625.6</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83 %</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83 %</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86 %</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86 %</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(119.9)</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(332.5)</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11.0</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(loss) income from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(42.9)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(44.0)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214.4</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(142.8)</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(408.7)</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(39.0)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(50.1)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146.2</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(0.64)</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(1.83)</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diluted net (loss) income per share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(0.18)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(0.22)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0.63</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222.3</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223.3</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226.5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24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222.3</w:t>
            </w:r>
          </w:p>
        </w:tc>
        <w:tc>
          <w:tcPr>
            <w:tcW w:w="48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223.3</w:t>
            </w:r>
          </w:p>
        </w:tc>
        <w:tc>
          <w:tcPr>
            <w:tcW w:w="4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230.5</w:t>
            </w:r>
          </w:p>
        </w:tc>
      </w:tr>
      <w:tr>
        <w:trPr>
          <w:trHeight w:val="249"/>
        </w:trPr>
        <w:tc>
          <w:tcPr>
            <w:tcW w:w="5820" w:type="dxa"/>
            <w:vAlign w:val="bottom"/>
          </w:tcPr>
          <w:p>
            <w:pPr>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420"/>
        <w:spacing w:after="0" w:line="277" w:lineRule="auto"/>
        <w:rPr>
          <w:sz w:val="20"/>
          <w:szCs w:val="20"/>
          <w:color w:val="auto"/>
        </w:rPr>
      </w:pPr>
      <w:r>
        <w:rPr>
          <w:rFonts w:ascii="Arial" w:cs="Arial" w:eastAsia="Arial" w:hAnsi="Arial"/>
          <w:sz w:val="18"/>
          <w:szCs w:val="18"/>
          <w:color w:val="auto"/>
        </w:rPr>
        <w:t>accounting periods and to those of peer companies and to better understand the long-term performance of our core business. We also use some of these measures for purposes of determining company-wide incentive compensation.</w:t>
      </w:r>
    </w:p>
    <w:p>
      <w:pPr>
        <w:spacing w:after="0" w:line="17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584"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080" w:type="dxa"/>
            <w:vAlign w:val="bottom"/>
          </w:tcPr>
          <w:p>
            <w:pPr>
              <w:spacing w:after="0"/>
              <w:rPr>
                <w:sz w:val="20"/>
                <w:szCs w:val="20"/>
                <w:color w:val="auto"/>
              </w:rPr>
            </w:pPr>
            <w:r>
              <w:rPr>
                <w:rFonts w:ascii="Arial" w:cs="Arial" w:eastAsia="Arial" w:hAnsi="Arial"/>
                <w:sz w:val="16"/>
                <w:szCs w:val="16"/>
                <w:color w:val="auto"/>
              </w:rPr>
              <w:t>Gross profit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22"/>
                <w:szCs w:val="22"/>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Pr>
          <w:p>
            <w:pPr>
              <w:spacing w:after="0"/>
              <w:rPr>
                <w:sz w:val="23"/>
                <w:szCs w:val="23"/>
                <w:color w:val="auto"/>
              </w:rPr>
            </w:pPr>
          </w:p>
        </w:tc>
      </w:tr>
      <w:tr>
        <w:trPr>
          <w:trHeight w:val="284"/>
        </w:trPr>
        <w:tc>
          <w:tcPr>
            <w:tcW w:w="5080" w:type="dxa"/>
            <w:vAlign w:val="bottom"/>
          </w:tcPr>
          <w:p>
            <w:pPr>
              <w:spacing w:after="0"/>
              <w:rPr>
                <w:sz w:val="20"/>
                <w:szCs w:val="20"/>
                <w:color w:val="auto"/>
              </w:rPr>
            </w:pPr>
            <w:r>
              <w:rPr>
                <w:rFonts w:ascii="Arial" w:cs="Arial" w:eastAsia="Arial" w:hAnsi="Arial"/>
                <w:sz w:val="16"/>
                <w:szCs w:val="16"/>
                <w:color w:val="auto"/>
              </w:rPr>
              <w:t>Non-GAAP gross profit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80" w:type="dxa"/>
            <w:vAlign w:val="bottom"/>
          </w:tcPr>
          <w:p>
            <w:pPr>
              <w:spacing w:after="0"/>
              <w:rPr>
                <w:sz w:val="20"/>
                <w:szCs w:val="20"/>
                <w:color w:val="auto"/>
              </w:rPr>
            </w:pPr>
            <w:r>
              <w:rPr>
                <w:rFonts w:ascii="Arial" w:cs="Arial" w:eastAsia="Arial" w:hAnsi="Arial"/>
                <w:sz w:val="16"/>
                <w:szCs w:val="16"/>
                <w:color w:val="auto"/>
              </w:rPr>
              <w:t>Gross margin</w:t>
            </w:r>
          </w:p>
        </w:tc>
        <w:tc>
          <w:tcPr>
            <w:tcW w:w="940" w:type="dxa"/>
            <w:vAlign w:val="bottom"/>
          </w:tcPr>
          <w:p>
            <w:pPr>
              <w:spacing w:after="0"/>
              <w:rPr>
                <w:sz w:val="23"/>
                <w:szCs w:val="23"/>
                <w:color w:val="auto"/>
              </w:rPr>
            </w:pPr>
          </w:p>
        </w:tc>
      </w:tr>
      <w:tr>
        <w:trPr>
          <w:trHeight w:val="284"/>
        </w:trPr>
        <w:tc>
          <w:tcPr>
            <w:tcW w:w="508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24"/>
                <w:szCs w:val="24"/>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Pr>
          <w:p>
            <w:pPr>
              <w:spacing w:after="0"/>
              <w:rPr>
                <w:sz w:val="23"/>
                <w:szCs w:val="23"/>
                <w:color w:val="auto"/>
              </w:rPr>
            </w:pPr>
          </w:p>
        </w:tc>
      </w:tr>
      <w:tr>
        <w:trPr>
          <w:trHeight w:val="270"/>
        </w:trPr>
        <w:tc>
          <w:tcPr>
            <w:tcW w:w="5080" w:type="dxa"/>
            <w:vAlign w:val="bottom"/>
          </w:tcPr>
          <w:p>
            <w:pPr>
              <w:spacing w:after="0"/>
              <w:rPr>
                <w:sz w:val="20"/>
                <w:szCs w:val="20"/>
                <w:color w:val="auto"/>
              </w:rPr>
            </w:pPr>
            <w:r>
              <w:rPr>
                <w:rFonts w:ascii="Arial" w:cs="Arial" w:eastAsia="Arial" w:hAnsi="Arial"/>
                <w:sz w:val="16"/>
                <w:szCs w:val="16"/>
                <w:color w:val="auto"/>
              </w:rPr>
              <w:t>Non-GAAP gross margin</w:t>
            </w:r>
          </w:p>
        </w:tc>
        <w:tc>
          <w:tcPr>
            <w:tcW w:w="940" w:type="dxa"/>
            <w:vAlign w:val="bottom"/>
          </w:tcPr>
          <w:p>
            <w:pPr>
              <w:spacing w:after="0"/>
              <w:rPr>
                <w:sz w:val="23"/>
                <w:szCs w:val="23"/>
                <w:color w:val="auto"/>
              </w:rPr>
            </w:pPr>
          </w:p>
        </w:tc>
      </w:tr>
      <w:tr>
        <w:trPr>
          <w:trHeight w:val="311"/>
        </w:trPr>
        <w:tc>
          <w:tcPr>
            <w:tcW w:w="5080" w:type="dxa"/>
            <w:vAlign w:val="bottom"/>
          </w:tcPr>
          <w:p>
            <w:pPr>
              <w:spacing w:after="0"/>
              <w:rPr>
                <w:sz w:val="20"/>
                <w:szCs w:val="20"/>
                <w:color w:val="auto"/>
              </w:rPr>
            </w:pPr>
            <w:r>
              <w:rPr>
                <w:rFonts w:ascii="Arial" w:cs="Arial" w:eastAsia="Arial" w:hAnsi="Arial"/>
                <w:sz w:val="16"/>
                <w:szCs w:val="16"/>
                <w:color w:val="auto"/>
              </w:rPr>
              <w:t>(Loss) income from operations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22"/>
                <w:szCs w:val="22"/>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Restructuring charges and other facility exit costs, net</w:t>
            </w:r>
          </w:p>
        </w:tc>
        <w:tc>
          <w:tcPr>
            <w:tcW w:w="940" w:type="dxa"/>
            <w:vAlign w:val="bottom"/>
          </w:tcPr>
          <w:p>
            <w:pPr>
              <w:spacing w:after="0"/>
              <w:rPr>
                <w:sz w:val="23"/>
                <w:szCs w:val="23"/>
                <w:color w:val="auto"/>
              </w:rPr>
            </w:pPr>
          </w:p>
        </w:tc>
      </w:tr>
      <w:tr>
        <w:trPr>
          <w:trHeight w:val="284"/>
        </w:trPr>
        <w:tc>
          <w:tcPr>
            <w:tcW w:w="5080" w:type="dxa"/>
            <w:vAlign w:val="bottom"/>
          </w:tcPr>
          <w:p>
            <w:pPr>
              <w:spacing w:after="0"/>
              <w:rPr>
                <w:sz w:val="20"/>
                <w:szCs w:val="20"/>
                <w:color w:val="auto"/>
              </w:rPr>
            </w:pPr>
            <w:r>
              <w:rPr>
                <w:rFonts w:ascii="Arial" w:cs="Arial" w:eastAsia="Arial" w:hAnsi="Arial"/>
                <w:sz w:val="16"/>
                <w:szCs w:val="16"/>
                <w:color w:val="auto"/>
              </w:rPr>
              <w:t>Non-GAAP (loss) income from operations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80" w:type="dxa"/>
            <w:vAlign w:val="bottom"/>
          </w:tcPr>
          <w:p>
            <w:pPr>
              <w:spacing w:after="0"/>
              <w:rPr>
                <w:sz w:val="20"/>
                <w:szCs w:val="20"/>
                <w:color w:val="auto"/>
              </w:rPr>
            </w:pPr>
            <w:r>
              <w:rPr>
                <w:rFonts w:ascii="Arial" w:cs="Arial" w:eastAsia="Arial" w:hAnsi="Arial"/>
                <w:sz w:val="16"/>
                <w:szCs w:val="16"/>
                <w:color w:val="auto"/>
              </w:rPr>
              <w:t>Operating margin</w:t>
            </w:r>
          </w:p>
        </w:tc>
        <w:tc>
          <w:tcPr>
            <w:tcW w:w="940" w:type="dxa"/>
            <w:vAlign w:val="bottom"/>
          </w:tcPr>
          <w:p>
            <w:pPr>
              <w:spacing w:after="0"/>
              <w:rPr>
                <w:sz w:val="23"/>
                <w:szCs w:val="23"/>
                <w:color w:val="auto"/>
              </w:rPr>
            </w:pPr>
          </w:p>
        </w:tc>
      </w:tr>
      <w:tr>
        <w:trPr>
          <w:trHeight w:val="284"/>
        </w:trPr>
        <w:tc>
          <w:tcPr>
            <w:tcW w:w="508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24"/>
                <w:szCs w:val="24"/>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Restructuring charges and other facility exit costs, net</w:t>
            </w:r>
          </w:p>
        </w:tc>
        <w:tc>
          <w:tcPr>
            <w:tcW w:w="940" w:type="dxa"/>
            <w:vAlign w:val="bottom"/>
          </w:tcPr>
          <w:p>
            <w:pPr>
              <w:spacing w:after="0"/>
              <w:rPr>
                <w:sz w:val="23"/>
                <w:szCs w:val="23"/>
                <w:color w:val="auto"/>
              </w:rPr>
            </w:pPr>
          </w:p>
        </w:tc>
      </w:tr>
      <w:tr>
        <w:trPr>
          <w:trHeight w:val="270"/>
        </w:trPr>
        <w:tc>
          <w:tcPr>
            <w:tcW w:w="5080" w:type="dxa"/>
            <w:vAlign w:val="bottom"/>
          </w:tcPr>
          <w:p>
            <w:pPr>
              <w:spacing w:after="0"/>
              <w:rPr>
                <w:sz w:val="20"/>
                <w:szCs w:val="20"/>
                <w:color w:val="auto"/>
              </w:rPr>
            </w:pPr>
            <w:r>
              <w:rPr>
                <w:rFonts w:ascii="Arial" w:cs="Arial" w:eastAsia="Arial" w:hAnsi="Arial"/>
                <w:sz w:val="16"/>
                <w:szCs w:val="16"/>
                <w:color w:val="auto"/>
              </w:rPr>
              <w:t>Non-GAAP operating margin</w:t>
            </w:r>
          </w:p>
        </w:tc>
        <w:tc>
          <w:tcPr>
            <w:tcW w:w="940" w:type="dxa"/>
            <w:vAlign w:val="bottom"/>
          </w:tcPr>
          <w:p>
            <w:pPr>
              <w:spacing w:after="0"/>
              <w:rPr>
                <w:sz w:val="23"/>
                <w:szCs w:val="23"/>
                <w:color w:val="auto"/>
              </w:rPr>
            </w:pPr>
          </w:p>
        </w:tc>
      </w:tr>
      <w:tr>
        <w:trPr>
          <w:trHeight w:val="311"/>
        </w:trPr>
        <w:tc>
          <w:tcPr>
            <w:tcW w:w="508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22"/>
                <w:szCs w:val="22"/>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Restructuring charges and other facility exit costs, net</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(Gain) loss on strategic investments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Discrete tax items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Establishment of valuation allowance on deferred tax assets</w:t>
            </w:r>
          </w:p>
        </w:tc>
        <w:tc>
          <w:tcPr>
            <w:tcW w:w="940" w:type="dxa"/>
            <w:vAlign w:val="bottom"/>
          </w:tcPr>
          <w:p>
            <w:pPr>
              <w:spacing w:after="0"/>
              <w:rPr>
                <w:sz w:val="23"/>
                <w:szCs w:val="23"/>
                <w:color w:val="auto"/>
              </w:rPr>
            </w:pPr>
          </w:p>
        </w:tc>
      </w:tr>
      <w:tr>
        <w:trPr>
          <w:trHeight w:val="270"/>
        </w:trPr>
        <w:tc>
          <w:tcPr>
            <w:tcW w:w="5080" w:type="dxa"/>
            <w:vAlign w:val="bottom"/>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940" w:type="dxa"/>
            <w:vAlign w:val="bottom"/>
          </w:tcPr>
          <w:p>
            <w:pPr>
              <w:spacing w:after="0"/>
              <w:rPr>
                <w:sz w:val="23"/>
                <w:szCs w:val="23"/>
                <w:color w:val="auto"/>
              </w:rPr>
            </w:pPr>
          </w:p>
        </w:tc>
      </w:tr>
      <w:tr>
        <w:trPr>
          <w:trHeight w:val="284"/>
        </w:trPr>
        <w:tc>
          <w:tcPr>
            <w:tcW w:w="5080" w:type="dxa"/>
            <w:vAlign w:val="bottom"/>
          </w:tcPr>
          <w:p>
            <w:pPr>
              <w:spacing w:after="0"/>
              <w:rPr>
                <w:sz w:val="20"/>
                <w:szCs w:val="20"/>
                <w:color w:val="auto"/>
              </w:rPr>
            </w:pPr>
            <w:r>
              <w:rPr>
                <w:rFonts w:ascii="Arial" w:cs="Arial" w:eastAsia="Arial" w:hAnsi="Arial"/>
                <w:sz w:val="16"/>
                <w:szCs w:val="16"/>
                <w:color w:val="auto"/>
              </w:rPr>
              <w:t>Non-GAAP net (loss) income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-4849495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-3442970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-3100070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-2053590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-1350645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-1007745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-664210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-1702435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-2748280</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-3794760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-4497705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October 31,</w:t>
            </w: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w w:val="96"/>
              </w:rPr>
              <w:t>Nine Months Ended October 31,</w:t>
            </w:r>
          </w:p>
        </w:tc>
      </w:tr>
      <w:tr>
        <w:trPr>
          <w:trHeight w:val="264"/>
        </w:trPr>
        <w:tc>
          <w:tcPr>
            <w:tcW w:w="1020" w:type="dxa"/>
            <w:vAlign w:val="bottom"/>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22"/>
                <w:szCs w:val="22"/>
                <w:color w:val="auto"/>
              </w:rPr>
            </w:pPr>
          </w:p>
        </w:tc>
        <w:tc>
          <w:tcPr>
            <w:tcW w:w="940" w:type="dxa"/>
            <w:vAlign w:val="bottom"/>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r>
      <w:tr>
        <w:trPr>
          <w:trHeight w:val="244"/>
        </w:trPr>
        <w:tc>
          <w:tcPr>
            <w:tcW w:w="15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21"/>
                <w:szCs w:val="21"/>
                <w:color w:val="auto"/>
              </w:rPr>
            </w:pPr>
          </w:p>
        </w:tc>
      </w:tr>
      <w:tr>
        <w:trPr>
          <w:trHeight w:val="249"/>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408.1</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508.8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1,293.2</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1,580.0</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3.5</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8.5</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10.4</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37.1</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422.0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1,625.6</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83 %</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1 %</w:t>
            </w:r>
          </w:p>
        </w:tc>
        <w:tc>
          <w:tcPr>
            <w:tcW w:w="480" w:type="dxa"/>
            <w:vAlign w:val="bottom"/>
          </w:tcPr>
          <w:p>
            <w:pPr>
              <w:spacing w:after="0"/>
              <w:rPr>
                <w:sz w:val="23"/>
                <w:szCs w:val="23"/>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2 %</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86 %</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(119.9)</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11.0</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56.6</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141.1</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10.4</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37.1</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6.8</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25.2</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(42.9)</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214.4</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102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11 %</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2 %</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1 %</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020" w:type="dxa"/>
            <w:vAlign w:val="bottom"/>
          </w:tcPr>
          <w:p>
            <w:pPr>
              <w:jc w:val="right"/>
              <w:ind w:right="80"/>
              <w:spacing w:after="0"/>
              <w:rPr>
                <w:sz w:val="20"/>
                <w:szCs w:val="20"/>
                <w:color w:val="auto"/>
              </w:rPr>
            </w:pPr>
            <w:r>
              <w:rPr>
                <w:rFonts w:ascii="Arial" w:cs="Arial" w:eastAsia="Arial" w:hAnsi="Arial"/>
                <w:sz w:val="16"/>
                <w:szCs w:val="16"/>
                <w:color w:val="auto"/>
              </w:rPr>
              <w:t>1 %</w:t>
            </w:r>
          </w:p>
        </w:tc>
        <w:tc>
          <w:tcPr>
            <w:tcW w:w="480" w:type="dxa"/>
            <w:vAlign w:val="bottom"/>
          </w:tcPr>
          <w:p>
            <w:pPr>
              <w:spacing w:after="0"/>
              <w:rPr>
                <w:sz w:val="23"/>
                <w:szCs w:val="23"/>
                <w:color w:val="auto"/>
              </w:rPr>
            </w:pP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(142.8)</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(408.7)</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(293.3)</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56.6</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141.1</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10.4</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37.1</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6.8</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25.2</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0"/>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(0.4)</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0"/>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2.4</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230.9</w:t>
            </w:r>
          </w:p>
        </w:tc>
      </w:tr>
      <w:tr>
        <w:trPr>
          <w:trHeight w:val="270"/>
        </w:trPr>
        <w:tc>
          <w:tcPr>
            <w:tcW w:w="1020" w:type="dxa"/>
            <w:vAlign w:val="bottom"/>
          </w:tcPr>
          <w:p>
            <w:pPr>
              <w:jc w:val="right"/>
              <w:ind w:right="240"/>
              <w:spacing w:after="0"/>
              <w:rPr>
                <w:sz w:val="20"/>
                <w:szCs w:val="20"/>
                <w:color w:val="auto"/>
              </w:rPr>
            </w:pPr>
            <w:r>
              <w:rPr>
                <w:rFonts w:ascii="Arial" w:cs="Arial" w:eastAsia="Arial" w:hAnsi="Arial"/>
                <w:sz w:val="16"/>
                <w:szCs w:val="16"/>
                <w:color w:val="auto"/>
              </w:rPr>
              <w:t>36.2</w:t>
            </w:r>
          </w:p>
        </w:tc>
        <w:tc>
          <w:tcPr>
            <w:tcW w:w="4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6.1</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jc w:val="right"/>
              <w:ind w:right="200"/>
              <w:spacing w:after="0"/>
              <w:rPr>
                <w:sz w:val="20"/>
                <w:szCs w:val="20"/>
                <w:color w:val="auto"/>
              </w:rPr>
            </w:pPr>
            <w:r>
              <w:rPr>
                <w:rFonts w:ascii="Arial" w:cs="Arial" w:eastAsia="Arial" w:hAnsi="Arial"/>
                <w:sz w:val="16"/>
                <w:szCs w:val="16"/>
                <w:color w:val="auto"/>
              </w:rPr>
              <w:t>(39.0)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146.2</w:t>
            </w:r>
          </w:p>
        </w:tc>
      </w:tr>
      <w:tr>
        <w:trPr>
          <w:trHeight w:val="33"/>
        </w:trPr>
        <w:tc>
          <w:tcPr>
            <w:tcW w:w="1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-25400</wp:posOffset>
            </wp:positionV>
            <wp:extent cx="8489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-8255</wp:posOffset>
            </wp:positionV>
            <wp:extent cx="8489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-196850</wp:posOffset>
            </wp:positionV>
            <wp:extent cx="8489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-1757680</wp:posOffset>
            </wp:positionV>
            <wp:extent cx="8489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-1929130</wp:posOffset>
            </wp:positionV>
            <wp:extent cx="8489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-2803525</wp:posOffset>
            </wp:positionV>
            <wp:extent cx="8489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-2974975</wp:posOffset>
            </wp:positionV>
            <wp:extent cx="8489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-3850005</wp:posOffset>
            </wp:positionV>
            <wp:extent cx="848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-4021455</wp:posOffset>
            </wp:positionV>
            <wp:extent cx="8489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-4552950</wp:posOffset>
            </wp:positionV>
            <wp:extent cx="8489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-4724400</wp:posOffset>
            </wp:positionV>
            <wp:extent cx="8489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-5410835</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-5590540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300"/>
            <w:col w:w="504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October 31,</w:t>
            </w:r>
          </w:p>
        </w:tc>
        <w:tc>
          <w:tcPr>
            <w:tcW w:w="200" w:type="dxa"/>
            <w:vAlign w:val="bottom"/>
          </w:tcPr>
          <w:p>
            <w:pPr>
              <w:spacing w:after="0"/>
              <w:rPr>
                <w:sz w:val="16"/>
                <w:szCs w:val="16"/>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Nine Months Ended October 31,</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8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items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8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0.15</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Non-GAAP diluted net (loss) income per share (1)</w:t>
            </w:r>
          </w:p>
        </w:tc>
        <w:tc>
          <w:tcPr>
            <w:tcW w:w="8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GAAP diluted shares used in per share calculation</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222.3</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20"/>
        </w:trPr>
        <w:tc>
          <w:tcPr>
            <w:tcW w:w="6060" w:type="dxa"/>
            <w:vAlign w:val="bottom"/>
          </w:tcPr>
          <w:p>
            <w:pPr>
              <w:ind w:left="360"/>
              <w:spacing w:after="0"/>
              <w:rPr>
                <w:sz w:val="20"/>
                <w:szCs w:val="20"/>
                <w:color w:val="auto"/>
              </w:rPr>
            </w:pPr>
            <w:r>
              <w:rPr>
                <w:rFonts w:ascii="Arial" w:cs="Arial" w:eastAsia="Arial" w:hAnsi="Arial"/>
                <w:sz w:val="16"/>
                <w:szCs w:val="16"/>
                <w:color w:val="auto"/>
                <w:w w:val="92"/>
              </w:rPr>
              <w:t>Shares included in non-GAAP net income per share, but excluded from GAAP net loss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520"/>
              <w:spacing w:after="0"/>
              <w:rPr>
                <w:sz w:val="20"/>
                <w:szCs w:val="20"/>
                <w:color w:val="auto"/>
              </w:rPr>
            </w:pPr>
            <w:r>
              <w:rPr>
                <w:rFonts w:ascii="Arial" w:cs="Arial" w:eastAsia="Arial" w:hAnsi="Arial"/>
                <w:sz w:val="16"/>
                <w:szCs w:val="16"/>
                <w:color w:val="auto"/>
              </w:rPr>
              <w:t>per share as they would have been anti-dilutive</w:t>
            </w:r>
          </w:p>
        </w:tc>
        <w:tc>
          <w:tcPr>
            <w:tcW w:w="8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222.3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6" w:right="239" w:bottom="1440" w:gutter="0" w:footer="0" w:header="0"/>
        </w:sectPr>
      </w:pPr>
    </w:p>
    <w:bookmarkStart w:id="44" w:name="page45"/>
    <w:bookmarkEnd w:id="44"/>
    <w:p>
      <w:pPr>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primary source of cash is from the sale and maintenance of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At October 31, 2016, our principal sources of liquidity were cash, cash equivalents and marketable securities totaling $2.4 billion and net accounts receivable of $259.8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2015, we issued $450.0 million aggregate principal amount of 3.125% notes due June 15, 2020 and $300.0 million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4.375% notes due June 15, 2025. In December 2012, we issued $400.0 million aggregate principal amount of 1.95% notes due December 15,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aggregate principal amount of 3.6% notes due December 15, 2022 (all four series of notes collectively, the “Notes”). As of December 1,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$1.5 billion aggregate principal amount of Notes outstanding. In addition, we have a line of credit facility that permits unsecured short-term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borrowings of up to $400.0 million with a May 2020 maturity date. As of December 1, 2016, we have no amounts outstanding under the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credit facility and the net proceeds from the offering of the Notes are available for general corporate purposes.</w:t>
      </w:r>
    </w:p>
    <w:p>
      <w:pPr>
        <w:spacing w:after="0" w:line="21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cash, cash equivalents and marketable securities decreased to $2.4 billion as of October 31, 2016 from $2.8 billion as of January 31, 2016 primarily as a result of cash used for repurchases of our common stock (net of stock issuance proceeds), and to a lesser extent acquisitions including business combinations and technology purchases, and capital expenditures partially offset by a reduction in accounts receivable. The cash proceeds from issuance of common stock vary based on our stock price, stock option exercise activity and the volume of employee purchases under the ESPP.</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primary source of net cash provided by operating activities of $154.1 million for the nine months ended October 31, 2016 was cash flow provided by changes in operating assets and liabilities of $260.5 million. The primary working capital source of cash was a decrease in accounts receivable. The primary working capital uses of cash were decreases in accrued compensation and other accrued liabilities. Our days sales outstanding in trade receivables was 48 at October 31, 2016 compared to 92 at January 31, 2016. The days sales outstanding decrease relates primarily to the decline in subscription billings, the discontinuation of the sales of most individual perpetual products as of February 1, 2016, and of new perpetual licenses of suites effective August 1, 2016, and changes to billings linearity within each comparative quarter.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00" w:right="259" w:bottom="1440" w:gutter="0" w:footer="0" w:header="0"/>
        </w:sectPr>
      </w:pPr>
    </w:p>
    <w:bookmarkStart w:id="45" w:name="page46"/>
    <w:bookmarkEnd w:id="45"/>
    <w:p>
      <w:pPr>
        <w:ind w:right="100" w:firstLine="405"/>
        <w:spacing w:after="0" w:line="259" w:lineRule="auto"/>
        <w:rPr>
          <w:sz w:val="20"/>
          <w:szCs w:val="20"/>
          <w:color w:val="auto"/>
        </w:rPr>
      </w:pPr>
      <w:r>
        <w:rPr>
          <w:rFonts w:ascii="Arial" w:cs="Arial" w:eastAsia="Arial" w:hAnsi="Arial"/>
          <w:sz w:val="18"/>
          <w:szCs w:val="18"/>
          <w:color w:val="auto"/>
        </w:rPr>
        <w:t>At October 31, 2016, our short-term investment portfolio had an estimated fair value of $532.4 million and a cost basis of $530.6 million. The portfolio fair value consisted of $225.7 million invested in corporate bonds, $141.1 million invested in certificates of deposit, $51.5 million invested in commercial paper, $22.2 million invested in asset backed securities, $15.8 million invested in agency bonds, $12.1 million invested in U.S. government securities, $11.3 million invested in sovereign debt, and $7.1 million invested in municipal bonds.</w:t>
      </w:r>
    </w:p>
    <w:p>
      <w:pPr>
        <w:spacing w:after="0" w:line="187"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At October 31, 2016, $45.6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October 31, 2016,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2016.</w:t>
      </w:r>
    </w:p>
    <w:p>
      <w:pPr>
        <w:spacing w:after="0" w:line="18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U.S. As of October 31, 2016, approximately 91% of our total cash, cash equivalents and marketable securities are located offshore and will fluctuate subject to business needs. Our intent is that amounts related to foreign earnings permanently reinvested outside the U.S. will remain outside the U.S. We expect to meet our U.S. liquidity needs through ongoing cash flows, accessible foreign cash for which U.S. federal income taxes have been provided, external borrowings, or a combination. Recent operating changes are expected to increase our access to foreign cash.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 September 2016, the Board of Directors authorized the repurchase of 30.0 million shares of the Company's common stock, in addition to the approximately 1.5 million shares remaining under previously announced share repurchase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140" w:firstLine="405"/>
        <w:spacing w:after="0" w:line="259" w:lineRule="auto"/>
        <w:rPr>
          <w:sz w:val="20"/>
          <w:szCs w:val="20"/>
          <w:color w:val="auto"/>
        </w:rPr>
      </w:pPr>
      <w:r>
        <w:rPr>
          <w:rFonts w:ascii="Arial" w:cs="Arial" w:eastAsia="Arial" w:hAnsi="Arial"/>
          <w:sz w:val="18"/>
          <w:szCs w:val="18"/>
          <w:color w:val="auto"/>
        </w:rPr>
        <w:t>During the three and nine months ended October 31, 2016, we repurchased 2.0 million and 6.8 million shares of our common stock, respectively. At October 31, 2016, 29.5 million shares remained available for repurchase under the repurchase program approved by the Board of Directors. These programs do not have a fixed expiration date. See Note 15, “Common Stock Repurchase Program,” in the Notes to Condensed Consolidated Financial Statements for further discussion.</w:t>
      </w:r>
    </w:p>
    <w:p>
      <w:pPr>
        <w:spacing w:after="0" w:line="18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w:t>
            </w: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61.02</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20"/>
                <w:szCs w:val="20"/>
                <w:color w:val="auto"/>
              </w:rPr>
            </w:pPr>
          </w:p>
        </w:tc>
        <w:tc>
          <w:tcPr>
            <w:tcW w:w="226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71.16</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68.74</w:t>
            </w:r>
          </w:p>
        </w:tc>
        <w:tc>
          <w:tcPr>
            <w:tcW w:w="100" w:type="dxa"/>
            <w:vAlign w:val="bottom"/>
          </w:tcPr>
          <w:p>
            <w:pPr>
              <w:spacing w:after="0"/>
              <w:rPr>
                <w:sz w:val="21"/>
                <w:szCs w:val="21"/>
                <w:color w:val="auto"/>
              </w:rPr>
            </w:pPr>
          </w:p>
        </w:tc>
        <w:tc>
          <w:tcPr>
            <w:tcW w:w="2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60" w:hanging="412"/>
        <w:spacing w:after="0" w:line="257"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September 2016 and June 2012 that each authorized the repurchase of 30.0 million shares. These plans do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2016, we did not have any significant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i w:val="1"/>
          <w:iCs w:val="1"/>
          <w:color w:val="auto"/>
        </w:rPr>
        <w:t>Annualized Recurring Revenue (ARR)—</w:t>
      </w:r>
      <w:r>
        <w:rPr>
          <w:rFonts w:ascii="Arial" w:cs="Arial" w:eastAsia="Arial" w:hAnsi="Arial"/>
          <w:sz w:val="17"/>
          <w:szCs w:val="17"/>
          <w:color w:val="auto"/>
        </w:rPr>
        <w:t>Represents the annualized value of our average monthly recurring revenue for the preceding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ARR" captures ARR relating to traditional maintenance attached to perpetual licenses. "New Model ARR" captures ARR relating to new model subscription offerings. Recurring revenue acquired with the acquisition of a business may cause variability in the comparison of this calculation. ARR is currently our key performance metric to assess the health and trajectory of our business. ARR should be viewed independently of revenue and deferred revenue as ARR is a performance metric and is not intended to be combined with any of these items.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Annualized Revenue Per Subscription (ARPS)—</w:t>
      </w:r>
      <w:r>
        <w:rPr>
          <w:rFonts w:ascii="Arial" w:cs="Arial" w:eastAsia="Arial" w:hAnsi="Arial"/>
          <w:sz w:val="18"/>
          <w:szCs w:val="18"/>
          <w:color w:val="auto"/>
        </w:rPr>
        <w:t>Is calculated by dividing our annualized recurring revenue by total subscriptions.</w:t>
      </w:r>
    </w:p>
    <w:p>
      <w:pPr>
        <w:spacing w:after="0" w:line="221"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jc w:val="both"/>
        <w:ind w:right="180" w:firstLine="405"/>
        <w:spacing w:after="0" w:line="282" w:lineRule="auto"/>
        <w:rPr>
          <w:sz w:val="20"/>
          <w:szCs w:val="20"/>
          <w:color w:val="auto"/>
        </w:rPr>
      </w:pPr>
      <w:r>
        <w:rPr>
          <w:rFonts w:ascii="Arial" w:cs="Arial" w:eastAsia="Arial" w:hAnsi="Arial"/>
          <w:sz w:val="18"/>
          <w:szCs w:val="18"/>
          <w:i w:val="1"/>
          <w:iCs w:val="1"/>
          <w:color w:val="auto"/>
        </w:rPr>
        <w:t>Flexible Enterprise Business Agreements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seats to a broad pool of Autodesk products over a defined contract term.</w:t>
      </w:r>
    </w:p>
    <w:p>
      <w:pPr>
        <w:spacing w:after="0" w:line="166"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i w:val="1"/>
          <w:iCs w:val="1"/>
          <w:color w:val="auto"/>
        </w:rPr>
        <w:t>Industry Collections</w:t>
      </w:r>
      <w:r>
        <w:rPr>
          <w:rFonts w:ascii="Arial" w:cs="Arial" w:eastAsia="Arial" w:hAnsi="Arial"/>
          <w:sz w:val="17"/>
          <w:szCs w:val="17"/>
          <w:color w:val="auto"/>
        </w:rPr>
        <w:t>—Autodesk industry collections are a combination of products that target a specific user objective and support a set of workflows</w:t>
      </w:r>
      <w:r>
        <w:rPr>
          <w:rFonts w:ascii="Arial" w:cs="Arial" w:eastAsia="Arial" w:hAnsi="Arial"/>
          <w:sz w:val="17"/>
          <w:szCs w:val="17"/>
          <w:i w:val="1"/>
          <w:iCs w:val="1"/>
          <w:color w:val="auto"/>
        </w:rPr>
        <w:t xml:space="preserve"> </w:t>
      </w:r>
      <w:r>
        <w:rPr>
          <w:rFonts w:ascii="Arial" w:cs="Arial" w:eastAsia="Arial" w:hAnsi="Arial"/>
          <w:sz w:val="17"/>
          <w:szCs w:val="17"/>
          <w:color w:val="auto"/>
        </w:rPr>
        <w:t>for that objective. Our Industry Collections consist of: Autodesk Architecture, Engineering and Construction Collection, Autodesk Product Collection, and Autodesk Media and Entertainment Collection. Autodesk introduced industry collections effective August 1, 2016 to replace its suites.</w:t>
      </w:r>
    </w:p>
    <w:p>
      <w:pPr>
        <w:spacing w:after="0" w:line="162" w:lineRule="exact"/>
        <w:rPr>
          <w:sz w:val="20"/>
          <w:szCs w:val="20"/>
          <w:color w:val="auto"/>
        </w:rPr>
      </w:pPr>
    </w:p>
    <w:p>
      <w:pPr>
        <w:ind w:right="2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51"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auto"/>
        </w:rPr>
        <w:t>Maintenance Plans</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New Model Subscription Offerings (New Model)</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(formerly titled Desktop subscription), cloud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and flexible enterprise business agreements.</w:t>
      </w:r>
    </w:p>
    <w:p>
      <w:pPr>
        <w:spacing w:after="0" w:line="162" w:lineRule="exact"/>
        <w:rPr>
          <w:sz w:val="20"/>
          <w:szCs w:val="20"/>
          <w:color w:val="auto"/>
        </w:rPr>
      </w:pPr>
    </w:p>
    <w:p>
      <w:pPr>
        <w:ind w:right="300" w:firstLine="405"/>
        <w:spacing w:after="0" w:line="303" w:lineRule="auto"/>
        <w:rPr>
          <w:sz w:val="20"/>
          <w:szCs w:val="20"/>
          <w:color w:val="auto"/>
        </w:rPr>
      </w:pPr>
      <w:r>
        <w:rPr>
          <w:rFonts w:ascii="Arial" w:cs="Arial" w:eastAsia="Arial" w:hAnsi="Arial"/>
          <w:sz w:val="16"/>
          <w:szCs w:val="16"/>
          <w:i w:val="1"/>
          <w:iCs w:val="1"/>
          <w:color w:val="auto"/>
        </w:rPr>
        <w:t>Recurring Revenue</w:t>
      </w:r>
      <w:r>
        <w:rPr>
          <w:rFonts w:ascii="Arial" w:cs="Arial" w:eastAsia="Arial" w:hAnsi="Arial"/>
          <w:sz w:val="16"/>
          <w:szCs w:val="16"/>
          <w:b w:val="1"/>
          <w:bCs w:val="1"/>
          <w:color w:val="auto"/>
        </w:rPr>
        <w:t>—</w:t>
      </w:r>
      <w:r>
        <w:rPr>
          <w:rFonts w:ascii="Arial" w:cs="Arial" w:eastAsia="Arial" w:hAnsi="Arial"/>
          <w:sz w:val="16"/>
          <w:szCs w:val="16"/>
          <w:color w:val="auto"/>
        </w:rPr>
        <w:t>Represents the revenue for the period from our traditional maintenance plans and revenue from our new model subscription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offerings, including portions of revenue allocated to license and other revenue for those offerings. It excludes subscription revenue related to consumer product offerings, select Creative Finishing product offerings, Autodesk Buzzsaw, Autodesk Constructware, education offerings, and third party products. Recurring revenue acquired with the acquisition of a business is captured and may cause variability in the comparison of this calculation.</w:t>
      </w:r>
    </w:p>
    <w:p>
      <w:pPr>
        <w:spacing w:after="0" w:line="151"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suites are a combination of products that target a specific user objective (product design, building design, etc.)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primary suites include: Autodesk Building Design Suite, Autodesk Entertainment Creation Suite, Autodesk Factory Design Suite, Autodesk Infrastructure Design Suite, Autodesk Plant Design Suite, and Autodesk Product Design Suite. Autodesk discontinued selling new perpetual licenses of suites while introducing industry collections effective August 1, 2016.</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perpetual software products;</w:t>
      </w:r>
    </w:p>
    <w:p>
      <w:pPr>
        <w:spacing w:after="0" w:line="50" w:lineRule="exact"/>
        <w:rPr>
          <w:sz w:val="20"/>
          <w:szCs w:val="20"/>
          <w:color w:val="auto"/>
        </w:rPr>
      </w:pPr>
    </w:p>
    <w:p>
      <w:pPr>
        <w:ind w:right="420" w:firstLine="8"/>
        <w:spacing w:after="0" w:line="26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revenue from our term-based product subscriptions and flexible enterprise business agreements; and (3) revenue from our cloud service offerings.</w:t>
      </w:r>
    </w:p>
    <w:p>
      <w:pPr>
        <w:spacing w:after="0" w:line="1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Total Subscriptions</w:t>
      </w:r>
      <w:r>
        <w:rPr>
          <w:rFonts w:ascii="Arial" w:cs="Arial" w:eastAsia="Arial" w:hAnsi="Arial"/>
          <w:sz w:val="18"/>
          <w:szCs w:val="18"/>
          <w:color w:val="auto"/>
        </w:rPr>
        <w:t>—Consists of subscriptions from our maintenance plans and new model subscription offerings that are active and paid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date. For certain cloud service offerings and flexible enterprise business agreements, subscriptions represent the monthly average activity reported within the last three months of the quarter end date. Total subscriptions do not include consumer product offerings, select Creative Finishing product offerings, Autodesk Buzzsaw, Autodesk Constructware, education offerings, and third party products. Subscriptions acquired with the acquisition of a business are captured once the data conforms to our subscription count methodology and when added, may cause variability in the comparison of this calculation.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2016 and January 31, 2016,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$522.6 million and $374.0 million at October 31, 2016 and January 31, 2016, respectively.</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October 31, 2016 indicated that a hypothetical 10% appreciation of the U.S. dollar from its value at October 31, 2016 and January 31, 2016 would increase the fair value of our foreign currency contracts by $43.0 million and $33.3 million, respectively. A hypothetical 10% depreciation of the dollar from its value at October 31, 2016 and January 31, 2016 would decrease the fair value of our foreign currency contracts by $24.6 million and $25.6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October 31, 2016, we had $1.9 billion of cash equivalents and marketable securities, including $532.4 million classified as short-term marketable securities and $455.0 million classified as long-term marketable securities. If interest rates were to move up or down by 50 or 100 basis points over a twelve month period, the market value change of our marketable securities would have an unrealized gain or loss of $4.7 million and $9.2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380" w:firstLine="8"/>
        <w:spacing w:after="0" w:line="270"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Quarterly Report on Form 10-Q. Based upon this evaluation, our Chief Executive Officer and Chief Financial Officer have concluded that our disclosure controls and procedures were not effective as of October 31, 2016 for the reasons described below.</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0" w:right="259" w:bottom="1440" w:gutter="0" w:footer="0" w:header="0"/>
        </w:sectPr>
      </w:pPr>
    </w:p>
    <w:bookmarkStart w:id="49" w:name="page50"/>
    <w:bookmarkEnd w:id="49"/>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We have performed additional analyses and other procedures to enable management to conclude that, notwithstanding the existence of the material weakness described above, the consolidated financial statements included in this Form 10-Q present fairly, in all material respects, our financial position, results of operations and cash flows for the periods presented in conformity with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with Respect to Material Weakness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continues with remediation activities, including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reorganizing the structure of our tax function to enhance the level of documentation, technical oversight and review.</w:t>
      </w:r>
    </w:p>
    <w:p>
      <w:pPr>
        <w:spacing w:after="0" w:line="225"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Management continues to enhance its controls to include refinements and improvements to certain controls over the accounting for income taxes. While progress has been made, management does not feel the enhanced controls have had a sufficient period of time to operate for management to conclude that they are operating effectively. Management believes the foregoing efforts will effectively remediate the material weakness.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 over financial reporting (as such term is defined in Rules 13a-15(f) and 15d-15(f) under the Exchange Act) during the quarter ended October 31, 2016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584" w:right="2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were characterized by mixed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65"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ind w:right="520" w:firstLine="405"/>
        <w:spacing w:after="0" w:line="312" w:lineRule="auto"/>
        <w:rPr>
          <w:sz w:val="20"/>
          <w:szCs w:val="20"/>
          <w:color w:val="auto"/>
        </w:rPr>
      </w:pPr>
      <w:r>
        <w:rPr>
          <w:rFonts w:ascii="Arial" w:cs="Arial" w:eastAsia="Arial" w:hAnsi="Arial"/>
          <w:sz w:val="16"/>
          <w:szCs w:val="16"/>
          <w:color w:val="auto"/>
        </w:rPr>
        <w:t>In addition, on June 23, 2016, voters in the United Kingdom approved an advisory referendum to withdraw from the European Union (commonly referred to as “Brexit”). The Brexit vote and the perceptions as to the impact of the withdrawal of the United Kingdom from the European Union may adversely affect business activity, political stability and economic conditions in the United Kingdom, the European Union and elsewhere.</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November 8, 2016, voters in the U.S. elected a new president. It is uncertain at this time how the results of the U.S. 2016 presidential and other elections could affect our business, including potentially through increased import tariffs and other influences on U.S. trade relations with other countries (e.g., Mexico and China). The imposition of tariffs or other trade barriers could increase our costs and reduce the competitiveness of our offerings in certain markets. In addition, other countries may change their own policies on business and foreign investment in companies in their respective countries.</w:t>
      </w:r>
    </w:p>
    <w:p>
      <w:pPr>
        <w:spacing w:after="0" w:line="154"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160" w:firstLine="378"/>
        <w:spacing w:after="0" w:line="290" w:lineRule="auto"/>
        <w:rPr>
          <w:sz w:val="20"/>
          <w:szCs w:val="20"/>
          <w:color w:val="auto"/>
        </w:rPr>
      </w:pPr>
      <w:r>
        <w:rPr>
          <w:rFonts w:ascii="Arial" w:cs="Arial" w:eastAsia="Arial" w:hAnsi="Arial"/>
          <w:sz w:val="16"/>
          <w:szCs w:val="16"/>
          <w:color w:val="auto"/>
        </w:rPr>
        <w:t>To address the industry transition from personal computer to cloud, mobile, and social computing, we have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6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spacing w:after="0" w:line="259" w:lineRule="auto"/>
        <w:rPr>
          <w:sz w:val="20"/>
          <w:szCs w:val="20"/>
          <w:color w:val="auto"/>
        </w:rPr>
      </w:pPr>
      <w:r>
        <w:rPr>
          <w:rFonts w:ascii="Arial" w:cs="Arial" w:eastAsia="Arial" w:hAnsi="Arial"/>
          <w:sz w:val="18"/>
          <w:szCs w:val="18"/>
          <w:color w:val="auto"/>
        </w:rPr>
        <w:t>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7"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desktop subscription (formerly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9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experience and resources superior to ours.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discontinuance of our perpetual licenses for most individual software products on February 1, 2016 and for perpetual suites on August 1, 2016 has and will continue to result in the loss of future up-front licensing revenue. This also will freeze the growth of our maintenance subscription revenue because there will be no further opportunities to attach maintenance licensing. We expect our maintenance subscription revenue to decline over time, but it may decline more quickly than anticipated due to low maintenance renewals. At the same time, our new model subscription revenue may not grow as rapidly as anticipated. Our new model subscription pricing allows customers to use our offerings at a lower initial cost when compared to the sale of a perpetual license. Although our new model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584" w:right="29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64% and 68% of our net revenue for the nine months ended October 31, 2016 and 2015,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We expect to meet our U.S. liquidity needs through ongoing cash flows, accessible foreign cash for which U.S. federal income taxes have been provided, external borrowings, or a combination.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6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80" w:hanging="88"/>
        <w:spacing w:after="0" w:line="563" w:lineRule="auto"/>
        <w:tabs>
          <w:tab w:leader="none" w:pos="6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seek to reduce expenses, streamline the organization, and reallocate resources to align more closely with the Company’s needs going forward. As a result of these actions, we have incurred and will incur additional costs in the short term that have the effect of reducing our operating margins. If we are unable to realize the expected outcomes from the restructuring efforts, our business and operating results may be harmed.</w:t>
      </w:r>
    </w:p>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Because we conduct a substantial portion of our business outside the U.S. and we make certain business and resource decisions based on assumptions about foreign currency, we face exposure to adverse movements in foreign currency exchange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color w:val="auto"/>
        </w:rPr>
        <w:t>rates. These exposures may change over time as business practices evolve and economic conditions change. For example, the June 23, 2016 announcement of Brexit caused significant volatility in global stock markets and currency exchange rate 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6" w:name="page57"/>
    <w:bookmarkEnd w:id="56"/>
    <w:p>
      <w:pPr>
        <w:ind w:right="120"/>
        <w:spacing w:after="0" w:line="259" w:lineRule="auto"/>
        <w:rPr>
          <w:sz w:val="20"/>
          <w:szCs w:val="20"/>
          <w:color w:val="auto"/>
        </w:rPr>
      </w:pPr>
      <w:r>
        <w:rPr>
          <w:rFonts w:ascii="Arial" w:cs="Arial" w:eastAsia="Arial" w:hAnsi="Arial"/>
          <w:sz w:val="18"/>
          <w:szCs w:val="18"/>
          <w:color w:val="auto"/>
        </w:rPr>
        <w:t>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87"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193" w:lineRule="exact"/>
        <w:rPr>
          <w:sz w:val="20"/>
          <w:szCs w:val="20"/>
          <w:color w:val="auto"/>
        </w:rPr>
      </w:pPr>
    </w:p>
    <w:p>
      <w:pPr>
        <w:ind w:right="200" w:firstLine="392"/>
        <w:spacing w:after="0" w:line="297" w:lineRule="auto"/>
        <w:rPr>
          <w:sz w:val="20"/>
          <w:szCs w:val="20"/>
          <w:color w:val="auto"/>
        </w:rPr>
      </w:pPr>
      <w:r>
        <w:rPr>
          <w:rFonts w:ascii="Arial" w:cs="Arial" w:eastAsia="Arial" w:hAnsi="Arial"/>
          <w:sz w:val="16"/>
          <w:szCs w:val="16"/>
          <w:color w:val="auto"/>
        </w:rPr>
        <w:t>In addition, in October 2015 the European Court of Justice issued a ruling immediately invalidating the U.S.-EU Safe Harbor Framework, which facilitated personal data transfers to the U.S. in compliance with applicable EU data protection laws. In February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nine months ended October 31,</w:t>
      </w:r>
    </w:p>
    <w:p>
      <w:pPr>
        <w:spacing w:after="0" w:line="4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2016 and 2015, approximately 74% and 80%,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Corporation and its global affiliates (“Tech Data”). Tech Data accounted for 30% of our total net revenue for the nine months ended October 31, 2016, as compared to 25% of our total net revenue for the nine months ended October 31, 2015.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5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renewal rates would negatively impact our future revenue and financial results.</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The discontinuance of our perpetual licenses for most individual software products on February 1, 2016 and for perpetual suites on August 1, 2016 will result in the loss of future maintenance attach opportunities and freeze maintenance growth. We expect customers' renewal rates will decline or fluctuate over time as a result of a number of factors, including the overall global economy, the health of their businesses, and the perceived value of the maintenance program. If our customers do not renew their maintenance contract for our products, our maintenance revenue will decline and our financial results will suffer.</w:t>
      </w:r>
    </w:p>
    <w:p>
      <w:pPr>
        <w:spacing w:after="0" w:line="19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328" w:hanging="328"/>
        <w:spacing w:after="0"/>
        <w:tabs>
          <w:tab w:leader="none" w:pos="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jc w:val="center"/>
        <w:ind w:left="5288" w:right="220" w:hanging="5288"/>
        <w:spacing w:after="0" w:line="559"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or regulations, tax arrangements with foreign governments or accounting rules, such as increased use of fair value measures; 59</w:t>
      </w:r>
    </w:p>
    <w:p>
      <w:pPr>
        <w:sectPr>
          <w:pgSz w:w="11900" w:h="16838" w:orient="portrait"/>
          <w:cols w:equalWidth="0" w:num="1">
            <w:col w:w="10948"/>
          </w:cols>
          <w:pgMar w:left="572" w:top="584" w:right="379" w:bottom="1440" w:gutter="0" w:footer="0" w:header="0"/>
        </w:sectPr>
      </w:pPr>
    </w:p>
    <w:bookmarkStart w:id="59" w:name="page60"/>
    <w:bookmarkEnd w:id="59"/>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For example, we face risks relating to our fiscal 2017 integration of our Delcam subsidiaries, which previously operated autonomously.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800" w:right="339" w:bottom="1440" w:gutter="0" w:footer="0" w:header="0"/>
        </w:sectPr>
      </w:pPr>
    </w:p>
    <w:bookmarkStart w:id="60" w:name="page61"/>
    <w:bookmarkEnd w:id="60"/>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 based software products, if these products are not successful, our revenue will be adversely affected.</w:t>
      </w:r>
    </w:p>
    <w:p>
      <w:pPr>
        <w:spacing w:after="0" w:line="17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and products based on AutoCAD, which included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2016, combined revenue from our AutoCAD and AutoCAD LT products, not including suites having AutoCAD or AutoCAD LT as a component, represented 15% of total net revenue compared to 24% during the nine months ended October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1" w:name="page62"/>
    <w:bookmarkEnd w:id="61"/>
    <w:p>
      <w:pPr>
        <w:ind w:right="32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7"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assessed </w:t>
      </w:r>
      <w:r>
        <w:rPr>
          <w:rFonts w:ascii="Arial" w:cs="Arial" w:eastAsia="Arial" w:hAnsi="Arial"/>
          <w:sz w:val="19"/>
          <w:szCs w:val="19"/>
          <w:color w:val="auto"/>
        </w:rPr>
        <w:t>an</w:t>
      </w:r>
      <w:r>
        <w:rPr>
          <w:rFonts w:ascii="Arial" w:cs="Arial" w:eastAsia="Arial" w:hAnsi="Arial"/>
          <w:sz w:val="18"/>
          <w:szCs w:val="18"/>
          <w:color w:val="auto"/>
        </w:rPr>
        <w:t>d reorganized the structure of our tax function to enhance the level of documentation, technical oversight and review.</w:t>
      </w:r>
    </w:p>
    <w:p>
      <w:pPr>
        <w:spacing w:after="0" w:line="23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Condensed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 including the impact of the end of upgrades and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584" w:right="29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perpetual licenses;</w:t>
      </w:r>
    </w:p>
    <w:p>
      <w:pPr>
        <w:spacing w:after="0" w:line="23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loss on any of our investments may cause us to record an other-than-temporary impairment charge. The effect of this charge could impact our overall net income (loss) and earnings (loss) per share. In any of these scenarios, our liquidity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11" w:right="239" w:bottom="1440" w:gutter="0" w:footer="0" w:header="0"/>
        </w:sectPr>
      </w:pPr>
    </w:p>
    <w:bookmarkStart w:id="63" w:name="page64"/>
    <w:bookmarkEnd w:id="63"/>
    <w:p>
      <w:pPr>
        <w:ind w:right="180"/>
        <w:spacing w:after="0" w:line="277" w:lineRule="auto"/>
        <w:rPr>
          <w:sz w:val="20"/>
          <w:szCs w:val="20"/>
          <w:color w:val="auto"/>
        </w:rPr>
      </w:pPr>
      <w:r>
        <w:rPr>
          <w:rFonts w:ascii="Arial" w:cs="Arial" w:eastAsia="Arial" w:hAnsi="Arial"/>
          <w:sz w:val="18"/>
          <w:szCs w:val="18"/>
          <w:color w:val="auto"/>
        </w:rPr>
        <w:t>negatively impacted, which in turn may prohibit us from making investments in our business, taking advantage of opportunities and potentially meeting our financial obligations as they come due.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4" w:right="259" w:bottom="1440" w:gutter="0" w:footer="0" w:header="0"/>
        </w:sectPr>
      </w:pPr>
    </w:p>
    <w:bookmarkStart w:id="65" w:name="page66"/>
    <w:bookmarkEnd w:id="65"/>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70"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not more likely than not to be realized and we determined during our second quarter of fiscal 2016 that our U.S. deferred tax assets were no longer more likely than not to be realized.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60" w:firstLine="392"/>
        <w:spacing w:after="0" w:line="276"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3"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2016,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5620" w:right="3140" w:hanging="5288"/>
        <w:spacing w:after="0" w:line="810"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 66</w:t>
      </w:r>
    </w:p>
    <w:p>
      <w:pPr>
        <w:sectPr>
          <w:pgSz w:w="11900" w:h="16838" w:orient="portrait"/>
          <w:cols w:equalWidth="0" w:num="1">
            <w:col w:w="11420"/>
          </w:cols>
          <w:pgMar w:left="240" w:top="584" w:right="239" w:bottom="1440" w:gutter="0" w:footer="0" w:header="0"/>
        </w:sectPr>
      </w:pPr>
    </w:p>
    <w:bookmarkStart w:id="66" w:name="page67"/>
    <w:bookmarkEnd w:id="66"/>
    <w:p>
      <w:pPr>
        <w:ind w:left="660" w:right="2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2016.</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618"/>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080" w:type="dxa"/>
            <w:vAlign w:val="bottom"/>
          </w:tcPr>
          <w:p>
            <w:pPr>
              <w:ind w:left="240"/>
              <w:spacing w:after="0"/>
              <w:rPr>
                <w:sz w:val="20"/>
                <w:szCs w:val="20"/>
                <w:color w:val="auto"/>
              </w:rPr>
            </w:pPr>
            <w:r>
              <w:rPr>
                <w:rFonts w:ascii="Arial" w:cs="Arial" w:eastAsia="Arial" w:hAnsi="Arial"/>
                <w:sz w:val="16"/>
                <w:szCs w:val="16"/>
                <w:color w:val="auto"/>
                <w:w w:val="96"/>
              </w:rPr>
              <w:t>Autodesk, Inc. 1998 Employee Qualified Stock Purchase Plan, as amended and restated (</w:t>
            </w:r>
            <w:r>
              <w:rPr>
                <w:rFonts w:ascii="Arial" w:cs="Arial" w:eastAsia="Arial" w:hAnsi="Arial"/>
                <w:sz w:val="16"/>
                <w:szCs w:val="16"/>
                <w:i w:val="1"/>
                <w:iCs w:val="1"/>
                <w:color w:val="auto"/>
                <w:w w:val="96"/>
              </w:rPr>
              <w:t>incorporated by reference to Exhibit 99.1 filed with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Pr>
          <w:p>
            <w:pPr>
              <w:ind w:left="240"/>
              <w:spacing w:after="0"/>
              <w:rPr>
                <w:sz w:val="20"/>
                <w:szCs w:val="20"/>
                <w:color w:val="auto"/>
              </w:rPr>
            </w:pPr>
            <w:r>
              <w:rPr>
                <w:rFonts w:ascii="Arial" w:cs="Arial" w:eastAsia="Arial" w:hAnsi="Arial"/>
                <w:sz w:val="16"/>
                <w:szCs w:val="16"/>
                <w:i w:val="1"/>
                <w:iCs w:val="1"/>
                <w:color w:val="auto"/>
              </w:rPr>
              <w:t>Registrant’s Registration Statement on Form S-8 filed on September 19, 2016</w:t>
            </w:r>
            <w:r>
              <w:rPr>
                <w:rFonts w:ascii="Arial" w:cs="Arial" w:eastAsia="Arial" w:hAnsi="Arial"/>
                <w:sz w:val="16"/>
                <w:szCs w:val="16"/>
                <w:color w:val="auto"/>
              </w:rPr>
              <w:t>)</w:t>
            </w:r>
          </w:p>
        </w:tc>
      </w:tr>
      <w:tr>
        <w:trPr>
          <w:trHeight w:val="415"/>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080" w:type="dxa"/>
            <w:vAlign w:val="bottom"/>
          </w:tcPr>
          <w:p>
            <w:pPr>
              <w:ind w:left="240"/>
              <w:spacing w:after="0"/>
              <w:rPr>
                <w:sz w:val="20"/>
                <w:szCs w:val="20"/>
                <w:color w:val="auto"/>
              </w:rPr>
            </w:pPr>
            <w:r>
              <w:rPr>
                <w:rFonts w:ascii="Arial" w:cs="Arial" w:eastAsia="Arial" w:hAnsi="Arial"/>
                <w:sz w:val="16"/>
                <w:szCs w:val="16"/>
                <w:color w:val="auto"/>
                <w:w w:val="91"/>
              </w:rPr>
              <w:t>Sub-Plan of the Autodesk, Inc. 1998 Employee Qualified Stock Purchase Plan, as amended and restated (</w:t>
            </w:r>
            <w:r>
              <w:rPr>
                <w:rFonts w:ascii="Arial" w:cs="Arial" w:eastAsia="Arial" w:hAnsi="Arial"/>
                <w:sz w:val="16"/>
                <w:szCs w:val="16"/>
                <w:i w:val="1"/>
                <w:iCs w:val="1"/>
                <w:color w:val="auto"/>
                <w:w w:val="91"/>
              </w:rPr>
              <w:t>incorporated by reference to Exhibit 99.2 filed</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Pr>
          <w:p>
            <w:pPr>
              <w:ind w:left="240"/>
              <w:spacing w:after="0"/>
              <w:rPr>
                <w:sz w:val="20"/>
                <w:szCs w:val="20"/>
                <w:color w:val="auto"/>
              </w:rPr>
            </w:pPr>
            <w:r>
              <w:rPr>
                <w:rFonts w:ascii="Arial" w:cs="Arial" w:eastAsia="Arial" w:hAnsi="Arial"/>
                <w:sz w:val="16"/>
                <w:szCs w:val="16"/>
                <w:i w:val="1"/>
                <w:iCs w:val="1"/>
                <w:color w:val="auto"/>
              </w:rPr>
              <w:t>with the Registrant’s Registration Statement on Form S-8 filed on September 19, 2016</w:t>
            </w:r>
            <w:r>
              <w:rPr>
                <w:rFonts w:ascii="Arial" w:cs="Arial" w:eastAsia="Arial" w:hAnsi="Arial"/>
                <w:sz w:val="16"/>
                <w:szCs w:val="16"/>
                <w:color w:val="auto"/>
              </w:rPr>
              <w:t>)</w:t>
            </w:r>
          </w:p>
        </w:tc>
      </w:tr>
      <w:tr>
        <w:trPr>
          <w:trHeight w:val="419"/>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080" w:type="dxa"/>
            <w:vAlign w:val="bottom"/>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080" w:type="dxa"/>
            <w:vAlign w:val="bottom"/>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080" w:type="dxa"/>
            <w:vAlign w:val="bottom"/>
          </w:tcPr>
          <w:p>
            <w:pPr>
              <w:ind w:left="240"/>
              <w:spacing w:after="0"/>
              <w:rPr>
                <w:sz w:val="20"/>
                <w:szCs w:val="20"/>
                <w:color w:val="auto"/>
              </w:rPr>
            </w:pPr>
            <w:r>
              <w:rPr>
                <w:rFonts w:ascii="Arial" w:cs="Arial" w:eastAsia="Arial" w:hAnsi="Arial"/>
                <w:sz w:val="16"/>
                <w:szCs w:val="16"/>
                <w:color w:val="auto"/>
                <w:w w:val="95"/>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08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jc w:val="both"/>
        <w:ind w:left="720" w:hanging="685"/>
        <w:spacing w:after="0" w:line="335" w:lineRule="auto"/>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68</w:t>
      </w:r>
    </w:p>
    <w:p>
      <w:pPr>
        <w:sectPr>
          <w:pgSz w:w="11900" w:h="16838" w:orient="portrait"/>
          <w:cols w:equalWidth="0" w:num="1">
            <w:col w:w="11280"/>
          </w:cols>
          <w:pgMar w:left="240" w:top="580" w:right="379" w:bottom="1440" w:gutter="0" w:footer="0" w:header="0"/>
        </w:sectPr>
      </w:pPr>
    </w:p>
    <w:bookmarkStart w:id="68" w:name="page69"/>
    <w:bookmarkEnd w:id="68"/>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20"/>
          </w:cols>
          <w:pgMar w:left="240" w:top="580" w:right="9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2016</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2019-12-29T08:37:13Z</dcterms:created>
  <dcterms:modified xsi:type="dcterms:W3CDTF">2019-12-29T08:37:13Z</dcterms:modified>
</cp:coreProperties>
</file>