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April 30, 2013</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May 31, 2013, registrant had outstanding approximately 224.8 million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80" w:type="dxa"/>
            <w:vAlign w:val="bottom"/>
            <w:tcBorders>
              <w:bottom w:val="single" w:sz="8" w:color="0000FF"/>
            </w:tcBorders>
            <w:gridSpan w:val="7"/>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90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60" w:type="dxa"/>
            <w:vAlign w:val="bottom"/>
            <w:gridSpan w:val="22"/>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Three Months Ended April 30, 2013 and 2012</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7960" w:type="dxa"/>
            <w:vAlign w:val="bottom"/>
            <w:tcBorders>
              <w:bottom w:val="single" w:sz="8" w:color="0000FF"/>
            </w:tcBorders>
            <w:gridSpan w:val="21"/>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Comprehensive Income Three Months Ended April 30, 2013 and 2012</w:t>
              </w:r>
            </w:hyperlink>
          </w:p>
        </w:tc>
        <w:tc>
          <w:tcPr>
            <w:tcW w:w="9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56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Balance Sheets April 30, 2013 and January 31, 2013</w:t>
              </w:r>
            </w:hyperlink>
          </w:p>
        </w:tc>
        <w:tc>
          <w:tcPr>
            <w:tcW w:w="3240" w:type="dxa"/>
            <w:vAlign w:val="bottom"/>
            <w:gridSpan w:val="7"/>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Three Months Ended April 30, 2013 and 2012</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1040" w:type="dxa"/>
            <w:vAlign w:val="bottom"/>
          </w:tcPr>
          <w:p>
            <w:pPr>
              <w:spacing w:after="0"/>
              <w:rPr>
                <w:sz w:val="24"/>
                <w:szCs w:val="24"/>
                <w:color w:val="auto"/>
              </w:rPr>
            </w:pPr>
          </w:p>
        </w:tc>
        <w:tc>
          <w:tcPr>
            <w:tcW w:w="7080" w:type="dxa"/>
            <w:vAlign w:val="bottom"/>
            <w:tcBorders>
              <w:top w:val="single" w:sz="8" w:color="0000FF"/>
            </w:tcBorders>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7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2"/>
          </w:tcPr>
          <w:p>
            <w:pPr>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8"/>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Quantitative and Qualitative Disclosures About Market Risk</w:t>
              </w:r>
            </w:hyperlink>
          </w:p>
        </w:tc>
        <w:tc>
          <w:tcPr>
            <w:tcW w:w="204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4"/>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Controls and Procedures</w:t>
              </w:r>
            </w:hyperlink>
          </w:p>
        </w:tc>
        <w:tc>
          <w:tcPr>
            <w:tcW w:w="420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12"/>
          </w:tcPr>
          <w:p>
            <w:pPr>
              <w:jc w:val="center"/>
              <w:ind w:right="2900"/>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4"/>
          </w:tcPr>
          <w:p>
            <w:pPr>
              <w:spacing w:after="0"/>
              <w:rPr>
                <w:rFonts w:ascii="Arial" w:cs="Arial" w:eastAsia="Arial" w:hAnsi="Arial"/>
                <w:sz w:val="18"/>
                <w:szCs w:val="18"/>
                <w:b w:val="1"/>
                <w:bCs w:val="1"/>
                <w:color w:val="0000FF"/>
                <w:w w:val="86"/>
              </w:rPr>
            </w:pPr>
            <w:hyperlink w:anchor="page43">
              <w:r>
                <w:rPr>
                  <w:rFonts w:ascii="Arial" w:cs="Arial" w:eastAsia="Arial" w:hAnsi="Arial"/>
                  <w:sz w:val="18"/>
                  <w:szCs w:val="18"/>
                  <w:b w:val="1"/>
                  <w:bCs w:val="1"/>
                  <w:color w:val="0000FF"/>
                  <w:w w:val="86"/>
                </w:rPr>
                <w:t>Legal Proceedings</w:t>
              </w:r>
            </w:hyperlink>
          </w:p>
        </w:tc>
        <w:tc>
          <w:tcPr>
            <w:tcW w:w="1640" w:type="dxa"/>
            <w:vAlign w:val="bottom"/>
            <w:gridSpan w:val="7"/>
          </w:tcPr>
          <w:p>
            <w:pPr>
              <w:spacing w:after="0"/>
              <w:rPr>
                <w:sz w:val="24"/>
                <w:szCs w:val="24"/>
                <w:color w:val="auto"/>
              </w:rPr>
            </w:pPr>
          </w:p>
        </w:tc>
        <w:tc>
          <w:tcPr>
            <w:tcW w:w="2760" w:type="dxa"/>
            <w:vAlign w:val="bottom"/>
            <w:tcBorders>
              <w:top w:val="single" w:sz="8" w:color="0000FF"/>
            </w:tcBorders>
            <w:gridSpan w:val="5"/>
          </w:tcPr>
          <w:p>
            <w:pPr>
              <w:spacing w:after="0"/>
              <w:rPr>
                <w:sz w:val="24"/>
                <w:szCs w:val="24"/>
                <w:color w:val="auto"/>
              </w:rPr>
            </w:pPr>
          </w:p>
        </w:tc>
        <w:tc>
          <w:tcPr>
            <w:tcW w:w="30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4"/>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Risk Factors</w:t>
              </w:r>
            </w:hyperlink>
          </w:p>
        </w:tc>
        <w:tc>
          <w:tcPr>
            <w:tcW w:w="746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2"/>
          </w:tcPr>
          <w:p>
            <w:pPr>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9"/>
          </w:tcPr>
          <w:p>
            <w:pPr>
              <w:spacing w:after="0"/>
              <w:rPr>
                <w:rFonts w:ascii="Arial" w:cs="Arial" w:eastAsia="Arial" w:hAnsi="Arial"/>
                <w:sz w:val="18"/>
                <w:szCs w:val="18"/>
                <w:b w:val="1"/>
                <w:bCs w:val="1"/>
                <w:color w:val="0000FF"/>
                <w:w w:val="88"/>
              </w:rPr>
            </w:pPr>
            <w:hyperlink w:anchor="page56">
              <w:r>
                <w:rPr>
                  <w:rFonts w:ascii="Arial" w:cs="Arial" w:eastAsia="Arial" w:hAnsi="Arial"/>
                  <w:sz w:val="18"/>
                  <w:szCs w:val="18"/>
                  <w:b w:val="1"/>
                  <w:bCs w:val="1"/>
                  <w:color w:val="0000FF"/>
                  <w:w w:val="88"/>
                </w:rPr>
                <w:t>Defaults Upon Senior Securities</w:t>
              </w:r>
            </w:hyperlink>
          </w:p>
        </w:tc>
        <w:tc>
          <w:tcPr>
            <w:tcW w:w="2120" w:type="dxa"/>
            <w:vAlign w:val="bottom"/>
            <w:gridSpan w:val="4"/>
          </w:tcPr>
          <w:p>
            <w:pPr>
              <w:spacing w:after="0"/>
              <w:rPr>
                <w:sz w:val="24"/>
                <w:szCs w:val="24"/>
                <w:color w:val="auto"/>
              </w:rPr>
            </w:pPr>
          </w:p>
        </w:tc>
        <w:tc>
          <w:tcPr>
            <w:tcW w:w="430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7"/>
          </w:tcPr>
          <w:p>
            <w:pPr>
              <w:spacing w:after="0"/>
              <w:rPr>
                <w:rFonts w:ascii="Arial" w:cs="Arial" w:eastAsia="Arial" w:hAnsi="Arial"/>
                <w:sz w:val="18"/>
                <w:szCs w:val="18"/>
                <w:b w:val="1"/>
                <w:bCs w:val="1"/>
                <w:color w:val="0000FF"/>
                <w:w w:val="87"/>
              </w:rPr>
            </w:pPr>
            <w:hyperlink w:anchor="page56">
              <w:r>
                <w:rPr>
                  <w:rFonts w:ascii="Arial" w:cs="Arial" w:eastAsia="Arial" w:hAnsi="Arial"/>
                  <w:sz w:val="18"/>
                  <w:szCs w:val="18"/>
                  <w:b w:val="1"/>
                  <w:bCs w:val="1"/>
                  <w:color w:val="0000FF"/>
                  <w:w w:val="87"/>
                </w:rPr>
                <w:t>Mine Safety Disclosures</w:t>
              </w:r>
            </w:hyperlink>
          </w:p>
        </w:tc>
        <w:tc>
          <w:tcPr>
            <w:tcW w:w="600" w:type="dxa"/>
            <w:vAlign w:val="bottom"/>
            <w:gridSpan w:val="2"/>
          </w:tcPr>
          <w:p>
            <w:pPr>
              <w:spacing w:after="0"/>
              <w:rPr>
                <w:sz w:val="24"/>
                <w:szCs w:val="24"/>
                <w:color w:val="auto"/>
              </w:rPr>
            </w:pPr>
          </w:p>
        </w:tc>
        <w:tc>
          <w:tcPr>
            <w:tcW w:w="642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02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5"/>
          </w:tcPr>
          <w:p>
            <w:pPr>
              <w:spacing w:after="0"/>
              <w:rPr>
                <w:rFonts w:ascii="Arial" w:cs="Arial" w:eastAsia="Arial" w:hAnsi="Arial"/>
                <w:sz w:val="18"/>
                <w:szCs w:val="18"/>
                <w:b w:val="1"/>
                <w:bCs w:val="1"/>
                <w:color w:val="0000FF"/>
                <w:w w:val="93"/>
              </w:rPr>
            </w:pPr>
            <w:hyperlink w:anchor="page56">
              <w:r>
                <w:rPr>
                  <w:rFonts w:ascii="Arial" w:cs="Arial" w:eastAsia="Arial" w:hAnsi="Arial"/>
                  <w:sz w:val="18"/>
                  <w:szCs w:val="18"/>
                  <w:b w:val="1"/>
                  <w:bCs w:val="1"/>
                  <w:color w:val="0000FF"/>
                  <w:w w:val="93"/>
                </w:rPr>
                <w:t>Other Information</w:t>
              </w:r>
            </w:hyperlink>
          </w:p>
        </w:tc>
        <w:tc>
          <w:tcPr>
            <w:tcW w:w="400" w:type="dxa"/>
            <w:vAlign w:val="bottom"/>
            <w:gridSpan w:val="2"/>
          </w:tcPr>
          <w:p>
            <w:pPr>
              <w:spacing w:after="0"/>
              <w:rPr>
                <w:sz w:val="24"/>
                <w:szCs w:val="24"/>
                <w:color w:val="auto"/>
              </w:rPr>
            </w:pPr>
          </w:p>
        </w:tc>
        <w:tc>
          <w:tcPr>
            <w:tcW w:w="702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42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56">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42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4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57">
              <w:r>
                <w:rPr>
                  <w:rFonts w:ascii="Arial" w:cs="Arial" w:eastAsia="Arial" w:hAnsi="Arial"/>
                  <w:sz w:val="18"/>
                  <w:szCs w:val="18"/>
                  <w:b w:val="1"/>
                  <w:bCs w:val="1"/>
                  <w:color w:val="0000FF"/>
                  <w:w w:val="85"/>
                </w:rPr>
                <w:t>Signatures</w:t>
              </w:r>
            </w:hyperlink>
          </w:p>
        </w:tc>
        <w:tc>
          <w:tcPr>
            <w:tcW w:w="804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23495</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License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Subscription</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Cost of license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subscription revenue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Marketing and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and other (expense) income,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352" w:lineRule="exact"/>
        <w:rPr>
          <w:sz w:val="20"/>
          <w:szCs w:val="20"/>
          <w:color w:val="auto"/>
        </w:rPr>
      </w:pPr>
    </w:p>
    <w:p>
      <w:pPr>
        <w:spacing w:after="0"/>
        <w:tabs>
          <w:tab w:leader="none" w:pos="520" w:val="left"/>
          <w:tab w:leader="none" w:pos="1140" w:val="left"/>
          <w:tab w:leader="none" w:pos="1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323.5</w:t>
        <w:tab/>
        <w:t>$</w:t>
      </w:r>
      <w:r>
        <w:rPr>
          <w:sz w:val="20"/>
          <w:szCs w:val="20"/>
          <w:color w:val="auto"/>
        </w:rPr>
        <w:tab/>
      </w:r>
      <w:r>
        <w:rPr>
          <w:rFonts w:ascii="Arial" w:cs="Arial" w:eastAsia="Arial" w:hAnsi="Arial"/>
          <w:sz w:val="15"/>
          <w:szCs w:val="15"/>
          <w:color w:val="auto"/>
        </w:rPr>
        <w:t>355.2</w:t>
      </w:r>
    </w:p>
    <w:p>
      <w:pPr>
        <w:spacing w:after="0" w:line="8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246.9</w:t>
      </w:r>
      <w:r>
        <w:rPr>
          <w:sz w:val="20"/>
          <w:szCs w:val="20"/>
          <w:color w:val="auto"/>
        </w:rPr>
        <w:tab/>
      </w:r>
      <w:r>
        <w:rPr>
          <w:rFonts w:ascii="Arial" w:cs="Arial" w:eastAsia="Arial" w:hAnsi="Arial"/>
          <w:sz w:val="15"/>
          <w:szCs w:val="15"/>
          <w:color w:val="auto"/>
        </w:rPr>
        <w:t>233.4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570.4</w:t>
      </w:r>
      <w:r>
        <w:rPr>
          <w:sz w:val="20"/>
          <w:szCs w:val="20"/>
          <w:color w:val="auto"/>
        </w:rPr>
        <w:tab/>
      </w:r>
      <w:r>
        <w:rPr>
          <w:rFonts w:ascii="Arial" w:cs="Arial" w:eastAsia="Arial" w:hAnsi="Arial"/>
          <w:sz w:val="15"/>
          <w:szCs w:val="15"/>
          <w:color w:val="auto"/>
        </w:rPr>
        <w:t>588.6</w:t>
      </w:r>
    </w:p>
    <w:p>
      <w:pPr>
        <w:spacing w:after="0" w:line="370"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44.4</w:t>
      </w:r>
      <w:r>
        <w:rPr>
          <w:sz w:val="20"/>
          <w:szCs w:val="20"/>
          <w:color w:val="auto"/>
        </w:rPr>
        <w:tab/>
      </w:r>
      <w:r>
        <w:rPr>
          <w:rFonts w:ascii="Arial" w:cs="Arial" w:eastAsia="Arial" w:hAnsi="Arial"/>
          <w:sz w:val="15"/>
          <w:szCs w:val="15"/>
          <w:color w:val="auto"/>
        </w:rPr>
        <w:t>40.8</w:t>
      </w:r>
    </w:p>
    <w:p>
      <w:pPr>
        <w:spacing w:after="0" w:line="86"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67.5</w:t>
      </w:r>
      <w:r>
        <w:rPr>
          <w:sz w:val="20"/>
          <w:szCs w:val="20"/>
          <w:color w:val="auto"/>
        </w:rPr>
        <w:tab/>
      </w:r>
      <w:r>
        <w:rPr>
          <w:rFonts w:ascii="Arial" w:cs="Arial" w:eastAsia="Arial" w:hAnsi="Arial"/>
          <w:sz w:val="15"/>
          <w:szCs w:val="15"/>
          <w:color w:val="auto"/>
        </w:rPr>
        <w:t>58.8</w:t>
      </w:r>
    </w:p>
    <w:p>
      <w:pPr>
        <w:spacing w:after="0" w:line="8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502.9</w:t>
      </w:r>
      <w:r>
        <w:rPr>
          <w:sz w:val="20"/>
          <w:szCs w:val="20"/>
          <w:color w:val="auto"/>
        </w:rPr>
        <w:tab/>
      </w:r>
      <w:r>
        <w:rPr>
          <w:rFonts w:ascii="Arial" w:cs="Arial" w:eastAsia="Arial" w:hAnsi="Arial"/>
          <w:sz w:val="15"/>
          <w:szCs w:val="15"/>
          <w:color w:val="auto"/>
        </w:rPr>
        <w:t>529.8</w:t>
      </w:r>
    </w:p>
    <w:p>
      <w:pPr>
        <w:spacing w:after="0" w:line="35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208.8</w:t>
      </w:r>
      <w:r>
        <w:rPr>
          <w:sz w:val="20"/>
          <w:szCs w:val="20"/>
          <w:color w:val="auto"/>
        </w:rPr>
        <w:tab/>
      </w:r>
      <w:r>
        <w:rPr>
          <w:rFonts w:ascii="Arial" w:cs="Arial" w:eastAsia="Arial" w:hAnsi="Arial"/>
          <w:sz w:val="15"/>
          <w:szCs w:val="15"/>
          <w:color w:val="auto"/>
        </w:rPr>
        <w:t>223.2</w:t>
      </w:r>
    </w:p>
    <w:p>
      <w:pPr>
        <w:spacing w:after="0" w:line="8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150.8</w:t>
      </w:r>
      <w:r>
        <w:rPr>
          <w:sz w:val="20"/>
          <w:szCs w:val="20"/>
          <w:color w:val="auto"/>
        </w:rPr>
        <w:tab/>
      </w:r>
      <w:r>
        <w:rPr>
          <w:rFonts w:ascii="Arial" w:cs="Arial" w:eastAsia="Arial" w:hAnsi="Arial"/>
          <w:sz w:val="15"/>
          <w:szCs w:val="15"/>
          <w:color w:val="auto"/>
        </w:rPr>
        <w:t>152.7</w:t>
      </w:r>
    </w:p>
    <w:p>
      <w:pPr>
        <w:spacing w:after="0" w:line="86"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61.5</w:t>
      </w:r>
      <w:r>
        <w:rPr>
          <w:sz w:val="20"/>
          <w:szCs w:val="20"/>
          <w:color w:val="auto"/>
        </w:rPr>
        <w:tab/>
      </w:r>
      <w:r>
        <w:rPr>
          <w:rFonts w:ascii="Arial" w:cs="Arial" w:eastAsia="Arial" w:hAnsi="Arial"/>
          <w:sz w:val="15"/>
          <w:szCs w:val="15"/>
          <w:color w:val="auto"/>
        </w:rPr>
        <w:t>59.9</w:t>
      </w:r>
    </w:p>
    <w:p>
      <w:pPr>
        <w:spacing w:after="0" w:line="86" w:lineRule="exact"/>
        <w:rPr>
          <w:sz w:val="20"/>
          <w:szCs w:val="20"/>
          <w:color w:val="auto"/>
        </w:rPr>
      </w:pPr>
    </w:p>
    <w:p>
      <w:pPr>
        <w:ind w:left="700"/>
        <w:spacing w:after="0"/>
        <w:tabs>
          <w:tab w:leader="none" w:pos="1840" w:val="left"/>
        </w:tabs>
        <w:rPr>
          <w:sz w:val="20"/>
          <w:szCs w:val="20"/>
          <w:color w:val="auto"/>
        </w:rPr>
      </w:pPr>
      <w:r>
        <w:rPr>
          <w:rFonts w:ascii="Arial" w:cs="Arial" w:eastAsia="Arial" w:hAnsi="Arial"/>
          <w:sz w:val="16"/>
          <w:szCs w:val="16"/>
          <w:color w:val="auto"/>
        </w:rPr>
        <w:t>0.4</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421.5</w:t>
      </w:r>
      <w:r>
        <w:rPr>
          <w:sz w:val="20"/>
          <w:szCs w:val="20"/>
          <w:color w:val="auto"/>
        </w:rPr>
        <w:tab/>
      </w:r>
      <w:r>
        <w:rPr>
          <w:rFonts w:ascii="Arial" w:cs="Arial" w:eastAsia="Arial" w:hAnsi="Arial"/>
          <w:sz w:val="15"/>
          <w:szCs w:val="15"/>
          <w:color w:val="auto"/>
        </w:rPr>
        <w:t>435.8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81.4</w:t>
      </w:r>
      <w:r>
        <w:rPr>
          <w:sz w:val="20"/>
          <w:szCs w:val="20"/>
          <w:color w:val="auto"/>
        </w:rPr>
        <w:tab/>
      </w:r>
      <w:r>
        <w:rPr>
          <w:rFonts w:ascii="Arial" w:cs="Arial" w:eastAsia="Arial" w:hAnsi="Arial"/>
          <w:sz w:val="15"/>
          <w:szCs w:val="15"/>
          <w:color w:val="auto"/>
        </w:rPr>
        <w:t>94.0</w:t>
      </w:r>
    </w:p>
    <w:p>
      <w:pPr>
        <w:spacing w:after="0" w:line="8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72.6</w:t>
      </w:r>
      <w:r>
        <w:rPr>
          <w:sz w:val="20"/>
          <w:szCs w:val="20"/>
          <w:color w:val="auto"/>
        </w:rPr>
        <w:tab/>
      </w:r>
      <w:r>
        <w:rPr>
          <w:rFonts w:ascii="Arial" w:cs="Arial" w:eastAsia="Arial" w:hAnsi="Arial"/>
          <w:sz w:val="15"/>
          <w:szCs w:val="15"/>
          <w:color w:val="auto"/>
        </w:rPr>
        <w:t>97.5</w:t>
      </w:r>
    </w:p>
    <w:p>
      <w:pPr>
        <w:spacing w:after="0" w:line="86" w:lineRule="exact"/>
        <w:rPr>
          <w:sz w:val="20"/>
          <w:szCs w:val="20"/>
          <w:color w:val="auto"/>
        </w:rPr>
      </w:pPr>
    </w:p>
    <w:p>
      <w:pPr>
        <w:jc w:val="right"/>
        <w:ind w:right="60"/>
        <w:spacing w:after="0"/>
        <w:tabs>
          <w:tab w:leader="none" w:pos="360" w:val="left"/>
        </w:tabs>
        <w:rPr>
          <w:sz w:val="20"/>
          <w:szCs w:val="20"/>
          <w:color w:val="auto"/>
        </w:rPr>
      </w:pPr>
      <w:r>
        <w:rPr>
          <w:rFonts w:ascii="Arial" w:cs="Arial" w:eastAsia="Arial" w:hAnsi="Arial"/>
          <w:sz w:val="16"/>
          <w:szCs w:val="16"/>
          <w:color w:val="auto"/>
        </w:rPr>
        <w:t>(17.0)</w:t>
      </w:r>
      <w:r>
        <w:rPr>
          <w:sz w:val="20"/>
          <w:szCs w:val="20"/>
          <w:color w:val="auto"/>
        </w:rPr>
        <w:tab/>
      </w:r>
      <w:r>
        <w:rPr>
          <w:rFonts w:ascii="Arial" w:cs="Arial" w:eastAsia="Arial" w:hAnsi="Arial"/>
          <w:sz w:val="14"/>
          <w:szCs w:val="14"/>
          <w:color w:val="auto"/>
        </w:rPr>
        <w:t>(18.6)</w:t>
      </w:r>
    </w:p>
    <w:p>
      <w:pPr>
        <w:spacing w:after="0" w:line="35" w:lineRule="exact"/>
        <w:rPr>
          <w:sz w:val="20"/>
          <w:szCs w:val="20"/>
          <w:color w:val="auto"/>
        </w:rPr>
      </w:pPr>
    </w:p>
    <w:p>
      <w:pPr>
        <w:sectPr>
          <w:pgSz w:w="11900" w:h="16838" w:orient="portrait"/>
          <w:cols w:equalWidth="0" w:num="2">
            <w:col w:w="8560" w:space="720"/>
            <w:col w:w="21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73"/>
        </w:trPr>
        <w:tc>
          <w:tcPr>
            <w:tcW w:w="92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2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60" w:type="dxa"/>
            <w:vAlign w:val="bottom"/>
            <w:vMerge w:val="continue"/>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73"/>
        </w:trPr>
        <w:tc>
          <w:tcPr>
            <w:tcW w:w="92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2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228.1</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93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r>
      <w:tr>
        <w:trPr>
          <w:trHeight w:val="23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78.9</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Other comprehensive income (loss), net of reclassifications: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 (loss) on derivative instruments (net of tax effect of $0.2 and $0.6)</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Change in net unrealized gain on available-for-sale securities (net of tax effect of $0.2 and $0.6)</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0.9</w:t>
            </w:r>
          </w:p>
        </w:tc>
      </w:tr>
      <w:tr>
        <w:trPr>
          <w:trHeight w:val="33"/>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cumulative foreign currency translation (loss) gain (net of tax effect of $1.4 and $2.0)</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r>
      <w:tr>
        <w:trPr>
          <w:trHeight w:val="217"/>
        </w:trPr>
        <w:tc>
          <w:tcPr>
            <w:tcW w:w="9360" w:type="dxa"/>
            <w:vAlign w:val="bottom"/>
          </w:tcPr>
          <w:p>
            <w:pPr>
              <w:ind w:left="280"/>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76.7</w:t>
            </w: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30, 2013</w:t>
            </w:r>
          </w:p>
        </w:tc>
        <w:tc>
          <w:tcPr>
            <w:tcW w:w="18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January 31, 2013</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37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1,612.2</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342.1</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495.1</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7"/>
        </w:trPr>
        <w:tc>
          <w:tcPr>
            <w:tcW w:w="804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2,552.4</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411.1</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Purchased technologies, net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895.7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871.5</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4,308.4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6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647.0</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1,043.7</w:t>
            </w:r>
          </w:p>
        </w:tc>
        <w:tc>
          <w:tcPr>
            <w:tcW w:w="0" w:type="dxa"/>
            <w:vAlign w:val="bottom"/>
          </w:tcPr>
          <w:p>
            <w:pPr>
              <w:spacing w:after="0"/>
              <w:rPr>
                <w:sz w:val="1"/>
                <w:szCs w:val="1"/>
                <w:color w:val="auto"/>
              </w:rPr>
            </w:pP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income taxes payable</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color w:val="auto"/>
              </w:rPr>
              <w:t>Long term notes payable, net of discount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745.8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745.6</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Preferred stock</w:t>
            </w:r>
          </w:p>
        </w:tc>
        <w:tc>
          <w:tcPr>
            <w:tcW w:w="2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1,449.8</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599.1</w:t>
            </w:r>
          </w:p>
        </w:tc>
        <w:tc>
          <w:tcPr>
            <w:tcW w:w="0" w:type="dxa"/>
            <w:vAlign w:val="bottom"/>
          </w:tcPr>
          <w:p>
            <w:pPr>
              <w:spacing w:after="0"/>
              <w:rPr>
                <w:sz w:val="1"/>
                <w:szCs w:val="1"/>
                <w:color w:val="auto"/>
              </w:rPr>
            </w:pP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2,043.2</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4,308.4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1013"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Three Months Ended April 30,</w:t>
            </w:r>
          </w:p>
        </w:tc>
      </w:tr>
      <w:tr>
        <w:trPr>
          <w:trHeight w:val="264"/>
        </w:trPr>
        <w:tc>
          <w:tcPr>
            <w:tcW w:w="94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r>
      <w:tr>
        <w:trPr>
          <w:trHeight w:val="23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78.9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72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29.2</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r>
      <w:tr>
        <w:trPr>
          <w:trHeight w:val="224"/>
        </w:trPr>
        <w:tc>
          <w:tcPr>
            <w:tcW w:w="9480" w:type="dxa"/>
            <w:vAlign w:val="bottom"/>
          </w:tcPr>
          <w:p>
            <w:pPr>
              <w:ind w:left="720"/>
              <w:spacing w:after="0"/>
              <w:rPr>
                <w:sz w:val="20"/>
                <w:szCs w:val="20"/>
                <w:color w:val="auto"/>
              </w:rPr>
            </w:pPr>
            <w:r>
              <w:rPr>
                <w:rFonts w:ascii="Arial" w:cs="Arial" w:eastAsia="Arial" w:hAnsi="Arial"/>
                <w:sz w:val="16"/>
                <w:szCs w:val="16"/>
                <w:color w:val="auto"/>
              </w:rPr>
              <w:t>Excess tax benefits from stock-based compensation</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Restructuring charges, net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9480" w:type="dxa"/>
            <w:vAlign w:val="bottom"/>
          </w:tcPr>
          <w:p>
            <w:pPr>
              <w:ind w:left="720"/>
              <w:spacing w:after="0"/>
              <w:rPr>
                <w:sz w:val="20"/>
                <w:szCs w:val="20"/>
                <w:color w:val="auto"/>
              </w:rPr>
            </w:pPr>
            <w:r>
              <w:rPr>
                <w:rFonts w:ascii="Arial" w:cs="Arial" w:eastAsia="Arial" w:hAnsi="Arial"/>
                <w:sz w:val="16"/>
                <w:szCs w:val="16"/>
                <w:color w:val="auto"/>
              </w:rPr>
              <w:t>Other operating activities</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224.1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139.3</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Purchases of marketable securities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(447.8)</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marketable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Maturities of marketable securities</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128.5</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(287.0)</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153.0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 by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fiscal year</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1,156.9</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1,074.5</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Autodesk, Inc. (“Autodesk” or the “Company”) as of April 30, 2013, and for the three months ended April 30, 2013,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2013 are not necessarily indicative of the results for the entire fiscal year ending January 31, 2014,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2013, filed on March 18, 2013.</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During the first quarter of fiscal 2014, Autodesk combined maintenance revenue and cloud services offering-related revenue into one category named "Subscription." As a result, revenue and cost of revenue related to cloud service offerings previously reflected in "License and other revenue" and "Cost of license and other revenue" were reclassified to "Subscription revenue" and "Cost of subscription revenue." These revenues and expenses have been reclassified in the Consolidated Statements of Operations for the three months ended April 30, 2012 to conform to the current period presentation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8"/>
              </w:rPr>
              <w:t>Three Months Ended</w:t>
            </w:r>
          </w:p>
        </w:tc>
      </w:tr>
      <w:tr>
        <w:trPr>
          <w:trHeight w:val="250"/>
        </w:trPr>
        <w:tc>
          <w:tcPr>
            <w:tcW w:w="96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April 30, 2012</w:t>
            </w: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Reclassifications within revenue:</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9620" w:type="dxa"/>
            <w:vAlign w:val="bottom"/>
          </w:tcPr>
          <w:p>
            <w:pPr>
              <w:ind w:left="180"/>
              <w:spacing w:after="0"/>
              <w:rPr>
                <w:sz w:val="20"/>
                <w:szCs w:val="20"/>
                <w:color w:val="auto"/>
              </w:rPr>
            </w:pPr>
            <w:r>
              <w:rPr>
                <w:rFonts w:ascii="Arial" w:cs="Arial" w:eastAsia="Arial" w:hAnsi="Arial"/>
                <w:sz w:val="16"/>
                <w:szCs w:val="16"/>
                <w:color w:val="auto"/>
              </w:rPr>
              <w:t>(Decrease) to license and other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9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to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Reclassifications within cost of revenue:</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9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to cost of license and other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37"/>
        </w:trPr>
        <w:tc>
          <w:tcPr>
            <w:tcW w:w="9620" w:type="dxa"/>
            <w:vAlign w:val="bottom"/>
          </w:tcPr>
          <w:p>
            <w:pPr>
              <w:ind w:left="180"/>
              <w:spacing w:after="0"/>
              <w:rPr>
                <w:sz w:val="20"/>
                <w:szCs w:val="20"/>
                <w:color w:val="auto"/>
              </w:rPr>
            </w:pPr>
            <w:r>
              <w:rPr>
                <w:rFonts w:ascii="Arial" w:cs="Arial" w:eastAsia="Arial" w:hAnsi="Arial"/>
                <w:sz w:val="16"/>
                <w:szCs w:val="16"/>
                <w:color w:val="auto"/>
              </w:rPr>
              <w:t>Increase to cost of subscription revenue</w:t>
            </w:r>
          </w:p>
        </w:tc>
        <w:tc>
          <w:tcPr>
            <w:tcW w:w="160" w:type="dxa"/>
            <w:vAlign w:val="bottom"/>
          </w:tcPr>
          <w:p>
            <w:pPr>
              <w:spacing w:after="0"/>
              <w:rPr>
                <w:sz w:val="20"/>
                <w:szCs w:val="20"/>
                <w:color w:val="auto"/>
              </w:rPr>
            </w:pPr>
          </w:p>
        </w:tc>
        <w:tc>
          <w:tcPr>
            <w:tcW w:w="1640" w:type="dxa"/>
            <w:vAlign w:val="bottom"/>
          </w:tcPr>
          <w:p>
            <w:pPr>
              <w:jc w:val="right"/>
              <w:ind w:right="22"/>
              <w:spacing w:after="0"/>
              <w:rPr>
                <w:sz w:val="20"/>
                <w:szCs w:val="20"/>
                <w:color w:val="auto"/>
              </w:rPr>
            </w:pPr>
            <w:r>
              <w:rPr>
                <w:rFonts w:ascii="Arial" w:cs="Arial" w:eastAsia="Arial" w:hAnsi="Arial"/>
                <w:sz w:val="16"/>
                <w:szCs w:val="16"/>
                <w:color w:val="auto"/>
              </w:rPr>
              <w:t>6.3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three months ended April 30, 2013, that are of significance, or potential significance, to the Company.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Adopted in the Three Months Ended April 30, 2013</w:t>
      </w:r>
    </w:p>
    <w:p>
      <w:pPr>
        <w:spacing w:after="0" w:line="225"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Effective February 1, 2013, Autodesk adopted FASB's Accounting Standards Update (“ASU”) 2013-02, Comprehensive Income (Topic 220) - Reporting of Amounts Reclassified Out of Accumulated Other Comprehensive Income. This ASU requires additional disclosure about the changes in the components of accumulated other comprehensive income, including amounts reclassified and amounts due to current period other comprehensive income. The adoption of this standard did not impact the Company's financial condition, results of operations or cash flows.</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Effective February 1, 2013, Autodesk adopted FASB's ASU 2011-11 and ASU 2013-01 regarding ASC Topic 210 "Balance Sheet: Disclosure about Offsetting Assets and Liabilities." This ASU requires that entities disclose additional information about offsetting and related arrangements to enable users of the financial statements to understand the effect of those arrangements on the financial position. The adoption of this standard did not impact the Company's financial condition, results of operations or cash flows.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Citibank and its global affiliates (“Citibank”). Citibank, N.A., an affiliate of Citibank, is one of the lead lenders and an agent in the syndicate of Autodesk’s $400.0 million line of credit facility. It is Autodesk’s policy to limit the amounts invested with any one institution by type of security and issuer.</w:t>
      </w:r>
    </w:p>
    <w:p>
      <w:pPr>
        <w:spacing w:after="0" w:line="188"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Total sales to the distributor Tech Data Corporation, and its global affiliates (“Tech Data”), accounted for 25% of Autodesk’s total net revenue for the three months ended April 30, 2013 and 22% of Autodesk's total net revenue for the three months ended April 30, 2012. The majority of the net revenue from sales to Tech Data relates to Autodesk’s Platform Solutions and Emerging Business ("PSEB") segment and is for sales made outside of the United States. In addition, Tech Data accounted for 24% and 23% of trade accounts receivable at April 30, 2013 and January 31, 2013, respectively.</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80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April 30, 2013 and January 31, 2013:</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April 30, 2013</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8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140"/>
              <w:spacing w:after="0"/>
              <w:rPr>
                <w:sz w:val="20"/>
                <w:szCs w:val="20"/>
                <w:color w:val="auto"/>
              </w:rPr>
            </w:pPr>
            <w:r>
              <w:rPr>
                <w:rFonts w:ascii="Arial" w:cs="Arial" w:eastAsia="Arial" w:hAnsi="Arial"/>
                <w:sz w:val="16"/>
                <w:szCs w:val="16"/>
                <w:color w:val="auto"/>
              </w:rPr>
              <w:t>Certificates of deposit and time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313.6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313.6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281.4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6"/>
                <w:szCs w:val="16"/>
                <w:color w:val="auto"/>
              </w:rPr>
              <w:t>Municipal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320"/>
              <w:spacing w:after="0"/>
              <w:rPr>
                <w:sz w:val="20"/>
                <w:szCs w:val="20"/>
                <w:color w:val="auto"/>
              </w:rPr>
            </w:pPr>
            <w:r>
              <w:rPr>
                <w:rFonts w:ascii="Arial" w:cs="Arial" w:eastAsia="Arial" w:hAnsi="Arial"/>
                <w:sz w:val="16"/>
                <w:szCs w:val="16"/>
                <w:color w:val="auto"/>
              </w:rPr>
              <w:t>Commercial paper and corporate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80"/>
              <w:spacing w:after="0"/>
              <w:rPr>
                <w:sz w:val="20"/>
                <w:szCs w:val="20"/>
                <w:color w:val="auto"/>
              </w:rPr>
            </w:pPr>
            <w:r>
              <w:rPr>
                <w:rFonts w:ascii="Arial" w:cs="Arial" w:eastAsia="Arial" w:hAnsi="Arial"/>
                <w:sz w:val="16"/>
                <w:szCs w:val="16"/>
                <w:color w:val="auto"/>
              </w:rPr>
              <w:t>debt securities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Certificates of deposit and time</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deposits</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U.S. treasury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6"/>
              </w:rPr>
              <w:t>U.S. government agency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Sovereign debt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Mutual funds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w w:val="96"/>
              </w:rPr>
              <w:t>U.S. government agency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Sovereign debt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Derivative contracts (3)</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1,881.5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in “Prepaid expenses and other current assets,” "Other assets," or “Other accrued liabilities” in the accompanying Condensed Consolidated Balance Sheets.</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584"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5"/>
        </w:trPr>
        <w:tc>
          <w:tcPr>
            <w:tcW w:w="2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January 31, 2013</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205"/>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00" w:type="dxa"/>
            <w:vAlign w:val="bottom"/>
          </w:tcPr>
          <w:p>
            <w:pPr>
              <w:ind w:left="140"/>
              <w:spacing w:after="0"/>
              <w:rPr>
                <w:sz w:val="20"/>
                <w:szCs w:val="20"/>
                <w:color w:val="auto"/>
              </w:rPr>
            </w:pPr>
            <w:r>
              <w:rPr>
                <w:rFonts w:ascii="Arial" w:cs="Arial" w:eastAsia="Arial" w:hAnsi="Arial"/>
                <w:sz w:val="16"/>
                <w:szCs w:val="16"/>
                <w:color w:val="auto"/>
              </w:rPr>
              <w:t>Certificates of deposit and time</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300"/>
              <w:spacing w:after="0"/>
              <w:rPr>
                <w:sz w:val="20"/>
                <w:szCs w:val="20"/>
                <w:color w:val="auto"/>
              </w:rPr>
            </w:pPr>
            <w:r>
              <w:rPr>
                <w:rFonts w:ascii="Arial" w:cs="Arial" w:eastAsia="Arial" w:hAnsi="Arial"/>
                <w:sz w:val="16"/>
                <w:szCs w:val="16"/>
                <w:color w:val="auto"/>
              </w:rPr>
              <w:t>deposits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392.4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392.4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375.2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Corporate bond</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available for sale</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00" w:type="dxa"/>
            <w:vAlign w:val="bottom"/>
          </w:tcPr>
          <w:p>
            <w:pPr>
              <w:ind w:left="320"/>
              <w:spacing w:after="0"/>
              <w:rPr>
                <w:sz w:val="20"/>
                <w:szCs w:val="20"/>
                <w:color w:val="auto"/>
              </w:rPr>
            </w:pPr>
            <w:r>
              <w:rPr>
                <w:rFonts w:ascii="Arial" w:cs="Arial" w:eastAsia="Arial" w:hAnsi="Arial"/>
                <w:sz w:val="16"/>
                <w:szCs w:val="16"/>
                <w:color w:val="auto"/>
              </w:rPr>
              <w:t>Commercial paper and corporate</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480"/>
              <w:spacing w:after="0"/>
              <w:rPr>
                <w:sz w:val="20"/>
                <w:szCs w:val="20"/>
                <w:color w:val="auto"/>
              </w:rPr>
            </w:pPr>
            <w:r>
              <w:rPr>
                <w:rFonts w:ascii="Arial" w:cs="Arial" w:eastAsia="Arial" w:hAnsi="Arial"/>
                <w:sz w:val="16"/>
                <w:szCs w:val="16"/>
                <w:color w:val="auto"/>
              </w:rPr>
              <w:t>debt securities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Certificates of deposit and time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deposits</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U.S. treasury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5"/>
              </w:rPr>
              <w:t>U.S. government agency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Sovereign debt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Municipal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Mutual funds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available for sale</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Corporate debt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U.S. treasury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w w:val="95"/>
              </w:rPr>
              <w:t>U.S. government agency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Municipal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Sovereign debt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Taxable auction-rate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44"/>
        </w:trPr>
        <w:tc>
          <w:tcPr>
            <w:tcW w:w="2700" w:type="dxa"/>
            <w:vAlign w:val="bottom"/>
          </w:tcPr>
          <w:p>
            <w:pPr>
              <w:ind w:left="32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2,029.2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2,038.0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678.3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1,327.3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“Prepaid expenses and other current assets,” "Other assets," or “Other accrued liabilities” in the accompanying Condensed Consolidated Balance Sheets.</w:t>
      </w:r>
    </w:p>
    <w:p>
      <w:pPr>
        <w:spacing w:after="0" w:line="22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1008" w:right="339" w:bottom="1440" w:gutter="0" w:footer="0" w:header="0"/>
        </w:sectPr>
      </w:pPr>
    </w:p>
    <w:bookmarkStart w:id="10" w:name="page11"/>
    <w:bookmarkEnd w:id="10"/>
    <w:p>
      <w:pPr>
        <w:ind w:right="460"/>
        <w:spacing w:after="0" w:line="277" w:lineRule="auto"/>
        <w:rPr>
          <w:sz w:val="20"/>
          <w:szCs w:val="20"/>
          <w:color w:val="auto"/>
        </w:rPr>
      </w:pPr>
      <w:r>
        <w:rPr>
          <w:rFonts w:ascii="Arial" w:cs="Arial" w:eastAsia="Arial" w:hAnsi="Arial"/>
          <w:sz w:val="18"/>
          <w:szCs w:val="18"/>
          <w:color w:val="auto"/>
        </w:rPr>
        <w:t>data and relies on unobservable inputs only when observable market data is not available. There have been no transfers between fair value measurement levels during the three months ended April 30, 2013.</w:t>
      </w:r>
    </w:p>
    <w:p>
      <w:pPr>
        <w:spacing w:after="0" w:line="1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auction rate securities, convertible debt securities and derivative contracts which are valued using probability weighted discounted cash flow models, in which some of the inputs are unobservable in the market.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three months ended April 30, 2013 was as follows:</w:t>
      </w:r>
    </w:p>
    <w:p>
      <w:pPr>
        <w:spacing w:after="0" w:line="379"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13335</wp:posOffset>
            </wp:positionV>
            <wp:extent cx="31299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9"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1299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Convertible Debt</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Taxable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Auction-Rate</w:t>
            </w:r>
          </w:p>
        </w:tc>
        <w:tc>
          <w:tcPr>
            <w:tcW w:w="200" w:type="dxa"/>
            <w:vAlign w:val="bottom"/>
          </w:tcPr>
          <w:p>
            <w:pPr>
              <w:spacing w:after="0"/>
              <w:rPr>
                <w:sz w:val="12"/>
                <w:szCs w:val="12"/>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20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2013</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Net realized losses</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(losses) gains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Balance at April 30, 2013</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estimated fair value of our “available-for-sale securities” classified by the contractual maturity date of the security:</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 2013</w:t>
            </w:r>
          </w:p>
        </w:tc>
        <w:tc>
          <w:tcPr>
            <w:tcW w:w="1060" w:type="dxa"/>
            <w:vAlign w:val="bottom"/>
            <w:tcBorders>
              <w:bottom w:val="single" w:sz="8" w:color="auto"/>
            </w:tcBorders>
          </w:tcPr>
          <w:p>
            <w:pPr>
              <w:spacing w:after="0"/>
              <w:rPr>
                <w:sz w:val="16"/>
                <w:szCs w:val="16"/>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5"/>
              </w:rPr>
              <w:t>Fair Value</w:t>
            </w:r>
          </w:p>
        </w:tc>
      </w:tr>
      <w:tr>
        <w:trPr>
          <w:trHeight w:val="23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1 year</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393.6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393.7</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4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411.0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412.6</w:t>
            </w:r>
          </w:p>
        </w:tc>
      </w:tr>
      <w:tr>
        <w:trPr>
          <w:trHeight w:val="33"/>
        </w:trPr>
        <w:tc>
          <w:tcPr>
            <w:tcW w:w="8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804.6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806.3</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As of April 30, 2013 and January 31, 2013, Autodesk did not have any securities in a continuous unrealized loss position for greater than twelve months.</w:t>
      </w:r>
    </w:p>
    <w:p>
      <w:pPr>
        <w:spacing w:after="0" w:line="170"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Autodesk also has direct investments in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our cost method investments considering available information such as pricing in recent rounds of financing, current cash positions, earnings and cash flow forecasts, recent operational performance and any other readily available market data. During the three months ended April 30, 2013 Autodesk recorded no other-than-temporary impairment on its privately held equity investments.</w:t>
      </w:r>
    </w:p>
    <w:p>
      <w:pPr>
        <w:spacing w:after="0" w:line="173"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The sale or settlement of certain equity investments during the three months ended April 30, 2013 and 2012 resulted in a loss of $0.2 million. The loss was recorded in “Interest and other (expense) income, net” on the Company's Condensed Consolidated Statement of Operations. The sales or redemptions of “available-for-sale securities” in the three months periods ended April 30, 2012 resulted in no gains or losses.</w:t>
      </w:r>
    </w:p>
    <w:p>
      <w:pPr>
        <w:spacing w:after="0" w:line="166"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three months ended April 30, 2013 and 2012 were $197.0 million and $177.3 million,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71"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Autodesk utilizes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monthly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income, net” in the Company's Condensed Consolidated Financial Statements at that time.</w:t>
      </w:r>
    </w:p>
    <w:p>
      <w:pPr>
        <w:spacing w:after="0" w:line="166"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The net notional amounts of these contracts are presented net settled and were $354.6 million at April 30, 2013 and $359.8 million at January 31, 2013. Outstanding contracts are recognized as either assets or liabilities on the balance sheet at fair value. The majority of the net gain of $12.7 million remaining in “Accumulated other comprehensive loss” as of April 30, 2013 is expected to be recognized into earnings within the next twelve months.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on a monthly basis with gains and losses recognized as “Interest and other (expense) income,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$44.4 million at April 30, 2013 and $78.4 million at January 31, 2013.</w:t>
      </w:r>
    </w:p>
    <w:p>
      <w:pPr>
        <w:spacing w:after="0" w:line="178"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income, net.”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fair value of derivative instruments in Autodesk’s Condensed Consolidated Balance Sheets were as follows as of April 30, 2013 and January 31, 2013:</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2520" w:type="dxa"/>
            <w:vAlign w:val="bottom"/>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2013</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2013</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7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17"/>
                <w:szCs w:val="17"/>
                <w:color w:val="auto"/>
              </w:rPr>
            </w:pPr>
          </w:p>
        </w:tc>
        <w:tc>
          <w:tcPr>
            <w:tcW w:w="2520" w:type="dxa"/>
            <w:vAlign w:val="bottom"/>
          </w:tcPr>
          <w:p>
            <w:pPr>
              <w:ind w:left="180"/>
              <w:spacing w:after="0"/>
              <w:rPr>
                <w:sz w:val="20"/>
                <w:szCs w:val="20"/>
                <w:color w:val="auto"/>
              </w:rPr>
            </w:pPr>
            <w:r>
              <w:rPr>
                <w:rFonts w:ascii="Arial" w:cs="Arial" w:eastAsia="Arial" w:hAnsi="Arial"/>
                <w:sz w:val="16"/>
                <w:szCs w:val="16"/>
                <w:color w:val="auto"/>
              </w:rPr>
              <w:t>assets (1)</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84"/>
        </w:trPr>
        <w:tc>
          <w:tcPr>
            <w:tcW w:w="57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 (2)</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derivative liabilities</w:t>
            </w:r>
          </w:p>
        </w:tc>
        <w:tc>
          <w:tcPr>
            <w:tcW w:w="25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00" w:hanging="412"/>
        <w:spacing w:after="0" w:line="251"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$10.8 million and $8.2 million at April 30, 2013 and January 31, 2013, respectively.</w:t>
      </w:r>
    </w:p>
    <w:p>
      <w:pPr>
        <w:ind w:left="420" w:right="180" w:hanging="412"/>
        <w:spacing w:after="0" w:line="276"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Considering Autodesk's master netting arrangements, these contracts are presented net settled. The gross balance is $2.8 million and $5.4 million at April 30, 2013 and January 31, 2013, respectively.</w:t>
      </w:r>
    </w:p>
    <w:p>
      <w:pPr>
        <w:spacing w:after="0" w:line="17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months ended April 30, 2013 and 2012, respectively (amounts presented include any income tax effects):</w:t>
      </w:r>
    </w:p>
    <w:p>
      <w:pPr>
        <w:spacing w:after="0" w:line="324"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Foreign Currency</w:t>
      </w:r>
    </w:p>
    <w:p>
      <w:pPr>
        <w:spacing w:after="0" w:line="4" w:lineRule="exact"/>
        <w:rPr>
          <w:sz w:val="20"/>
          <w:szCs w:val="20"/>
          <w:color w:val="auto"/>
        </w:rPr>
      </w:pPr>
    </w:p>
    <w:p>
      <w:pPr>
        <w:ind w:left="10040"/>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13335</wp:posOffset>
            </wp:positionV>
            <wp:extent cx="1372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23495</wp:posOffset>
            </wp:positionV>
            <wp:extent cx="13722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of gain recognized in accumulated other comprehensive income on derivatives (effective portion)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Amount and location of gain (loss) reclassified from accumulated other comprehensive income into income (effective portion)</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7"/>
        </w:trPr>
        <w:tc>
          <w:tcPr>
            <w:tcW w:w="926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40"/>
              <w:spacing w:after="0"/>
              <w:rPr>
                <w:sz w:val="20"/>
                <w:szCs w:val="20"/>
                <w:color w:val="auto"/>
              </w:rPr>
            </w:pPr>
            <w:r>
              <w:rPr>
                <w:rFonts w:ascii="Arial" w:cs="Arial" w:eastAsia="Arial" w:hAnsi="Arial"/>
                <w:sz w:val="16"/>
                <w:szCs w:val="16"/>
                <w:i w:val="1"/>
                <w:iCs w:val="1"/>
                <w:color w:val="auto"/>
                <w:w w:val="93"/>
              </w:rPr>
              <w:t>Amount and location of (loss) gain recognized in income on derivatives (ineffective portion and amount excluded from effectiveness testing)</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and other (expense) income,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months ended April 30, 2013 and 2012, respectively (amounts presented include any income tax effects):</w:t>
      </w:r>
    </w:p>
    <w:p>
      <w:pPr>
        <w:spacing w:after="0" w:line="324" w:lineRule="exact"/>
        <w:rPr>
          <w:sz w:val="20"/>
          <w:szCs w:val="20"/>
          <w:color w:val="auto"/>
        </w:rPr>
      </w:pPr>
    </w:p>
    <w:p>
      <w:pPr>
        <w:jc w:val="center"/>
        <w:ind w:left="9520"/>
        <w:spacing w:after="0"/>
        <w:rPr>
          <w:sz w:val="20"/>
          <w:szCs w:val="20"/>
          <w:color w:val="auto"/>
        </w:rPr>
      </w:pPr>
      <w:r>
        <w:rPr>
          <w:rFonts w:ascii="Arial" w:cs="Arial" w:eastAsia="Arial" w:hAnsi="Arial"/>
          <w:sz w:val="13"/>
          <w:szCs w:val="13"/>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31115</wp:posOffset>
            </wp:positionV>
            <wp:extent cx="12261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14" w:lineRule="exact"/>
        <w:rPr>
          <w:sz w:val="20"/>
          <w:szCs w:val="20"/>
          <w:color w:val="auto"/>
        </w:rPr>
      </w:pPr>
    </w:p>
    <w:p>
      <w:pPr>
        <w:ind w:left="9820"/>
        <w:spacing w:after="0"/>
        <w:tabs>
          <w:tab w:leader="none" w:pos="1082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23495</wp:posOffset>
            </wp:positionV>
            <wp:extent cx="12261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Amount and location of gain recognized in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9500" w:val="left"/>
          <w:tab w:leader="none" w:pos="10080" w:val="left"/>
          <w:tab w:leader="none" w:pos="10540" w:val="left"/>
          <w:tab w:leader="none" w:pos="11080" w:val="left"/>
        </w:tabs>
        <w:rPr>
          <w:sz w:val="20"/>
          <w:szCs w:val="20"/>
          <w:color w:val="auto"/>
        </w:rPr>
      </w:pPr>
      <w:r>
        <w:rPr>
          <w:rFonts w:ascii="Arial" w:cs="Arial" w:eastAsia="Arial" w:hAnsi="Arial"/>
          <w:sz w:val="16"/>
          <w:szCs w:val="16"/>
          <w:color w:val="auto"/>
        </w:rPr>
        <w:t>Interest and other (expense) income, net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5. Stock-based Compensation Expense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Plans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As of April 30, 2013, Autodesk maintained two active stock plans for the purpose of granting equity awards to employees and to non-employee members of Autodesk’s Board of Directors: the 2012 Employee Stock Plan (“2012 Employee Plan”), which is available only to employees, and the Autodesk 2012 Outside Directors’ Plan (“2012 Directors' Plan”), which is available only to non-employee directors. Additionally, there are eight expired or terminated plans with options outstanding. The exercise price of all stock options granted under these plans was equal to the fair market value of the stock on the grant date.</w:t>
      </w:r>
    </w:p>
    <w:p>
      <w:pPr>
        <w:spacing w:after="0" w:line="18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2012 Employee Plan was approved by Autodesk's stockholders and became effective in January 2012. The 2012 Employee Plan reserves up to 21.2 million shares which includes 15.2 million shares reserved upon the effectiveness of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April 30, 2013, 9.0 million shares subject to options and restricted stock units have been granted under the 2012 Employee Plan. Options and restricted stock units that were granted under the 2012 Stock Plan vest over periods ranging from immediately upon grant to over a three-year period and options expire 10 years from the date of grant. The 2012 Employee Plan will expire on June 30, 2022. At April 30, 2013, 10.3 million shares were available for future issuance under the 2012 Employee Plan.</w:t>
      </w:r>
    </w:p>
    <w:p>
      <w:pPr>
        <w:spacing w:after="0" w:line="178"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2012 Directors' Plan was approved by Autodesk's stockholders in January 2012.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April 30, 2013, 0.2 million restricted stock units have been granted under the 2012 Directors' Plan. Restricted stock units that were granted under the 2012 Directors' Plan vest over one to three years from the date of grant. The 2012 Directors' Plan reserved 2.6 million shares of Autodesk common stock. The 2012 Directors' Plan will expire on June 30, 2022. At April 30, 2013, 2.4 million shares were available for future issuance under the 2012 Directors' Plan.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three months ended April 30, 2013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exercise 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21"/>
                <w:szCs w:val="21"/>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2013</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19.0</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32.69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Granted (1)</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Canceled</w:t>
            </w: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40.21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April 30, 2013</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16.7</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vested and exercisable at April 30, 2013</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14.3</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32.96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as of April 30, 2013 and expected to vest thereafter (2)</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16.6</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available for grant at April 30, 2013</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vMerge w:val="continue"/>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Autodesk did not grant stock options in the three months ended April 30, 2013.</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w:t>
      </w:r>
    </w:p>
    <w:p>
      <w:pPr>
        <w:spacing w:after="0" w:line="5" w:lineRule="exact"/>
        <w:rPr>
          <w:rFonts w:ascii="Arial" w:cs="Arial" w:eastAsia="Arial" w:hAnsi="Arial"/>
          <w:sz w:val="16"/>
          <w:szCs w:val="16"/>
          <w:color w:val="auto"/>
        </w:rPr>
      </w:pPr>
    </w:p>
    <w:p>
      <w:pPr>
        <w:ind w:left="420" w:right="300" w:hanging="412"/>
        <w:spacing w:after="0" w:line="257"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$39.38 per share as of April 30, 2013, which would have been received by the option holders had all option holders exercised their options as of that date.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right="240" w:firstLine="432"/>
        <w:spacing w:after="0" w:line="264" w:lineRule="auto"/>
        <w:rPr>
          <w:sz w:val="20"/>
          <w:szCs w:val="20"/>
          <w:color w:val="auto"/>
        </w:rPr>
      </w:pPr>
      <w:r>
        <w:rPr>
          <w:rFonts w:ascii="Arial" w:cs="Arial" w:eastAsia="Arial" w:hAnsi="Arial"/>
          <w:sz w:val="18"/>
          <w:szCs w:val="18"/>
          <w:color w:val="auto"/>
        </w:rPr>
        <w:t>As of April 30, 2013, total compensation cost of $27.0 million related to non-vested options is expected to be recognized over a weighted average period of 1.2 years. The following table summarizes information about the pre-tax intrinsic value of options exercised, and the weighted average grant date fair value per share of options granted, during the three months ended April 30, 2013, and 2012.</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2013</w:t>
            </w:r>
          </w:p>
        </w:tc>
        <w:tc>
          <w:tcPr>
            <w:tcW w:w="200" w:type="dxa"/>
            <w:vAlign w:val="bottom"/>
          </w:tcPr>
          <w:p>
            <w:pPr>
              <w:spacing w:after="0"/>
              <w:rPr>
                <w:sz w:val="22"/>
                <w:szCs w:val="22"/>
                <w:color w:val="auto"/>
              </w:rPr>
            </w:pPr>
          </w:p>
        </w:tc>
        <w:tc>
          <w:tcPr>
            <w:tcW w:w="1260" w:type="dxa"/>
            <w:vAlign w:val="bottom"/>
          </w:tcPr>
          <w:p>
            <w:pPr>
              <w:jc w:val="right"/>
              <w:ind w:right="222"/>
              <w:spacing w:after="0"/>
              <w:rPr>
                <w:sz w:val="20"/>
                <w:szCs w:val="20"/>
                <w:color w:val="auto"/>
              </w:rPr>
            </w:pPr>
            <w:r>
              <w:rPr>
                <w:rFonts w:ascii="Arial" w:cs="Arial" w:eastAsia="Arial" w:hAnsi="Arial"/>
                <w:sz w:val="14"/>
                <w:szCs w:val="14"/>
                <w:b w:val="1"/>
                <w:bCs w:val="1"/>
                <w:color w:val="auto"/>
              </w:rPr>
              <w:t>April 30, 2012</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32.8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Weighted average grant date fair value per share of stock options granted (2) (3)</w:t>
            </w:r>
          </w:p>
        </w:tc>
        <w:tc>
          <w:tcPr>
            <w:tcW w:w="220" w:type="dxa"/>
            <w:vAlign w:val="bottom"/>
          </w:tcPr>
          <w:p>
            <w:pPr>
              <w:spacing w:after="0"/>
              <w:rPr>
                <w:sz w:val="20"/>
                <w:szCs w:val="20"/>
                <w:color w:val="auto"/>
              </w:rPr>
            </w:pPr>
          </w:p>
        </w:tc>
        <w:tc>
          <w:tcPr>
            <w:tcW w:w="1400" w:type="dxa"/>
            <w:vAlign w:val="bottom"/>
            <w:gridSpan w:val="2"/>
          </w:tcPr>
          <w:p>
            <w:pPr>
              <w:ind w:left="880"/>
              <w:spacing w:after="0"/>
              <w:rPr>
                <w:sz w:val="20"/>
                <w:szCs w:val="20"/>
                <w:color w:val="auto"/>
              </w:rPr>
            </w:pPr>
            <w:r>
              <w:rPr>
                <w:rFonts w:ascii="Arial" w:cs="Arial" w:eastAsia="Arial" w:hAnsi="Arial"/>
                <w:sz w:val="16"/>
                <w:szCs w:val="16"/>
                <w:color w:val="auto"/>
              </w:rPr>
              <w:t>N/A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13.43</w:t>
            </w:r>
          </w:p>
        </w:tc>
      </w:tr>
      <w:tr>
        <w:trPr>
          <w:trHeight w:val="249"/>
        </w:trPr>
        <w:tc>
          <w:tcPr>
            <w:tcW w:w="834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32"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weighted average grant date fair value of stock options granted is calculated, as of the stock option grant date, using the Black-Scholes-Merton option pricing model.</w:t>
      </w:r>
    </w:p>
    <w:p>
      <w:pPr>
        <w:spacing w:after="0" w:line="28"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Autodesk did not grant stock options in the three months ended April 30, 2013.</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outstanding and exercisable at April 30, 2013:</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Options Vested and Exercisable</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9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intrinsic</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value (1)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9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value (1)</w:t>
            </w: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6"/>
                <w:szCs w:val="16"/>
                <w:color w:val="auto"/>
              </w:rPr>
            </w:pPr>
          </w:p>
        </w:tc>
        <w:tc>
          <w:tcPr>
            <w:tcW w:w="96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per-share</w:t>
            </w: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$2.28 - $28.56</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$28.57 - $31.22</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$31.23 - $38.55</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33.79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$38.56 - $41.62</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$41.63 - $49.80</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45.52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45.38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0"/>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00" w:hanging="412"/>
        <w:spacing w:after="0" w:line="263"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$39.38 per share as of April 30, 2013, which would have been received by the option holders had all option holders exercised their options as of that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September 2022.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22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unit and restricted stock award activity for the three months ended April 30, 2013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Unreleased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82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Unreleased restricted stock at January 31, 2013</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5,020.8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33.89</w:t>
            </w:r>
          </w:p>
        </w:tc>
        <w:tc>
          <w:tcPr>
            <w:tcW w:w="0" w:type="dxa"/>
            <w:vAlign w:val="bottom"/>
          </w:tcPr>
          <w:p>
            <w:pPr>
              <w:spacing w:after="0"/>
              <w:rPr>
                <w:sz w:val="1"/>
                <w:szCs w:val="1"/>
                <w:color w:val="auto"/>
              </w:rPr>
            </w:pPr>
          </w:p>
        </w:tc>
      </w:tr>
      <w:tr>
        <w:trPr>
          <w:trHeight w:val="237"/>
        </w:trPr>
        <w:tc>
          <w:tcPr>
            <w:tcW w:w="8260" w:type="dxa"/>
            <w:vAlign w:val="bottom"/>
          </w:tcPr>
          <w:p>
            <w:pPr>
              <w:ind w:left="38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1,078.0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41.58</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35.66</w:t>
            </w:r>
          </w:p>
        </w:tc>
        <w:tc>
          <w:tcPr>
            <w:tcW w:w="0" w:type="dxa"/>
            <w:vAlign w:val="bottom"/>
          </w:tcPr>
          <w:p>
            <w:pPr>
              <w:spacing w:after="0"/>
              <w:rPr>
                <w:sz w:val="1"/>
                <w:szCs w:val="1"/>
                <w:color w:val="auto"/>
              </w:rPr>
            </w:pPr>
          </w:p>
        </w:tc>
      </w:tr>
      <w:tr>
        <w:trPr>
          <w:trHeight w:val="237"/>
        </w:trPr>
        <w:tc>
          <w:tcPr>
            <w:tcW w:w="8260" w:type="dxa"/>
            <w:vAlign w:val="bottom"/>
          </w:tcPr>
          <w:p>
            <w:pPr>
              <w:ind w:left="380"/>
              <w:spacing w:after="0"/>
              <w:rPr>
                <w:sz w:val="20"/>
                <w:szCs w:val="20"/>
                <w:color w:val="auto"/>
              </w:rPr>
            </w:pPr>
            <w:r>
              <w:rPr>
                <w:rFonts w:ascii="Arial" w:cs="Arial" w:eastAsia="Arial" w:hAnsi="Arial"/>
                <w:sz w:val="16"/>
                <w:szCs w:val="16"/>
                <w:color w:val="auto"/>
              </w:rPr>
              <w:t>Canceled</w:t>
            </w:r>
          </w:p>
        </w:tc>
        <w:tc>
          <w:tcPr>
            <w:tcW w:w="14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35.31</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Performance Adjustment (1)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35.94</w:t>
            </w:r>
          </w:p>
        </w:tc>
        <w:tc>
          <w:tcPr>
            <w:tcW w:w="0" w:type="dxa"/>
            <w:vAlign w:val="bottom"/>
          </w:tcPr>
          <w:p>
            <w:pPr>
              <w:spacing w:after="0"/>
              <w:rPr>
                <w:sz w:val="1"/>
                <w:szCs w:val="1"/>
                <w:color w:val="auto"/>
              </w:rPr>
            </w:pPr>
          </w:p>
        </w:tc>
      </w:tr>
      <w:tr>
        <w:trPr>
          <w:trHeight w:val="244"/>
        </w:trPr>
        <w:tc>
          <w:tcPr>
            <w:tcW w:w="8260" w:type="dxa"/>
            <w:vAlign w:val="bottom"/>
          </w:tcPr>
          <w:p>
            <w:pPr>
              <w:ind w:left="40"/>
              <w:spacing w:after="0"/>
              <w:rPr>
                <w:sz w:val="20"/>
                <w:szCs w:val="20"/>
                <w:color w:val="auto"/>
              </w:rPr>
            </w:pPr>
            <w:r>
              <w:rPr>
                <w:rFonts w:ascii="Arial" w:cs="Arial" w:eastAsia="Arial" w:hAnsi="Arial"/>
                <w:sz w:val="16"/>
                <w:szCs w:val="16"/>
                <w:color w:val="auto"/>
              </w:rPr>
              <w:t>Unreleased restricted stock at April 30, 2013</w:t>
            </w:r>
          </w:p>
        </w:tc>
        <w:tc>
          <w:tcPr>
            <w:tcW w:w="14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5,190.3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35.27</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00" w:hanging="412"/>
        <w:spacing w:after="0" w:line="254"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Autodesk financial results for the performance period, the fiscal 2013 performance stock units were earned at 92.3% of the target award. The fiscal 2013 performance stock units will pay out at 92.3% percent of the target award; however, the vesting of the performance stock units is subject to the holders satisfying the remaining service condition of the awards.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months ended April 30, 2013, Autodesk granted 0.5 million restricted stock units. The restricted stock units vest over periods ranging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immediately upon grant to a pre-determined date that is typically within three years from the date of grant. Restricted stock units are not considered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stock at the time of grant, as the holders of these units are not entitled to any of the rights of a stockholder, including voting rights.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restricted stock units is expensed ratably over the vesting period. Autodesk recorded stock-based compensation expense related to restricted stock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 million during the three months ended April 30, 2013. Autodesk recorded stock-based compensation expense related to restricted stock units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$10.8 million during the three months ended April 30, 2012. As of April 30, 2013, total compensation cost not yet recognized of $97.5 million related to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vested restricted stock units, is expected to be recognized over a weighted average period of 1.8 years. At April 30, 2013, the number of restricted stock units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granted but unreleased was 4.4 million.</w:t>
      </w:r>
    </w:p>
    <w:p>
      <w:pPr>
        <w:spacing w:after="0" w:line="21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During the three months ended April 30, 2013, Autodesk granted 0.5 million performance restricted stock units ("PSUs") for which the ultimate number of shares earned is determined based on the achievement of performance criteria at the end of the stated performance period. The performance criteria is based upon annual revenue and non-GAAP operating margin goals adopted by the Compensation and Human Resource Committee (the “Annual Financial Results”), as well as total stockholder return compared against the S&amp;P Computer Software Select Index (“Relative TSR”). Each PSU covers a three year period:</w:t>
      </w:r>
    </w:p>
    <w:p>
      <w:pPr>
        <w:spacing w:after="0" w:line="188" w:lineRule="exact"/>
        <w:rPr>
          <w:sz w:val="20"/>
          <w:szCs w:val="20"/>
          <w:color w:val="auto"/>
        </w:rPr>
      </w:pPr>
    </w:p>
    <w:p>
      <w:pPr>
        <w:ind w:left="660" w:right="1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one depending upon the achievement of Annual Financial Results for year one as well as 1 year Relative TSR (covering year one).</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two depending upon the achievement of Annual Financial Results for year two as well as 2 year Relative TSR (covering years one and two).</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three depending upon the achievement of Annual Financial Results for year three as well as 3 year Relative TSR (covering years one, two and three).</w:t>
      </w:r>
    </w:p>
    <w:p>
      <w:pPr>
        <w:spacing w:after="0" w:line="1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PSUs is expensed using the straight-line method over the vesting period. Autodesk recorded stock-based compensation expense related to PSUs of $2.7 million and $1.2 million for the three months ended April 30, 2013 and 2012, respectively. As of April 30, 2013, total compensation cost not yet recognized of $11.1 million related to non-vested performance restricted stock units, is expected to be recognized over a weighted average period of 1.7 years. At April 30, 2013, the number of PSUs granted but not vested was 0.8 million.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ind w:left="22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April 30, 2013, a total of 34.7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9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Autodesk issued 1.5 million shares under the ESP Plan during the three months ended April 30, 2013 with an average price of $22.32 per share. During the three months ended April 30, 2012, Autodesk issued 1.6 million shares under the ESP Plan, at average prices of $21.63 per share, respectively. The weighted average grant date fair value of awards granted under the ESP Plan during the three months ended April 30, 2013, calculated as of the award grant date using the Black-Scholes-Merton option pricing model, was $11.84 per share. The weighted average grant date fair value of awards granted under the ESP Plan during the three months ended April 30, 2012, calculated as of the award grant date using the Black-Scholes-Merton option pricing model, was $14.00 per share.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stock-based compensation expense for the three months ended April 30, 2013 and 2012, respectively,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92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April</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April</w:t>
            </w:r>
          </w:p>
        </w:tc>
      </w:tr>
      <w:tr>
        <w:trPr>
          <w:trHeight w:val="192"/>
        </w:trPr>
        <w:tc>
          <w:tcPr>
            <w:tcW w:w="76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30, 2013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30, 2012</w:t>
            </w:r>
          </w:p>
        </w:tc>
      </w:tr>
      <w:tr>
        <w:trPr>
          <w:trHeight w:val="23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Cost of subscription</w:t>
            </w:r>
          </w:p>
        </w:tc>
        <w:tc>
          <w:tcPr>
            <w:tcW w:w="38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0.4</w:t>
            </w:r>
          </w:p>
        </w:tc>
      </w:tr>
      <w:tr>
        <w:trPr>
          <w:trHeight w:val="33"/>
        </w:trPr>
        <w:tc>
          <w:tcPr>
            <w:tcW w:w="7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11.1</w:t>
            </w:r>
          </w:p>
        </w:tc>
      </w:tr>
      <w:tr>
        <w:trPr>
          <w:trHeight w:val="33"/>
        </w:trPr>
        <w:tc>
          <w:tcPr>
            <w:tcW w:w="7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r>
      <w:tr>
        <w:trPr>
          <w:trHeight w:val="217"/>
        </w:trPr>
        <w:tc>
          <w:tcPr>
            <w:tcW w:w="760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33.4</w:t>
            </w:r>
          </w:p>
        </w:tc>
      </w:tr>
      <w:tr>
        <w:trPr>
          <w:trHeight w:val="33"/>
        </w:trPr>
        <w:tc>
          <w:tcPr>
            <w:tcW w:w="7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7"/>
        </w:trPr>
        <w:tc>
          <w:tcPr>
            <w:tcW w:w="760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38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24.7</w:t>
            </w:r>
          </w:p>
        </w:tc>
      </w:tr>
      <w:tr>
        <w:trPr>
          <w:trHeight w:val="33"/>
        </w:trPr>
        <w:tc>
          <w:tcPr>
            <w:tcW w:w="76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Autodesk determines the grant-date fair value of our share-based payment awards using a Black-Scholes model or the quoted stock price on the date of grant, unless the awards are subject to market conditions, in which case we use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80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Three Months Ended April 30, 2013</w:t>
            </w:r>
          </w:p>
        </w:tc>
        <w:tc>
          <w:tcPr>
            <w:tcW w:w="100" w:type="dxa"/>
            <w:vAlign w:val="bottom"/>
          </w:tcPr>
          <w:p>
            <w:pPr>
              <w:spacing w:after="0"/>
              <w:rPr>
                <w:sz w:val="16"/>
                <w:szCs w:val="16"/>
                <w:color w:val="auto"/>
              </w:rPr>
            </w:pPr>
          </w:p>
        </w:tc>
        <w:tc>
          <w:tcPr>
            <w:tcW w:w="374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Three Months Ended April 30, 2012</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Stock Option (1)</w:t>
            </w:r>
          </w:p>
        </w:tc>
        <w:tc>
          <w:tcPr>
            <w:tcW w:w="120" w:type="dxa"/>
            <w:vAlign w:val="bottom"/>
            <w:vMerge w:val="restart"/>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ESP Plan</w:t>
            </w:r>
          </w:p>
        </w:tc>
        <w:tc>
          <w:tcPr>
            <w:tcW w:w="100" w:type="dxa"/>
            <w:vAlign w:val="bottom"/>
            <w:vMerge w:val="restart"/>
          </w:tcPr>
          <w:p>
            <w:pPr>
              <w:spacing w:after="0"/>
              <w:rPr>
                <w:sz w:val="13"/>
                <w:szCs w:val="13"/>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Stock Option</w:t>
            </w:r>
          </w:p>
        </w:tc>
        <w:tc>
          <w:tcPr>
            <w:tcW w:w="100" w:type="dxa"/>
            <w:vAlign w:val="bottom"/>
            <w:vMerge w:val="restart"/>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Unit (2)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27 - 36%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44 - 45%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41 - 43%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3.6 - 4.6</w:t>
            </w:r>
          </w:p>
        </w:tc>
        <w:tc>
          <w:tcPr>
            <w:tcW w:w="10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N/A</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0.1 - 0.3%</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0.5 - 0.8%</w:t>
            </w:r>
          </w:p>
        </w:tc>
        <w:tc>
          <w:tcPr>
            <w:tcW w:w="10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0.1 - 0.3%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forfeitures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N/A</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7.8%</w:t>
            </w:r>
          </w:p>
        </w:tc>
        <w:tc>
          <w:tcPr>
            <w:tcW w:w="0" w:type="dxa"/>
            <w:vAlign w:val="bottom"/>
          </w:tcPr>
          <w:p>
            <w:pPr>
              <w:spacing w:after="0"/>
              <w:rPr>
                <w:sz w:val="1"/>
                <w:szCs w:val="1"/>
                <w:color w:val="auto"/>
              </w:rPr>
            </w:pPr>
          </w:p>
        </w:tc>
      </w:tr>
      <w:tr>
        <w:trPr>
          <w:trHeight w:val="193"/>
        </w:trPr>
        <w:tc>
          <w:tcPr>
            <w:tcW w:w="3780" w:type="dxa"/>
            <w:vAlign w:val="bottom"/>
          </w:tcPr>
          <w:p>
            <w:pPr>
              <w:ind w:left="40"/>
              <w:spacing w:after="0"/>
              <w:rPr>
                <w:sz w:val="20"/>
                <w:szCs w:val="20"/>
                <w:color w:val="auto"/>
              </w:rPr>
            </w:pPr>
            <w:r>
              <w:rPr>
                <w:rFonts w:ascii="Arial" w:cs="Arial" w:eastAsia="Arial" w:hAnsi="Arial"/>
                <w:sz w:val="16"/>
                <w:szCs w:val="16"/>
                <w:color w:val="auto"/>
              </w:rPr>
              <w:t>_______________</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Autodesk did not grant stock options in the three months ended April 30, 2013.</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Autodesk did not grant PSUs in the three months ended April 30, 2012 that were subject to market conditions.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right="6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Black-Scholes-Merton option pricing model and the Monte Carlo simulation model.</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risk-free interest rate used in the Black-Scholes-Merton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Autodesk’s effective tax rate was 23% during the three months ended April 30, 2013 compared to 19% during the three months ended April 30, 2012. Autodesk's effective tax rate increased 4% during the three months ended April 30, 2013 as compared to the same period in the prior fiscal year primarily due to discrete tax benefits from closure of the statute of limitations during the first quarter of fiscal 2013 and lower tax benefits related to stock based compensation in the first quarter of fiscal 2014, partially offset by tax benefits from the reinstated federal research credit. Excluding the impact of discrete tax items, the effective tax rate for the three months ended April 30, 2013 was 24%, and was lower than the Federal statutory tax rate of 35% primarily due to foreign income taxed at lower rates partially offset by the impact of non-deductible stock based compensation expense.</w:t>
      </w:r>
    </w:p>
    <w:p>
      <w:pPr>
        <w:spacing w:after="0" w:line="178"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As of April 30, 2013, the Company had $214.7 million of gross unrecognized tax benefits, excluding interest, of which approximately $205.4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At April 30, 2013, Autodesk had net deferred tax assets of $190.3 million. The Company believes that it will generate sufficient future taxable income in appropriate tax jurisdictions to realize these assets.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During the three months ended April 30, 2013, Autodesk completed three business combinations for total cash consideration of approximately $35.0 million. The results of operations for the following acquisitions are included in the accompanying Condensed Consolidated Statement of Operations since their respective acquisition dates. Pro forma results of operations have not been presented because the effects of the acquisitions, individually and in the aggregate, were not material to Autodesk’s Condensed Consolidated Financial Statements.</w:t>
      </w:r>
    </w:p>
    <w:p>
      <w:pPr>
        <w:spacing w:after="0" w:line="17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84" w:right="279" w:bottom="1440" w:gutter="0" w:footer="0" w:header="0"/>
        </w:sectPr>
      </w:pPr>
    </w:p>
    <w:bookmarkStart w:id="18" w:name="page19"/>
    <w:bookmarkEnd w:id="18"/>
    <w:p>
      <w:pPr>
        <w:ind w:right="80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and technology acquisitions completed during the three months ended April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r>
      <w:tr>
        <w:trPr>
          <w:trHeight w:val="237"/>
        </w:trPr>
        <w:tc>
          <w:tcPr>
            <w:tcW w:w="1046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3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2.0</w:t>
            </w:r>
          </w:p>
        </w:tc>
      </w:tr>
      <w:tr>
        <w:trPr>
          <w:trHeight w:val="33"/>
        </w:trPr>
        <w:tc>
          <w:tcPr>
            <w:tcW w:w="10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r>
      <w:tr>
        <w:trPr>
          <w:trHeight w:val="237"/>
        </w:trPr>
        <w:tc>
          <w:tcPr>
            <w:tcW w:w="1046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27.3</w:t>
            </w:r>
          </w:p>
        </w:tc>
      </w:tr>
      <w:tr>
        <w:trPr>
          <w:trHeight w:val="33"/>
        </w:trPr>
        <w:tc>
          <w:tcPr>
            <w:tcW w:w="10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r>
      <w:tr>
        <w:trPr>
          <w:trHeight w:val="237"/>
        </w:trPr>
        <w:tc>
          <w:tcPr>
            <w:tcW w:w="10460" w:type="dxa"/>
            <w:vAlign w:val="bottom"/>
          </w:tcPr>
          <w:p>
            <w:pPr>
              <w:ind w:left="40"/>
              <w:spacing w:after="0"/>
              <w:rPr>
                <w:sz w:val="20"/>
                <w:szCs w:val="20"/>
                <w:color w:val="auto"/>
              </w:rPr>
            </w:pPr>
            <w:r>
              <w:rPr>
                <w:rFonts w:ascii="Arial" w:cs="Arial" w:eastAsia="Arial" w:hAnsi="Arial"/>
                <w:sz w:val="16"/>
                <w:szCs w:val="16"/>
                <w:color w:val="auto"/>
              </w:rPr>
              <w:t>Net tangible assets</w:t>
            </w:r>
          </w:p>
        </w:tc>
        <w:tc>
          <w:tcPr>
            <w:tcW w:w="3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0.2</w:t>
            </w:r>
          </w:p>
        </w:tc>
      </w:tr>
      <w:tr>
        <w:trPr>
          <w:trHeight w:val="33"/>
        </w:trPr>
        <w:tc>
          <w:tcPr>
            <w:tcW w:w="10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10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r>
      <w:tr>
        <w:trPr>
          <w:trHeight w:val="20"/>
        </w:trPr>
        <w:tc>
          <w:tcPr>
            <w:tcW w:w="10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Other intangible assets that include purchased technologies, customer relationships, trade names, patents, user lists and the related accumulated amortization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2013</w:t>
            </w:r>
          </w:p>
        </w:tc>
        <w:tc>
          <w:tcPr>
            <w:tcW w:w="14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2013</w:t>
            </w:r>
          </w:p>
        </w:tc>
        <w:tc>
          <w:tcPr>
            <w:tcW w:w="0" w:type="dxa"/>
            <w:vAlign w:val="bottom"/>
          </w:tcPr>
          <w:p>
            <w:pPr>
              <w:spacing w:after="0"/>
              <w:rPr>
                <w:sz w:val="1"/>
                <w:szCs w:val="1"/>
                <w:color w:val="auto"/>
              </w:rPr>
            </w:pPr>
          </w:p>
        </w:tc>
      </w:tr>
      <w:tr>
        <w:trPr>
          <w:trHeight w:val="236"/>
        </w:trPr>
        <w:tc>
          <w:tcPr>
            <w:tcW w:w="8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Purchased technologies, at cost</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r>
              <w:rPr>
                <w:rFonts w:ascii="Arial" w:cs="Arial" w:eastAsia="Arial" w:hAnsi="Arial"/>
                <w:sz w:val="16"/>
                <w:szCs w:val="16"/>
                <w:color w:val="auto"/>
              </w:rPr>
              <w:t>Customer relationships, trade names, patents, user list, at cost (1)</w:t>
            </w:r>
          </w:p>
        </w:tc>
        <w:tc>
          <w:tcPr>
            <w:tcW w:w="20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260.5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690.5</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(546.3)</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line="263"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 Customer relationships and trade names include the effects of foreign currency translation.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during the three months ended April 30, 2013,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Architecture,</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2013</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310.3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389.9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1,020.7</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310.3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871.5</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 arising from other acquisitions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20"/>
        </w:trPr>
        <w:tc>
          <w:tcPr>
            <w:tcW w:w="3500" w:type="dxa"/>
            <w:vAlign w:val="bottom"/>
          </w:tcPr>
          <w:p>
            <w:pPr>
              <w:ind w:left="380"/>
              <w:spacing w:after="0"/>
              <w:rPr>
                <w:sz w:val="20"/>
                <w:szCs w:val="20"/>
                <w:color w:val="auto"/>
              </w:rPr>
            </w:pPr>
            <w:r>
              <w:rPr>
                <w:rFonts w:ascii="Arial" w:cs="Arial" w:eastAsia="Arial" w:hAnsi="Arial"/>
                <w:sz w:val="16"/>
                <w:szCs w:val="16"/>
                <w:color w:val="auto"/>
              </w:rPr>
              <w:t>Effect of foreign currency translation and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tcPr>
          <w:p>
            <w:pPr>
              <w:ind w:left="540"/>
              <w:spacing w:after="0"/>
              <w:rPr>
                <w:sz w:val="20"/>
                <w:szCs w:val="20"/>
                <w:color w:val="auto"/>
              </w:rPr>
            </w:pPr>
            <w:r>
              <w:rPr>
                <w:rFonts w:ascii="Arial" w:cs="Arial" w:eastAsia="Arial" w:hAnsi="Arial"/>
                <w:sz w:val="16"/>
                <w:szCs w:val="16"/>
                <w:color w:val="auto"/>
              </w:rPr>
              <w:t>purchase accounting adjustments</w:t>
            </w:r>
          </w:p>
        </w:tc>
        <w:tc>
          <w:tcPr>
            <w:tcW w:w="20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April 30, 2013</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326.0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1,044.9</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326.0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397.9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895.7</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For purposes of the goodwill impairment test, a reporting unit is an operating segment or one level below. Autodesk's operating segments are aligned with the management principles of Autodesk's business.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84" w:right="279" w:bottom="1440" w:gutter="0" w:footer="0" w:header="0"/>
        </w:sectPr>
      </w:pPr>
    </w:p>
    <w:bookmarkStart w:id="19" w:name="page20"/>
    <w:bookmarkEnd w:id="19"/>
    <w:p>
      <w:pPr>
        <w:ind w:firstLine="405"/>
        <w:spacing w:after="0" w:line="268" w:lineRule="auto"/>
        <w:rPr>
          <w:sz w:val="20"/>
          <w:szCs w:val="20"/>
          <w:color w:val="auto"/>
        </w:rPr>
      </w:pPr>
      <w:r>
        <w:rPr>
          <w:rFonts w:ascii="Arial" w:cs="Arial" w:eastAsia="Arial" w:hAnsi="Arial"/>
          <w:sz w:val="17"/>
          <w:szCs w:val="17"/>
          <w:color w:val="auto"/>
        </w:rPr>
        <w:t>When assessing goodwill for impairment, Autodesk first assesses qualitative factors to determine whether the existence of events or circumstances leads to a determination that it is more likely than not that the fair value of a reporting unit is less than its carrying amount. Qualitative factors considered in this assessment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a two-step quantitative impairment test is unnecessary. If a two-step quantitative impairment test is necessary, Autodesk uses discounted cash flow models which include assumptions regarding projected cash flows. Variances in these assumptions could have a significant impact on our conclusion as to whether goodwill is impaired, or the amount of any impairment charge. Impairment charges, if any, result from instances where the fair values of net assets associated with goodwill are less than their carrying values. As changes in business conditions and our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At April 30, 2013, Autodesk had marketable securities totaling $824.1 million, of which $38.4 million related to investments in debt and equity securities that are held in a rabbi trust under non-qualified deferred compensation plans. The total related deferred compensation liability was $38.4 million at April 30, 2013, of which $4.1 million was classified as current and $34.3 million was classified as non-current liabilities. The value of debt and equity securities held in the rabbi trust at January 31, 2013 was $35.3 million. The total related deferred compensation liability at January 31, 2013 was $35.3 million, of which $3.9 million was classified as current and $31.4 million was classified as non-current liabilities. The current and non-current portions of the liability are recorded in the Condensed Consolidated Balance Sheets under “Accrued compensation” and “Other liabilities,”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p>
      <w:pPr>
        <w:ind w:left="8500"/>
        <w:spacing w:after="0"/>
        <w:tabs>
          <w:tab w:leader="none" w:pos="9960" w:val="left"/>
        </w:tabs>
        <w:rPr>
          <w:sz w:val="20"/>
          <w:szCs w:val="20"/>
          <w:color w:val="auto"/>
        </w:rPr>
      </w:pPr>
      <w:r>
        <w:rPr>
          <w:rFonts w:ascii="Arial" w:cs="Arial" w:eastAsia="Arial" w:hAnsi="Arial"/>
          <w:sz w:val="14"/>
          <w:szCs w:val="14"/>
          <w:b w:val="1"/>
          <w:bCs w:val="1"/>
          <w:color w:val="auto"/>
        </w:rPr>
        <w:t>April 30, 2013</w:t>
      </w:r>
      <w:r>
        <w:rPr>
          <w:sz w:val="20"/>
          <w:szCs w:val="20"/>
          <w:color w:val="auto"/>
        </w:rPr>
        <w:tab/>
      </w:r>
      <w:r>
        <w:rPr>
          <w:rFonts w:ascii="Arial" w:cs="Arial" w:eastAsia="Arial" w:hAnsi="Arial"/>
          <w:sz w:val="13"/>
          <w:szCs w:val="13"/>
          <w:b w:val="1"/>
          <w:bCs w:val="1"/>
          <w:color w:val="auto"/>
        </w:rPr>
        <w:t>January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660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software,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hardware,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Leasehold improvements, land and buildings,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Furniture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66" w:lineRule="exact"/>
        <w:rPr>
          <w:sz w:val="20"/>
          <w:szCs w:val="20"/>
          <w:color w:val="auto"/>
        </w:rPr>
      </w:pPr>
    </w:p>
    <w:p>
      <w:pPr>
        <w:ind w:left="120" w:right="3200" w:hanging="80"/>
        <w:spacing w:after="0" w:line="293" w:lineRule="auto"/>
        <w:rPr>
          <w:sz w:val="20"/>
          <w:szCs w:val="20"/>
          <w:color w:val="auto"/>
        </w:rPr>
      </w:pPr>
      <w:r>
        <w:rPr>
          <w:rFonts w:ascii="Arial" w:cs="Arial" w:eastAsia="Arial" w:hAnsi="Arial"/>
          <w:sz w:val="16"/>
          <w:szCs w:val="16"/>
          <w:color w:val="auto"/>
        </w:rPr>
        <w:t>Computer software, hardware, leasehold improvements, furniture and equipment, net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95.1</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152.3</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152.4</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46.0</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469.9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445.8</w:t>
            </w:r>
          </w:p>
        </w:tc>
      </w:tr>
      <w:tr>
        <w:trPr>
          <w:trHeight w:val="270"/>
        </w:trPr>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(330.9)</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93"/>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114.9</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80" w:space="720"/>
            <w:col w:w="3200"/>
          </w:cols>
          <w:pgMar w:left="240" w:top="584" w:right="2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December 2012, Autodesk issued $400.0 million aggregate principal amount of 1.95% senior notes due December 15, 2017 and $350.0 million aggregate principal amount of 3.6% senior notes due December 15, 2022, (collectively, the "Senior Notes"). Autodesk received net proceeds of $739.3 million from issuance of the Senior Notes, net of a discount of $4.5 million and issuance costs of $6.1 million. Both the discount and issuance costs are being amortized to interest expense over the respective terms of the Senior Notes using the effective interest method. The proceeds of the Senior Notes are available for general corporate purposes. Autodesk may redeem the Senior Notes at any time, subject to a make whole premium. In addition, upon the occurrence of certain change of control triggering events, Autodesk may be required to repurchase the Senior Notes, at a price equal to 101% of their principal amount, plus accrued and unpaid interest to the date of repurchase. The Senior Notes contain restrictive covenants that limit our ability to create certain liens, to enter into certain sale and leaseback transactions and to consolidate or merge with, or convey, transfer or lease all or substantially all of our assets, subject to significant qualifications and exceptions. Based on quoted market prices, the fair value of the Senior Notes was approximately $759.1 million as of April 30, 2013.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type w:val="continuous"/>
        </w:sectPr>
      </w:pPr>
    </w:p>
    <w:bookmarkStart w:id="20" w:name="page21"/>
    <w:bookmarkEnd w:id="20"/>
    <w:p>
      <w:pPr>
        <w:ind w:firstLine="405"/>
        <w:spacing w:after="0" w:line="293" w:lineRule="auto"/>
        <w:rPr>
          <w:sz w:val="20"/>
          <w:szCs w:val="20"/>
          <w:color w:val="auto"/>
        </w:rPr>
      </w:pPr>
      <w:r>
        <w:rPr>
          <w:rFonts w:ascii="Arial" w:cs="Arial" w:eastAsia="Arial" w:hAnsi="Arial"/>
          <w:sz w:val="16"/>
          <w:szCs w:val="16"/>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line of credit is syndicated with various financial institutions, including Citibank, N.A., an affiliate of Citibank, which is one of the lead lenders and an agent. At April 30, 2013, Autodesk had no outstanding borrowings on this line of credit. This facility expires in May 2016. See Note 19, "Subsequent Events," for additional information about our credit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During the third quarter of fiscal 2013, the Board of Directors of the Company approved a world-wide restructuring plan in line with the Company's strategy, including its continuing shift to cloud and mobile computing. The plan included a reduction of approximately 500 positions and the consolidation of eight leased facilities with a total cost of up to $52.0 million ("Fiscal 2013 Plan"). During the three months ended April 30, 2013, Autodesk recorded restructuring charges of $0.4 million. Of this amount, $0.3 million was recorded for one-time termination benefits and other costs and $0.1 million was recorded for facilities-related costs. The one-time termination benefits have been substantially paid as of January 31, 2013. Autodesk expects to pay the facility related liabilities through the fourth quarter of fiscal 2019.</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restructuring activities during the three months ended April 30, 2013.</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80"/>
              <w:spacing w:after="0"/>
              <w:rPr>
                <w:sz w:val="20"/>
                <w:szCs w:val="20"/>
                <w:color w:val="auto"/>
              </w:rPr>
            </w:pPr>
            <w:r>
              <w:rPr>
                <w:rFonts w:ascii="Arial" w:cs="Arial" w:eastAsia="Arial" w:hAnsi="Arial"/>
                <w:sz w:val="14"/>
                <w:szCs w:val="14"/>
                <w:b w:val="1"/>
                <w:bCs w:val="1"/>
                <w:color w:val="auto"/>
                <w:w w:val="99"/>
              </w:rPr>
              <w:t>Balance at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Adjustments(1)</w:t>
            </w:r>
          </w:p>
        </w:tc>
        <w:tc>
          <w:tcPr>
            <w:tcW w:w="120" w:type="dxa"/>
            <w:vAlign w:val="bottom"/>
          </w:tcPr>
          <w:p>
            <w:pPr>
              <w:spacing w:after="0"/>
              <w:rPr>
                <w:sz w:val="14"/>
                <w:szCs w:val="14"/>
                <w:color w:val="auto"/>
              </w:rPr>
            </w:pPr>
          </w:p>
        </w:tc>
        <w:tc>
          <w:tcPr>
            <w:tcW w:w="1040" w:type="dxa"/>
            <w:vAlign w:val="bottom"/>
          </w:tcPr>
          <w:p>
            <w:pPr>
              <w:jc w:val="right"/>
              <w:ind w:right="161"/>
              <w:spacing w:after="0"/>
              <w:rPr>
                <w:sz w:val="20"/>
                <w:szCs w:val="20"/>
                <w:color w:val="auto"/>
              </w:rPr>
            </w:pPr>
            <w:r>
              <w:rPr>
                <w:rFonts w:ascii="Arial" w:cs="Arial" w:eastAsia="Arial" w:hAnsi="Arial"/>
                <w:sz w:val="14"/>
                <w:szCs w:val="14"/>
                <w:b w:val="1"/>
                <w:bCs w:val="1"/>
                <w:color w:val="auto"/>
              </w:rPr>
              <w:t>Balances at</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January 31, 2013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4"/>
                <w:szCs w:val="14"/>
                <w:b w:val="1"/>
                <w:bCs w:val="1"/>
                <w:color w:val="auto"/>
                <w:w w:val="95"/>
              </w:rPr>
              <w:t>April 30, 2013</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2013 Plan</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9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asset costs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296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73"/>
        </w:trPr>
        <w:tc>
          <w:tcPr>
            <w:tcW w:w="29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Non-current portion(2)</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right="60" w:hanging="412"/>
        <w:spacing w:after="0" w:line="257"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800" w:right="279" w:bottom="1440" w:gutter="0" w:footer="0" w:header="0"/>
        </w:sectPr>
      </w:pPr>
    </w:p>
    <w:bookmarkStart w:id="21" w:name="page22"/>
    <w:bookmarkEnd w:id="21"/>
    <w:p>
      <w:pPr>
        <w:ind w:right="420"/>
        <w:spacing w:after="0" w:line="277" w:lineRule="auto"/>
        <w:rPr>
          <w:sz w:val="20"/>
          <w:szCs w:val="20"/>
          <w:color w:val="auto"/>
        </w:rPr>
      </w:pPr>
      <w:r>
        <w:rPr>
          <w:rFonts w:ascii="Arial" w:cs="Arial" w:eastAsia="Arial" w:hAnsi="Arial"/>
          <w:sz w:val="18"/>
          <w:szCs w:val="18"/>
          <w:color w:val="auto"/>
        </w:rPr>
        <w:t>may enable Autodesk to recover a portion of any future amounts paid. Autodesk believes the estimated fair value of these indemnification agreements in excess of applicable insurance coverage is minimal.</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During the three months ended April 30, 2013, Autodesk repurchased and retired 3.2 million shares at an average repurchase price of $40.18 per share. Common stock and additional paid-in capital and retained earnings were reduced by $61.5 million and $67.7 million, respectively, during the three months ended April 30, 2013.</w:t>
      </w:r>
    </w:p>
    <w:p>
      <w:pPr>
        <w:spacing w:after="0" w:line="18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At April 30, 2013, 29.0 million shares remained available for repurchase under the repurchase program approved by the Board of Directors. During the three months ended April 30, 2013,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April 30, 2013 and January 31, 2013:</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2013</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2013</w:t>
            </w:r>
          </w:p>
        </w:tc>
      </w:tr>
      <w:tr>
        <w:trPr>
          <w:trHeight w:val="236"/>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gain on derivative instruments</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Net unrealized gain on available-for-sale securities</w:t>
            </w:r>
          </w:p>
        </w:tc>
        <w:tc>
          <w:tcPr>
            <w:tcW w:w="2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3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portion of pension plans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33"/>
        </w:trPr>
        <w:tc>
          <w:tcPr>
            <w:tcW w:w="8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Reclassifications from Accumulated other comprehensive loss to Net income for the three months ended April 30, 2013 were not significant.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Per Share</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Basic net income per share is computed using the weighted average number of shares of common stock outstanding for the period, including restricted stock awards and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6"/>
              </w:rPr>
              <w:t>Three Months Ended April 30,</w:t>
            </w:r>
          </w:p>
        </w:tc>
        <w:tc>
          <w:tcPr>
            <w:tcW w:w="0" w:type="dxa"/>
            <w:vAlign w:val="bottom"/>
          </w:tcPr>
          <w:p>
            <w:pPr>
              <w:spacing w:after="0"/>
              <w:rPr>
                <w:sz w:val="1"/>
                <w:szCs w:val="1"/>
                <w:color w:val="auto"/>
              </w:rPr>
            </w:pPr>
          </w:p>
        </w:tc>
      </w:tr>
      <w:tr>
        <w:trPr>
          <w:trHeight w:val="264"/>
        </w:trPr>
        <w:tc>
          <w:tcPr>
            <w:tcW w:w="9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9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26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73"/>
        </w:trPr>
        <w:tc>
          <w:tcPr>
            <w:tcW w:w="926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2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26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1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223.8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228.1</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926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229.3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73"/>
        </w:trPr>
        <w:tc>
          <w:tcPr>
            <w:tcW w:w="926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2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The computation of diluted net income per share does not include shares that are anti-dilutive under the treasury stock method because their exercise prices are higher than the average market value of Autodesk’s stock during the period. For the three months ended April 30, 2013 and 2012, 8.2 million and 9.1 million potentially anti-dilutive shares, respectively, were excluded from the computation of diluted net income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PSEB, Architecture, Engineering and Construction (“AEC”), Manufacturing (“MFG”) and Media and Entertainment (“M&amp;E”). Autodesk has no material inter-segment revenue.</w:t>
      </w:r>
    </w:p>
    <w:p>
      <w:pPr>
        <w:spacing w:after="0" w:line="18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60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200"/>
        <w:spacing w:after="0" w:line="255" w:lineRule="auto"/>
        <w:rPr>
          <w:sz w:val="20"/>
          <w:szCs w:val="20"/>
          <w:color w:val="auto"/>
        </w:rPr>
      </w:pPr>
      <w:r>
        <w:rPr>
          <w:rFonts w:ascii="Arial" w:cs="Arial" w:eastAsia="Arial" w:hAnsi="Arial"/>
          <w:sz w:val="18"/>
          <w:szCs w:val="18"/>
          <w:color w:val="auto"/>
        </w:rPr>
        <w:t>serve. Autodesk’s AutoCAD product also provides a platform for Autodesk’s developer partners to build custom solutions for a range of diverse design-oriented markets. PSEB’s revenue primarily includes revenue from sales of licenses of Autodesk’s design products, AutoCAD and AutoCAD LT, as well as the Autodesk Design Suite and many other design products, including consumer design products.</w:t>
      </w:r>
    </w:p>
    <w:p>
      <w:pPr>
        <w:spacing w:after="0" w:line="190"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Autodesk Revit, AutoCAD Civil 3D and AutoCAD Map 3D.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firstLine="405"/>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AutoCAD Mechanical Autodesk Inventor and Autodesk Moldflow products.</w:t>
      </w:r>
    </w:p>
    <w:p>
      <w:pPr>
        <w:spacing w:after="0" w:line="18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M&amp;E consists of two product groups: Animation, including design visualization, and Creative Finishing. Animation products, such as Autodesk Maya, Autodesk 3ds Max, and the Autodesk Entertainment Creation Suites, provide tools for digital sculpting, modeling, animation, effects, rendering and compositing, for design visualization, visual effects and games production. M&amp;E products are also included in a number of PSEB, AEC, and MFG focused suites. Creative Finishing products provide editing, finishing and visual effects design and color grading.</w:t>
      </w:r>
    </w:p>
    <w:p>
      <w:pPr>
        <w:spacing w:after="0" w:line="18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1, “Business and Summary of Significant Accounting Policies” of our Annual Report on Form 10-K for the fiscal year ended January 31, 2013. Autodesk evaluates each segment’s performance on the basis of gross profit. Autodesk currently does not separately accumulate and report asset information by segment, except for goodwill, which is disclosed in Note 9, “Goodwill.”</w:t>
      </w:r>
    </w:p>
    <w:p>
      <w:pPr>
        <w:sectPr>
          <w:pgSz w:w="11900" w:h="16838" w:orient="portrait"/>
          <w:cols w:equalWidth="0" w:num="1">
            <w:col w:w="11380"/>
          </w:cols>
          <w:pgMar w:left="240" w:top="584" w:right="279" w:bottom="1440" w:gutter="0" w:footer="0" w:header="0"/>
        </w:sectPr>
      </w:pP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Information concerning the operations of Autodesk’s reportable segments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Platform Solutions and Emerging Business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Architecture, Engineering and Construction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Platform Solutions and Emerging Business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Architecture, Engineering and Construction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Unallocated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23495</wp:posOffset>
            </wp:positionV>
            <wp:extent cx="13722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3"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352" w:lineRule="exact"/>
        <w:rPr>
          <w:sz w:val="20"/>
          <w:szCs w:val="20"/>
          <w:color w:val="auto"/>
        </w:rPr>
      </w:pPr>
    </w:p>
    <w:p>
      <w:pPr>
        <w:spacing w:after="0"/>
        <w:tabs>
          <w:tab w:leader="none" w:pos="520" w:val="left"/>
          <w:tab w:leader="none" w:pos="1140" w:val="left"/>
          <w:tab w:leader="none" w:pos="1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212.7</w:t>
        <w:tab/>
        <w:t>$</w:t>
      </w:r>
      <w:r>
        <w:rPr>
          <w:sz w:val="20"/>
          <w:szCs w:val="20"/>
          <w:color w:val="auto"/>
        </w:rPr>
        <w:tab/>
      </w:r>
      <w:r>
        <w:rPr>
          <w:rFonts w:ascii="Arial" w:cs="Arial" w:eastAsia="Arial" w:hAnsi="Arial"/>
          <w:sz w:val="15"/>
          <w:szCs w:val="15"/>
          <w:color w:val="auto"/>
        </w:rPr>
        <w:t>226.8</w:t>
      </w:r>
    </w:p>
    <w:p>
      <w:pPr>
        <w:spacing w:after="0" w:line="8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172.1</w:t>
      </w:r>
      <w:r>
        <w:rPr>
          <w:sz w:val="20"/>
          <w:szCs w:val="20"/>
          <w:color w:val="auto"/>
        </w:rPr>
        <w:tab/>
      </w:r>
      <w:r>
        <w:rPr>
          <w:rFonts w:ascii="Arial" w:cs="Arial" w:eastAsia="Arial" w:hAnsi="Arial"/>
          <w:sz w:val="15"/>
          <w:szCs w:val="15"/>
          <w:color w:val="auto"/>
        </w:rPr>
        <w:t>165.7</w:t>
      </w:r>
    </w:p>
    <w:p>
      <w:pPr>
        <w:spacing w:after="0" w:line="8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139.1</w:t>
      </w:r>
      <w:r>
        <w:rPr>
          <w:sz w:val="20"/>
          <w:szCs w:val="20"/>
          <w:color w:val="auto"/>
        </w:rPr>
        <w:tab/>
      </w:r>
      <w:r>
        <w:rPr>
          <w:rFonts w:ascii="Arial" w:cs="Arial" w:eastAsia="Arial" w:hAnsi="Arial"/>
          <w:sz w:val="15"/>
          <w:szCs w:val="15"/>
          <w:color w:val="auto"/>
        </w:rPr>
        <w:t>145.6</w:t>
      </w:r>
    </w:p>
    <w:p>
      <w:pPr>
        <w:spacing w:after="0" w:line="86"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46.5</w:t>
      </w:r>
      <w:r>
        <w:rPr>
          <w:sz w:val="20"/>
          <w:szCs w:val="20"/>
          <w:color w:val="auto"/>
        </w:rPr>
        <w:tab/>
      </w:r>
      <w:r>
        <w:rPr>
          <w:rFonts w:ascii="Arial" w:cs="Arial" w:eastAsia="Arial" w:hAnsi="Arial"/>
          <w:sz w:val="15"/>
          <w:szCs w:val="15"/>
          <w:color w:val="auto"/>
        </w:rPr>
        <w:t>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spacing w:after="0"/>
        <w:tabs>
          <w:tab w:leader="none" w:pos="520" w:val="left"/>
          <w:tab w:leader="none" w:pos="1140" w:val="left"/>
          <w:tab w:leader="none" w:pos="1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570.4</w:t>
        <w:tab/>
        <w:t>$</w:t>
      </w:r>
      <w:r>
        <w:rPr>
          <w:sz w:val="20"/>
          <w:szCs w:val="20"/>
          <w:color w:val="auto"/>
        </w:rPr>
        <w:tab/>
      </w:r>
      <w:r>
        <w:rPr>
          <w:rFonts w:ascii="Arial" w:cs="Arial" w:eastAsia="Arial" w:hAnsi="Arial"/>
          <w:sz w:val="15"/>
          <w:szCs w:val="15"/>
          <w:color w:val="auto"/>
        </w:rPr>
        <w:t>588.6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3722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77" w:lineRule="exact"/>
        <w:rPr>
          <w:sz w:val="20"/>
          <w:szCs w:val="20"/>
          <w:color w:val="auto"/>
        </w:rPr>
      </w:pPr>
    </w:p>
    <w:p>
      <w:pPr>
        <w:spacing w:after="0"/>
        <w:tabs>
          <w:tab w:leader="none" w:pos="520" w:val="left"/>
          <w:tab w:leader="none" w:pos="1140" w:val="left"/>
          <w:tab w:leader="none" w:pos="1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195.2</w:t>
        <w:tab/>
        <w:t>$</w:t>
      </w:r>
      <w:r>
        <w:rPr>
          <w:sz w:val="20"/>
          <w:szCs w:val="20"/>
          <w:color w:val="auto"/>
        </w:rPr>
        <w:tab/>
      </w:r>
      <w:r>
        <w:rPr>
          <w:rFonts w:ascii="Arial" w:cs="Arial" w:eastAsia="Arial" w:hAnsi="Arial"/>
          <w:sz w:val="15"/>
          <w:szCs w:val="15"/>
          <w:color w:val="auto"/>
        </w:rPr>
        <w:t>213.6</w:t>
      </w:r>
    </w:p>
    <w:p>
      <w:pPr>
        <w:spacing w:after="0" w:line="8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155.5</w:t>
      </w:r>
      <w:r>
        <w:rPr>
          <w:sz w:val="20"/>
          <w:szCs w:val="20"/>
          <w:color w:val="auto"/>
        </w:rPr>
        <w:tab/>
      </w:r>
      <w:r>
        <w:rPr>
          <w:rFonts w:ascii="Arial" w:cs="Arial" w:eastAsia="Arial" w:hAnsi="Arial"/>
          <w:sz w:val="15"/>
          <w:szCs w:val="15"/>
          <w:color w:val="auto"/>
        </w:rPr>
        <w:t>151.2</w:t>
      </w:r>
    </w:p>
    <w:p>
      <w:pPr>
        <w:spacing w:after="0" w:line="8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127.5</w:t>
      </w:r>
      <w:r>
        <w:rPr>
          <w:sz w:val="20"/>
          <w:szCs w:val="20"/>
          <w:color w:val="auto"/>
        </w:rPr>
        <w:tab/>
      </w:r>
      <w:r>
        <w:rPr>
          <w:rFonts w:ascii="Arial" w:cs="Arial" w:eastAsia="Arial" w:hAnsi="Arial"/>
          <w:sz w:val="15"/>
          <w:szCs w:val="15"/>
          <w:color w:val="auto"/>
        </w:rPr>
        <w:t>134.3</w:t>
      </w:r>
    </w:p>
    <w:p>
      <w:pPr>
        <w:spacing w:after="0" w:line="86"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6"/>
          <w:szCs w:val="16"/>
          <w:color w:val="auto"/>
        </w:rPr>
        <w:t>37.0</w:t>
      </w:r>
      <w:r>
        <w:rPr>
          <w:sz w:val="20"/>
          <w:szCs w:val="20"/>
          <w:color w:val="auto"/>
        </w:rPr>
        <w:tab/>
      </w:r>
      <w:r>
        <w:rPr>
          <w:rFonts w:ascii="Arial" w:cs="Arial" w:eastAsia="Arial" w:hAnsi="Arial"/>
          <w:sz w:val="15"/>
          <w:szCs w:val="15"/>
          <w:color w:val="auto"/>
        </w:rPr>
        <w:t>41.8</w:t>
      </w:r>
    </w:p>
    <w:p>
      <w:pPr>
        <w:spacing w:after="0" w:line="86" w:lineRule="exact"/>
        <w:rPr>
          <w:sz w:val="20"/>
          <w:szCs w:val="20"/>
          <w:color w:val="auto"/>
        </w:rPr>
      </w:pPr>
    </w:p>
    <w:p>
      <w:pPr>
        <w:jc w:val="right"/>
        <w:ind w:right="20"/>
        <w:spacing w:after="0"/>
        <w:tabs>
          <w:tab w:leader="none" w:pos="36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4"/>
          <w:szCs w:val="14"/>
          <w:color w:val="auto"/>
        </w:rPr>
        <w:t>(11.1)</w:t>
      </w:r>
    </w:p>
    <w:p>
      <w:pPr>
        <w:spacing w:after="0" w:line="86" w:lineRule="exact"/>
        <w:rPr>
          <w:sz w:val="20"/>
          <w:szCs w:val="20"/>
          <w:color w:val="auto"/>
        </w:rPr>
      </w:pPr>
    </w:p>
    <w:p>
      <w:pPr>
        <w:spacing w:after="0"/>
        <w:tabs>
          <w:tab w:leader="none" w:pos="520" w:val="left"/>
          <w:tab w:leader="none" w:pos="1140" w:val="left"/>
          <w:tab w:leader="none" w:pos="1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502.9</w:t>
        <w:tab/>
        <w:t>$</w:t>
      </w:r>
      <w:r>
        <w:rPr>
          <w:sz w:val="20"/>
          <w:szCs w:val="20"/>
          <w:color w:val="auto"/>
        </w:rPr>
        <w:tab/>
      </w:r>
      <w:r>
        <w:rPr>
          <w:rFonts w:ascii="Arial" w:cs="Arial" w:eastAsia="Arial" w:hAnsi="Arial"/>
          <w:sz w:val="15"/>
          <w:szCs w:val="15"/>
          <w:color w:val="auto"/>
        </w:rPr>
        <w:t>529.8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52070</wp:posOffset>
            </wp:positionV>
            <wp:extent cx="13722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11" w:lineRule="exact"/>
        <w:rPr>
          <w:sz w:val="20"/>
          <w:szCs w:val="20"/>
          <w:color w:val="auto"/>
        </w:rPr>
      </w:pPr>
    </w:p>
    <w:p>
      <w:pPr>
        <w:sectPr>
          <w:pgSz w:w="11900" w:h="16838" w:orient="portrait"/>
          <w:cols w:equalWidth="0" w:num="2">
            <w:col w:w="8560" w:space="720"/>
            <w:col w:w="2100"/>
          </w:cols>
          <w:pgMar w:left="240" w:top="584" w:right="279" w:bottom="1440" w:gutter="0" w:footer="0" w:header="0"/>
          <w:type w:val="continuous"/>
        </w:sectPr>
      </w:pPr>
    </w:p>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fiscal 2013 quarterly segment revenue amounts have been updated to conform with the current period's presentation.</w:t>
      </w:r>
    </w:p>
    <w:p>
      <w:pPr>
        <w:spacing w:after="0" w:line="9" w:lineRule="exact"/>
        <w:rPr>
          <w:rFonts w:ascii="Arial" w:cs="Arial" w:eastAsia="Arial" w:hAnsi="Arial"/>
          <w:sz w:val="16"/>
          <w:szCs w:val="16"/>
          <w:color w:val="auto"/>
        </w:rPr>
      </w:pPr>
    </w:p>
    <w:p>
      <w:pPr>
        <w:ind w:left="420" w:right="460" w:hanging="412"/>
        <w:spacing w:after="0" w:line="257"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584" w:right="279" w:bottom="1440" w:gutter="0" w:footer="0" w:header="0"/>
          <w:type w:val="continuous"/>
        </w:sectPr>
      </w:pPr>
    </w:p>
    <w:bookmarkStart w:id="24" w:name="page25"/>
    <w:bookmarkEnd w:id="24"/>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6"/>
              </w:rPr>
              <w:t>Three Months Ended April 30,</w:t>
            </w:r>
          </w:p>
        </w:tc>
      </w:tr>
      <w:tr>
        <w:trPr>
          <w:trHeight w:val="264"/>
        </w:trPr>
        <w:tc>
          <w:tcPr>
            <w:tcW w:w="9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r>
      <w:tr>
        <w:trPr>
          <w:trHeight w:val="210"/>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60"/>
        </w:trPr>
        <w:tc>
          <w:tcPr>
            <w:tcW w:w="9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24"/>
        </w:trPr>
        <w:tc>
          <w:tcPr>
            <w:tcW w:w="926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7"/>
        </w:trPr>
        <w:tc>
          <w:tcPr>
            <w:tcW w:w="9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166.0</w:t>
            </w:r>
          </w:p>
        </w:tc>
      </w:tr>
      <w:tr>
        <w:trPr>
          <w:trHeight w:val="237"/>
        </w:trPr>
        <w:tc>
          <w:tcPr>
            <w:tcW w:w="926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1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41.6</w:t>
            </w:r>
          </w:p>
        </w:tc>
      </w:tr>
      <w:tr>
        <w:trPr>
          <w:trHeight w:val="33"/>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207.6</w:t>
            </w:r>
          </w:p>
        </w:tc>
      </w:tr>
      <w:tr>
        <w:trPr>
          <w:trHeight w:val="217"/>
        </w:trPr>
        <w:tc>
          <w:tcPr>
            <w:tcW w:w="926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216.2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224.4</w:t>
            </w:r>
          </w:p>
        </w:tc>
      </w:tr>
      <w:tr>
        <w:trPr>
          <w:trHeight w:val="33"/>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4"/>
        </w:trPr>
        <w:tc>
          <w:tcPr>
            <w:tcW w:w="9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60"/>
        </w:trPr>
        <w:tc>
          <w:tcPr>
            <w:tcW w:w="9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37"/>
        </w:trPr>
        <w:tc>
          <w:tcPr>
            <w:tcW w:w="9260" w:type="dxa"/>
            <w:vAlign w:val="bottom"/>
          </w:tcPr>
          <w:p>
            <w:pPr>
              <w:ind w:left="720"/>
              <w:spacing w:after="0"/>
              <w:rPr>
                <w:sz w:val="20"/>
                <w:szCs w:val="20"/>
                <w:color w:val="auto"/>
              </w:rPr>
            </w:pPr>
            <w:r>
              <w:rPr>
                <w:rFonts w:ascii="Arial" w:cs="Arial" w:eastAsia="Arial" w:hAnsi="Arial"/>
                <w:sz w:val="16"/>
                <w:szCs w:val="16"/>
                <w:color w:val="auto"/>
              </w:rPr>
              <w:t>Japan</w:t>
            </w:r>
          </w:p>
        </w:tc>
        <w:tc>
          <w:tcPr>
            <w:tcW w:w="1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76.3</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80.3</w:t>
            </w:r>
          </w:p>
        </w:tc>
      </w:tr>
      <w:tr>
        <w:trPr>
          <w:trHeight w:val="217"/>
        </w:trPr>
        <w:tc>
          <w:tcPr>
            <w:tcW w:w="926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156.6</w:t>
            </w:r>
          </w:p>
        </w:tc>
      </w:tr>
      <w:tr>
        <w:trPr>
          <w:trHeight w:val="33"/>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588.6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Subsequent Events</w:t>
      </w:r>
    </w:p>
    <w:p>
      <w:pPr>
        <w:spacing w:after="0" w:line="22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On May 23, 2013, Autodesk amended and restated the credit agreement that provides for the $400.0 million unsecured revolving credit facility described in Note 12, “Borrowing Arrangements.” The amended and restated credit agreement extends the facility's maturity date from May 2016 to May 2018 and reduces facility fees and interest.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below, anticipated future net revenue, future operating margin and other future financial results (by product type and geography) and operating expenses, the effectiveness of our internal reorganization and restructuring efforts, the effectiveness of efforts to reduce our operating expenses, expected market trends, including the growth of cloud, mobile and social computing, the effect of unemployment and availability of credit, the effects of weak global economic conditions, our backlog, expected trends in certain financial metrics, the impact of acquisitions and investment activities, the effects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and the resulting effect on our financial results.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Autodesk’s vision is to help people imagine, design and create a better world. We do this by developing software for the world’s designers, architects, engineers, and digital artists, professionals and non-professionals alike—the people who create the world's products, buildings, infrastructure, films, and games. Autodesk serves customers in three primary markets: architecture, engineering and construction; manufacturing; and digital media and entertainment.</w:t>
      </w:r>
    </w:p>
    <w:p>
      <w:pPr>
        <w:spacing w:after="0" w:line="14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87"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By innovating within existing technology categories, we bring powerful new design capabilities to volume markets. Our products are designed to be easy-to-learn and use, and to provide customers with a low cost of deployment, a low total cost of ownership,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78"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0" w:right="259" w:bottom="1440" w:gutter="0" w:footer="0" w:header="0"/>
        </w:sectPr>
      </w:pPr>
    </w:p>
    <w:bookmarkStart w:id="26" w:name="page27"/>
    <w:bookmarkEnd w:id="26"/>
    <w:p>
      <w:pPr>
        <w:ind w:right="120" w:firstLine="405"/>
        <w:spacing w:after="0" w:line="273" w:lineRule="auto"/>
        <w:rPr>
          <w:sz w:val="20"/>
          <w:szCs w:val="20"/>
          <w:color w:val="auto"/>
        </w:rPr>
      </w:pPr>
      <w:r>
        <w:rPr>
          <w:rFonts w:ascii="Arial" w:cs="Arial" w:eastAsia="Arial" w:hAnsi="Arial"/>
          <w:sz w:val="17"/>
          <w:szCs w:val="17"/>
          <w:color w:val="auto"/>
        </w:rPr>
        <w:t>We offer extensive educational programs supporting our software and services that include providing educational licenses for our software to all students and teachers for little or no fees. For example, during the three months ended April 30, 2013, we initiated a new program offering minimal cost software licenses to educational institutions in emerging economies. Through our partners, we also offer curricula and faculty development opportunities to educational institutions worldwide. Through these programs we intend to further Science, Technology, Engineering and Math (STEM) education initiatives. With an extensive global community of students who are experienced with our software and poised to become the next generation of professional users - our goal is to reduce the cost of training and education of new talent for our customers.</w:t>
      </w:r>
    </w:p>
    <w:p>
      <w:pPr>
        <w:spacing w:after="0" w:line="17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continually strive to increase the business value of our design tools to our customers in a number of ways. First, we seek to address an increasing portion of our customers' workflow with products that extend the value of our customers' digital design information into visualization, analysis and simulation. Second, we seek to improve our product interoperability and usability, thus improving our customers' productivity and effectiveness. Third, we continue to develop new ways to deliver capability and value to our customers, such as product suites, cloud and social-based services, and delivery of our solutions on mobile devices and new hardware platforms. Fourth, we extend our customers' workflow with products for adjacent users and for the “customers of our customers,” thus increasing the value of the design information our customers produce. Finally, we continue to develop new lines of consumer products and services that are delivered and experienced through the Web, tablets, and other mobile devices providing our advanced visualization technologies to consumers—a whole new category of Autodesk customer.</w:t>
      </w:r>
    </w:p>
    <w:p>
      <w:pPr>
        <w:spacing w:after="0" w:line="179"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thirty years ago, we believe our industry is undergoing a similar transition from the personal computer to cloud, social, and mobile computing. To address this shift, our major business initiatives include our desire to accelerate the business' move to the cloud, transform our customers' experience, increase industry focus to meet customer demands, and develop more effective marketing.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growth strategy is predicated upon leading the transition in the industries we serve into the cloud in three ways:</w:t>
      </w:r>
    </w:p>
    <w:p>
      <w:pPr>
        <w:spacing w:after="0" w:line="225" w:lineRule="exact"/>
        <w:rPr>
          <w:sz w:val="20"/>
          <w:szCs w:val="20"/>
          <w:color w:val="auto"/>
        </w:rPr>
      </w:pPr>
    </w:p>
    <w:p>
      <w:pPr>
        <w:ind w:left="660" w:right="1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 We believe opportunity remains in our PC-based software business, and we intend to continue to grow this business. In particular we are offering product suites with improved interoperability and usability to enhance our customers' productivity. We are continuing to drive maintenance and new licensing models to better match the business needs of our customers. We will continue to emphasize developing direct relationships with large, global customers and pursuing opportunities in emerging economies.</w:t>
      </w:r>
    </w:p>
    <w:p>
      <w:pPr>
        <w:spacing w:after="0" w:line="186"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Transform. At the same time we grow our desktop software business, we are migrating many of our products to the cloud. This entails development of new cloud computing infrastructure and redesigning our applications to leverage the cloud. We are also developing new capabilities that are enabled by the cloud such as collaborative Product Lifecycle Management ("PLM") and online simulation. Our goal is to lead our industry in transitioning to the cloud.</w:t>
      </w:r>
    </w:p>
    <w:p>
      <w:pPr>
        <w:spacing w:after="0" w:line="186"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We believe that the combination of cloud, social and mobile computing affords us the opportunity to expand our business into new markets. For example, we have added new customers through our consumer products. We intend to continue to develop our business to both add new customers and find new capabilities to incorporate in our core business.</w:t>
      </w:r>
    </w:p>
    <w:p>
      <w:pPr>
        <w:spacing w:after="0" w:line="18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believe that expanding our customers' portfolios to include our suites presents a meaningful growth opportunity and is an important part of our overall strategy. As our customers in all industries adopt our design suites, we believe they will experience an increase in their productivity and the value of their design data. For the three months ended April 30, 2013, revenue from suites increased 8% as compared to the same period in the prior fiscal year. As a percentage of revenue, suites consisted of 31% of our net revenue in the three months ended April 30, 2013 as compared to 28% of our net revenue in the three months ended April 30, 2012.</w:t>
      </w:r>
    </w:p>
    <w:p>
      <w:pPr>
        <w:spacing w:after="0" w:line="18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Expanding our geographic coverage is another key element of our growth strategy. Much of the growth in the world’s construction and manufacturing is happening in emerging economies. Further, emerging economies face many of the challenges that our design technology can help address, for example infrastructure build-out. Although revenue from emerging economies decreased 8% during the three months ended April 30, 2013 as compared to the same period of the prior fiscal year, we believe that emerging economies continue to present long-term growth opportunities for us. Revenue from emerging countries represented 13% of net revenue for the three months ended April 30, 2013, as compared to 14% of net revenue for the three months ended April 30, 2012. While we believe there are long-term growth opportunities in emerging economies, conducting business in these countries presents significant challenges, including economic volatility, geopolitical risk, local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right="260"/>
        <w:spacing w:after="0" w:line="277" w:lineRule="auto"/>
        <w:rPr>
          <w:sz w:val="20"/>
          <w:szCs w:val="20"/>
          <w:color w:val="auto"/>
        </w:rPr>
      </w:pPr>
      <w:r>
        <w:rPr>
          <w:rFonts w:ascii="Arial" w:cs="Arial" w:eastAsia="Arial" w:hAnsi="Arial"/>
          <w:sz w:val="18"/>
          <w:szCs w:val="18"/>
          <w:color w:val="auto"/>
        </w:rPr>
        <w:t>competition, intellectual property protection, poorly developed business infrastructure, scarcity of talent, software piracy and different purchase patterns as compared to the developed world.</w:t>
      </w:r>
    </w:p>
    <w:p>
      <w:pPr>
        <w:spacing w:after="0" w:line="170"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2013. In addition, we highlighted those policies that involve a higher degree of judgment and complexity with further discussion in Item 7, “Management’s Discussion and Analysis of Financial Condition and Results of Operations” in such Form 10-K. We believe these policies are the most critical to aid in fully understanding and evaluating our financial condition and results of operations. Updates on the relevant periodic financial disclosures related to these policies are provided below.</w:t>
      </w:r>
    </w:p>
    <w:p>
      <w:pPr>
        <w:spacing w:after="0" w:line="17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currently have $190.3 million of net deferred tax assets, primarily a result of tax credits, net operating losses, capital losses, and</w:t>
      </w:r>
      <w:r>
        <w:rPr>
          <w:rFonts w:ascii="Arial" w:cs="Arial" w:eastAsia="Arial" w:hAnsi="Arial"/>
          <w:sz w:val="17"/>
          <w:szCs w:val="17"/>
          <w:i w:val="1"/>
          <w:iCs w:val="1"/>
          <w:color w:val="auto"/>
        </w:rPr>
        <w:t xml:space="preserve"> </w:t>
      </w:r>
      <w:r>
        <w:rPr>
          <w:rFonts w:ascii="Arial" w:cs="Arial" w:eastAsia="Arial" w:hAnsi="Arial"/>
          <w:sz w:val="17"/>
          <w:szCs w:val="17"/>
          <w:color w:val="auto"/>
        </w:rPr>
        <w:t>timing differences for reserves, accrued liabilities, stock options and restricted stock units, fixed assets, deferred revenue, purchased technologies and capitalized intangibles, partially offset by the establishment of U.S. deferred tax liabilities on unremitted earnings from certain foreign subsidiaries, deferred tax liabilities associated with tax method change on advanced payments and valuation allowances against U.S.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that such challenges may have a significant impact on our effective tax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Three Months Ended April</w:t>
            </w:r>
          </w:p>
        </w:tc>
        <w:tc>
          <w:tcPr>
            <w:tcW w:w="100" w:type="dxa"/>
            <w:vAlign w:val="bottom"/>
          </w:tcPr>
          <w:p>
            <w:pPr>
              <w:spacing w:after="0"/>
              <w:rPr>
                <w:sz w:val="14"/>
                <w:szCs w:val="14"/>
                <w:color w:val="auto"/>
              </w:rPr>
            </w:pPr>
          </w:p>
        </w:tc>
        <w:tc>
          <w:tcPr>
            <w:tcW w:w="1960" w:type="dxa"/>
            <w:vAlign w:val="bottom"/>
            <w:gridSpan w:val="2"/>
          </w:tcPr>
          <w:p>
            <w:pPr>
              <w:ind w:left="500"/>
              <w:spacing w:after="0"/>
              <w:rPr>
                <w:sz w:val="20"/>
                <w:szCs w:val="20"/>
                <w:color w:val="auto"/>
              </w:rPr>
            </w:pPr>
            <w:r>
              <w:rPr>
                <w:rFonts w:ascii="Arial" w:cs="Arial" w:eastAsia="Arial" w:hAnsi="Arial"/>
                <w:sz w:val="14"/>
                <w:szCs w:val="14"/>
                <w:b w:val="1"/>
                <w:bCs w:val="1"/>
                <w:color w:val="auto"/>
              </w:rPr>
              <w:t>As a % of Net</w:t>
            </w: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April</w:t>
            </w:r>
          </w:p>
        </w:tc>
        <w:tc>
          <w:tcPr>
            <w:tcW w:w="120" w:type="dxa"/>
            <w:vAlign w:val="bottom"/>
          </w:tcPr>
          <w:p>
            <w:pPr>
              <w:spacing w:after="0"/>
              <w:rPr>
                <w:sz w:val="14"/>
                <w:szCs w:val="14"/>
                <w:color w:val="auto"/>
              </w:rPr>
            </w:pPr>
          </w:p>
        </w:tc>
        <w:tc>
          <w:tcPr>
            <w:tcW w:w="1720" w:type="dxa"/>
            <w:vAlign w:val="bottom"/>
          </w:tcPr>
          <w:p>
            <w:pPr>
              <w:jc w:val="right"/>
              <w:ind w:right="368"/>
              <w:spacing w:after="0"/>
              <w:rPr>
                <w:sz w:val="20"/>
                <w:szCs w:val="20"/>
                <w:color w:val="auto"/>
              </w:rPr>
            </w:pPr>
            <w:r>
              <w:rPr>
                <w:rFonts w:ascii="Arial" w:cs="Arial" w:eastAsia="Arial" w:hAnsi="Arial"/>
                <w:sz w:val="14"/>
                <w:szCs w:val="14"/>
                <w:b w:val="1"/>
                <w:bCs w:val="1"/>
                <w:color w:val="auto"/>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30, 2013</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30, 2012</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570.4</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588.6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67.5</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58.8</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3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502.9</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529.8</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421.5</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435.8</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3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81.4</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94.0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3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results in the three months ended April 30, 2013, as compared to the same period in the prior fiscal year, reflect the current uneven global economic environment, which has impacted our business on almost every front. During the three months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right="140"/>
        <w:spacing w:after="0" w:line="257" w:lineRule="auto"/>
        <w:rPr>
          <w:sz w:val="20"/>
          <w:szCs w:val="20"/>
          <w:color w:val="auto"/>
        </w:rPr>
      </w:pPr>
      <w:r>
        <w:rPr>
          <w:rFonts w:ascii="Arial" w:cs="Arial" w:eastAsia="Arial" w:hAnsi="Arial"/>
          <w:sz w:val="18"/>
          <w:szCs w:val="18"/>
          <w:color w:val="auto"/>
        </w:rPr>
        <w:t>ended April 30, 2013, as compared to same period in the prior fiscal year, net revenue decreased 3%, gross profit decreased 5% and income from operations decreased 13%. Contributing to the year over year decreases in revenue during the three months ended April 30, 2013 were decreases in license and other revenue partially offset by increases in subscription revenue. We experienced decreases in revenue for many of our major products, reportable segments and geographic areas during the three months ended April 30, 2013 as compared to the same period in the prior fiscal year. The reasons for these decreases are discussed below under the heading "Results from Operations."</w:t>
      </w:r>
    </w:p>
    <w:p>
      <w:pPr>
        <w:spacing w:after="0" w:line="26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Revenue from flagship products was 55% of total net revenue during the three months ended April 30, 2013, a decrease of 9% as compared to the same period in the prior fiscal year. Revenue from suites was 31% of total net revenue for the three months ended April 30, 2013, an increase of 8% as compared to the same period in the prior fiscal year. Revenue from new and adjacent products was flat as compared to the same period in the prior fiscal year at 14% of total net revenue during the three months ended April 30, 2013. We anticipate that, as our new and existing customers migrate from our stand-alone products, our revenue from suites will increase as a percentage of revenue and that our revenue from our flagship and new and adjacent products will decline as a percentage of revenue.</w:t>
      </w:r>
    </w:p>
    <w:p>
      <w:pPr>
        <w:spacing w:after="0" w:line="19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While net revenue decreased $18.2 million or 3% for the three months ended April 30, 2013, as compared to the same period in the prior fiscal year, our operating expenses also decreased by $14.3 million or 3% for the three months ended April 30, 2013. The decrease in operating expenses was primarily related to lower employee related costs and marketing related costs during the three months ended April 30, 2013. Similarly, income from operations decreased 13% in the three months ended April 30, 2013, as compared to the same period in the prior fiscal year, and our total operating margin decreased from 16% for the three months ended April 30, 2012 to 14% for the three months ended April 30, 2013 due primarily to lower revenue related to foreign currency exchange headwinds and increased costs of goods sold during the three months ended April 30, 2013.</w:t>
      </w:r>
    </w:p>
    <w:p>
      <w:pPr>
        <w:spacing w:after="0" w:line="17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generate a significant amount of our revenue in the U.S., Japan, Germany, the United Kingdom and France. Our revenue was negatively impacted from foreign exchange rate changes during the three months ended April 30, 2013, as compared to the same period in the prior fiscal year. Had applicable exchange rates from the three months ended April 30, 2012 been in effect during the three months ended April 30, 2013 and had we excluded foreign exchange hedge gains and losses from the three months ended April 30, 2013, (“on a constant currency basis”), net revenue would have been flat compared to the prior fiscal year. During the three months ended April 30, 2013, total spend, defined as cost of revenue plus operating expenses, decreased 1% as reported and remained flat on a constant currency basis compared to the same periods in the prior fiscal year. 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82"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Tech Data Corporation and its global affiliates (collectively, “Tech Data”). Tech Data accounted for 25% and 22% of our consolidated net revenue during the three months ended April 30, 2013 and 2012, respectively. We believe our business is not substantially dependent on Tech Data.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7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Our primary goals for the remainder of fiscal 2014 are to grow revenue from our current levels consistent with seasonal trends, manage our operating margin, and to invest in product functionality and new product lines, including suites offerings, while controlling our operating expenses. In addition, we will continue to look closely at our cost structure to find ways to improve our operating margin while allowing continued investment in growth and productivity initiatives. We believe net revenue for fiscal 2014 will increase by approximately 3% compared to fiscal 2013. We anticipate fiscal 2014 operating margin will increase by approximately 50 to 100 basis points compared to fiscal 2013. There can be no assurance that we will achieve our financial goals and improve our financial results. Additionally, we believe that unemployment rates and the availability of credit to major industries we serve are important indicators for our business. If we are unable to successfully achieve our major business initiatives or if global economic conditions deteriorate, we may not achieve our financial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665" w:right="259" w:bottom="1440" w:gutter="0" w:footer="0" w:header="0"/>
        </w:sectPr>
      </w:pPr>
    </w:p>
    <w:bookmarkStart w:id="29" w:name="page30"/>
    <w:bookmarkEnd w:id="29"/>
    <w:p>
      <w:pPr>
        <w:ind w:right="20" w:firstLine="405"/>
        <w:spacing w:after="0" w:line="255" w:lineRule="auto"/>
        <w:rPr>
          <w:sz w:val="20"/>
          <w:szCs w:val="20"/>
          <w:color w:val="auto"/>
        </w:rPr>
      </w:pPr>
      <w:r>
        <w:rPr>
          <w:rFonts w:ascii="Arial" w:cs="Arial" w:eastAsia="Arial" w:hAnsi="Arial"/>
          <w:sz w:val="18"/>
          <w:szCs w:val="18"/>
          <w:color w:val="auto"/>
        </w:rPr>
        <w:t>At April 30, 2013, we had $2,479.9 million in cash and marketable securities. We completed the three months ended April 30, 2013 with a higher deferred revenue balance and a lower accounts receivable balance as compared to the end of the fiscal year ended January 31, 2013. Our deferred revenue balance at April 30, 2013 included $754.9 million of customer maintenance contracts, which will be recognized as revenue ratably over the life of the contracts. The term of our maintenance contracts is typically between one and three years. We repurchased 3.2 million shares of our common stock for $129.2 million during the three months ended April 30, 2013. Comparatively, we repurchased 2.5 million shares of our common stock for $99.2 million during the three months ended April 30,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2220" w:type="dxa"/>
            <w:vAlign w:val="bottom"/>
            <w:gridSpan w:val="5"/>
          </w:tcPr>
          <w:p>
            <w:pPr>
              <w:ind w:left="80"/>
              <w:spacing w:after="0"/>
              <w:rPr>
                <w:sz w:val="20"/>
                <w:szCs w:val="20"/>
                <w:color w:val="auto"/>
              </w:rPr>
            </w:pPr>
            <w:r>
              <w:rPr>
                <w:rFonts w:ascii="Arial" w:cs="Arial" w:eastAsia="Arial" w:hAnsi="Arial"/>
                <w:sz w:val="14"/>
                <w:szCs w:val="14"/>
                <w:b w:val="1"/>
                <w:bCs w:val="1"/>
                <w:color w:val="auto"/>
                <w:w w:val="96"/>
              </w:rPr>
              <w:t>Increase/(Decrease) compared to</w:t>
            </w:r>
          </w:p>
        </w:tc>
        <w:tc>
          <w:tcPr>
            <w:tcW w:w="140" w:type="dxa"/>
            <w:vAlign w:val="bottom"/>
          </w:tcPr>
          <w:p>
            <w:pPr>
              <w:spacing w:after="0"/>
              <w:rPr>
                <w:sz w:val="14"/>
                <w:szCs w:val="14"/>
                <w:color w:val="auto"/>
              </w:rPr>
            </w:pPr>
          </w:p>
        </w:tc>
        <w:tc>
          <w:tcPr>
            <w:tcW w:w="108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92"/>
        </w:trPr>
        <w:tc>
          <w:tcPr>
            <w:tcW w:w="6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64"/>
        </w:trPr>
        <w:tc>
          <w:tcPr>
            <w:tcW w:w="65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22"/>
                <w:szCs w:val="22"/>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April 30, 2013</w:t>
            </w:r>
          </w:p>
        </w:tc>
        <w:tc>
          <w:tcPr>
            <w:tcW w:w="240" w:type="dxa"/>
            <w:vAlign w:val="bottom"/>
          </w:tcPr>
          <w:p>
            <w:pPr>
              <w:spacing w:after="0"/>
              <w:rPr>
                <w:sz w:val="22"/>
                <w:szCs w:val="22"/>
                <w:color w:val="auto"/>
              </w:rPr>
            </w:pPr>
          </w:p>
        </w:tc>
        <w:tc>
          <w:tcPr>
            <w:tcW w:w="720" w:type="dxa"/>
            <w:vAlign w:val="bottom"/>
          </w:tcPr>
          <w:p>
            <w:pPr>
              <w:jc w:val="right"/>
              <w:ind w:right="44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April 30, 2012</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5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323.5</w:t>
            </w:r>
          </w:p>
        </w:tc>
        <w:tc>
          <w:tcPr>
            <w:tcW w:w="1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(31.7)</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13.5</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284"/>
        </w:trPr>
        <w:tc>
          <w:tcPr>
            <w:tcW w:w="656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570.4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1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588.6</w:t>
            </w:r>
          </w:p>
        </w:tc>
        <w:tc>
          <w:tcPr>
            <w:tcW w:w="0" w:type="dxa"/>
            <w:vAlign w:val="bottom"/>
          </w:tcPr>
          <w:p>
            <w:pPr>
              <w:spacing w:after="0"/>
              <w:rPr>
                <w:sz w:val="1"/>
                <w:szCs w:val="1"/>
                <w:color w:val="auto"/>
              </w:rPr>
            </w:pPr>
          </w:p>
        </w:tc>
      </w:tr>
      <w:tr>
        <w:trPr>
          <w:trHeight w:val="184"/>
        </w:trPr>
        <w:tc>
          <w:tcPr>
            <w:tcW w:w="6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207.6</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224.4</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6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33"/>
        </w:trPr>
        <w:tc>
          <w:tcPr>
            <w:tcW w:w="6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588.6</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40"/>
              <w:spacing w:after="0"/>
              <w:rPr>
                <w:sz w:val="20"/>
                <w:szCs w:val="20"/>
                <w:color w:val="auto"/>
              </w:rPr>
            </w:pPr>
            <w:r>
              <w:rPr>
                <w:rFonts w:ascii="Arial" w:cs="Arial" w:eastAsia="Arial" w:hAnsi="Arial"/>
                <w:sz w:val="16"/>
                <w:szCs w:val="16"/>
                <w:color w:val="auto"/>
              </w:rPr>
              <w:t>Net Revenue by Operating Segment:</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226.8</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16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6.4</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16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33"/>
        </w:trPr>
        <w:tc>
          <w:tcPr>
            <w:tcW w:w="6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588.6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License and other revenue consists of two components: all forms of product license revenue and other revenue. Product license revenue includes: software license revenue from the sale of new seat licenses and upgrades and product revenue for Creative Finishing. Other revenue includes revenue from consulting, training, Autodesk Developers Network and Creative Finishing customer support, and is recognized over time, as the services are performed.</w:t>
      </w:r>
    </w:p>
    <w:p>
      <w:pPr>
        <w:spacing w:after="0" w:line="147"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Total license and other revenue decreased 9% during the three months ended April 30, 2013, as compared to the three months ended April 30, 2012. This decrease was primarily due to a 9% decrease in product license revenue as compared to the same period in the prior fiscal year. The decline in product license revenue was primarily due to a 13% decline in revenue from our flagship products partially offset by a 3% increase in our suites products.</w:t>
      </w:r>
    </w:p>
    <w:p>
      <w:pPr>
        <w:spacing w:after="0" w:line="14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During the three months ended April 30, 2013, 23 percentage points of the 9% decrease in product licenses revenue were due to the decrease in the number of seats sold offset by 14 percentage points due to an increase in the average net revenue per seat. Product license revenue, as a percentage of license and other revenue, was 86% for the three months ended April 30, 2013 and 2012, respectively.</w:t>
      </w:r>
    </w:p>
    <w:p>
      <w:pPr>
        <w:spacing w:after="0" w:line="18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During the three months ended April 30, 2013, total other revenue represented 14% of License and other revenue. Other revenue decreased by 11% during the three months ended April 30, 2013, as compared to the three months ended April 30, 2012 primarily due to a 51% decrease in our education products as we began offering software licenses to educational institutions in emerging economies at little or no cost during the three months ended April 30, 2013, consistent with our strategy.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ind w:right="20" w:firstLine="405"/>
        <w:spacing w:after="0" w:line="279" w:lineRule="auto"/>
        <w:rPr>
          <w:sz w:val="20"/>
          <w:szCs w:val="20"/>
          <w:color w:val="auto"/>
        </w:rPr>
      </w:pPr>
      <w:r>
        <w:rPr>
          <w:rFonts w:ascii="Arial" w:cs="Arial" w:eastAsia="Arial" w:hAnsi="Arial"/>
          <w:sz w:val="17"/>
          <w:szCs w:val="17"/>
          <w:color w:val="auto"/>
        </w:rPr>
        <w:t>Backlog related to current software license product orders that had not shipped at the end of the quarter decreased by $18.3 million during the three months ended April 30, 2013 from $20.0 million at January 31, 2013 to $1.7 million at April 30, 2013.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subscription revenue consists of two components: maintenance revenue for our software products and revenue for our cloud service offerings, including Autodesk 360.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but can occasionally be as long as five years.</w:t>
      </w:r>
    </w:p>
    <w:p>
      <w:pPr>
        <w:spacing w:after="0" w:line="19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Revenue for our cloud subscription represented less than 3% of subscription revenue for all periods presented. Revenue for our cloud subscription services is recognized ratably over the contract term commencing with the date our service is made available to customers and all other revenue recognition criteria have been satisfied.</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Subscription revenue increased 6% during the three months ended April 30, 2013, as compared to the three months ended April 30, 2012, primarily due to a 6% increase in commercial maintenance revenue. The 6% increase in commercial maintenance revenue was due to a 3 percentage point increase from net revenue per maintenance seat and a 3 percentage point increase from commercial enrollment during the corresponding maintenance contract term. Commercial maintenance revenue represented 96% of subscription revenue for both the three months ended April 30, 2013 and 2012.</w:t>
      </w:r>
    </w:p>
    <w:p>
      <w:pPr>
        <w:spacing w:after="0" w:line="15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Changes in subscription revenue lag changes in net billings for subscription contracts because we recognize the revenue from those contracts ratably over their contract terms. Net subscription billings increased 8% during the three months ended April 30, 2013 as compared to the same period in the prior fiscal year primarily due to an increase in one year maintenance contracts.</w:t>
      </w:r>
    </w:p>
    <w:p>
      <w:pPr>
        <w:spacing w:after="0" w:line="18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Our deferred revenue balance at April 30, 2013 and January 31, 2013 included $754.9 million and $733.5 million, respectively, related to customer maintenance contracts, which will be recognized as revenue ratably over the life of the contracts.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Net revenue in the Americas geography decreased by 3% during the three months ended April 30, 2013, as compared to the same period in the prior fiscal year. This decrease was primarily due to a 7% decrease in our flagship products in this geography partially offset by a 7% increase in our new and adjacent products during the three months ended April 30, 2013 as compared to the three months ended April 30, 2012. Suites revenue remained flat during the three months ended April 30, 2013 as compared to the three months ended April 30, 2012. The decrease in our revenue in this geography was led by Canada and Brazil partially offset by an increase in Mexico.</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Net revenue in the EMEA geography decreased by 4%, or increased by 1% on a constant currency basis, during the three months ended April 30, 2013 as compared to the same period in the prior fiscal year. This decrease was primarily due to a 12% decrease in our flagship products in this geography partially offset by a 16% increase in our suites products during the three months ended April 30, 2013 as compared to the three months ended April 30, 2012.The decrease in our revenue in this geography was led by Sweden, Ireland and the Netherlands partially offset by an increase in revenue from Finland and United Kingdom.</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Net revenue in the APAC geography decreased by 3% and increased by 1% on a constant currency basis, during the three months ended April 30, 2013, as compared to the same period in the prior fiscal year. This decrease was primarily due to a 7% decrease in our flagship products in this geography partially offset by an 8% increase in our suites products during the three months ended April 30, 2013 as compared to the three months ended April 30, 2012. The decrease in our revenue in this geography during the three months ended April 30, 2013 was led by South Korea and Australia partially offset by an increase in Japan.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84" w:right="279" w:bottom="1440" w:gutter="0" w:footer="0" w:header="0"/>
        </w:sectPr>
      </w:pPr>
    </w:p>
    <w:bookmarkStart w:id="31" w:name="page32"/>
    <w:bookmarkEnd w:id="31"/>
    <w:p>
      <w:pPr>
        <w:ind w:right="20" w:firstLine="432"/>
        <w:spacing w:after="0" w:line="286" w:lineRule="auto"/>
        <w:rPr>
          <w:sz w:val="20"/>
          <w:szCs w:val="20"/>
          <w:color w:val="auto"/>
        </w:rPr>
      </w:pPr>
      <w:r>
        <w:rPr>
          <w:rFonts w:ascii="Arial" w:cs="Arial" w:eastAsia="Arial" w:hAnsi="Arial"/>
          <w:sz w:val="17"/>
          <w:szCs w:val="17"/>
          <w:color w:val="auto"/>
        </w:rPr>
        <w:t>Net revenue in emerging economies decreased 8% during the three months ended April 30, 2013 as compared to the same period in the prior fiscal year, primarily due to decreases in revenue from Brazil and the Russian Federation partially offset by an increase in Mexico. Revenue from emerging economies represented 13% and 14% of total net revenue during the three months ended April 30, 2013 and 2012, respectively.</w:t>
      </w:r>
    </w:p>
    <w:p>
      <w:pPr>
        <w:spacing w:after="0" w:line="166"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International net revenue represented 71% and 72% of our total net revenue for the three months ended April 30, 2013 and 2012, respectively. We believe that international revenue will continue to comprise a majority of our total net revenue. Unfavorable economic conditions in the countries that contribute a significant portion of our net revenue, including in emerging economies,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We have no material inter-segment revenue.</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During the three months ended April 30, 2013, net revenue for PSEB decreased 6% as compared to the same period of the prior fiscal year primarily due to a 7% and 5% decrease in revenue from our flagship products, AutoCAD and AutoCAD LT products, respectively.</w:t>
      </w:r>
    </w:p>
    <w:p>
      <w:pPr>
        <w:spacing w:after="0" w:line="17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During the three months ended April 30, 2013, net revenue for AEC increased 4% as compared to the same period of the prior fiscal year primarily due to a 14% increase in revenue from our AEC suites, which includes our Autodesk Building Design Suite, partially offset by a 16% decrease in revenue from our flagship product, AutoCAD Architecture.</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three months ended April 30, 2013, net revenue for MFG decreased 4% as compared to the same period of the prior fiscal year primarily due to a 39% decrease in revenue from our flagship product, AutoCAD Mechanical, partially offset by an 8% increase in revenue from our MFG suites, which includes the Autodesk Product Design Suite.</w:t>
      </w:r>
    </w:p>
    <w:p>
      <w:pPr>
        <w:spacing w:after="0" w:line="18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During the three months ended April 30, 2013, net revenue for M&amp;E decreased 8% as compared to the same period in the prior fiscal year, primarily due to a 9% decrease in revenue from Animation and a 5% decrease in revenue from Creative Finishing. The decrease in Animation revenue was primarily due to a 17% decrease in revenue from our flagship product, 3Ds Max, a 38% decrease in revenue from our new and adjacent Middleware products and a 12% decrease in revenue from our M&amp;E suites, which includes our Autodesk Entertainment Creation Suite. The decline in Creative Finishing was marked by weakening demand across all geographic regions. As more of our customers move to our suites products, our revenue on stand-alone products like 3Ds Max may decrease because it is included in a number of our various segments' suites. This move to our suites is part of our strategy and represents a growth opportunity for us over the long-term.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rPr>
              <w:t>Increase compared to</w:t>
            </w:r>
          </w:p>
        </w:tc>
        <w:tc>
          <w:tcPr>
            <w:tcW w:w="180" w:type="dxa"/>
            <w:vAlign w:val="bottom"/>
          </w:tcPr>
          <w:p>
            <w:pPr>
              <w:spacing w:after="0"/>
              <w:rPr>
                <w:sz w:val="14"/>
                <w:szCs w:val="14"/>
                <w:color w:val="auto"/>
              </w:rPr>
            </w:pPr>
          </w:p>
        </w:tc>
        <w:tc>
          <w:tcPr>
            <w:tcW w:w="16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2"/>
                <w:szCs w:val="22"/>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April 30, 2013</w:t>
            </w:r>
          </w:p>
        </w:tc>
        <w:tc>
          <w:tcPr>
            <w:tcW w:w="200" w:type="dxa"/>
            <w:vAlign w:val="bottom"/>
          </w:tcPr>
          <w:p>
            <w:pPr>
              <w:spacing w:after="0"/>
              <w:rPr>
                <w:sz w:val="22"/>
                <w:szCs w:val="22"/>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jc w:val="right"/>
              <w:ind w:right="422"/>
              <w:spacing w:after="0"/>
              <w:rPr>
                <w:sz w:val="20"/>
                <w:szCs w:val="20"/>
                <w:color w:val="auto"/>
              </w:rPr>
            </w:pPr>
            <w:r>
              <w:rPr>
                <w:rFonts w:ascii="Arial" w:cs="Arial" w:eastAsia="Arial" w:hAnsi="Arial"/>
                <w:sz w:val="14"/>
                <w:szCs w:val="14"/>
                <w:b w:val="1"/>
                <w:bCs w:val="1"/>
                <w:color w:val="auto"/>
              </w:rPr>
              <w:t>April 30, 2012</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6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82"/>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3"/>
              <w:spacing w:after="0"/>
              <w:rPr>
                <w:sz w:val="20"/>
                <w:szCs w:val="20"/>
                <w:color w:val="auto"/>
              </w:rPr>
            </w:pPr>
            <w:r>
              <w:rPr>
                <w:rFonts w:ascii="Arial" w:cs="Arial" w:eastAsia="Arial" w:hAnsi="Arial"/>
                <w:sz w:val="16"/>
                <w:szCs w:val="16"/>
                <w:color w:val="auto"/>
              </w:rPr>
              <w:t>3.6</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82"/>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84"/>
        </w:trPr>
        <w:tc>
          <w:tcPr>
            <w:tcW w:w="56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8.7</w:t>
            </w:r>
          </w:p>
        </w:tc>
        <w:tc>
          <w:tcPr>
            <w:tcW w:w="10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Cost of license and other revenue includes labor costs of product setup and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right="180"/>
        <w:spacing w:after="0" w:line="264" w:lineRule="auto"/>
        <w:rPr>
          <w:sz w:val="20"/>
          <w:szCs w:val="20"/>
          <w:color w:val="auto"/>
        </w:rPr>
      </w:pPr>
      <w:r>
        <w:rPr>
          <w:rFonts w:ascii="Arial" w:cs="Arial" w:eastAsia="Arial" w:hAnsi="Arial"/>
          <w:sz w:val="18"/>
          <w:szCs w:val="18"/>
          <w:color w:val="auto"/>
        </w:rPr>
        <w:t>professional services fees and royalties. Direct material and overhead charges include the cost of hardware sold (mainly PC-based workstations for Creative Finishing in the M&amp;E segment), costs associated with transferring our software to electronic media, physical media, packaging materials and shipping and handling costs.</w:t>
      </w:r>
    </w:p>
    <w:p>
      <w:pPr>
        <w:spacing w:after="0" w:line="18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Cost of license and other revenue increased 9% during the three months ended April 30, 2013, as compared to the same period in the prior fiscal year, primarily due to an increase in lower margin hardware sales and increase in consulting support costs.</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Cost of subscription revenue includes labor costs of providing product support to our maintenance and cloud subscription customers, including rent and occupancy, shipping and handling costs, professional services fees costs related to operating our network infrastructure, including depreciation expense and operating lease payments associated with computer equipment, data center costs, salaries and related expenses of network operations. Cost of subscription revenue increased 28% during the three months ended April 30, 2013 as compared to the same period in the prior fiscal year, due to higher cloud services-related expenses.</w:t>
      </w:r>
    </w:p>
    <w:p>
      <w:pPr>
        <w:spacing w:after="0" w:line="18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640" w:firstLine="432"/>
        <w:spacing w:after="0" w:line="342" w:lineRule="auto"/>
        <w:rPr>
          <w:sz w:val="20"/>
          <w:szCs w:val="20"/>
          <w:color w:val="auto"/>
        </w:rPr>
      </w:pPr>
      <w:r>
        <w:rPr>
          <w:rFonts w:ascii="Arial" w:cs="Arial" w:eastAsia="Arial" w:hAnsi="Arial"/>
          <w:sz w:val="16"/>
          <w:szCs w:val="16"/>
          <w:color w:val="auto"/>
        </w:rPr>
        <w:t>We expect cost of revenue to slightly increase in absolute dollars and as a percentage of net revenue during the second quarter of fiscal 2014, as compared to the second quarter of fiscal 2013, primarily due to an increase in costs associated with meeting our major business initiatives.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vMerge w:val="restart"/>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Decrease compared to</w:t>
            </w:r>
          </w:p>
        </w:tc>
        <w:tc>
          <w:tcPr>
            <w:tcW w:w="166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9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April 30, 2013</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April 30, 2012</w:t>
            </w: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208.8</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(14.4)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  $</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and the expense of travel, entertainment and training for such personnel, and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Marketing and sales expenses decreased 6% for the three months ended April 30, 2013 as compared to the same period in the prior fiscal year primarily due to a decrease in marketing related costs, professional fees and employee-related costs related to bonus and salaries.</w:t>
      </w:r>
    </w:p>
    <w:p>
      <w:pPr>
        <w:spacing w:after="0" w:line="17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For the second quarter of fiscal 2014, as compared to the second quarter of fiscal 2013, we expect marketing and sales expense to remain relatively consistent in absolute dollars and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Decrease compared to</w:t>
            </w:r>
          </w:p>
        </w:tc>
        <w:tc>
          <w:tcPr>
            <w:tcW w:w="174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April 30, 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April 30, 2012</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150.8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  $</w:t>
            </w:r>
          </w:p>
        </w:tc>
        <w:tc>
          <w:tcPr>
            <w:tcW w:w="17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right="380" w:firstLine="432"/>
        <w:spacing w:after="0" w:line="342" w:lineRule="auto"/>
        <w:rPr>
          <w:sz w:val="20"/>
          <w:szCs w:val="20"/>
          <w:color w:val="auto"/>
        </w:rPr>
      </w:pPr>
      <w:r>
        <w:rPr>
          <w:rFonts w:ascii="Arial" w:cs="Arial" w:eastAsia="Arial" w:hAnsi="Arial"/>
          <w:sz w:val="16"/>
          <w:szCs w:val="16"/>
          <w:color w:val="auto"/>
        </w:rPr>
        <w:t>Research and development expenses decreased 1% during the three months ended April 30, 2013 as compared to the same period in the prior fiscal year, primarily due to a decrease in employee-related costs related to bonuses and fringe benefits partially offset by increase in salaries.</w:t>
      </w:r>
    </w:p>
    <w:p>
      <w:pPr>
        <w:spacing w:after="0" w:line="124"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For the second quarter of fiscal 2014, as compared to the second quarter of fiscal 2013, we expect research and development expense to remain relatively consistent in absolute dollars and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Increase compared to</w:t>
            </w:r>
          </w:p>
        </w:tc>
        <w:tc>
          <w:tcPr>
            <w:tcW w:w="16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April 30, 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April 30, 2012</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  $</w:t>
            </w:r>
          </w:p>
        </w:tc>
        <w:tc>
          <w:tcPr>
            <w:tcW w:w="16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finance, human resources and legal employees, as well as professional fees for legal and accounting services, amortization of acquisition related customer relationships and trade names, gains and losses on our operating expense cash flow hedges, expense of travel, entertainment and training, expense of communication and the cost of supplies and equipment.</w:t>
      </w:r>
    </w:p>
    <w:p>
      <w:pPr>
        <w:spacing w:after="0" w:line="18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General and administrative expenses increased 3% during the three months ended April 30, 2013 as compared to the same period in the prior fiscal year, primarily due to an increase in amortization of acquisition related customer relationships and trade names and employee-related costs related to salaries and stock-based compensation expense partially offset by a decrease in bonuses.</w:t>
      </w:r>
    </w:p>
    <w:p>
      <w:pPr>
        <w:spacing w:after="0" w:line="18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For the second quarter of fiscal 2014, as compared to the second quarter of fiscal 2013, we expect general and administrative expenses to remain relatively consistent in absolute dollars and as a percentage of net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Net</w:t>
      </w:r>
    </w:p>
    <w:p>
      <w:pPr>
        <w:spacing w:after="0" w:line="366"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44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Increase compared to</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108"/>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April 30, 2013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April 30, 2012</w:t>
            </w:r>
          </w:p>
        </w:tc>
        <w:tc>
          <w:tcPr>
            <w:tcW w:w="0" w:type="dxa"/>
            <w:vAlign w:val="bottom"/>
          </w:tcPr>
          <w:p>
            <w:pPr>
              <w:spacing w:after="0"/>
              <w:rPr>
                <w:sz w:val="1"/>
                <w:szCs w:val="1"/>
                <w:color w:val="auto"/>
              </w:rPr>
            </w:pPr>
          </w:p>
        </w:tc>
      </w:tr>
      <w:tr>
        <w:trPr>
          <w:trHeight w:val="23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charges, net</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Percentage is not meaningful</w:t>
      </w:r>
    </w:p>
    <w:p>
      <w:pPr>
        <w:spacing w:after="0" w:line="20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During the third quarter of fiscal 2013, we initiated a restructuring plan that included a reduction in force and the consolidation of certain leased facilities. During the three months ended April 30, 2013, we recorded an incremental restructuring charge of $0.4 million. See Note 13, “Restructuring,” in the Notes to the Condensed Consolidated Financial Statements for further discussion.</w:t>
      </w:r>
    </w:p>
    <w:p>
      <w:pPr>
        <w:sectPr>
          <w:pgSz w:w="11900" w:h="16838" w:orient="portrait"/>
          <w:cols w:equalWidth="0" w:num="1">
            <w:col w:w="11420"/>
          </w:cols>
          <w:pgMar w:left="240" w:top="800"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and Other (Expense)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components of interest and other (expense)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investment (expense) income,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gain on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gain on strategic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 April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13335</wp:posOffset>
            </wp:positionV>
            <wp:extent cx="1080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68" w:lineRule="exact"/>
        <w:rPr>
          <w:sz w:val="20"/>
          <w:szCs w:val="20"/>
          <w:color w:val="auto"/>
        </w:rPr>
      </w:pPr>
    </w:p>
    <w:p>
      <w:pPr>
        <w:spacing w:after="0"/>
        <w:tabs>
          <w:tab w:leader="none" w:pos="400" w:val="left"/>
          <w:tab w:leader="none" w:pos="900" w:val="left"/>
          <w:tab w:leader="none" w:pos="1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w:t>
        <w:tab/>
        <w:t>$</w:t>
      </w:r>
      <w:r>
        <w:rPr>
          <w:sz w:val="20"/>
          <w:szCs w:val="20"/>
          <w:color w:val="auto"/>
        </w:rPr>
        <w:tab/>
      </w:r>
      <w:r>
        <w:rPr>
          <w:rFonts w:ascii="Arial" w:cs="Arial" w:eastAsia="Arial" w:hAnsi="Arial"/>
          <w:sz w:val="15"/>
          <w:szCs w:val="15"/>
          <w:color w:val="auto"/>
        </w:rPr>
        <w:t>2.4</w:t>
      </w:r>
    </w:p>
    <w:p>
      <w:pPr>
        <w:spacing w:after="0" w:line="86" w:lineRule="exact"/>
        <w:rPr>
          <w:sz w:val="20"/>
          <w:szCs w:val="20"/>
          <w:color w:val="auto"/>
        </w:rPr>
      </w:pPr>
    </w:p>
    <w:p>
      <w:pPr>
        <w:ind w:left="420"/>
        <w:spacing w:after="0"/>
        <w:tabs>
          <w:tab w:leader="none" w:pos="138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420"/>
        <w:spacing w:after="0"/>
        <w:tabs>
          <w:tab w:leader="none" w:pos="13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5"/>
          <w:szCs w:val="15"/>
          <w:color w:val="auto"/>
        </w:rPr>
        <w:t>1.1</w:t>
      </w:r>
    </w:p>
    <w:p>
      <w:pPr>
        <w:spacing w:after="0" w:line="86" w:lineRule="exact"/>
        <w:rPr>
          <w:sz w:val="20"/>
          <w:szCs w:val="20"/>
          <w:color w:val="auto"/>
        </w:rPr>
      </w:pPr>
    </w:p>
    <w:p>
      <w:pPr>
        <w:ind w:left="420"/>
        <w:spacing w:after="0"/>
        <w:tabs>
          <w:tab w:leader="none" w:pos="1380" w:val="left"/>
        </w:tabs>
        <w:rPr>
          <w:sz w:val="20"/>
          <w:szCs w:val="20"/>
          <w:color w:val="auto"/>
        </w:rPr>
      </w:pPr>
      <w:r>
        <w:rPr>
          <w:rFonts w:ascii="Arial" w:cs="Arial" w:eastAsia="Arial" w:hAnsi="Arial"/>
          <w:sz w:val="16"/>
          <w:szCs w:val="16"/>
          <w:color w:val="auto"/>
        </w:rPr>
        <w:t>(0.2)</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spacing w:after="0"/>
        <w:tabs>
          <w:tab w:leader="none" w:pos="400" w:val="left"/>
          <w:tab w:leader="none" w:pos="900" w:val="left"/>
          <w:tab w:leader="none" w:pos="1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(8.8)</w:t>
        <w:tab/>
        <w:t>$</w:t>
      </w:r>
      <w:r>
        <w:rPr>
          <w:sz w:val="20"/>
          <w:szCs w:val="20"/>
          <w:color w:val="auto"/>
        </w:rPr>
        <w:tab/>
      </w: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10807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0" w:space="720"/>
            <w:col w:w="1680"/>
          </w:cols>
          <w:pgMar w:left="240" w:top="800" w:right="239" w:bottom="1440" w:gutter="0" w:footer="0" w:header="0"/>
          <w:type w:val="continuous"/>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800" w:right="239" w:bottom="1440" w:gutter="0" w:footer="0" w:header="0"/>
          <w:type w:val="continuous"/>
        </w:sectPr>
      </w:pPr>
    </w:p>
    <w:bookmarkStart w:id="34" w:name="page35"/>
    <w:bookmarkEnd w:id="34"/>
    <w:p>
      <w:pPr>
        <w:ind w:right="140" w:firstLine="405"/>
        <w:spacing w:after="0" w:line="277" w:lineRule="auto"/>
        <w:rPr>
          <w:sz w:val="20"/>
          <w:szCs w:val="20"/>
          <w:color w:val="auto"/>
        </w:rPr>
      </w:pPr>
      <w:r>
        <w:rPr>
          <w:rFonts w:ascii="Arial" w:cs="Arial" w:eastAsia="Arial" w:hAnsi="Arial"/>
          <w:sz w:val="18"/>
          <w:szCs w:val="18"/>
          <w:color w:val="auto"/>
        </w:rPr>
        <w:t>Interest and other (expense) income, net, decreased $12.3 million during the three months ended April 30, 2013, as compared to the same period in the prior fiscal year, primarily due to a reduction in our net interest and investment income and losses on foreign currency.</w:t>
      </w:r>
    </w:p>
    <w:p>
      <w:pPr>
        <w:spacing w:after="0" w:line="170" w:lineRule="exact"/>
        <w:rPr>
          <w:sz w:val="20"/>
          <w:szCs w:val="20"/>
          <w:color w:val="auto"/>
        </w:rPr>
      </w:pPr>
    </w:p>
    <w:p>
      <w:pPr>
        <w:jc w:val="both"/>
        <w:ind w:right="240" w:firstLine="405"/>
        <w:spacing w:after="0" w:line="257" w:lineRule="auto"/>
        <w:rPr>
          <w:sz w:val="20"/>
          <w:szCs w:val="20"/>
          <w:color w:val="auto"/>
        </w:rPr>
      </w:pPr>
      <w:r>
        <w:rPr>
          <w:rFonts w:ascii="Arial" w:cs="Arial" w:eastAsia="Arial" w:hAnsi="Arial"/>
          <w:sz w:val="18"/>
          <w:szCs w:val="18"/>
          <w:color w:val="auto"/>
        </w:rPr>
        <w:t>The decrease in interest and investment income, net, during the three months ended April 30, 2013, as compared to the same period in the prior fiscal year is primarily due to interest expense resulting from the issuance of $400.0 million aggregate principal amount of 1.95% senior notes due December 15, 2017 and $350.0 million aggregate principal amount of 3.6% senior notes due December 15, 2022, and a decrease in the fair value of our trading securities that are marked-to-market each period. Interest and investment income fluctuates based on average cash, marketable securities and debt balances, average maturities and interest rates.</w:t>
      </w:r>
    </w:p>
    <w:p>
      <w:pPr>
        <w:spacing w:after="0" w:line="188"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basis of assets and liabilities, using enacted rates expected to be in effect during the year in which the basis differences reverse.</w:t>
      </w:r>
    </w:p>
    <w:p>
      <w:pPr>
        <w:spacing w:after="0" w:line="18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effective tax rate was 23% during the three months ended April 30, 2013 compared to 19% during the three months ended April 30, 2012. Our effective tax rate increased 4% during the three months ended April 30, 2013 as compared to the same period in the prior fiscal year primarily due to discrete tax benefits from closure of the statute of limitations during the first quarter of fiscal 2013 and lower tax benefits related to stock based compensation in the first quarter of fiscal 2014, partially offset by tax benefits from the reinstated federal research credit. Excluding the impact of these discrete tax items, the effective tax rate for the three months ended April 30, 2013 was 24% and was lower than the Federal statutory tax rate of 35% primarily due to foreign income taxed at lower rates partially offset by the impact of non-deductible stock based compensation expense.</w:t>
      </w:r>
    </w:p>
    <w:p>
      <w:pPr>
        <w:spacing w:after="0" w:line="17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and investments,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At April 30, 2013, we had net deferred tax assets of $190.3 million. We believe that we will generate sufficient future taxable income in appropriate tax jurisdictions to realize these assets.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0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months ended April 30, 2013, and 2012, our gross profit, gross margin, income from operations, operating margin, net income and diluted earnings per share on a GAAP and non-GAAP basis were as follows (in millions except for gross margin, operating margin and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7"/>
              </w:rPr>
              <w:t>Three Months Ended April 30,</w:t>
            </w:r>
          </w:p>
        </w:tc>
      </w:tr>
      <w:tr>
        <w:trPr>
          <w:trHeight w:val="264"/>
        </w:trPr>
        <w:tc>
          <w:tcPr>
            <w:tcW w:w="9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6"/>
              </w:rPr>
              <w:t>2012</w:t>
            </w:r>
          </w:p>
        </w:tc>
      </w:tr>
      <w:tr>
        <w:trPr>
          <w:trHeight w:val="196"/>
        </w:trPr>
        <w:tc>
          <w:tcPr>
            <w:tcW w:w="9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17"/>
                <w:szCs w:val="17"/>
                <w:color w:val="auto"/>
              </w:rPr>
            </w:pPr>
          </w:p>
        </w:tc>
      </w:tr>
      <w:tr>
        <w:trPr>
          <w:trHeight w:val="256"/>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502.9</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529.8</w:t>
            </w:r>
          </w:p>
        </w:tc>
      </w:tr>
      <w:tr>
        <w:trPr>
          <w:trHeight w:val="237"/>
        </w:trPr>
        <w:tc>
          <w:tcPr>
            <w:tcW w:w="918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41"/>
              <w:spacing w:after="0"/>
              <w:rPr>
                <w:sz w:val="20"/>
                <w:szCs w:val="20"/>
                <w:color w:val="auto"/>
              </w:rPr>
            </w:pPr>
            <w:r>
              <w:rPr>
                <w:rFonts w:ascii="Arial" w:cs="Arial" w:eastAsia="Arial" w:hAnsi="Arial"/>
                <w:sz w:val="16"/>
                <w:szCs w:val="16"/>
                <w:color w:val="auto"/>
              </w:rPr>
              <w:t>515.2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540.9</w:t>
            </w:r>
          </w:p>
        </w:tc>
      </w:tr>
      <w:tr>
        <w:trPr>
          <w:trHeight w:val="33"/>
        </w:trPr>
        <w:tc>
          <w:tcPr>
            <w:tcW w:w="9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88%</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918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14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9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81.4</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94.0</w:t>
            </w:r>
          </w:p>
        </w:tc>
      </w:tr>
      <w:tr>
        <w:trPr>
          <w:trHeight w:val="237"/>
        </w:trPr>
        <w:tc>
          <w:tcPr>
            <w:tcW w:w="918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41"/>
              <w:spacing w:after="0"/>
              <w:rPr>
                <w:sz w:val="20"/>
                <w:szCs w:val="20"/>
                <w:color w:val="auto"/>
              </w:rPr>
            </w:pPr>
            <w:r>
              <w:rPr>
                <w:rFonts w:ascii="Arial" w:cs="Arial" w:eastAsia="Arial" w:hAnsi="Arial"/>
                <w:sz w:val="16"/>
                <w:szCs w:val="16"/>
                <w:color w:val="auto"/>
              </w:rPr>
              <w:t>136.9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145.0</w:t>
            </w:r>
          </w:p>
        </w:tc>
      </w:tr>
      <w:tr>
        <w:trPr>
          <w:trHeight w:val="33"/>
        </w:trPr>
        <w:tc>
          <w:tcPr>
            <w:tcW w:w="9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918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14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9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55.6</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78.9</w:t>
            </w:r>
          </w:p>
        </w:tc>
      </w:tr>
      <w:tr>
        <w:trPr>
          <w:trHeight w:val="237"/>
        </w:trPr>
        <w:tc>
          <w:tcPr>
            <w:tcW w:w="9180" w:type="dxa"/>
            <w:vAlign w:val="bottom"/>
          </w:tcPr>
          <w:p>
            <w:pPr>
              <w:ind w:left="40"/>
              <w:spacing w:after="0"/>
              <w:rPr>
                <w:sz w:val="20"/>
                <w:szCs w:val="20"/>
                <w:color w:val="auto"/>
              </w:rPr>
            </w:pPr>
            <w:r>
              <w:rPr>
                <w:rFonts w:ascii="Arial" w:cs="Arial" w:eastAsia="Arial" w:hAnsi="Arial"/>
                <w:sz w:val="16"/>
                <w:szCs w:val="16"/>
                <w:color w:val="auto"/>
              </w:rPr>
              <w:t>Non-GAAP net income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41"/>
              <w:spacing w:after="0"/>
              <w:rPr>
                <w:sz w:val="20"/>
                <w:szCs w:val="20"/>
                <w:color w:val="auto"/>
              </w:rPr>
            </w:pPr>
            <w:r>
              <w:rPr>
                <w:rFonts w:ascii="Arial" w:cs="Arial" w:eastAsia="Arial" w:hAnsi="Arial"/>
                <w:sz w:val="16"/>
                <w:szCs w:val="16"/>
                <w:color w:val="auto"/>
              </w:rPr>
              <w:t>96.3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109.1</w:t>
            </w:r>
          </w:p>
        </w:tc>
      </w:tr>
      <w:tr>
        <w:trPr>
          <w:trHeight w:val="33"/>
        </w:trPr>
        <w:tc>
          <w:tcPr>
            <w:tcW w:w="9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0.24</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0.34</w:t>
            </w:r>
          </w:p>
        </w:tc>
      </w:tr>
      <w:tr>
        <w:trPr>
          <w:trHeight w:val="237"/>
        </w:trPr>
        <w:tc>
          <w:tcPr>
            <w:tcW w:w="9180" w:type="dxa"/>
            <w:vAlign w:val="bottom"/>
          </w:tcPr>
          <w:p>
            <w:pPr>
              <w:ind w:left="40"/>
              <w:spacing w:after="0"/>
              <w:rPr>
                <w:sz w:val="20"/>
                <w:szCs w:val="20"/>
                <w:color w:val="auto"/>
              </w:rPr>
            </w:pPr>
            <w:r>
              <w:rPr>
                <w:rFonts w:ascii="Arial" w:cs="Arial" w:eastAsia="Arial" w:hAnsi="Arial"/>
                <w:sz w:val="16"/>
                <w:szCs w:val="16"/>
                <w:color w:val="auto"/>
              </w:rPr>
              <w:t>Non-GAAP diluted earnings per share (1)(2)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41"/>
              <w:spacing w:after="0"/>
              <w:rPr>
                <w:sz w:val="20"/>
                <w:szCs w:val="20"/>
                <w:color w:val="auto"/>
              </w:rPr>
            </w:pPr>
            <w:r>
              <w:rPr>
                <w:rFonts w:ascii="Arial" w:cs="Arial" w:eastAsia="Arial" w:hAnsi="Arial"/>
                <w:sz w:val="16"/>
                <w:szCs w:val="16"/>
                <w:color w:val="auto"/>
              </w:rPr>
              <w:t>0.42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0.47</w:t>
            </w:r>
          </w:p>
        </w:tc>
      </w:tr>
      <w:tr>
        <w:trPr>
          <w:trHeight w:val="249"/>
        </w:trPr>
        <w:tc>
          <w:tcPr>
            <w:tcW w:w="918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ind w:left="420" w:right="300" w:hanging="412"/>
        <w:spacing w:after="0" w:line="248"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 w:lineRule="exact"/>
        <w:rPr>
          <w:rFonts w:ascii="Arial" w:cs="Arial" w:eastAsia="Arial" w:hAnsi="Arial"/>
          <w:sz w:val="16"/>
          <w:szCs w:val="16"/>
          <w:color w:val="auto"/>
        </w:rPr>
      </w:pPr>
    </w:p>
    <w:p>
      <w:pPr>
        <w:ind w:left="420" w:right="40" w:hanging="412"/>
        <w:spacing w:after="0" w:line="257"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8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For our internal budgeting and resource allocation process,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In addition, these non-GAAP financial measures facilitate comparisons to our and our competitors’ historical results and operating guidance. We also use some of these measures for purposes of determining company-wide incentive compensation.</w:t>
      </w:r>
    </w:p>
    <w:p>
      <w:pPr>
        <w:spacing w:after="0" w:line="173"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not meant to be considered in isolation or as a substitute for the directly comparable financial measures prepared in accordance with GAAP. The non-GAAP financial measures are meant to supplement, and be viewed in conjunction with, GAAP financial measures.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0" w:lineRule="exact"/>
        <w:rPr>
          <w:sz w:val="20"/>
          <w:szCs w:val="20"/>
          <w:color w:val="auto"/>
        </w:rPr>
      </w:pPr>
    </w:p>
    <w:p>
      <w:pPr>
        <w:spacing w:after="0" w:line="219" w:lineRule="exact"/>
        <w:rPr>
          <w:sz w:val="20"/>
          <w:szCs w:val="20"/>
          <w:color w:val="auto"/>
        </w:rPr>
      </w:pPr>
    </w:p>
    <w:p>
      <w:pPr>
        <w:jc w:val="right"/>
        <w:ind w:right="16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23495</wp:posOffset>
            </wp:positionV>
            <wp:extent cx="14236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operations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income from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(gain) on strategic investments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Discrete tax provision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right"/>
        <w:ind w:right="5180"/>
        <w:spacing w:after="0"/>
        <w:rPr>
          <w:sz w:val="20"/>
          <w:szCs w:val="20"/>
          <w:color w:val="auto"/>
        </w:rPr>
      </w:pPr>
      <w:r>
        <w:rPr>
          <w:rFonts w:ascii="Arial" w:cs="Arial" w:eastAsia="Arial" w:hAnsi="Arial"/>
          <w:sz w:val="16"/>
          <w:szCs w:val="16"/>
          <w:color w:val="auto"/>
        </w:rPr>
        <w:t>Income tax effect of non-GAAP adjustments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6"/>
              </w:rPr>
              <w:t>2012</w:t>
            </w:r>
          </w:p>
        </w:tc>
      </w:tr>
      <w:tr>
        <w:trPr>
          <w:trHeight w:val="190"/>
        </w:trPr>
        <w:tc>
          <w:tcPr>
            <w:tcW w:w="240" w:type="dxa"/>
            <w:vAlign w:val="bottom"/>
          </w:tcPr>
          <w:p>
            <w:pPr>
              <w:spacing w:after="0"/>
              <w:rPr>
                <w:sz w:val="16"/>
                <w:szCs w:val="16"/>
                <w:color w:val="auto"/>
              </w:rPr>
            </w:pPr>
          </w:p>
        </w:tc>
        <w:tc>
          <w:tcPr>
            <w:tcW w:w="1300" w:type="dxa"/>
            <w:vAlign w:val="bottom"/>
            <w:gridSpan w:val="3"/>
          </w:tcPr>
          <w:p>
            <w:pPr>
              <w:ind w:left="520"/>
              <w:spacing w:after="0"/>
              <w:rPr>
                <w:sz w:val="20"/>
                <w:szCs w:val="20"/>
                <w:color w:val="auto"/>
              </w:rPr>
            </w:pPr>
            <w:r>
              <w:rPr>
                <w:rFonts w:ascii="Arial" w:cs="Arial" w:eastAsia="Arial" w:hAnsi="Arial"/>
                <w:sz w:val="14"/>
                <w:szCs w:val="14"/>
                <w:b w:val="1"/>
                <w:bCs w:val="1"/>
                <w:color w:val="auto"/>
                <w:w w:val="97"/>
              </w:rPr>
              <w:t>(Unaudited)</w:t>
            </w:r>
          </w:p>
        </w:tc>
        <w:tc>
          <w:tcPr>
            <w:tcW w:w="700" w:type="dxa"/>
            <w:vAlign w:val="bottom"/>
          </w:tcPr>
          <w:p>
            <w:pPr>
              <w:spacing w:after="0"/>
              <w:rPr>
                <w:sz w:val="16"/>
                <w:szCs w:val="16"/>
                <w:color w:val="auto"/>
              </w:rPr>
            </w:pPr>
          </w:p>
        </w:tc>
      </w:tr>
      <w:tr>
        <w:trPr>
          <w:trHeight w:val="249"/>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502.9</w:t>
            </w:r>
          </w:p>
        </w:tc>
        <w:tc>
          <w:tcPr>
            <w:tcW w:w="12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529.8</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1.3</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9.8</w:t>
            </w:r>
          </w:p>
        </w:tc>
      </w:tr>
      <w:tr>
        <w:trPr>
          <w:trHeight w:val="3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515.2</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540.9</w:t>
            </w:r>
          </w:p>
        </w:tc>
      </w:tr>
      <w:tr>
        <w:trPr>
          <w:trHeight w:val="3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4"/>
        </w:trPr>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70"/>
        </w:trPr>
        <w:tc>
          <w:tcPr>
            <w:tcW w:w="240" w:type="dxa"/>
            <w:vAlign w:val="bottom"/>
          </w:tcPr>
          <w:p>
            <w:pPr>
              <w:spacing w:after="0"/>
              <w:rPr>
                <w:sz w:val="23"/>
                <w:szCs w:val="23"/>
                <w:color w:val="auto"/>
              </w:rPr>
            </w:pPr>
          </w:p>
        </w:tc>
        <w:tc>
          <w:tcPr>
            <w:tcW w:w="9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94.0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33.4</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17.6</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136.9</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145.0</w:t>
            </w:r>
          </w:p>
        </w:tc>
      </w:tr>
      <w:tr>
        <w:trPr>
          <w:trHeight w:val="3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4"/>
        </w:trPr>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240" w:type="dxa"/>
            <w:vAlign w:val="bottom"/>
          </w:tcPr>
          <w:p>
            <w:pPr>
              <w:spacing w:after="0"/>
              <w:rPr>
                <w:sz w:val="23"/>
                <w:szCs w:val="23"/>
                <w:color w:val="auto"/>
              </w:rPr>
            </w:pPr>
          </w:p>
        </w:tc>
        <w:tc>
          <w:tcPr>
            <w:tcW w:w="9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78.9</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33.4</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17.6</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(13.4)</w:t>
            </w:r>
          </w:p>
        </w:tc>
      </w:tr>
    </w:tbl>
    <w:p>
      <w:pPr>
        <w:spacing w:after="0" w:line="13" w:lineRule="exact"/>
        <w:rPr>
          <w:sz w:val="20"/>
          <w:szCs w:val="20"/>
          <w:color w:val="auto"/>
        </w:rPr>
      </w:pPr>
    </w:p>
    <w:p>
      <w:pPr>
        <w:sectPr>
          <w:pgSz w:w="11900" w:h="16838" w:orient="portrait"/>
          <w:cols w:equalWidth="0" w:num="2">
            <w:col w:w="8460" w:space="720"/>
            <w:col w:w="22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918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73"/>
        </w:trPr>
        <w:tc>
          <w:tcPr>
            <w:tcW w:w="91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91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 (2)</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37"/>
        </w:trPr>
        <w:tc>
          <w:tcPr>
            <w:tcW w:w="91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33"/>
        </w:trPr>
        <w:tc>
          <w:tcPr>
            <w:tcW w:w="9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37"/>
        </w:trPr>
        <w:tc>
          <w:tcPr>
            <w:tcW w:w="918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on strategic investments (1)</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18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3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9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7"/>
        </w:trPr>
        <w:tc>
          <w:tcPr>
            <w:tcW w:w="9180" w:type="dxa"/>
            <w:vAlign w:val="bottom"/>
          </w:tcPr>
          <w:p>
            <w:pPr>
              <w:ind w:left="40"/>
              <w:spacing w:after="0"/>
              <w:rPr>
                <w:sz w:val="20"/>
                <w:szCs w:val="20"/>
                <w:color w:val="auto"/>
              </w:rPr>
            </w:pPr>
            <w:r>
              <w:rPr>
                <w:rFonts w:ascii="Arial" w:cs="Arial" w:eastAsia="Arial" w:hAnsi="Arial"/>
                <w:sz w:val="16"/>
                <w:szCs w:val="16"/>
                <w:color w:val="auto"/>
              </w:rPr>
              <w:t>Non-GAAP diluted net income per share (2)</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33"/>
        </w:trPr>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1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20" w:right="380" w:hanging="7"/>
        <w:spacing w:after="0" w:line="334" w:lineRule="auto"/>
        <w:tabs>
          <w:tab w:leader="none" w:pos="8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 w:lineRule="exact"/>
        <w:rPr>
          <w:rFonts w:ascii="Arial" w:cs="Arial" w:eastAsia="Arial" w:hAnsi="Arial"/>
          <w:sz w:val="16"/>
          <w:szCs w:val="16"/>
          <w:color w:val="auto"/>
        </w:rPr>
      </w:pPr>
    </w:p>
    <w:p>
      <w:pPr>
        <w:ind w:left="420" w:right="240" w:hanging="7"/>
        <w:spacing w:after="0" w:line="363" w:lineRule="auto"/>
        <w:tabs>
          <w:tab w:leader="none" w:pos="8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80" w:right="239" w:bottom="1440" w:gutter="0" w:footer="0" w:header="0"/>
          <w:type w:val="continuous"/>
        </w:sectPr>
      </w:pPr>
    </w:p>
    <w:bookmarkStart w:id="37" w:name="page38"/>
    <w:bookmarkEnd w:id="37"/>
    <w:p>
      <w:pPr>
        <w:ind w:left="420"/>
        <w:spacing w:after="0"/>
        <w:rPr>
          <w:sz w:val="20"/>
          <w:szCs w:val="20"/>
          <w:color w:val="auto"/>
        </w:rPr>
      </w:pPr>
      <w:r>
        <w:rPr>
          <w:rFonts w:ascii="Arial" w:cs="Arial" w:eastAsia="Arial" w:hAnsi="Arial"/>
          <w:sz w:val="18"/>
          <w:szCs w:val="18"/>
          <w:color w:val="auto"/>
        </w:rPr>
        <w:t>Our non-GAAP financial measures as set forth in the table above exclude the following:</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from non-GAAP measures primarily because management finds it</w:t>
      </w:r>
      <w:r>
        <w:rPr>
          <w:rFonts w:ascii="Arial" w:cs="Arial" w:eastAsia="Arial" w:hAnsi="Arial"/>
          <w:sz w:val="18"/>
          <w:szCs w:val="18"/>
          <w:i w:val="1"/>
          <w:iCs w:val="1"/>
          <w:color w:val="auto"/>
        </w:rPr>
        <w:t xml:space="preserve"> </w:t>
      </w:r>
      <w:r>
        <w:rPr>
          <w:rFonts w:ascii="Arial" w:cs="Arial" w:eastAsia="Arial" w:hAnsi="Arial"/>
          <w:sz w:val="18"/>
          <w:szCs w:val="18"/>
          <w:color w:val="auto"/>
        </w:rPr>
        <w:t>useful to exclude these charges to assess the appropriate level of various operating expenses and to assist in budgeting, planning and forecasting future periods.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Amortization of purchased intangibles</w:t>
      </w:r>
      <w:r>
        <w:rPr>
          <w:rFonts w:ascii="Arial" w:cs="Arial" w:eastAsia="Arial" w:hAnsi="Arial"/>
          <w:sz w:val="18"/>
          <w:szCs w:val="18"/>
          <w:color w:val="auto"/>
        </w:rPr>
        <w:t>. We incur amortization of acquisition-related purchased intangible assets primarily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certain businesses and technologies. The amortization of purchased intangibles varies depending on the level of acquisition activity and management finds it useful to exclude these variable charges to assess the appropriate level of various operating expenses and to assist in budgeting, planning and forecasting future periods.</w:t>
      </w:r>
    </w:p>
    <w:p>
      <w:pPr>
        <w:spacing w:after="0" w:line="18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These expenses are associated with realigning our business strategies based on current economic conditions.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these restructuring actions, we recognize costs related to termination benefits for former employees whose positions were eliminated, and the closure of facilities and cancellation of certain contracts. We exclude these charges because these expenses are not reflective of ongoing financial results in the current period.</w:t>
      </w:r>
    </w:p>
    <w:p>
      <w:pPr>
        <w:spacing w:after="0" w:line="187"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i w:val="1"/>
          <w:iCs w:val="1"/>
          <w:color w:val="auto"/>
        </w:rPr>
        <w:t xml:space="preserve">Loss (gain) on strategic investments. </w:t>
      </w:r>
      <w:r>
        <w:rPr>
          <w:rFonts w:ascii="Arial" w:cs="Arial" w:eastAsia="Arial" w:hAnsi="Arial"/>
          <w:sz w:val="18"/>
          <w:szCs w:val="18"/>
          <w:color w:val="auto"/>
        </w:rPr>
        <w:t>Autodesk excludes gains and losses related to our strategic investments from its non-GAAP measures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management finds it useful to exclude these variable gains and losses on these investments in assessing our financial results. Included in these amounts are non-cash unrealized gains and losses on the derivative components, realized gains and losses on the sale or losses on the impairment of these investments.</w:t>
      </w:r>
    </w:p>
    <w:p>
      <w:pPr>
        <w:spacing w:after="0" w:line="187"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i w:val="1"/>
          <w:iCs w:val="1"/>
          <w:color w:val="auto"/>
        </w:rPr>
        <w:t>Discrete tax provision items</w:t>
      </w:r>
      <w:r>
        <w:rPr>
          <w:rFonts w:ascii="Arial" w:cs="Arial" w:eastAsia="Arial" w:hAnsi="Arial"/>
          <w:sz w:val="16"/>
          <w:szCs w:val="16"/>
          <w:color w:val="auto"/>
        </w:rPr>
        <w:t>. We exclude the GAAP tax provision, including discrete items, from the non-GAAP measure of income, and 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law. Management believes this approach assists investors in understanding the tax provision and the effective tax rate related to ongoing operations.</w:t>
      </w:r>
    </w:p>
    <w:p>
      <w:pPr>
        <w:spacing w:after="0" w:line="222"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i w:val="1"/>
          <w:iCs w:val="1"/>
          <w:color w:val="auto"/>
        </w:rPr>
        <w:t>Income tax effects of non-GAAP adjustments</w:t>
      </w:r>
      <w:r>
        <w:rPr>
          <w:rFonts w:ascii="Arial" w:cs="Arial" w:eastAsia="Arial" w:hAnsi="Arial"/>
          <w:sz w:val="18"/>
          <w:szCs w:val="18"/>
          <w:color w:val="auto"/>
        </w:rPr>
        <w:t>. The income tax effects that are excluded from the non-GAAP measures relate to the tax impact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GAAP and non-GAAP costs and expenses, primarily due to stock-based compensation and purchased intangibles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20" w:firstLine="405"/>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7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At April 30, 2013, our principal sources of liquidity were cash, cash equivalents and marketable securities totaling $2,479.9 million and net accounts receivable of $285.8 million.</w:t>
      </w:r>
    </w:p>
    <w:p>
      <w:pPr>
        <w:spacing w:after="0" w:line="17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In fiscal 2013, we issued $400.0 million aggregate principal amount of 1.95% senior notes due December 15, 2017 and $350.0 million aggregate principal amount of 3.6% senior notes due December 15, 2022, (collectively, the "Senior Notes"). In addition, we have a line of credit facility that permits unsecured short-term borrowings of up to $400.0 million. We amended and restated the credit facility in May 2013. The amended and restated credit facility expires in May 2018. See Note 19, "Subsequent Events," for additional information about our credit facility. Borrowings under the credit facility and the net proceeds from the offering of the Senior Notes are available for general corporate purposes.</w:t>
      </w:r>
    </w:p>
    <w:p>
      <w:pPr>
        <w:spacing w:after="0" w:line="173"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Our cash and cash equivalents are held by diversified financial institutions globally. Our primary commercial banking relationship is with Citibank and its global affiliates (“Citibank”). In addition, Citibank is one of the lead lenders and agent in the syndicate of our $400.0 million line of credit.</w:t>
      </w:r>
    </w:p>
    <w:p>
      <w:pPr>
        <w:spacing w:after="0" w:line="14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increase in our cash, cash equivalents and marketable securities from $2,365.4 million at January 31, 2013 to $2,479.9 million at April 30, 2013 is principally due to cash generated by operating activities, and proceeds from the issuance of common stock following stock option exercises and employee stock plan purchases. These increases to cash, cash</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38" w:name="page39"/>
    <w:bookmarkEnd w:id="38"/>
    <w:p>
      <w:pPr>
        <w:ind w:right="40"/>
        <w:spacing w:after="0" w:line="312" w:lineRule="auto"/>
        <w:rPr>
          <w:sz w:val="20"/>
          <w:szCs w:val="20"/>
          <w:color w:val="auto"/>
        </w:rPr>
      </w:pPr>
      <w:r>
        <w:rPr>
          <w:rFonts w:ascii="Arial" w:cs="Arial" w:eastAsia="Arial" w:hAnsi="Arial"/>
          <w:sz w:val="16"/>
          <w:szCs w:val="16"/>
          <w:color w:val="auto"/>
        </w:rPr>
        <w:t>equivalents and marketable securities are partially offset by cash used for repurchases of common stock, acquisitions including business combination and technology purchases, capital expenditures, and other investing activities. We anticipate the cash proceeds from issuance of common stock will vary based on our stock price, stock option exercise activity and the volume of employee purchases under the Employee Stock Purchase Plan ("ESP Plan").</w:t>
      </w:r>
    </w:p>
    <w:p>
      <w:pPr>
        <w:spacing w:after="0" w:line="147"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The primary source for net cash provided by operating activities of $224.1 million for the three months ended April 30, 2013 was net income of $55.6 million increased by the cash effect of expenses totaling $66.6 million associated with depreciation and amortization and stock-based compensation. In addition, net cash flow provided by changes in operating assets and liabilities was $103.8 million. The primary source of working capital was a decrease in accounts receivable and increase in income tax payable. Our days sales outstanding in trade receivables was 46 at April 30, 2013 compared to 74 days at January 31, 2013. The days sales outstanding decrease relates primarily to seasonality in our subscription contract renewals; subscription billings are generally higher in the fourth quarter in comparison to the rest of our fiscal year. The primary working capital uses of cash were for payments for the reduction of the accrued compensation expense primarily related to a decrease in the employee bonus accrual.</w:t>
      </w:r>
    </w:p>
    <w:p>
      <w:pPr>
        <w:spacing w:after="0" w:line="17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At April 30, 2013, our short-term investment portfolio had an estimated fair value of $432.1 million and a cost basis of $426.9 million. The portfolio fair value consisted of $210.6 million invested in commercial paper and corporate securities, $73.9 million invested in U.S. government agency securities, $71.2 million invested in U.S. treasury securities, $38.4 million invested in mutual funds, $21.8 million invested in municipal securities, $14.9 million invested in certificates of deposit and time deposits with remaining maturities at the date of purchase greater than 90 days and less than one year $1.0 million of sovereign debt and $0.3 million invested in other short-term securities.</w:t>
      </w:r>
    </w:p>
    <w:p>
      <w:pPr>
        <w:spacing w:after="0" w:line="188"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At April 30, 2013, $38.4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the acquisition of businesses, software products, or technologies complementary to our business; common stock repurchases; and capital expenditures, including the purchase and implementation of internal-use software applications.</w:t>
      </w:r>
    </w:p>
    <w:p>
      <w:pPr>
        <w:spacing w:after="0" w:line="18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April 30, 2013,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2013.</w:t>
      </w:r>
    </w:p>
    <w:p>
      <w:pPr>
        <w:spacing w:after="0" w:line="18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Our cash, cash equivalent and marketable securities balances are concentrated in a few locations around the world, with substantial amounts held outside of the U.S.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w:t>
      </w:r>
    </w:p>
    <w:p>
      <w:pPr>
        <w:spacing w:after="0" w:line="18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existing cash, cash equivalents and investment balances may decline in fiscal 2014 in the event of a weakening of the global economy or changes in our planned cash outlay. 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 Our borrowing capacity under the existing credit facility at June 5, 2013 is $400.0 million of which we have no amounts outstanding. This credit facility is available for working capital and general corporate purposes. In addition, as of June 5, 2013, we have $750.0 million aggregate principal amount of Senior Notes outstanding.</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84" w:right="259" w:bottom="1440" w:gutter="0" w:footer="0" w:header="0"/>
        </w:sectPr>
      </w:pPr>
    </w:p>
    <w:bookmarkStart w:id="39" w:name="page40"/>
    <w:bookmarkEnd w:id="39"/>
    <w:p>
      <w:pPr>
        <w:ind w:firstLine="405"/>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2013,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$399.0 million and $438.2 million at April 30, 2013 and January 31, 2013,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months ended April 30, 2013, we repurchased 3.2 million of our common stock. At April 30, 2013, 29.0 million shares remained available for repurchase under the repurchase program approved by the Board of Directors. This program does not have a fixed expiration date. See Note 15, “Common Stock Repurchase Program,” in the Notes to Condensed Consolidated Financial Statements for further discussion.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April 30, 2013:</w:t>
      </w:r>
    </w:p>
    <w:p>
      <w:pPr>
        <w:sectPr>
          <w:pgSz w:w="11900" w:h="16838" w:orient="portrait"/>
          <w:cols w:equalWidth="0" w:num="1">
            <w:col w:w="11420"/>
          </w:cols>
          <w:pgMar w:left="240" w:top="800" w:right="239" w:bottom="1440" w:gutter="0" w:footer="0" w:header="0"/>
        </w:sect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9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89"/>
              </w:rPr>
              <w:t>Average Price</w:t>
            </w:r>
          </w:p>
        </w:tc>
        <w:tc>
          <w:tcPr>
            <w:tcW w:w="29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Total Number of Shares Purchased as Part of</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9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9"/>
              </w:rPr>
              <w:t>Shares</w:t>
            </w:r>
          </w:p>
        </w:tc>
        <w:tc>
          <w:tcPr>
            <w:tcW w:w="144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20"/>
                <w:szCs w:val="20"/>
                <w:color w:val="auto"/>
              </w:rPr>
            </w:pPr>
            <w:r>
              <w:rPr>
                <w:rFonts w:ascii="Arial" w:cs="Arial" w:eastAsia="Arial" w:hAnsi="Arial"/>
                <w:sz w:val="14"/>
                <w:szCs w:val="14"/>
                <w:i w:val="1"/>
                <w:iCs w:val="1"/>
                <w:color w:val="auto"/>
              </w:rPr>
              <w:t>(Shares in thousands)</w:t>
            </w:r>
          </w:p>
        </w:tc>
        <w:tc>
          <w:tcPr>
            <w:tcW w:w="1980" w:type="dxa"/>
            <w:vAlign w:val="bottom"/>
          </w:tcPr>
          <w:p>
            <w:pPr>
              <w:jc w:val="center"/>
              <w:ind w:left="288"/>
              <w:spacing w:after="0"/>
              <w:rPr>
                <w:sz w:val="20"/>
                <w:szCs w:val="20"/>
                <w:color w:val="auto"/>
              </w:rPr>
            </w:pPr>
            <w:r>
              <w:rPr>
                <w:rFonts w:ascii="Arial" w:cs="Arial" w:eastAsia="Arial" w:hAnsi="Arial"/>
                <w:sz w:val="14"/>
                <w:szCs w:val="14"/>
                <w:b w:val="1"/>
                <w:bCs w:val="1"/>
                <w:color w:val="auto"/>
                <w:w w:val="92"/>
              </w:rPr>
              <w:t>Purchased</w:t>
            </w:r>
          </w:p>
        </w:tc>
        <w:tc>
          <w:tcPr>
            <w:tcW w:w="144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Paid per Share</w:t>
            </w:r>
          </w:p>
        </w:tc>
        <w:tc>
          <w:tcPr>
            <w:tcW w:w="29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Publicly Announced 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8340" w:space="200"/>
            <w:col w:w="2880"/>
          </w:cols>
          <w:pgMar w:left="240" w:top="800" w:right="2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1 - February 28</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32,244.4</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March 1 - March 30</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2,766.7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40.28</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2,766.7</w:t>
            </w:r>
          </w:p>
        </w:tc>
        <w:tc>
          <w:tcPr>
            <w:tcW w:w="2920" w:type="dxa"/>
            <w:vAlign w:val="bottom"/>
            <w:gridSpan w:val="2"/>
          </w:tcPr>
          <w:p>
            <w:pPr>
              <w:jc w:val="right"/>
              <w:ind w:right="19"/>
              <w:spacing w:after="0"/>
              <w:rPr>
                <w:sz w:val="20"/>
                <w:szCs w:val="20"/>
                <w:color w:val="auto"/>
              </w:rPr>
            </w:pPr>
            <w:r>
              <w:rPr>
                <w:rFonts w:ascii="Arial" w:cs="Arial" w:eastAsia="Arial" w:hAnsi="Arial"/>
                <w:sz w:val="16"/>
                <w:szCs w:val="16"/>
                <w:color w:val="auto"/>
              </w:rPr>
              <w:t>29,477.7</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April 30</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450.0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39.57</w:t>
            </w:r>
          </w:p>
        </w:tc>
        <w:tc>
          <w:tcPr>
            <w:tcW w:w="10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450.0</w:t>
            </w:r>
          </w:p>
        </w:tc>
        <w:tc>
          <w:tcPr>
            <w:tcW w:w="2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29,027.7</w:t>
            </w:r>
          </w:p>
        </w:tc>
        <w:tc>
          <w:tcPr>
            <w:tcW w:w="0" w:type="dxa"/>
            <w:vAlign w:val="bottom"/>
          </w:tcPr>
          <w:p>
            <w:pPr>
              <w:spacing w:after="0"/>
              <w:rPr>
                <w:sz w:val="1"/>
                <w:szCs w:val="1"/>
                <w:color w:val="auto"/>
              </w:rPr>
            </w:pPr>
          </w:p>
        </w:tc>
      </w:tr>
      <w:tr>
        <w:trPr>
          <w:trHeight w:val="244"/>
        </w:trPr>
        <w:tc>
          <w:tcPr>
            <w:tcW w:w="23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3,216.7</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40.18</w:t>
            </w:r>
          </w:p>
        </w:tc>
        <w:tc>
          <w:tcPr>
            <w:tcW w:w="100" w:type="dxa"/>
            <w:vAlign w:val="bottom"/>
          </w:tcPr>
          <w:p>
            <w:pPr>
              <w:spacing w:after="0"/>
              <w:rPr>
                <w:sz w:val="21"/>
                <w:szCs w:val="21"/>
                <w:color w:val="auto"/>
              </w:rPr>
            </w:pPr>
          </w:p>
        </w:tc>
        <w:tc>
          <w:tcPr>
            <w:tcW w:w="2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3,216.7</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plans approved by the Board of Directors.</w:t>
      </w:r>
    </w:p>
    <w:p>
      <w:pPr>
        <w:spacing w:after="0" w:line="9" w:lineRule="exact"/>
        <w:rPr>
          <w:rFonts w:ascii="Arial" w:cs="Arial" w:eastAsia="Arial" w:hAnsi="Arial"/>
          <w:sz w:val="16"/>
          <w:szCs w:val="16"/>
          <w:color w:val="auto"/>
        </w:rPr>
      </w:pPr>
    </w:p>
    <w:p>
      <w:pPr>
        <w:ind w:left="420" w:right="340" w:hanging="412"/>
        <w:spacing w:after="0" w:line="252"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These amounts correspond to the plans approved by the Board of Directors in June 2012 and December 2010 that authorized the repurchase of 30.0 million and 20.0 million shares, respectively. These plans do not have a fixed expiration date. At April 30, 2013, there are no further shares available for repurchase under the plan approved by the Board of Directors in December 2010.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30, 2013,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6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 Our constant currency methodology removes all hedging gains and losses from the calculation.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0" w:right="239" w:bottom="1440" w:gutter="0" w:footer="0" w:header="0"/>
          <w:type w:val="continuous"/>
        </w:sectPr>
      </w:pPr>
    </w:p>
    <w:bookmarkStart w:id="40" w:name="page41"/>
    <w:bookmarkEnd w:id="40"/>
    <w:p>
      <w:pPr>
        <w:ind w:right="120" w:firstLine="405"/>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AutoCAD Mechanical), Civil 3D, Maya, Plant 3D, Inventor products (standalone) and Revit products (standalone).</w:t>
      </w:r>
    </w:p>
    <w:p>
      <w:pPr>
        <w:spacing w:after="0" w:line="176" w:lineRule="exact"/>
        <w:rPr>
          <w:sz w:val="20"/>
          <w:szCs w:val="20"/>
          <w:color w:val="auto"/>
        </w:rPr>
      </w:pPr>
    </w:p>
    <w:p>
      <w:pPr>
        <w:ind w:right="200" w:firstLine="405"/>
        <w:spacing w:after="0" w:line="266" w:lineRule="auto"/>
        <w:rPr>
          <w:sz w:val="20"/>
          <w:szCs w:val="20"/>
          <w:color w:val="auto"/>
        </w:rPr>
      </w:pPr>
      <w:r>
        <w:rPr>
          <w:rFonts w:ascii="Arial" w:cs="Arial" w:eastAsia="Arial" w:hAnsi="Arial"/>
          <w:sz w:val="18"/>
          <w:szCs w:val="18"/>
          <w:i w:val="1"/>
          <w:iCs w:val="1"/>
          <w:color w:val="auto"/>
        </w:rPr>
        <w:t xml:space="preserve">License and Other revenue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and other revenue consists of two components: all forms of product license revenue and other revenue.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revenue includes: software license revenue from the sale of new seat licenses and upgrades. Other revenue consists of revenue from Creative Finishing, consulting and training services.</w:t>
      </w:r>
    </w:p>
    <w:p>
      <w:pPr>
        <w:spacing w:after="0" w:line="176" w:lineRule="exact"/>
        <w:rPr>
          <w:sz w:val="20"/>
          <w:szCs w:val="20"/>
          <w:color w:val="auto"/>
        </w:rPr>
      </w:pPr>
    </w:p>
    <w:p>
      <w:pPr>
        <w:ind w:firstLine="405"/>
        <w:spacing w:after="0" w:line="281" w:lineRule="auto"/>
        <w:rPr>
          <w:sz w:val="20"/>
          <w:szCs w:val="20"/>
          <w:color w:val="auto"/>
        </w:rPr>
      </w:pPr>
      <w:r>
        <w:rPr>
          <w:rFonts w:ascii="Arial" w:cs="Arial" w:eastAsia="Arial" w:hAnsi="Arial"/>
          <w:sz w:val="17"/>
          <w:szCs w:val="17"/>
          <w:i w:val="1"/>
          <w:iCs w:val="1"/>
          <w:color w:val="auto"/>
        </w:rPr>
        <w:t xml:space="preserve">Maintenance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maintenance program provides our commercial and educational customers with a cost effective and predictable budgetary option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over the term of the agreements, generally between one and three years.</w:t>
      </w:r>
    </w:p>
    <w:p>
      <w:pPr>
        <w:spacing w:after="0" w:line="165"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Consulting, Autodesk Buzzsaw, Autodesk Constructware, Autodesk consumer products, Autodesk Creative Finishing products, Autodesk Moldflow products, Autodesk Navisworks, Autodesk Simulation, Autodesk Vault products and all other products.</w:t>
      </w:r>
    </w:p>
    <w:p>
      <w:pPr>
        <w:spacing w:after="0" w:line="180" w:lineRule="exact"/>
        <w:rPr>
          <w:sz w:val="20"/>
          <w:szCs w:val="20"/>
          <w:color w:val="auto"/>
        </w:rPr>
      </w:pPr>
    </w:p>
    <w:p>
      <w:pPr>
        <w:ind w:right="200" w:firstLine="405"/>
        <w:spacing w:after="0" w:line="303" w:lineRule="auto"/>
        <w:rPr>
          <w:sz w:val="20"/>
          <w:szCs w:val="20"/>
          <w:color w:val="auto"/>
        </w:rPr>
      </w:pPr>
      <w:r>
        <w:rPr>
          <w:rFonts w:ascii="Arial" w:cs="Arial" w:eastAsia="Arial" w:hAnsi="Arial"/>
          <w:sz w:val="16"/>
          <w:szCs w:val="16"/>
          <w:i w:val="1"/>
          <w:iCs w:val="1"/>
          <w:color w:val="auto"/>
        </w:rPr>
        <w:t>Suites</w:t>
      </w:r>
      <w:r>
        <w:rPr>
          <w:rFonts w:ascii="Arial" w:cs="Arial" w:eastAsia="Arial" w:hAnsi="Arial"/>
          <w:sz w:val="16"/>
          <w:szCs w:val="16"/>
          <w:b w:val="1"/>
          <w:bCs w:val="1"/>
          <w:color w:val="auto"/>
        </w:rPr>
        <w:t>—</w:t>
      </w:r>
      <w:r>
        <w:rPr>
          <w:rFonts w:ascii="Arial" w:cs="Arial" w:eastAsia="Arial" w:hAnsi="Arial"/>
          <w:sz w:val="16"/>
          <w:szCs w:val="16"/>
          <w:color w:val="auto"/>
        </w:rPr>
        <w:t>Autodesk design suites are a combination of products that target a specific user objective (product design, building design, etc.) and support a</w:t>
      </w:r>
      <w:r>
        <w:rPr>
          <w:rFonts w:ascii="Arial" w:cs="Arial" w:eastAsia="Arial" w:hAnsi="Arial"/>
          <w:sz w:val="16"/>
          <w:szCs w:val="16"/>
          <w:i w:val="1"/>
          <w:iCs w:val="1"/>
          <w:color w:val="auto"/>
        </w:rPr>
        <w:t xml:space="preserve"> </w:t>
      </w:r>
      <w:r>
        <w:rPr>
          <w:rFonts w:ascii="Arial" w:cs="Arial" w:eastAsia="Arial" w:hAnsi="Arial"/>
          <w:sz w:val="16"/>
          <w:szCs w:val="16"/>
          <w:color w:val="auto"/>
        </w:rPr>
        <w:t>set of workflows for that objective. Our new design and creation suites include: Autodesk Design Suite, Autodesk Building Design Suite, Autodesk Entertainment Creation Suite, Autodesk Factory Design Suite, Autodesk Infrastructure Design Suite, Autodesk Plant Design Suite, and Autodesk Product Design Suite. Our previously established suites include: Autodesk Inventor family suites, Autodesk Revit family suites, and education solutions suites.</w:t>
      </w:r>
    </w:p>
    <w:p>
      <w:pPr>
        <w:spacing w:after="0" w:line="151" w:lineRule="exact"/>
        <w:rPr>
          <w:sz w:val="20"/>
          <w:szCs w:val="20"/>
          <w:color w:val="auto"/>
        </w:rPr>
      </w:pPr>
    </w:p>
    <w:p>
      <w:pPr>
        <w:ind w:right="160" w:firstLine="405"/>
        <w:spacing w:after="0" w:line="282" w:lineRule="auto"/>
        <w:rPr>
          <w:sz w:val="20"/>
          <w:szCs w:val="20"/>
          <w:color w:val="auto"/>
        </w:rPr>
      </w:pPr>
      <w:r>
        <w:rPr>
          <w:rFonts w:ascii="Arial" w:cs="Arial" w:eastAsia="Arial" w:hAnsi="Arial"/>
          <w:sz w:val="18"/>
          <w:szCs w:val="18"/>
          <w:i w:val="1"/>
          <w:iCs w:val="1"/>
          <w:color w:val="auto"/>
        </w:rPr>
        <w:t xml:space="preserve">Subscription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Autodesk subscription revenue consists of two components: maintenance revenue for our software products and revenue for our cloud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offerings, including Autodesk 360.</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2013 and January 31, 2013,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$399.0 million and $438.2 million at April 30, 2013 and January 31, 2013, respectively.</w:t>
      </w:r>
    </w:p>
    <w:p>
      <w:pPr>
        <w:spacing w:after="0" w:line="17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April 30, 2013 indicated that a hypothetical 10% appreciation of the U.S. dollar from its value at April 30, 2013 and January 31, 2013 would increase the fair value of our foreign currency contracts by $35.2 million and $29.6 million, respectively. A hypothetical 10% depreciation of the dollar from its value at April 30, 2013 and January 31, 2013 would decrease the fair value of our foreign currency contracts by $19.3 million and $33.1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Interest rate movements affect both the interest income we earn on our short term investments and the market value of certain longer term securities. At April 30, 2013, we had $1,843.4 million of cash equivalents and marketable securities, including $432.1 million classified as short-term marketable securities and $392.0 million classified as long-term marketable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1" w:name="page42"/>
    <w:bookmarkEnd w:id="41"/>
    <w:p>
      <w:pPr>
        <w:ind w:right="620"/>
        <w:spacing w:after="0" w:line="277" w:lineRule="auto"/>
        <w:rPr>
          <w:sz w:val="20"/>
          <w:szCs w:val="20"/>
          <w:color w:val="auto"/>
        </w:rPr>
      </w:pPr>
      <w:r>
        <w:rPr>
          <w:rFonts w:ascii="Arial" w:cs="Arial" w:eastAsia="Arial" w:hAnsi="Arial"/>
          <w:sz w:val="18"/>
          <w:szCs w:val="18"/>
          <w:color w:val="auto"/>
        </w:rPr>
        <w:t>securities. If interest rates were to move up or down by 50 or 100 basis points over a twelve month period, the market value change of our marketable securities would be $14.8 million and $19.5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6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April 30, 2013 that have materially affected, or are reasonably likely to materially affect, our internal controls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4"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conditions may further impact our business, financial results and financial condition.</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relatively high unemployment, a low level of liquidity in many financial markets, increased government deficit spending and debt levels, uncertainty about certain governments' abilities to repay such debt or to address certain fiscal issues (such as the “fiscal cliff” and “sequestration” in the United States), and volatility in many financial instrument markets. There are a number of mixed indicators and it is not yet clear whether a sustainable recovery is occurring or a renewed slow-down is taking place.</w:t>
      </w:r>
    </w:p>
    <w:p>
      <w:pPr>
        <w:spacing w:after="0" w:line="193"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are causing, and over the past several years have caused, us to restructure our business and in turn we have and will incur restructuring charges. Moreover, our financial performance may be negatively impacted by:</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6" w:right="239" w:bottom="1440" w:gutter="0" w:footer="0" w:header="0"/>
        </w:sectPr>
      </w:pPr>
    </w:p>
    <w:bookmarkStart w:id="43" w:name="page44"/>
    <w:bookmarkEnd w:id="43"/>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48"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Even if economic conditions in the U.S. and foreign markets improve generally, a slower economic recovery in industries important to our business, such as the architecture, engineering and construction, manufacturing and digital media and entertainment industries, may adversely affect our business, financial results and financial condition. If a macro-economic recovery does not occur as rapidly as anticipated, our ability to meet our long-term financial targets may also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believe that our future results largely depend upon our ability to offer products that compete favorably with respect to reliability, performance, ease of use, range of useful features, continuing product enhancements, reputation and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In addition to the other factors described in this Part II, Item 1A, some of the factors that could cause our financial results to fluctuate include:</w:t>
      </w:r>
    </w:p>
    <w:p>
      <w:pPr>
        <w:spacing w:after="0" w:line="18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 particular geographies, including Europe and emerging economies,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produce sufficient revenue growth and profitability,</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 or negative growth in one or more of the industries we serve, including architecture, engineering and construction, manufacturing and digital media and entertainment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internal business reorganization,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400" w:hanging="328"/>
        <w:spacing w:after="0" w:line="277"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platform and business model changes,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170" w:lineRule="exact"/>
        <w:rPr>
          <w:rFonts w:ascii="Arial" w:cs="Arial" w:eastAsia="Arial" w:hAnsi="Arial"/>
          <w:sz w:val="18"/>
          <w:szCs w:val="18"/>
          <w:color w:val="auto"/>
        </w:rPr>
      </w:pPr>
    </w:p>
    <w:p>
      <w:pPr>
        <w:jc w:val="both"/>
        <w:ind w:left="328" w:right="40" w:hanging="328"/>
        <w:spacing w:after="0" w:line="342" w:lineRule="auto"/>
        <w:tabs>
          <w:tab w:leader="none" w:pos="3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 and the potential requirement that U.S. registrants prepare financial statements in accordance with International Financial Reporting Standards (“IFRS”),</w:t>
      </w:r>
    </w:p>
    <w:p>
      <w:pPr>
        <w:spacing w:after="0" w:line="123" w:lineRule="exact"/>
        <w:rPr>
          <w:rFonts w:ascii="Arial" w:cs="Arial" w:eastAsia="Arial" w:hAnsi="Arial"/>
          <w:sz w:val="16"/>
          <w:szCs w:val="16"/>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catastrophic events or natural disasters, such as the earthquakes and tsunami in Japan in March 2011 and Superstorm Sandy in October 2012,</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acquisitions of companies and technologies,</w:t>
      </w:r>
    </w:p>
    <w:p>
      <w:pPr>
        <w:spacing w:after="0" w:line="200" w:lineRule="exact"/>
        <w:rPr>
          <w:sz w:val="20"/>
          <w:szCs w:val="20"/>
          <w:color w:val="auto"/>
        </w:rPr>
      </w:pPr>
    </w:p>
    <w:p>
      <w:pPr>
        <w:spacing w:after="0" w:line="268"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8"/>
          </w:cols>
          <w:pgMar w:left="572" w:top="800" w:right="259" w:bottom="1440" w:gutter="0" w:footer="0" w:header="0"/>
        </w:sectPr>
      </w:pPr>
    </w:p>
    <w:bookmarkStart w:id="45" w:name="page46"/>
    <w:bookmarkEnd w:id="45"/>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adjustments arising from ongoing or future state and local sales tax examinations.</w:t>
      </w:r>
    </w:p>
    <w:p>
      <w:pPr>
        <w:spacing w:after="0" w:line="225"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have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three months ended April 30, 2013, approximately 85%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the distributor Tech Data Corporation and its global affiliates (“Tech Data”). Tech Data accounted for 25%, of our total net revenue for the three months ended April 30, 2013 as compared to 22% of our total net revenue for the three months ended April 30, 2012.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5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The actions that we are taking to reorganize our business in alignment with our current operating strategy and in response to our related business slowdown may be costly and may not be as effective as anticipated.</w:t>
      </w:r>
    </w:p>
    <w:p>
      <w:pPr>
        <w:spacing w:after="0" w:line="170" w:lineRule="exact"/>
        <w:rPr>
          <w:sz w:val="20"/>
          <w:szCs w:val="20"/>
          <w:color w:val="auto"/>
        </w:rPr>
      </w:pPr>
    </w:p>
    <w:p>
      <w:pPr>
        <w:ind w:right="560" w:firstLine="405"/>
        <w:spacing w:after="0" w:line="291" w:lineRule="auto"/>
        <w:rPr>
          <w:sz w:val="20"/>
          <w:szCs w:val="20"/>
          <w:color w:val="auto"/>
        </w:rPr>
      </w:pPr>
      <w:r>
        <w:rPr>
          <w:rFonts w:ascii="Arial" w:cs="Arial" w:eastAsia="Arial" w:hAnsi="Arial"/>
          <w:sz w:val="16"/>
          <w:szCs w:val="16"/>
          <w:color w:val="auto"/>
        </w:rPr>
        <w:t>During the first quarter of fiscal year 2013, we undertook a number of important organizational changes to drive the success of our business. The reorganization included changes to the structure and alignment of our product development and marketing teams and re-organization of our sales</w:t>
      </w:r>
    </w:p>
    <w:p>
      <w:pPr>
        <w:jc w:val="both"/>
        <w:ind w:right="140"/>
        <w:spacing w:after="0" w:line="302" w:lineRule="auto"/>
        <w:rPr>
          <w:sz w:val="20"/>
          <w:szCs w:val="20"/>
          <w:color w:val="auto"/>
        </w:rPr>
      </w:pPr>
      <w:r>
        <w:rPr>
          <w:rFonts w:ascii="Arial" w:cs="Arial" w:eastAsia="Arial" w:hAnsi="Arial"/>
          <w:sz w:val="16"/>
          <w:szCs w:val="16"/>
          <w:color w:val="auto"/>
        </w:rPr>
        <w:t>teams. While these changes were intended to better serve our customers and drive future growth, we encountered challenges in the execution of these efforts which impacted our financial results in the short term. In order to achieve these organizational changes and to further our strategy, including our continuing shift to cloud and mobile computing, in the third quarter of fiscal year 2013, we commenced a company-wide restructuring plan. If we are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ind w:right="220"/>
        <w:spacing w:after="0" w:line="259" w:lineRule="auto"/>
        <w:rPr>
          <w:sz w:val="20"/>
          <w:szCs w:val="20"/>
          <w:color w:val="auto"/>
        </w:rPr>
      </w:pPr>
      <w:r>
        <w:rPr>
          <w:rFonts w:ascii="Arial" w:cs="Arial" w:eastAsia="Arial" w:hAnsi="Arial"/>
          <w:sz w:val="18"/>
          <w:szCs w:val="18"/>
          <w:color w:val="auto"/>
        </w:rPr>
        <w:t>unable to realize the outcomes from the restructuring efforts as planned, we may need to undertake additional restructuring efforts, and our business and operating results may be harmed. In taking any future restructuring actions, we may incur additional costs that negatively impact our operating margins. Additionally, a prolonged and slow economic recovery or a renewed recession in U.S. or foreign markets could also lead to additional restructuring actions and associated costs.</w:t>
      </w:r>
    </w:p>
    <w:p>
      <w:pPr>
        <w:spacing w:after="0" w:line="18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have taken actions to reduce our cost structure to more closely align our costs with our revenue levels. In taking these actions, we have attempted to balance the cost of such initiatives against their longer term benefits. As a result of these actions, we have incurred and will incur additional costs in the short term that have the effect of reducing our operating margins.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173"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In addition, we are taking actions to stimulate demand for our products through a number of programs. Although we are attempting to balance the cost of these programs against their longer term benefits, it is possible that we will make such investments without a corresponding increase in demand for our products. This would further reduce our operating margins and have a negative impact on our financial results.</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would negatively impact our future revenue and financial results.</w:t>
      </w:r>
    </w:p>
    <w:p>
      <w:pPr>
        <w:spacing w:after="0" w:line="1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8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71% of our net revenue in the three months ended April 30, 2013.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Senior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8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584" w:right="279" w:bottom="1440" w:gutter="0" w:footer="0" w:header="0"/>
        </w:sectPr>
      </w:pPr>
    </w:p>
    <w:bookmarkStart w:id="47" w:name="page48"/>
    <w:bookmarkEnd w:id="47"/>
    <w:p>
      <w:pPr>
        <w:spacing w:after="0" w:line="288" w:lineRule="auto"/>
        <w:rPr>
          <w:sz w:val="20"/>
          <w:szCs w:val="20"/>
          <w:color w:val="auto"/>
        </w:rPr>
      </w:pPr>
      <w:r>
        <w:rPr>
          <w:rFonts w:ascii="Arial" w:cs="Arial" w:eastAsia="Arial" w:hAnsi="Arial"/>
          <w:sz w:val="16"/>
          <w:szCs w:val="16"/>
          <w:color w:val="auto"/>
        </w:rPr>
        <w:t>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tax law changes that, if enacted, could significantly impact how U.S. multinational companies are taxed on foreign subsidiary earnings,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169"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225"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Our recent increase in the number of acquisitions further exacerbates these risks.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any one or multiple of the investments become impaired in a given reporting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ind w:right="20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jc w:val="both"/>
        <w:ind w:right="12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Our strategy to develop and introduce new products and services, including our increased emphasis on cloud and mobile computing strategies, exposes us to risks such as limited customer acceptance, costs related to product defects and large expenditures that may not result in additional net revenue.</w:t>
      </w:r>
    </w:p>
    <w:p>
      <w:pPr>
        <w:spacing w:after="0" w:line="124"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cloud-based services and delivery of our solutions on mobile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800" w:right="279" w:bottom="1440" w:gutter="0" w:footer="0" w:header="0"/>
        </w:sectPr>
      </w:pPr>
    </w:p>
    <w:bookmarkStart w:id="49" w:name="page50"/>
    <w:bookmarkEnd w:id="49"/>
    <w:p>
      <w:pPr>
        <w:ind w:right="20"/>
        <w:spacing w:after="0" w:line="268" w:lineRule="auto"/>
        <w:rPr>
          <w:sz w:val="20"/>
          <w:szCs w:val="20"/>
          <w:color w:val="auto"/>
        </w:rPr>
      </w:pPr>
      <w:r>
        <w:rPr>
          <w:rFonts w:ascii="Arial" w:cs="Arial" w:eastAsia="Arial" w:hAnsi="Arial"/>
          <w:sz w:val="17"/>
          <w:szCs w:val="17"/>
          <w:color w:val="auto"/>
        </w:rPr>
        <w:t>devices and new hardware platforms to enable our customers to be more agile and collaborative on their projects. We are also developing consumer products for digital art, personal design and creativity, and home design. We devote significant resources to the development of new technologies, such as our cloud-based and mobile services, design and entertainment products, digital prototyping and collaboration products and consumer products. In addition, we frequently introduce new business models or methods that require a considerable investment of technical and financial resources such as an increase in our portfolio of, and focus on, suites. We are making such investments through our internal reorganization efforts and further development and enhancement of our existing products, as well as through acquisitions of new product lines. Such investments may not result in sufficient revenue generation to justify their costs. Market acceptance of these new technologies, business models or methods will be dependent on our ability to (1) include functionality and usability in such releases that address certain customer requirements with which our operating history is not extensive, and (2) to optimally price and deliver our products in light of marketplace conditions, our costs and customer demand. Customer adoption of our cloud, mobile, and social computing services may not occur as rapidly as anticipated, or competitors may introduce new products and services that achieve acceptance among our current customers, adversely affecting our competitive position. In addition, our cloud, mobile, and social computing offerings price and deliver our products and services in a way that differs from our historical pricing and delivery methods. If we are not able to meet customer requirements, either with respect to our software products or the manner in which we provide such products, or if we are not able to adapt our business model to meet our customers' requirements, our business, financial condition or results of operations may be adversely impacted.</w:t>
      </w:r>
    </w:p>
    <w:p>
      <w:pPr>
        <w:spacing w:after="0" w:line="199" w:lineRule="exact"/>
        <w:rPr>
          <w:sz w:val="20"/>
          <w:szCs w:val="20"/>
          <w:color w:val="auto"/>
        </w:rPr>
      </w:pPr>
    </w:p>
    <w:p>
      <w:pPr>
        <w:ind w:firstLine="432"/>
        <w:spacing w:after="0" w:line="287"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suites and cloud-based services. Over time, we aim to migrate customers using standalone Autodesk products to expand their portfolio with our suites and cloud-based offerings. Should sales of licenses of our AutoCAD and AutoCAD LT or standalone Autodesk flagship products decrease without a corresponding increase in suites product or cloud-based services revenue or without purchases of customer seats to our suites, our results of operations will be adversely affected. Also, adoption of our cloud and mobile computing offerings and changes in the delivery of our software and services to our customers may change the way in which we recognize revenue relating to our software and services, with a potential negative impact on our financial performance.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6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such as consumer products, our executive management team must act quickly, continuously and with vision. Although we have articulated a strategy that we believe will fulfill these challenges, if we fail to execute properly on that strategy, adapt that strategy as market conditions evolve or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Specifically, last year we undertook organizational changes in order to address major business initiatives, including our desire to accelerate our move to the cloud, transform our customers' experience, increase industry focus to meet customer demands, and develop more effective marketing. These reorganizational efforts included changes to the structure and alignment of our product development and marketing teams and re-organization of our sales teams by industry.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8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including suites, if these products are not successful, our revenue will be adversely affected.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0" w:name="page51"/>
    <w:bookmarkEnd w:id="50"/>
    <w:p>
      <w:pPr>
        <w:ind w:right="60" w:firstLine="432"/>
        <w:spacing w:after="0" w:line="255" w:lineRule="auto"/>
        <w:rPr>
          <w:sz w:val="20"/>
          <w:szCs w:val="20"/>
          <w:color w:val="auto"/>
        </w:rPr>
      </w:pPr>
      <w:r>
        <w:rPr>
          <w:rFonts w:ascii="Arial" w:cs="Arial" w:eastAsia="Arial" w:hAnsi="Arial"/>
          <w:sz w:val="18"/>
          <w:szCs w:val="18"/>
          <w:color w:val="auto"/>
        </w:rPr>
        <w:t>We derive a substantial portion of our net revenue from sales of licenses of a limited number of our products, including AutoCAD software, products based on AutoCAD, which include our suites that serve specific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months ended April 30, 2013, combined revenue from our AutoCAD and AutoCAD LT products, not including suites having AutoCAD or AutoCAD LT as a component, represented 34% of our total net revenue.</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184" w:lineRule="exact"/>
        <w:rPr>
          <w:sz w:val="20"/>
          <w:szCs w:val="20"/>
          <w:color w:val="auto"/>
        </w:rPr>
      </w:pPr>
    </w:p>
    <w:p>
      <w:pPr>
        <w:ind w:right="60" w:firstLine="432"/>
        <w:spacing w:after="0" w:line="303" w:lineRule="auto"/>
        <w:rPr>
          <w:sz w:val="20"/>
          <w:szCs w:val="20"/>
          <w:color w:val="auto"/>
        </w:rPr>
      </w:pPr>
      <w:r>
        <w:rPr>
          <w:rFonts w:ascii="Arial" w:cs="Arial" w:eastAsia="Arial" w:hAnsi="Arial"/>
          <w:sz w:val="16"/>
          <w:szCs w:val="16"/>
          <w:color w:val="auto"/>
        </w:rPr>
        <w:t xml:space="preserve">We make significant efforts to maintain the security and integrity of our product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and computer systems. Despite significant efforts to create security barriers to such programs, it is virtually impossible for us to entirely eliminate this risk. Like all software products, our software is vulnerable to such cyber attacks. In the past, hackers have targeted our software, and they may do so in the future. The impact of cyber attacks could disrupt the proper functioning of our software products, cause errors in the output of our customers' work, allow unauthorized access to sensitive, proprietary or confidential information of ours or our customers, and other destructive outcomes. </w:t>
      </w:r>
      <w:r>
        <w:rPr>
          <w:rFonts w:ascii="Arial" w:cs="Arial" w:eastAsia="Arial" w:hAnsi="Arial"/>
          <w:sz w:val="17"/>
          <w:szCs w:val="17"/>
          <w:color w:val="auto"/>
        </w:rPr>
        <w:t>M</w:t>
      </w:r>
      <w:r>
        <w:rPr>
          <w:rFonts w:ascii="Arial" w:cs="Arial" w:eastAsia="Arial" w:hAnsi="Arial"/>
          <w:sz w:val="16"/>
          <w:szCs w:val="16"/>
          <w:color w:val="auto"/>
        </w:rPr>
        <w:t>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we could face lawsuits and potential liability, and our financial performance could be negatively impacted.</w:t>
      </w:r>
    </w:p>
    <w:p>
      <w:pPr>
        <w:spacing w:after="0" w:line="15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and other operations; any interruption or delay in service from these third parties, breaches of security or privacy, or failures in data collection could expose us to liability, harm our reputation and adversely impact our financial performance.</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0" w:right="239" w:bottom="1440" w:gutter="0" w:footer="0" w:header="0"/>
        </w:sectPr>
      </w:pPr>
    </w:p>
    <w:bookmarkStart w:id="51" w:name="page52"/>
    <w:bookmarkEnd w:id="51"/>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decline, this could cause the credit ratings of our investments to deteriorate, illiquidity in the financial marketplace, and we may continue to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and earnings per share.</w:t>
      </w:r>
    </w:p>
    <w:p>
      <w:pPr>
        <w:spacing w:after="0" w:line="17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8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Although outcomes of such actions vary, any claims or regulatory actions initiated by or against us, whether successful or not, could result in expensive costs of defense, costly damage awards, injunctive relief, increased costs of business, fines or orders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change certain business practices, significant dedication of management time, diversion of significant operational resources, or otherwise harm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any of these cases, our financial results could be negatively impacted.</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Although we have determined that our internal control over financial reporting was effective as of January 31, 2013, as indicated in our Management Report on Internal Control over Financial Reporting, included in our Annual Report on Form 10-K for the fiscal year ended January 31, 2013,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the SEC has not yet made a determination regarding how or if IFRS will be incorporated into the financial reporting system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companies. A change in accounting principles from GAAP to IFRS may have a material impact on the way in which we report financial results.</w:t>
      </w:r>
    </w:p>
    <w:p>
      <w:pPr>
        <w:spacing w:after="0" w:line="211"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584" w:right="29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sales models, we are currently unable to determine how these potential changes may impact our new models, particularly in the area of revenue recognition.</w:t>
      </w:r>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Changes in laws and/or regulations related to the Internet or related to privacy and data security concerns or changes in the Internet infrastructure itself may cause our business to suffer.</w:t>
      </w:r>
    </w:p>
    <w:p>
      <w:pPr>
        <w:spacing w:after="0" w:line="170"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Several other countries, including Canada and several Latin American and Asian countries, have constitutional protections for, or have adopted legislation protecting, individuals' personal information. Additionally, some federal, state, or foreign governmental bodies have established laws which seek to censor the transmission of certain types of content over the Internet or require that individuals be provided with the ability to permanently delete all electronic personal information, such as the German Multimedia Law of 1997.</w:t>
      </w:r>
    </w:p>
    <w:p>
      <w:pPr>
        <w:spacing w:after="0" w:line="39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implementation of additional technological safeguards.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4" w:name="page55"/>
    <w:bookmarkEnd w:id="54"/>
    <w:p>
      <w:pPr>
        <w:jc w:val="both"/>
        <w:ind w:right="260"/>
        <w:spacing w:after="0" w:line="286" w:lineRule="auto"/>
        <w:rPr>
          <w:sz w:val="20"/>
          <w:szCs w:val="20"/>
          <w:color w:val="auto"/>
        </w:rPr>
      </w:pPr>
      <w:r>
        <w:rPr>
          <w:rFonts w:ascii="Arial" w:cs="Arial" w:eastAsia="Arial" w:hAnsi="Arial"/>
          <w:sz w:val="17"/>
          <w:szCs w:val="17"/>
          <w:color w:val="auto"/>
        </w:rPr>
        <w:t>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84" w:right="259" w:bottom="1440" w:gutter="0" w:footer="0" w:header="0"/>
        </w:sectPr>
      </w:pPr>
    </w:p>
    <w:bookmarkStart w:id="55" w:name="page56"/>
    <w:bookmarkEnd w:id="55"/>
    <w:p>
      <w:pPr>
        <w:ind w:right="320"/>
        <w:spacing w:after="0" w:line="308" w:lineRule="auto"/>
        <w:rPr>
          <w:sz w:val="20"/>
          <w:szCs w:val="20"/>
          <w:color w:val="auto"/>
        </w:rPr>
      </w:pPr>
      <w:r>
        <w:rPr>
          <w:rFonts w:ascii="Arial" w:cs="Arial" w:eastAsia="Arial" w:hAnsi="Arial"/>
          <w:sz w:val="17"/>
          <w:szCs w:val="17"/>
          <w:i w:val="1"/>
          <w:iCs w:val="1"/>
          <w:color w:val="auto"/>
        </w:rPr>
        <w:t>We issued $750.0 million aggregate principal amount of senior unsecured notes in a debt offering in December 2012 and have an existing $400.0 million revolving credit facility, and may incur other debt in the future, which may adversely affect our financial condition and future financial results.</w:t>
      </w:r>
    </w:p>
    <w:p>
      <w:pPr>
        <w:spacing w:after="0" w:line="147"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As the December 2017 and December 2022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also have a $400.0 million revolving credit facility. As of April 30, 2013,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are required to comply with the covenants set forth in our senior unsecured notes and revolving credit facility. Our ability to comply with these covenants may be affected by events beyond our control. If we breach any of the covenants and do not obtain a waiver from the noteholders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2013.</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584" w:right="299" w:bottom="1440" w:gutter="0" w:footer="0" w:header="0"/>
        </w:sectPr>
      </w:pPr>
    </w:p>
    <w:bookmarkStart w:id="56" w:name="page57"/>
    <w:bookmarkEnd w:id="56"/>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as part of this Form 10-Q.</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3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680" w:type="dxa"/>
            <w:vAlign w:val="bottom"/>
          </w:tcPr>
          <w:p>
            <w:pPr>
              <w:spacing w:after="0"/>
              <w:rPr>
                <w:sz w:val="14"/>
                <w:szCs w:val="14"/>
                <w:color w:val="auto"/>
              </w:rPr>
            </w:pPr>
          </w:p>
        </w:tc>
      </w:tr>
      <w:tr>
        <w:trPr>
          <w:trHeight w:val="379"/>
        </w:trPr>
        <w:tc>
          <w:tcPr>
            <w:tcW w:w="700" w:type="dxa"/>
            <w:vAlign w:val="bottom"/>
          </w:tcPr>
          <w:p>
            <w:pPr>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24"/>
                <w:szCs w:val="24"/>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Bylaws, as amended (</w:t>
            </w:r>
            <w:r>
              <w:rPr>
                <w:rFonts w:ascii="Arial" w:cs="Arial" w:eastAsia="Arial" w:hAnsi="Arial"/>
                <w:sz w:val="16"/>
                <w:szCs w:val="16"/>
                <w:i w:val="1"/>
                <w:iCs w:val="1"/>
                <w:color w:val="auto"/>
              </w:rPr>
              <w:t>incorporated by reference to Exhibit 3.1 filed with the Registrant's Current Report on Form 8-K filed on March 25, 2013</w:t>
            </w:r>
            <w:r>
              <w:rPr>
                <w:rFonts w:ascii="Arial" w:cs="Arial" w:eastAsia="Arial" w:hAnsi="Arial"/>
                <w:sz w:val="16"/>
                <w:szCs w:val="16"/>
                <w:color w:val="auto"/>
              </w:rPr>
              <w:t>)</w:t>
            </w:r>
          </w:p>
        </w:tc>
      </w:tr>
      <w:tr>
        <w:trPr>
          <w:trHeight w:val="415"/>
        </w:trPr>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w w:val="92"/>
              </w:rPr>
              <w:t>Carl Bass Employment Agreement, dated March 21, 2013 (</w:t>
            </w:r>
            <w:r>
              <w:rPr>
                <w:rFonts w:ascii="Arial" w:cs="Arial" w:eastAsia="Arial" w:hAnsi="Arial"/>
                <w:sz w:val="16"/>
                <w:szCs w:val="16"/>
                <w:i w:val="1"/>
                <w:iCs w:val="1"/>
                <w:color w:val="auto"/>
                <w:w w:val="92"/>
              </w:rPr>
              <w:t>incorporated by reference to Exhibit 10.1 filed with the Registrant's Current Report on Form 8-</w:t>
            </w:r>
          </w:p>
        </w:tc>
      </w:tr>
      <w:tr>
        <w:trPr>
          <w:trHeight w:val="206"/>
        </w:trPr>
        <w:tc>
          <w:tcPr>
            <w:tcW w:w="700" w:type="dxa"/>
            <w:vAlign w:val="bottom"/>
          </w:tcPr>
          <w:p>
            <w:pP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17"/>
                <w:szCs w:val="17"/>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i w:val="1"/>
                <w:iCs w:val="1"/>
                <w:color w:val="auto"/>
              </w:rPr>
              <w:t>K filed on March 25, 2013</w:t>
            </w:r>
            <w:r>
              <w:rPr>
                <w:rFonts w:ascii="Arial" w:cs="Arial" w:eastAsia="Arial" w:hAnsi="Arial"/>
                <w:sz w:val="16"/>
                <w:szCs w:val="16"/>
                <w:color w:val="auto"/>
              </w:rPr>
              <w:t>)</w:t>
            </w: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24"/>
                <w:szCs w:val="24"/>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w w:val="91"/>
              </w:rPr>
              <w:t>Participants, target awards and payout formulas for fiscal year 2014 under the Registrant's Executive Incentive Plan (</w:t>
            </w:r>
            <w:r>
              <w:rPr>
                <w:rFonts w:ascii="Arial" w:cs="Arial" w:eastAsia="Arial" w:hAnsi="Arial"/>
                <w:sz w:val="16"/>
                <w:szCs w:val="16"/>
                <w:i w:val="1"/>
                <w:iCs w:val="1"/>
                <w:color w:val="auto"/>
                <w:w w:val="91"/>
              </w:rPr>
              <w:t>incorporated by reference to Item 5.02</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i w:val="1"/>
                <w:iCs w:val="1"/>
                <w:color w:val="auto"/>
              </w:rPr>
              <w:t>of the Registrant's Current Report on Form 8-K filed on March 25, 2013</w:t>
            </w:r>
            <w:r>
              <w:rPr>
                <w:rFonts w:ascii="Arial" w:cs="Arial" w:eastAsia="Arial" w:hAnsi="Arial"/>
                <w:sz w:val="16"/>
                <w:szCs w:val="16"/>
                <w:color w:val="auto"/>
              </w:rPr>
              <w:t>)</w:t>
            </w:r>
          </w:p>
        </w:tc>
      </w:tr>
      <w:tr>
        <w:trPr>
          <w:trHeight w:val="378"/>
        </w:trPr>
        <w:tc>
          <w:tcPr>
            <w:tcW w:w="700" w:type="dxa"/>
            <w:vAlign w:val="bottom"/>
          </w:tcPr>
          <w:p>
            <w:pPr>
              <w:spacing w:after="0"/>
              <w:rPr>
                <w:sz w:val="20"/>
                <w:szCs w:val="20"/>
                <w:color w:val="auto"/>
              </w:rPr>
            </w:pPr>
            <w:r>
              <w:rPr>
                <w:rFonts w:ascii="Arial" w:cs="Arial" w:eastAsia="Arial" w:hAnsi="Arial"/>
                <w:sz w:val="16"/>
                <w:szCs w:val="16"/>
                <w:color w:val="auto"/>
              </w:rPr>
              <w:t>10.3*</w:t>
            </w:r>
          </w:p>
        </w:tc>
        <w:tc>
          <w:tcPr>
            <w:tcW w:w="320" w:type="dxa"/>
            <w:vAlign w:val="bottom"/>
          </w:tcPr>
          <w:p>
            <w:pPr>
              <w:spacing w:after="0"/>
              <w:rPr>
                <w:sz w:val="24"/>
                <w:szCs w:val="24"/>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w w:val="94"/>
              </w:rPr>
              <w:t>Description of Sales Commission Plan (</w:t>
            </w:r>
            <w:r>
              <w:rPr>
                <w:rFonts w:ascii="Arial" w:cs="Arial" w:eastAsia="Arial" w:hAnsi="Arial"/>
                <w:sz w:val="16"/>
                <w:szCs w:val="16"/>
                <w:i w:val="1"/>
                <w:iCs w:val="1"/>
                <w:color w:val="auto"/>
                <w:w w:val="94"/>
              </w:rPr>
              <w:t>incorporated by reference to Item 5.02 of the Registrant's Current Report on Form 8-K filed on March 25, 2013</w:t>
            </w:r>
            <w:r>
              <w:rPr>
                <w:rFonts w:ascii="Arial" w:cs="Arial" w:eastAsia="Arial" w:hAnsi="Arial"/>
                <w:sz w:val="16"/>
                <w:szCs w:val="16"/>
                <w:color w:val="auto"/>
                <w:w w:val="94"/>
              </w:rPr>
              <w:t>)</w:t>
            </w:r>
          </w:p>
        </w:tc>
      </w:tr>
      <w:tr>
        <w:trPr>
          <w:trHeight w:val="388"/>
        </w:trPr>
        <w:tc>
          <w:tcPr>
            <w:tcW w:w="700" w:type="dxa"/>
            <w:vAlign w:val="bottom"/>
          </w:tcPr>
          <w:p>
            <w:pPr>
              <w:spacing w:after="0"/>
              <w:rPr>
                <w:sz w:val="20"/>
                <w:szCs w:val="20"/>
                <w:color w:val="auto"/>
              </w:rPr>
            </w:pPr>
            <w:r>
              <w:rPr>
                <w:rFonts w:ascii="Arial" w:cs="Arial" w:eastAsia="Arial" w:hAnsi="Arial"/>
                <w:sz w:val="16"/>
                <w:szCs w:val="16"/>
                <w:color w:val="auto"/>
              </w:rPr>
              <w:t>10.4*</w:t>
            </w:r>
          </w:p>
        </w:tc>
        <w:tc>
          <w:tcPr>
            <w:tcW w:w="320" w:type="dxa"/>
            <w:vAlign w:val="bottom"/>
          </w:tcPr>
          <w:p>
            <w:pPr>
              <w:spacing w:after="0"/>
              <w:rPr>
                <w:sz w:val="24"/>
                <w:szCs w:val="24"/>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w w:val="94"/>
              </w:rPr>
              <w:t>Description of Performance Stock Unit Program (</w:t>
            </w:r>
            <w:r>
              <w:rPr>
                <w:rFonts w:ascii="Arial" w:cs="Arial" w:eastAsia="Arial" w:hAnsi="Arial"/>
                <w:sz w:val="16"/>
                <w:szCs w:val="16"/>
                <w:i w:val="1"/>
                <w:iCs w:val="1"/>
                <w:color w:val="auto"/>
                <w:w w:val="94"/>
              </w:rPr>
              <w:t>incorporated by reference to Item 5.02 of the Registrant's Current Report on Form 8-K filed on March</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20" w:type="dxa"/>
            <w:vAlign w:val="bottom"/>
          </w:tcPr>
          <w:p>
            <w:pPr>
              <w:ind w:left="240"/>
              <w:spacing w:after="0"/>
              <w:rPr>
                <w:sz w:val="20"/>
                <w:szCs w:val="20"/>
                <w:color w:val="auto"/>
              </w:rPr>
            </w:pPr>
            <w:r>
              <w:rPr>
                <w:rFonts w:ascii="Arial" w:cs="Arial" w:eastAsia="Arial" w:hAnsi="Arial"/>
                <w:sz w:val="16"/>
                <w:szCs w:val="16"/>
                <w:i w:val="1"/>
                <w:iCs w:val="1"/>
                <w:color w:val="auto"/>
              </w:rPr>
              <w:t>25, 2013</w:t>
            </w: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378"/>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4"/>
                <w:szCs w:val="24"/>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24"/>
                <w:szCs w:val="24"/>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tc>
      </w:tr>
      <w:tr>
        <w:trPr>
          <w:trHeight w:val="388"/>
        </w:trPr>
        <w:tc>
          <w:tcPr>
            <w:tcW w:w="1020" w:type="dxa"/>
            <w:vAlign w:val="bottom"/>
            <w:gridSpan w:val="2"/>
          </w:tcPr>
          <w:p>
            <w:pPr>
              <w:spacing w:after="0"/>
              <w:rPr>
                <w:sz w:val="20"/>
                <w:szCs w:val="20"/>
                <w:color w:val="auto"/>
              </w:rPr>
            </w:pPr>
            <w:r>
              <w:rPr>
                <w:rFonts w:ascii="Arial" w:cs="Arial" w:eastAsia="Arial" w:hAnsi="Arial"/>
                <w:sz w:val="16"/>
                <w:szCs w:val="16"/>
                <w:color w:val="auto"/>
              </w:rPr>
              <w:t>32.1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w w:val="98"/>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Sarbanes-Oxley Act of 2002</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XBRL Instance Document</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199" w:lineRule="exact"/>
        <w:rPr>
          <w:sz w:val="20"/>
          <w:szCs w:val="20"/>
          <w:color w:val="auto"/>
        </w:rPr>
      </w:pPr>
    </w:p>
    <w:p>
      <w:pPr>
        <w:ind w:left="720" w:hanging="685"/>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248" w:lineRule="exact"/>
        <w:rPr>
          <w:sz w:val="20"/>
          <w:szCs w:val="20"/>
          <w:color w:val="auto"/>
        </w:rPr>
      </w:pPr>
    </w:p>
    <w:p>
      <w:pPr>
        <w:ind w:left="720" w:hanging="685"/>
        <w:spacing w:after="0" w:line="335" w:lineRule="auto"/>
        <w:tabs>
          <w:tab w:leader="none" w:pos="7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8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57</w:t>
      </w:r>
    </w:p>
    <w:p>
      <w:pPr>
        <w:sectPr>
          <w:pgSz w:w="11900" w:h="16838" w:orient="portrait"/>
          <w:cols w:equalWidth="0" w:num="1">
            <w:col w:w="11380"/>
          </w:cols>
          <w:pgMar w:left="240" w:top="580" w:right="279" w:bottom="1440" w:gutter="0" w:footer="0" w:header="0"/>
        </w:sectPr>
      </w:pPr>
    </w:p>
    <w:bookmarkStart w:id="57" w:name="page58"/>
    <w:bookmarkEnd w:id="57"/>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5,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500"/>
        <w:spacing w:after="0"/>
        <w:tabs>
          <w:tab w:leader="none" w:pos="78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MARK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Mark J. Hawkins</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20"/>
          </w:cols>
          <w:pgMar w:left="240" w:top="580" w:right="9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2013</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91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17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2013</w:t>
      </w:r>
    </w:p>
    <w:p>
      <w:pPr>
        <w:spacing w:after="0" w:line="252"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31750</wp:posOffset>
            </wp:positionV>
            <wp:extent cx="39535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Mark J. Hawkins</w:t>
      </w:r>
    </w:p>
    <w:p>
      <w:pPr>
        <w:spacing w:after="0" w:line="73" w:lineRule="exact"/>
        <w:rPr>
          <w:sz w:val="20"/>
          <w:szCs w:val="20"/>
          <w:color w:val="auto"/>
        </w:rPr>
      </w:pPr>
    </w:p>
    <w:p>
      <w:pPr>
        <w:ind w:left="64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26"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(Principal Financial Officer and Principal Accounting Officer)</w:t>
      </w:r>
    </w:p>
    <w:p>
      <w:pPr>
        <w:sectPr>
          <w:pgSz w:w="11900" w:h="16838" w:orient="portrait"/>
          <w:cols w:equalWidth="0" w:num="1">
            <w:col w:w="11420"/>
          </w:cols>
          <w:pgMar w:left="240" w:top="66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April 30, 2013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5, 2013</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Quarterly Report of Autodesk, Inc. on Form 10-Q for the quarterly period ended April 30, 2013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5, 2013</w:t>
      </w:r>
    </w:p>
    <w:p>
      <w:pPr>
        <w:spacing w:after="0" w:line="252"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40220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57"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Mark J. Hawkins</w:t>
      </w:r>
    </w:p>
    <w:p>
      <w:pPr>
        <w:spacing w:after="0" w:line="86"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86"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(Principal Financial Officer and Principal Accounting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2019-12-05T22:04:37Z</dcterms:created>
  <dcterms:modified xsi:type="dcterms:W3CDTF">2019-12-05T22:04:37Z</dcterms:modified>
</cp:coreProperties>
</file>