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214630</wp:posOffset>
            </wp:positionH>
            <wp:positionV relativeFrom="page">
              <wp:posOffset>665480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690245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111760</wp:posOffset>
            </wp:positionV>
            <wp:extent cx="2782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4" w:lineRule="exact"/>
        <w:rPr>
          <w:sz w:val="24"/>
          <w:szCs w:val="24"/>
          <w:color w:val="auto"/>
        </w:rPr>
      </w:pPr>
    </w:p>
    <w:p>
      <w:pPr>
        <w:ind w:left="680" w:right="300" w:hanging="657"/>
        <w:spacing w:after="0" w:line="247" w:lineRule="auto"/>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31, 2023</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1" w:lineRule="exact"/>
        <w:rPr>
          <w:sz w:val="24"/>
          <w:szCs w:val="24"/>
          <w:color w:val="auto"/>
        </w:rPr>
      </w:pPr>
    </w:p>
    <w:p>
      <w:pPr>
        <w:ind w:left="680" w:right="280" w:hanging="657"/>
        <w:spacing w:after="0" w:line="247"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245110</wp:posOffset>
            </wp:positionV>
            <wp:extent cx="2782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525"/>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42"/>
                <w:szCs w:val="42"/>
                <w:b w:val="1"/>
                <w:bCs w:val="1"/>
                <w:color w:val="auto"/>
                <w:w w:val="99"/>
              </w:rPr>
              <w:t>AUTODESK, INC.</w:t>
            </w: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28"/>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8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94-2819853</w:t>
            </w:r>
          </w:p>
        </w:tc>
      </w:tr>
      <w:tr>
        <w:trPr>
          <w:trHeight w:val="145"/>
        </w:trPr>
        <w:tc>
          <w:tcPr>
            <w:tcW w:w="2800" w:type="dxa"/>
            <w:vAlign w:val="bottom"/>
          </w:tcPr>
          <w:p>
            <w:pPr>
              <w:jc w:val="center"/>
              <w:ind w:left="18"/>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80" w:type="dxa"/>
            <w:vAlign w:val="bottom"/>
            <w:gridSpan w:val="2"/>
          </w:tcPr>
          <w:p>
            <w:pPr>
              <w:jc w:val="center"/>
              <w:ind w:right="14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5"/>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0"/>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8"/>
                <w:szCs w:val="18"/>
                <w:b w:val="1"/>
                <w:bCs w:val="1"/>
                <w:color w:val="auto"/>
                <w:w w:val="97"/>
              </w:rPr>
              <w:t>One Market Street, Ste. 400</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0"/>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7"/>
              </w:rPr>
              <w:t>San Francisco,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780" w:type="dxa"/>
            <w:vAlign w:val="bottom"/>
          </w:tcPr>
          <w:p>
            <w:pPr>
              <w:spacing w:after="0"/>
              <w:rPr>
                <w:sz w:val="19"/>
                <w:szCs w:val="19"/>
                <w:color w:val="auto"/>
              </w:rPr>
            </w:pPr>
          </w:p>
        </w:tc>
        <w:tc>
          <w:tcPr>
            <w:tcW w:w="368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b w:val="1"/>
                <w:bCs w:val="1"/>
                <w:color w:val="auto"/>
              </w:rPr>
              <w:t>94105</w:t>
            </w:r>
          </w:p>
        </w:tc>
      </w:tr>
      <w:tr>
        <w:trPr>
          <w:trHeight w:val="185"/>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2"/>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(415) 507-5000</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169"/>
        </w:trPr>
        <w:tc>
          <w:tcPr>
            <w:tcW w:w="3440" w:type="dxa"/>
            <w:vAlign w:val="bottom"/>
            <w:gridSpan w:val="2"/>
          </w:tcPr>
          <w:p>
            <w:pPr>
              <w:spacing w:after="0"/>
              <w:rPr>
                <w:sz w:val="14"/>
                <w:szCs w:val="14"/>
                <w:color w:val="auto"/>
              </w:rPr>
            </w:pPr>
          </w:p>
        </w:tc>
        <w:tc>
          <w:tcPr>
            <w:tcW w:w="3140" w:type="dxa"/>
            <w:vAlign w:val="bottom"/>
            <w:tcBorders>
              <w:bottom w:val="single" w:sz="8" w:color="auto"/>
            </w:tcBorders>
            <w:gridSpan w:val="2"/>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40" w:type="dxa"/>
            <w:vAlign w:val="bottom"/>
          </w:tcPr>
          <w:p>
            <w:pPr>
              <w:spacing w:after="0"/>
              <w:rPr>
                <w:sz w:val="14"/>
                <w:szCs w:val="14"/>
                <w:color w:val="auto"/>
              </w:rPr>
            </w:pPr>
          </w:p>
        </w:tc>
      </w:tr>
      <w:tr>
        <w:trPr>
          <w:trHeight w:val="532"/>
        </w:trPr>
        <w:tc>
          <w:tcPr>
            <w:tcW w:w="6580" w:type="dxa"/>
            <w:vAlign w:val="bottom"/>
            <w:gridSpan w:val="4"/>
          </w:tcPr>
          <w:p>
            <w:pPr>
              <w:jc w:val="center"/>
              <w:ind w:right="2438"/>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38"/>
        </w:trPr>
        <w:tc>
          <w:tcPr>
            <w:tcW w:w="2800" w:type="dxa"/>
            <w:vAlign w:val="bottom"/>
          </w:tcPr>
          <w:p>
            <w:pPr>
              <w:jc w:val="center"/>
              <w:ind w:left="1158"/>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3800" w:type="dxa"/>
            <w:vAlign w:val="bottom"/>
            <w:gridSpan w:val="3"/>
          </w:tcPr>
          <w:p>
            <w:pPr>
              <w:jc w:val="center"/>
              <w:ind w:left="158"/>
              <w:spacing w:after="0"/>
              <w:rPr>
                <w:sz w:val="20"/>
                <w:szCs w:val="20"/>
                <w:color w:val="auto"/>
              </w:rPr>
            </w:pPr>
            <w:r>
              <w:rPr>
                <w:rFonts w:ascii="Times New Roman" w:cs="Times New Roman" w:eastAsia="Times New Roman" w:hAnsi="Times New Roman"/>
                <w:sz w:val="18"/>
                <w:szCs w:val="18"/>
                <w:color w:val="auto"/>
                <w:w w:val="97"/>
              </w:rPr>
              <w:t>Common Stock, par value $0.01 per share</w:t>
            </w: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color w:val="auto"/>
                <w:w w:val="97"/>
              </w:rPr>
              <w:t>ADSK</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298" w:lineRule="exact"/>
        <w:rPr>
          <w:sz w:val="24"/>
          <w:szCs w:val="24"/>
          <w:color w:val="auto"/>
        </w:rPr>
      </w:pPr>
    </w:p>
    <w:p>
      <w:pPr>
        <w:ind w:right="180" w:firstLine="39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3" w:lineRule="exact"/>
        <w:rPr>
          <w:sz w:val="24"/>
          <w:szCs w:val="24"/>
          <w:color w:val="auto"/>
        </w:rPr>
      </w:pPr>
    </w:p>
    <w:p>
      <w:pPr>
        <w:ind w:right="200"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522605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7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18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0" w:lineRule="exact"/>
        <w:rPr>
          <w:sz w:val="20"/>
          <w:szCs w:val="20"/>
          <w:color w:val="auto"/>
        </w:rPr>
      </w:pPr>
    </w:p>
    <w:p>
      <w:pPr>
        <w:ind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November 27, 2023, registrant had outstanding 213,915,325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728345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106045</wp:posOffset>
            </wp:positionV>
            <wp:extent cx="7118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130810</wp:posOffset>
            </wp:positionV>
            <wp:extent cx="7118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AUTODESK, INC. FORM 10-Q</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30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 FINANCIAL INFORMATION</w:t>
            </w:r>
          </w:p>
        </w:tc>
        <w:tc>
          <w:tcPr>
            <w:tcW w:w="2900" w:type="dxa"/>
            <w:vAlign w:val="bottom"/>
            <w:gridSpan w:val="6"/>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0" w:type="dxa"/>
            <w:vAlign w:val="bottom"/>
            <w:tcBorders>
              <w:bottom w:val="single" w:sz="8" w:color="0000FF"/>
            </w:tcBorders>
            <w:gridSpan w:val="6"/>
            <w:vMerge w:val="continue"/>
          </w:tcPr>
          <w:p>
            <w:pPr>
              <w:spacing w:after="0"/>
              <w:rPr>
                <w:sz w:val="14"/>
                <w:szCs w:val="14"/>
                <w:color w:val="auto"/>
              </w:rPr>
            </w:pPr>
          </w:p>
        </w:tc>
        <w:tc>
          <w:tcPr>
            <w:tcW w:w="2900" w:type="dxa"/>
            <w:vAlign w:val="bottom"/>
            <w:gridSpan w:val="6"/>
            <w:vMerge w:val="continue"/>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82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 for the Three and Nine Months Ended October 31, 2023 and 2022</w:t>
            </w:r>
          </w:p>
        </w:tc>
        <w:tc>
          <w:tcPr>
            <w:tcW w:w="540" w:type="dxa"/>
            <w:vAlign w:val="bottom"/>
            <w:gridSpan w:val="2"/>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Income for the Three and Nine Months Ended October 31, 2023 and</w:t>
            </w:r>
          </w:p>
        </w:tc>
        <w:tc>
          <w:tcPr>
            <w:tcW w:w="1340" w:type="dxa"/>
            <w:vAlign w:val="bottom"/>
            <w:gridSpan w:val="2"/>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2022</w:t>
            </w:r>
          </w:p>
        </w:tc>
        <w:tc>
          <w:tcPr>
            <w:tcW w:w="280" w:type="dxa"/>
            <w:vAlign w:val="bottom"/>
            <w:tcBorders>
              <w:top w:val="single" w:sz="8" w:color="0000FF"/>
              <w:bottom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2"/>
                <w:szCs w:val="22"/>
                <w:color w:val="auto"/>
              </w:rPr>
            </w:pP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October 31, 2023 and January 31, 2023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75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 for the Nine Months Ended October 31, 2023 and 2022</w:t>
            </w:r>
          </w:p>
        </w:tc>
        <w:tc>
          <w:tcPr>
            <w:tcW w:w="1240" w:type="dxa"/>
            <w:vAlign w:val="bottom"/>
            <w:gridSpan w:val="3"/>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w w:val="97"/>
              </w:rPr>
              <w:t>Management’s Discussion and Analysis of Financial Condition and Results of Operations</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240" w:type="dxa"/>
            <w:vAlign w:val="bottom"/>
            <w:gridSpan w:val="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900" w:type="dxa"/>
            <w:vAlign w:val="bottom"/>
            <w:gridSpan w:val="12"/>
          </w:tcPr>
          <w:p>
            <w:pPr>
              <w:jc w:val="center"/>
              <w:ind w:right="2900"/>
              <w:spacing w:after="0"/>
              <w:rPr>
                <w:sz w:val="20"/>
                <w:szCs w:val="20"/>
                <w:color w:val="auto"/>
              </w:rPr>
            </w:pPr>
            <w:r>
              <w:rPr>
                <w:rFonts w:ascii="Times New Roman" w:cs="Times New Roman" w:eastAsia="Times New Roman" w:hAnsi="Times New Roman"/>
                <w:sz w:val="18"/>
                <w:szCs w:val="18"/>
                <w:b w:val="1"/>
                <w:bCs w:val="1"/>
                <w:color w:val="0000FF"/>
                <w:w w:val="95"/>
              </w:rPr>
              <w:t>PART II. OTHER INFORMATION</w:t>
            </w:r>
          </w:p>
        </w:tc>
        <w:tc>
          <w:tcPr>
            <w:tcW w:w="12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0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680" w:type="dxa"/>
            <w:vAlign w:val="bottom"/>
            <w:tcBorders>
              <w:top w:val="single" w:sz="8" w:color="0000FF"/>
            </w:tcBorders>
            <w:gridSpan w:val="4"/>
          </w:tcPr>
          <w:p>
            <w:pPr>
              <w:spacing w:after="0"/>
              <w:rPr>
                <w:sz w:val="22"/>
                <w:szCs w:val="22"/>
                <w:color w:val="auto"/>
              </w:rPr>
            </w:pPr>
          </w:p>
        </w:tc>
        <w:tc>
          <w:tcPr>
            <w:tcW w:w="3060" w:type="dxa"/>
            <w:vAlign w:val="bottom"/>
            <w:gridSpan w:val="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7420" w:type="dxa"/>
            <w:vAlign w:val="bottom"/>
            <w:gridSpan w:val="1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3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6"/>
              </w:rPr>
              <w:t>Defaults Upon Senior Securities</w:t>
            </w:r>
          </w:p>
        </w:tc>
        <w:tc>
          <w:tcPr>
            <w:tcW w:w="2060" w:type="dxa"/>
            <w:vAlign w:val="bottom"/>
            <w:gridSpan w:val="4"/>
          </w:tcPr>
          <w:p>
            <w:pPr>
              <w:spacing w:after="0"/>
              <w:rPr>
                <w:sz w:val="22"/>
                <w:szCs w:val="22"/>
                <w:color w:val="auto"/>
              </w:rPr>
            </w:pPr>
          </w:p>
        </w:tc>
        <w:tc>
          <w:tcPr>
            <w:tcW w:w="4340" w:type="dxa"/>
            <w:vAlign w:val="bottom"/>
            <w:gridSpan w:val="9"/>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3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6400" w:type="dxa"/>
            <w:vAlign w:val="bottom"/>
            <w:gridSpan w:val="13"/>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000" w:type="dxa"/>
            <w:vAlign w:val="bottom"/>
            <w:gridSpan w:val="1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0" w:type="dxa"/>
            <w:vAlign w:val="bottom"/>
            <w:gridSpan w:val="15"/>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380" w:type="dxa"/>
            <w:vAlign w:val="bottom"/>
            <w:gridSpan w:val="1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80" w:type="dxa"/>
            <w:vAlign w:val="bottom"/>
            <w:gridSpan w:val="2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0"/>
        </w:trPr>
        <w:tc>
          <w:tcPr>
            <w:tcW w:w="100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8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48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Subscription</w:t>
            </w:r>
          </w:p>
        </w:tc>
        <w:tc>
          <w:tcPr>
            <w:tcW w:w="840" w:type="dxa"/>
            <w:vAlign w:val="bottom"/>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2"/>
        </w:trPr>
        <w:tc>
          <w:tcPr>
            <w:tcW w:w="5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2"/>
        </w:trPr>
        <w:tc>
          <w:tcPr>
            <w:tcW w:w="56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net revenue</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other revenue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6"/>
        </w:trPr>
        <w:tc>
          <w:tcPr>
            <w:tcW w:w="5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02"/>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Marketing and sales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09"/>
        </w:trPr>
        <w:tc>
          <w:tcPr>
            <w:tcW w:w="5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2"/>
        </w:trPr>
        <w:tc>
          <w:tcPr>
            <w:tcW w:w="56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0" w:type="dxa"/>
            <w:vAlign w:val="bottom"/>
          </w:tcPr>
          <w:p>
            <w:pPr>
              <w:spacing w:after="0"/>
              <w:rPr>
                <w:sz w:val="1"/>
                <w:szCs w:val="1"/>
                <w:color w:val="auto"/>
              </w:rPr>
            </w:pPr>
          </w:p>
        </w:tc>
      </w:tr>
      <w:tr>
        <w:trPr>
          <w:trHeight w:val="20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vMerge w:val="continue"/>
          </w:tcPr>
          <w:p>
            <w:pPr>
              <w:spacing w:after="0"/>
              <w:rPr>
                <w:sz w:val="15"/>
                <w:szCs w:val="15"/>
                <w:color w:val="auto"/>
              </w:rPr>
            </w:pP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basic net income per share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diluted net income per share</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reclassifications: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66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rPr>
              <w:t>Net gain (loss) on derivative instruments (net of tax effect of zero, $(5), $3, and</w:t>
            </w:r>
          </w:p>
        </w:tc>
        <w:tc>
          <w:tcPr>
            <w:tcW w:w="8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$(17), respectively)</w:t>
            </w:r>
          </w:p>
        </w:tc>
        <w:tc>
          <w:tcPr>
            <w:tcW w:w="88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6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rPr>
              <w:t>Change in net unrealized (loss) gain on available-for-sale debt securities (net of tax</w:t>
            </w:r>
          </w:p>
        </w:tc>
        <w:tc>
          <w:tcPr>
            <w:tcW w:w="88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5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effect of zero for all periods presented)</w:t>
            </w:r>
          </w:p>
        </w:tc>
        <w:tc>
          <w:tcPr>
            <w:tcW w:w="8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66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rPr>
              <w:t>Net change in cumulative foreign currency translation loss (net of tax effect of zero,</w:t>
            </w:r>
          </w:p>
        </w:tc>
        <w:tc>
          <w:tcPr>
            <w:tcW w:w="8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zero, $5, and $1, respectively)</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31"/>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80" w:type="dxa"/>
            <w:vAlign w:val="bottom"/>
          </w:tcPr>
          <w:p>
            <w:pPr>
              <w:spacing w:after="0"/>
              <w:rPr>
                <w:sz w:val="16"/>
                <w:szCs w:val="16"/>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0" w:type="dxa"/>
            <w:vAlign w:val="bottom"/>
          </w:tcPr>
          <w:p>
            <w:pPr>
              <w:spacing w:after="0"/>
              <w:rPr>
                <w:sz w:val="1"/>
                <w:szCs w:val="1"/>
                <w:color w:val="auto"/>
              </w:rPr>
            </w:pPr>
          </w:p>
        </w:tc>
      </w:tr>
      <w:tr>
        <w:trPr>
          <w:trHeight w:val="24"/>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00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2,939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180" w:type="dxa"/>
            <w:vAlign w:val="bottom"/>
          </w:tcPr>
          <w:p>
            <w:pPr>
              <w:spacing w:after="0"/>
              <w:rPr>
                <w:sz w:val="17"/>
                <w:szCs w:val="17"/>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9,226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3,912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income taxes payable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notes payable,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other liabilities</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and additional paid-in capital</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1,482</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9,226</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9,438</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4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52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19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tcPr>
          <w:p>
            <w:pPr>
              <w:spacing w:after="0"/>
              <w:rPr>
                <w:sz w:val="18"/>
                <w:szCs w:val="18"/>
                <w:color w:val="auto"/>
              </w:rPr>
            </w:pPr>
          </w:p>
        </w:tc>
        <w:tc>
          <w:tcPr>
            <w:tcW w:w="100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Lease-related asset impairments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combinations: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6"/>
        </w:trPr>
        <w:tc>
          <w:tcPr>
            <w:tcW w:w="8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r>
      <w:tr>
        <w:trPr>
          <w:trHeight w:val="18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6"/>
        </w:trPr>
        <w:tc>
          <w:tcPr>
            <w:tcW w:w="8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18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r>
      <w:tr>
        <w:trPr>
          <w:trHeight w:val="202"/>
        </w:trPr>
        <w:tc>
          <w:tcPr>
            <w:tcW w:w="8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0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r>
      <w:tr>
        <w:trPr>
          <w:trHeight w:val="202"/>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8"/>
        </w:trPr>
        <w:tc>
          <w:tcPr>
            <w:tcW w:w="8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cash flow disclosure:</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financing activities: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Fair value of common stock issued to settle liability-classified restricted common stock</w:t>
            </w:r>
          </w:p>
        </w:tc>
        <w:tc>
          <w:tcPr>
            <w:tcW w:w="1000" w:type="dxa"/>
            <w:vAlign w:val="bottom"/>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00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Fair value of common stock issued related to business combinations</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millions, except share and per share data, or as otherwise noted)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Basis of Presentation</w:t>
      </w:r>
    </w:p>
    <w:p>
      <w:pPr>
        <w:spacing w:after="0" w:line="244"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Autodesk, Inc. (“Autodesk,” “we,” “us,” “our,” or the “Company”) as of October 31, 2023, and for the three and nine months ended October 31, 2023 and 2022,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2023, are not necessarily indicative of the results for the entire fiscal year ending January 31, 2024, or for any other period. Further, the balance sheet as of January 31, 2023,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2023.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2023, filed on March 14,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Recently Issued Accounting Standards</w:t>
      </w:r>
    </w:p>
    <w:p>
      <w:pPr>
        <w:spacing w:after="0" w:line="244" w:lineRule="exact"/>
        <w:rPr>
          <w:sz w:val="20"/>
          <w:szCs w:val="20"/>
          <w:color w:val="auto"/>
        </w:rPr>
      </w:pPr>
    </w:p>
    <w:p>
      <w:pPr>
        <w:ind w:right="440" w:firstLine="434"/>
        <w:spacing w:after="0" w:line="332" w:lineRule="auto"/>
        <w:rPr>
          <w:sz w:val="20"/>
          <w:szCs w:val="20"/>
          <w:color w:val="auto"/>
        </w:rPr>
      </w:pPr>
      <w:r>
        <w:rPr>
          <w:rFonts w:ascii="Times New Roman" w:cs="Times New Roman" w:eastAsia="Times New Roman" w:hAnsi="Times New Roman"/>
          <w:sz w:val="16"/>
          <w:szCs w:val="16"/>
          <w:color w:val="auto"/>
        </w:rPr>
        <w:t>With the exception of those discussed below, there have been no recent changes in accounting pronouncements issued by the Financial Accounting Standards Board (“FASB”) or adopted by the Company during the nine months ended October 31, 2023, that are applicable to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But Not Yet Adopted</w:t>
      </w:r>
    </w:p>
    <w:p>
      <w:pPr>
        <w:spacing w:after="0" w:line="242" w:lineRule="exact"/>
        <w:rPr>
          <w:sz w:val="20"/>
          <w:szCs w:val="20"/>
          <w:color w:val="auto"/>
        </w:rPr>
      </w:pPr>
    </w:p>
    <w:p>
      <w:pPr>
        <w:ind w:right="20" w:firstLine="434"/>
        <w:spacing w:after="0" w:line="24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are intended to improve reportable segment disclosure requirements.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ASU 2023-07 is effective for Autodesk’s fiscal year beginning February 1, 2024, and interim periods for Autodesk’s fiscal year beginning February 1, 2025, and should be applied on a retrospective basis to all periods presented. Autodesk is currently evaluating the effect of adopting ASU 2023-07 on its disclosures.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42" w:lineRule="exact"/>
        <w:rPr>
          <w:sz w:val="20"/>
          <w:szCs w:val="20"/>
          <w:color w:val="auto"/>
        </w:rPr>
      </w:pPr>
    </w:p>
    <w:p>
      <w:pPr>
        <w:ind w:right="240" w:firstLine="395"/>
        <w:spacing w:after="0" w:line="249" w:lineRule="auto"/>
        <w:rPr>
          <w:sz w:val="20"/>
          <w:szCs w:val="20"/>
          <w:color w:val="auto"/>
        </w:rPr>
      </w:pPr>
      <w:r>
        <w:rPr>
          <w:rFonts w:ascii="Times New Roman" w:cs="Times New Roman" w:eastAsia="Times New Roman" w:hAnsi="Times New Roman"/>
          <w:sz w:val="18"/>
          <w:szCs w:val="18"/>
          <w:color w:val="auto"/>
        </w:rPr>
        <w:t>In June 2022, the FASB issued ASU No. 2022-03, “Fair Value Measurement (Topic 820): Fair Value Measurement of Equity Securities Subject to Contractual Sale Restrictions” (“ASU 2022-03”), which applies to all equity securities measured at fair value that are subject to contractual sale restrictions. ASU 2022-03 prohibits entities from taking into account contractual restrictions on the sale of equity securities when estimating fair value and introduces required disclosures for such transactions. ASU 2022-03 is effective for Autodesk's fiscal year beginning February 1, 2024, and interim periods within that fiscal year, with early adoption permitted. Autodesk adopted ASU 2022-03 as of February 1, 2023. The adoption of ASU 2022-03 did not have a material impact on Autodesk’s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Revenue Recognition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42" w:lineRule="exact"/>
        <w:rPr>
          <w:sz w:val="20"/>
          <w:szCs w:val="20"/>
          <w:color w:val="auto"/>
        </w:rPr>
      </w:pPr>
    </w:p>
    <w:p>
      <w:pPr>
        <w:ind w:right="260" w:firstLine="434"/>
        <w:spacing w:after="0" w:line="256" w:lineRule="auto"/>
        <w:rPr>
          <w:sz w:val="20"/>
          <w:szCs w:val="20"/>
          <w:color w:val="auto"/>
        </w:rPr>
      </w:pPr>
      <w:r>
        <w:rPr>
          <w:rFonts w:ascii="Times New Roman" w:cs="Times New Roman" w:eastAsia="Times New Roman" w:hAnsi="Times New Roman"/>
          <w:sz w:val="18"/>
          <w:szCs w:val="18"/>
          <w:color w:val="auto"/>
        </w:rPr>
        <w:t>Autodesk recognizes revenue from the sale of (1) product subscriptions, cloud service offerings, and enterprise business agreements (“EBAs”), (2) renewal fees for existing maintenance plan agreements that were initially purchased with a perpetual software license, and (3) consulting, training, and other products and services. The three categories are presented as line items on Autodesk's Condensed Consolidated Statements of Operations.</w:t>
      </w:r>
    </w:p>
    <w:p>
      <w:pPr>
        <w:spacing w:after="0" w:line="206" w:lineRule="exact"/>
        <w:rPr>
          <w:sz w:val="20"/>
          <w:szCs w:val="20"/>
          <w:color w:val="auto"/>
        </w:rPr>
      </w:pPr>
    </w:p>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Information regarding the components of Autodesk's net revenue from contracts with customers by product family, geographic location, sales channel, and product type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86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00" w:type="dxa"/>
            <w:vAlign w:val="bottom"/>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4"/>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56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Architecture, Engineering and Construction</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AutoCAD and AutoCAD LT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Manufacturing</w:t>
            </w:r>
          </w:p>
        </w:tc>
        <w:tc>
          <w:tcPr>
            <w:tcW w:w="8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Media and Entertainment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geographic area:</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5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09"/>
        </w:trPr>
        <w:tc>
          <w:tcPr>
            <w:tcW w:w="5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Americas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6"/>
        </w:trPr>
        <w:tc>
          <w:tcPr>
            <w:tcW w:w="56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Americas</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8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02"/>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3,687</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Design</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Make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right="60" w:firstLine="395"/>
        <w:spacing w:after="0" w:line="252" w:lineRule="auto"/>
        <w:rPr>
          <w:sz w:val="20"/>
          <w:szCs w:val="20"/>
          <w:color w:val="auto"/>
        </w:rPr>
      </w:pPr>
      <w:r>
        <w:rPr>
          <w:rFonts w:ascii="Times New Roman" w:cs="Times New Roman" w:eastAsia="Times New Roman" w:hAnsi="Times New Roman"/>
          <w:sz w:val="18"/>
          <w:szCs w:val="18"/>
          <w:color w:val="auto"/>
        </w:rPr>
        <w:t>Payments for product subscriptions, cloud subscriptions, and maintenance subscriptions are typically due in annual installments or up front with payment terms of 30 to 45 days. Payments on EBAs are typically due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210"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Remaining performance obligations consist of total short-term, long-term, and unbilled deferred revenue. As of October 31, 2023, Autodesk had remaining performance obligations of $5.24 billion, which represents the total contract price allocated to remaining performance obligations, which are generally recognized over the next three years. We expect to recognize $3.52 billion or 67% of our remaining performance obligations as revenue during the next 12 months. We expect to recognize the remaining $1.72 billion or 33% of our remaining performance obligations as revenue thereafter.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9" w:name="page10"/>
    <w:bookmarkEnd w:id="9"/>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The amount of remaining performance obligations may be impacted by the specific timing, duration, and size of customer subscription and support agreements, the specific timing of customer renewals, and foreign currency fluctuations.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42"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contracts. Contract assets relate to performance completed in advance of scheduled billings. Contract assets were not material as of October 31, 2023. Deferred revenue relates to billings in advance of performance under the contract. The primary changes in our contract assets and deferred revenues are due to our performance under the contracts and billings.</w:t>
      </w:r>
    </w:p>
    <w:p>
      <w:pPr>
        <w:spacing w:after="0" w:line="20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Revenue recognized during the three months ended October 31, 2023 and 2022, that was included in the deferred revenue balances at January 31, 2023 and 2022, was $730 million and $642 million, respectively. Revenue recognized during the nine months ended October 31, 2023 and 2022, that was included in the deferred revenue balances at January 31, 2023 and 2022, was $2.71 billion and $2.46 billion, respectively. The satisfaction of performance obligations typically lags behind payments received under revenue contracts from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Concentration of Credit Risk</w:t>
      </w:r>
    </w:p>
    <w:p>
      <w:pPr>
        <w:spacing w:after="0" w:line="218"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$1.5 billion revolving credit facility. See Note 13, “Borrowing Arrangements,” in the Notes to Condensed Consolidated Financial Statements for further discussion.</w:t>
      </w:r>
    </w:p>
    <w:p>
      <w:pPr>
        <w:spacing w:after="0" w:line="212"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Total sales to the Company's largest distributor TD Synnex Corporation and its global affiliates (“TD Synnex”) accounted for 39% and 40% of Autodesk’s total net revenue during the three and nine months ended October 31, 2023, respectively. Total sales to TD Synnex accounted for 37% of Autodesk’s total net revenue for both the three and nine months ended October 31, 2022. The majority of the net revenue from sales to TD Synnex is for sales outside of the United States. In addition, TD Synnex accounted for 18% and 27% of trade accounts receivable at October 31, 2023 and January 31, 2023, respectively. Ingram Micro Inc. (“Ingram Micro”), our second largest distributor, accounted for 7% and 8% of Autodesk's total net revenue during the three and nine months ended October 31, 2023, respectively. Total sales to Ingram Micro accounted for 9% of Autodesk’s total net revenue during both the three and nine months ended October 31, 2022.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Financial Instruments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tables summarize the Company's financial instruments by significant investment category as of October 31, 2023, and January 31, 2023:</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3"/>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00" w:type="dxa"/>
            <w:vAlign w:val="bottom"/>
            <w:gridSpan w:val="3"/>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1"/>
                <w:szCs w:val="11"/>
                <w:color w:val="auto"/>
              </w:rPr>
            </w:pPr>
          </w:p>
        </w:tc>
        <w:tc>
          <w:tcPr>
            <w:tcW w:w="10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Agency discount notes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mortgage backed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Mutual funds (5) (6)</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6"/>
              </w:rPr>
              <w:t>(3)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6"/>
              </w:rPr>
              <w:t>(6)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 w:lineRule="exact"/>
        <w:rPr>
          <w:sz w:val="20"/>
          <w:szCs w:val="20"/>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U.S. government securities and mortgage-backed securities.</w:t>
      </w: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supranational bonds, mortgage-backed securities, agency bonds, and certificates of deposit .</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agency bonds, agency collateralized mortgage obligations, and mortgage-backed securities.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11,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867"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6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(2)</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funds (5) (6)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debt securities (6)</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1"/>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Strategic investments derivative asset (6)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w w:val="96"/>
              </w:rPr>
              <w:t>(5)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custody cash deposits, agency discount notes, municipal bonds, corporate debt securities, asset-backed securities, and mortgage-backed securities.</w:t>
      </w: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mortgage-backed securities, agency mortgage-backed securities, common stock, and agency collateralized mortgage obligations.</w:t>
      </w:r>
    </w:p>
    <w:p>
      <w:pPr>
        <w:spacing w:after="0" w:line="4" w:lineRule="exact"/>
        <w:rPr>
          <w:rFonts w:ascii="Times New Roman" w:cs="Times New Roman" w:eastAsia="Times New Roman" w:hAnsi="Times New Roman"/>
          <w:sz w:val="16"/>
          <w:szCs w:val="16"/>
          <w:color w:val="auto"/>
        </w:rPr>
      </w:pPr>
    </w:p>
    <w:p>
      <w:pPr>
        <w:ind w:left="400" w:right="500" w:hanging="395"/>
        <w:spacing w:after="0" w:line="248" w:lineRule="auto"/>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agency mortgage-backed securities, agency bonds, agency collateralized mortgage obligations, mortgage-backed securities, and collateralized mortgage obligations.</w:t>
      </w:r>
    </w:p>
    <w:p>
      <w:pPr>
        <w:spacing w:after="0" w:line="1"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11, “Deferred Compensation” for more information.</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215" w:lineRule="exact"/>
        <w:rPr>
          <w:sz w:val="20"/>
          <w:szCs w:val="20"/>
          <w:color w:val="auto"/>
        </w:rPr>
      </w:pPr>
    </w:p>
    <w:p>
      <w:pPr>
        <w:ind w:right="42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fair values of investments classified as marketable debt securities by contractual maturity date as of October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9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4"/>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1 year</w:t>
            </w: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09"/>
        </w:trPr>
        <w:tc>
          <w:tcPr>
            <w:tcW w:w="9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in 1 year through 5 years</w:t>
            </w:r>
          </w:p>
        </w:tc>
        <w:tc>
          <w:tcPr>
            <w:tcW w:w="4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2"/>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5 years through 10 years</w:t>
            </w: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10 years</w:t>
            </w: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1"/>
        </w:trPr>
        <w:tc>
          <w:tcPr>
            <w:tcW w:w="9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As of both October 31, 2023, and January 31, 2023, Autodesk had no material unrealized losses, individually and in the aggregate, for marketable debt securities that are in a continuous unrealized loss position for greater than 12 months. Total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unrealized gains for securities with net gains in accumulated other comprehensive income were not material for the nine months ended October 31, 2023.</w:t>
      </w:r>
    </w:p>
    <w:p>
      <w:pPr>
        <w:spacing w:after="0" w:line="240" w:lineRule="exact"/>
        <w:rPr>
          <w:sz w:val="20"/>
          <w:szCs w:val="20"/>
          <w:color w:val="auto"/>
        </w:rPr>
      </w:pPr>
    </w:p>
    <w:p>
      <w:pPr>
        <w:ind w:right="260" w:firstLine="395"/>
        <w:spacing w:after="0" w:line="256" w:lineRule="auto"/>
        <w:rPr>
          <w:sz w:val="20"/>
          <w:szCs w:val="20"/>
          <w:color w:val="auto"/>
        </w:rPr>
      </w:pPr>
      <w:r>
        <w:rPr>
          <w:rFonts w:ascii="Times New Roman" w:cs="Times New Roman" w:eastAsia="Times New Roman" w:hAnsi="Times New Roman"/>
          <w:sz w:val="18"/>
          <w:szCs w:val="18"/>
          <w:color w:val="auto"/>
        </w:rPr>
        <w:t>Autodesk monitors all marketable debt securities for potential credit losses by reviewing indicators such as, but not limited to, current credit rating, change in credit rating, credit outlook, and default risk. There were no allowances for credit losses as of both October 31, 2023, and January 31, 2023. There were no write offs of accrued interest receivables for both the nine months ended October 31, 2023 and 2022.</w:t>
      </w:r>
    </w:p>
    <w:p>
      <w:pPr>
        <w:spacing w:after="0" w:line="206"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There were no material realized gain or loss for the sales or redemptions of marketable debt securities during both the nine months ended October 31, 2023 and 2022. Realized gains and losses from the sales or redemptions of marketable debt securities are recorded in “Interest and other expense, net” on the Company's Condensed Consolidated Statements of Operations.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Proceeds from the sale and maturity of marketable debt securities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340" w:type="dxa"/>
            <w:vAlign w:val="bottom"/>
          </w:tcPr>
          <w:p>
            <w:pPr>
              <w:spacing w:after="0"/>
              <w:rPr>
                <w:sz w:val="16"/>
                <w:szCs w:val="16"/>
                <w:color w:val="auto"/>
              </w:rPr>
            </w:pPr>
          </w:p>
        </w:tc>
      </w:tr>
      <w:tr>
        <w:trPr>
          <w:trHeight w:val="24"/>
        </w:trPr>
        <w:tc>
          <w:tcPr>
            <w:tcW w:w="5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4"/>
        </w:trPr>
        <w:tc>
          <w:tcPr>
            <w:tcW w:w="58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debt securities</w:t>
            </w:r>
          </w:p>
        </w:tc>
        <w:tc>
          <w:tcPr>
            <w:tcW w:w="90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92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bl>
    <w:p>
      <w:pPr>
        <w:spacing w:after="0" w:line="3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Strategic investments in equity securities</w:t>
      </w:r>
    </w:p>
    <w:p>
      <w:pPr>
        <w:spacing w:after="0" w:line="242" w:lineRule="exact"/>
        <w:rPr>
          <w:sz w:val="20"/>
          <w:szCs w:val="20"/>
          <w:color w:val="auto"/>
        </w:rPr>
      </w:pPr>
    </w:p>
    <w:p>
      <w:pPr>
        <w:ind w:right="480" w:firstLine="395"/>
        <w:spacing w:after="0" w:line="250" w:lineRule="auto"/>
        <w:rPr>
          <w:sz w:val="20"/>
          <w:szCs w:val="20"/>
          <w:color w:val="auto"/>
        </w:rPr>
      </w:pPr>
      <w:r>
        <w:rPr>
          <w:rFonts w:ascii="Times New Roman" w:cs="Times New Roman" w:eastAsia="Times New Roman" w:hAnsi="Times New Roman"/>
          <w:sz w:val="18"/>
          <w:szCs w:val="18"/>
          <w:color w:val="auto"/>
        </w:rPr>
        <w:t>As of October 31, 2023, and January 31, 2023, Autodesk had $167 million and $177 million, respectively, in direct investments in privately held companies.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spacing w:after="0" w:line="212"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Adjustments to the carrying value of our strategic investment equity securities with no readily determined fair values measured using the measurement alternative are included in “Interest and other expense, net” on the Company's Condensed Consolidated Statements of Operations. These adjustments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Cumulative Amount as of</w:t>
            </w:r>
          </w:p>
        </w:tc>
      </w:tr>
      <w:tr>
        <w:trPr>
          <w:trHeight w:val="24"/>
        </w:trPr>
        <w:tc>
          <w:tcPr>
            <w:tcW w:w="6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68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Upward adjustments</w:t>
            </w: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Negative adjustments, including impairments</w:t>
            </w: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(21)</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6"/>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unrealized adjustments</w:t>
            </w: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(21)</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bl>
    <w:p>
      <w:pPr>
        <w:spacing w:after="0" w:line="297"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Realized gains for the disposition of strategic investment equity securities for both the three and nine months ended October 31, 2023 and 2022 were immaterial.</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42" w:lineRule="exact"/>
        <w:rPr>
          <w:sz w:val="20"/>
          <w:szCs w:val="20"/>
          <w:color w:val="auto"/>
        </w:rPr>
      </w:pPr>
    </w:p>
    <w:p>
      <w:pPr>
        <w:jc w:val="both"/>
        <w:ind w:right="480" w:firstLine="395"/>
        <w:spacing w:after="0" w:line="256" w:lineRule="auto"/>
        <w:rPr>
          <w:sz w:val="20"/>
          <w:szCs w:val="20"/>
          <w:color w:val="auto"/>
        </w:rPr>
      </w:pPr>
      <w:r>
        <w:rPr>
          <w:rFonts w:ascii="Times New Roman" w:cs="Times New Roman" w:eastAsia="Times New Roman" w:hAnsi="Times New Roman"/>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6"/>
          <w:szCs w:val="16"/>
          <w:color w:val="auto"/>
        </w:rPr>
        <w:t>The following tables summarize the Company's financial instruments measured at fair value on a recurring basis by significant investment category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2023, and January 31,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discount notes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Agency mortgage 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Mutual funds (5)(6)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1"/>
        </w:trPr>
        <w:tc>
          <w:tcPr>
            <w:tcW w:w="7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U.S. government securities and mortgage-backed securities.</w:t>
      </w: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supranational bonds, mortgage-backed securities, agency bonds, and certificates of deposit .</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agency bonds, agency collateralized mortgage obligations, and mortgage-backed securities.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11,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7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09"/>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9"/>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Mutual funds (5) (6)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Convertible debt securities (6)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1"/>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custody cash deposits, agency discount notes, municipal bonds, corporate debt securities, asset-backed securities, and mortgage-backed securities.</w:t>
      </w: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mortgage-backed securities, agency mortgage-backed securities, common stock, and agency collateralized mortgage obligations.</w:t>
      </w:r>
    </w:p>
    <w:p>
      <w:pPr>
        <w:spacing w:after="0" w:line="4" w:lineRule="exact"/>
        <w:rPr>
          <w:rFonts w:ascii="Times New Roman" w:cs="Times New Roman" w:eastAsia="Times New Roman" w:hAnsi="Times New Roman"/>
          <w:sz w:val="16"/>
          <w:szCs w:val="16"/>
          <w:color w:val="auto"/>
        </w:rPr>
      </w:pPr>
    </w:p>
    <w:p>
      <w:pPr>
        <w:ind w:left="400" w:right="500" w:hanging="395"/>
        <w:spacing w:after="0" w:line="248" w:lineRule="auto"/>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agency mortgage-backed securities, agency bonds, agency collateralized mortgage obligations, mortgage-backed securities, and collateralized mortgage obligations.</w:t>
      </w:r>
    </w:p>
    <w:p>
      <w:pPr>
        <w:spacing w:after="0" w:line="1"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11, “Deferred Compensation” for more information.</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200" w:right="9460" w:hanging="195"/>
        <w:spacing w:after="0" w:line="586" w:lineRule="auto"/>
        <w:tabs>
          <w:tab w:leader="none" w:pos="178" w:val="left"/>
        </w:tabs>
        <w:numPr>
          <w:ilvl w:val="0"/>
          <w:numId w:val="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Equity Compensation </w:t>
      </w:r>
      <w:r>
        <w:rPr>
          <w:rFonts w:ascii="Times New Roman" w:cs="Times New Roman" w:eastAsia="Times New Roman" w:hAnsi="Times New Roman"/>
          <w:sz w:val="16"/>
          <w:szCs w:val="16"/>
          <w:i w:val="1"/>
          <w:iCs w:val="1"/>
          <w:color w:val="auto"/>
        </w:rPr>
        <w:t>Restricted Stock Units</w:t>
      </w:r>
    </w:p>
    <w:p>
      <w:pPr>
        <w:ind w:left="44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A summary of restricted stock activity for the nine months ended October 31, 2023,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3"/>
        </w:trPr>
        <w:tc>
          <w:tcPr>
            <w:tcW w:w="8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5"/>
              <w:spacing w:after="0" w:line="143"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5"/>
        </w:trPr>
        <w:tc>
          <w:tcPr>
            <w:tcW w:w="824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restricted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5"/>
              <w:spacing w:after="0" w:line="145"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units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January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216.20</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199.54</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216.56</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Canceled/Forfeited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212.95</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Adjustment (1)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189.41</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October 31,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right="440" w:hanging="395"/>
        <w:spacing w:after="0" w:line="252" w:lineRule="auto"/>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Autodesk's financial results and relative total stockholder return for the fiscal 2023 performance period. The performance stock units were attained at rates ranging from 86% to 110% of the target award.</w:t>
      </w:r>
    </w:p>
    <w:p>
      <w:pPr>
        <w:spacing w:after="0" w:line="201"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fair value of the shares vested during the nine months ended October 31, 2023 and 2022, was $476 million and $402 million, respectively.</w:t>
      </w:r>
    </w:p>
    <w:p>
      <w:pPr>
        <w:spacing w:after="0" w:line="240" w:lineRule="exact"/>
        <w:rPr>
          <w:sz w:val="20"/>
          <w:szCs w:val="20"/>
          <w:color w:val="auto"/>
        </w:rPr>
      </w:pPr>
    </w:p>
    <w:p>
      <w:pPr>
        <w:ind w:right="560" w:firstLine="395"/>
        <w:spacing w:after="0" w:line="332" w:lineRule="auto"/>
        <w:rPr>
          <w:sz w:val="20"/>
          <w:szCs w:val="20"/>
          <w:color w:val="auto"/>
        </w:rPr>
      </w:pPr>
      <w:r>
        <w:rPr>
          <w:rFonts w:ascii="Times New Roman" w:cs="Times New Roman" w:eastAsia="Times New Roman" w:hAnsi="Times New Roman"/>
          <w:sz w:val="16"/>
          <w:szCs w:val="16"/>
          <w:color w:val="auto"/>
        </w:rPr>
        <w:t>During the nine months ended October 31, 2023, Autodesk granted 3,233 thousand restricted stock units. Restricted stock units are not considered outstanding stock at the time of grant, as the holders of these units are not entitled to any of the rights of a stockholder, including voting rights.</w:t>
      </w:r>
    </w:p>
    <w:p>
      <w:pPr>
        <w:spacing w:after="0" w:line="149"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restricted stock units of $151 million and $130 million during the three months ended October 31, 2023 and 2022, respectively. Autodesk recorded stock-based compensation expense related to restricted stock units of $445 million and $383 million during the nine months ended October 31, 2023 and 2022, respectively.</w:t>
      </w:r>
    </w:p>
    <w:p>
      <w:pPr>
        <w:spacing w:after="0" w:line="206" w:lineRule="exact"/>
        <w:rPr>
          <w:sz w:val="20"/>
          <w:szCs w:val="20"/>
          <w:color w:val="auto"/>
        </w:rPr>
      </w:pPr>
    </w:p>
    <w:p>
      <w:pPr>
        <w:ind w:right="20" w:firstLine="395"/>
        <w:spacing w:after="0" w:line="303" w:lineRule="auto"/>
        <w:rPr>
          <w:sz w:val="20"/>
          <w:szCs w:val="20"/>
          <w:color w:val="auto"/>
        </w:rPr>
      </w:pPr>
      <w:r>
        <w:rPr>
          <w:rFonts w:ascii="Times New Roman" w:cs="Times New Roman" w:eastAsia="Times New Roman" w:hAnsi="Times New Roman"/>
          <w:sz w:val="16"/>
          <w:szCs w:val="16"/>
          <w:color w:val="auto"/>
        </w:rPr>
        <w:t>During the nine months ended October 31, 2023 and 2022, Autodesk settled liability-classified awards in the amount of $9 million and $8 million, respectively. The ultimate number of shares earned was based on the Autodesk closing stock price on the vesting date. As these awards were settled in a fixed dollar amount of shares, the awards were accounted for as a liability-classified award and were expensed using the straight-line method over the vesting period.</w:t>
      </w:r>
    </w:p>
    <w:p>
      <w:pPr>
        <w:spacing w:after="0" w:line="172"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During the nine months ended October 31, 2023, Autodesk granted 311 thousand performance stock units for which the ultimate number of shares earned is determined based on the achievement of performance criteria at the end of the stated service and performance period. The performance criteria for the performance stock units are primarily based on revenue and free cash flow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have the following vesting schedule:</w:t>
      </w:r>
    </w:p>
    <w:p>
      <w:pPr>
        <w:spacing w:after="0" w:line="212" w:lineRule="exact"/>
        <w:rPr>
          <w:sz w:val="20"/>
          <w:szCs w:val="20"/>
          <w:color w:val="auto"/>
        </w:rPr>
      </w:pPr>
    </w:p>
    <w:p>
      <w:pPr>
        <w:ind w:left="640" w:right="32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one, depending upon the achievement of the performance criteria for fiscal 2024 as well as 1-year Relative TSR (covering year one).</w:t>
      </w:r>
    </w:p>
    <w:p>
      <w:pPr>
        <w:spacing w:after="0" w:line="195" w:lineRule="exact"/>
        <w:rPr>
          <w:rFonts w:ascii="Times New Roman" w:cs="Times New Roman" w:eastAsia="Times New Roman" w:hAnsi="Times New Roman"/>
          <w:sz w:val="18"/>
          <w:szCs w:val="18"/>
          <w:color w:val="auto"/>
        </w:rPr>
      </w:pPr>
    </w:p>
    <w:p>
      <w:pPr>
        <w:ind w:left="640" w:right="8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95" w:lineRule="exact"/>
        <w:rPr>
          <w:rFonts w:ascii="Times New Roman" w:cs="Times New Roman" w:eastAsia="Times New Roman" w:hAnsi="Times New Roman"/>
          <w:sz w:val="18"/>
          <w:szCs w:val="18"/>
          <w:color w:val="auto"/>
        </w:rPr>
      </w:pPr>
    </w:p>
    <w:p>
      <w:pPr>
        <w:ind w:left="640" w:right="30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96"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performance criteria for the performance stock units vested during the nine months ended October 31, 2023, was based on revenue and free cash flow goals adopted by the Compensation and Human Resource Committee.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16" w:name="page17"/>
    <w:bookmarkEnd w:id="16"/>
    <w:p>
      <w:pPr>
        <w:ind w:right="360" w:firstLine="395"/>
        <w:spacing w:after="0" w:line="253" w:lineRule="auto"/>
        <w:rPr>
          <w:sz w:val="20"/>
          <w:szCs w:val="20"/>
          <w:color w:val="auto"/>
        </w:rPr>
      </w:pPr>
      <w:r>
        <w:rPr>
          <w:rFonts w:ascii="Times New Roman" w:cs="Times New Roman" w:eastAsia="Times New Roman" w:hAnsi="Times New Roman"/>
          <w:sz w:val="18"/>
          <w:szCs w:val="18"/>
          <w:color w:val="auto"/>
        </w:rPr>
        <w:t>Performance stock units are not considered outstanding stock at the time of grant, as the holders of these units are not entitled to any of the rights of a stockholder, including voting rights.</w:t>
      </w:r>
    </w:p>
    <w:p>
      <w:pPr>
        <w:spacing w:after="0" w:line="208" w:lineRule="exact"/>
        <w:rPr>
          <w:sz w:val="20"/>
          <w:szCs w:val="20"/>
          <w:color w:val="auto"/>
        </w:rPr>
      </w:pPr>
    </w:p>
    <w:p>
      <w:pPr>
        <w:jc w:val="both"/>
        <w:ind w:right="400" w:firstLine="395"/>
        <w:spacing w:after="0" w:line="256"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performance stock units of $11 million and $13 million for the three months ended October 31, 2023 and 2022, respectively. Autodesk recorded stock-based compensation expense related to performance stock units of $32 million and $42 million during the nine months ended October 31, 2023 and 2022, respectively.</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42" w:lineRule="exact"/>
        <w:rPr>
          <w:sz w:val="20"/>
          <w:szCs w:val="20"/>
          <w:color w:val="auto"/>
        </w:rPr>
      </w:pPr>
    </w:p>
    <w:p>
      <w:pPr>
        <w:ind w:right="180" w:firstLine="434"/>
        <w:spacing w:after="0" w:line="242" w:lineRule="auto"/>
        <w:rPr>
          <w:sz w:val="20"/>
          <w:szCs w:val="20"/>
          <w:color w:val="auto"/>
        </w:rPr>
      </w:pPr>
      <w:r>
        <w:rPr>
          <w:rFonts w:ascii="Times New Roman" w:cs="Times New Roman" w:eastAsia="Times New Roman" w:hAnsi="Times New Roman"/>
          <w:sz w:val="18"/>
          <w:szCs w:val="18"/>
          <w:color w:val="auto"/>
        </w:rPr>
        <w:t>Autodesk agreed to issue a fixed amount of $13 million in shares of common stock to certain employees in connection with a fiscal 2022 acquisition. Issuance of the common stock was dependent on the respective employees’ continued employment through the vesting period. During the nine months ended October 31, 2023, Autodesk issued the remaining 39 thousand shares at an aggregate fair value of $8 million. The awards were accounted for as liability-classified awards and were recognized as compensation expense using the straight-line method over the vesting period.</w:t>
      </w:r>
    </w:p>
    <w:p>
      <w:pPr>
        <w:spacing w:after="0" w:line="192" w:lineRule="exact"/>
        <w:rPr>
          <w:sz w:val="20"/>
          <w:szCs w:val="20"/>
          <w:color w:val="auto"/>
        </w:rPr>
      </w:pPr>
    </w:p>
    <w:p>
      <w:pPr>
        <w:ind w:right="20" w:firstLine="434"/>
        <w:spacing w:after="0" w:line="236" w:lineRule="auto"/>
        <w:rPr>
          <w:sz w:val="20"/>
          <w:szCs w:val="20"/>
          <w:color w:val="auto"/>
        </w:rPr>
      </w:pPr>
      <w:r>
        <w:rPr>
          <w:rFonts w:ascii="Times New Roman" w:cs="Times New Roman" w:eastAsia="Times New Roman" w:hAnsi="Times New Roman"/>
          <w:sz w:val="18"/>
          <w:szCs w:val="18"/>
          <w:color w:val="auto"/>
        </w:rPr>
        <w:t>Autodesk agreed to issue a fixed amount of $11 million in common stock at a future date to certain employees in connection with other fiscal 2022 acquisitions. Issuance of the common stock is dependent on the respective employees’ continued employment through the vesting period. The number of shares to be issued will be determined based on the volume weighted average closing price (“VWAP”) of Autodesk’s common stock at the issuance date. As of October 31, 2023, remaining shares to be issued are estimated to be 33 thousand. The awards are accounted for as liability-classified awards and are recognized as compensation expense using the straight-line method over the vesting period.</w:t>
      </w:r>
    </w:p>
    <w:p>
      <w:pPr>
        <w:spacing w:after="0" w:line="219" w:lineRule="exact"/>
        <w:rPr>
          <w:sz w:val="20"/>
          <w:szCs w:val="20"/>
          <w:color w:val="auto"/>
        </w:rPr>
      </w:pPr>
    </w:p>
    <w:p>
      <w:pPr>
        <w:ind w:firstLine="395"/>
        <w:spacing w:after="0" w:line="236" w:lineRule="auto"/>
        <w:rPr>
          <w:sz w:val="20"/>
          <w:szCs w:val="20"/>
          <w:color w:val="auto"/>
        </w:rPr>
      </w:pPr>
      <w:r>
        <w:rPr>
          <w:rFonts w:ascii="Times New Roman" w:cs="Times New Roman" w:eastAsia="Times New Roman" w:hAnsi="Times New Roman"/>
          <w:sz w:val="18"/>
          <w:szCs w:val="18"/>
          <w:color w:val="auto"/>
        </w:rPr>
        <w:t>Autodesk issued 40 thousand shares of restricted common stock to certain employees in connection with a fiscal 2023 acquisition. These shares of restricted common stock were recorded as “Prepaid expenses and other current assets” and “Long-term other assets” on our Condensed Consolidated Balance Sheets and will be amortized to stock-based compensation expense for post-acquisition services using the straight-line method over the two-year vesting period. Additionally, Autodesk agreed to issue a fixed amount of $5 million in common stock at a future date to certain employees in connection with a fiscal 2023 acquisition. Issuance of the common stock is dependent on the respective employees’ continued employment through the vesting period. The number of shares to be issued will be determined based on the VWAP of Autodesk’s common stock at the issuance date. During the nine months ended October 31, 2023, Autodesk issued 9 thousand shares at an aggregate fair value of $1 million. Remaining shares to be issued are estimated to be 13 thousand as of October 31, 2023. The awards are accounted for as liability-classified awards and are recognized as compensation expense using the straight-line method over the vesting period.</w:t>
      </w:r>
    </w:p>
    <w:p>
      <w:pPr>
        <w:spacing w:after="0" w:line="221" w:lineRule="exact"/>
        <w:rPr>
          <w:sz w:val="20"/>
          <w:szCs w:val="20"/>
          <w:color w:val="auto"/>
        </w:rPr>
      </w:pPr>
    </w:p>
    <w:p>
      <w:pPr>
        <w:jc w:val="both"/>
        <w:ind w:right="80" w:firstLine="434"/>
        <w:spacing w:after="0" w:line="241"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common stock shares of $5 million and $10 million for the three months ended October 31, 2023 and 2022, respectively. Autodesk recorded stock-based compensation expense related to common stock shares of $15 million and $27 million for the nine months ended October 31, 2023 and 2022, respectively.</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1998 Employee Qualified Stock Purchase Plan (“ESPP”)</w:t>
      </w:r>
    </w:p>
    <w:p>
      <w:pPr>
        <w:spacing w:after="0" w:line="242" w:lineRule="exact"/>
        <w:rPr>
          <w:sz w:val="20"/>
          <w:szCs w:val="20"/>
          <w:color w:val="auto"/>
        </w:rPr>
      </w:pPr>
    </w:p>
    <w:p>
      <w:pPr>
        <w:ind w:right="140" w:firstLine="434"/>
        <w:spacing w:after="0" w:line="303" w:lineRule="auto"/>
        <w:rPr>
          <w:sz w:val="20"/>
          <w:szCs w:val="20"/>
          <w:color w:val="auto"/>
        </w:rPr>
      </w:pPr>
      <w:r>
        <w:rPr>
          <w:rFonts w:ascii="Times New Roman" w:cs="Times New Roman" w:eastAsia="Times New Roman" w:hAnsi="Times New Roman"/>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ESPP activity for the three and nine months October 31, 2023 and 2022, is as follows:</w:t>
      </w:r>
    </w:p>
    <w:p>
      <w:pPr>
        <w:sectPr>
          <w:pgSz w:w="11900" w:h="16838" w:orient="portrait"/>
          <w:cols w:equalWidth="0" w:num="1">
            <w:col w:w="11240"/>
          </w:cols>
          <w:pgMar w:left="320" w:top="871" w:right="339" w:bottom="1440" w:gutter="0" w:footer="0" w:header="0"/>
        </w:sectPr>
      </w:pP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37465</wp:posOffset>
            </wp:positionV>
            <wp:extent cx="19805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41" w:lineRule="exact"/>
        <w:rPr>
          <w:sz w:val="20"/>
          <w:szCs w:val="20"/>
          <w:color w:val="auto"/>
        </w:rPr>
      </w:pPr>
    </w:p>
    <w:p>
      <w:pPr>
        <w:ind w:left="5520"/>
        <w:spacing w:after="0"/>
        <w:tabs>
          <w:tab w:leader="none" w:pos="71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30480</wp:posOffset>
            </wp:positionV>
            <wp:extent cx="19805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8" w:lineRule="exact"/>
        <w:rPr>
          <w:sz w:val="20"/>
          <w:szCs w:val="20"/>
          <w:color w:val="auto"/>
        </w:rPr>
      </w:pPr>
    </w:p>
    <w:p>
      <w:pPr>
        <w:sectPr>
          <w:pgSz w:w="11900" w:h="16838" w:orient="portrait"/>
          <w:cols w:equalWidth="0" w:num="2">
            <w:col w:w="8000" w:space="720"/>
            <w:col w:w="252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shares (in thousands)</w:t>
            </w:r>
          </w:p>
        </w:tc>
        <w:tc>
          <w:tcPr>
            <w:tcW w:w="5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791</w:t>
            </w:r>
          </w:p>
        </w:tc>
        <w:tc>
          <w:tcPr>
            <w:tcW w:w="6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price of issued shares</w:t>
            </w: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164.30</w:t>
            </w:r>
          </w:p>
        </w:tc>
        <w:tc>
          <w:tcPr>
            <w:tcW w:w="100" w:type="dxa"/>
            <w:vAlign w:val="bottom"/>
          </w:tcPr>
          <w:p>
            <w:pPr>
              <w:spacing w:after="0"/>
              <w:rPr>
                <w:sz w:val="18"/>
                <w:szCs w:val="18"/>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158.78</w:t>
            </w:r>
          </w:p>
        </w:tc>
        <w:tc>
          <w:tcPr>
            <w:tcW w:w="100" w:type="dxa"/>
            <w:vAlign w:val="bottom"/>
          </w:tcPr>
          <w:p>
            <w:pPr>
              <w:spacing w:after="0"/>
              <w:rPr>
                <w:sz w:val="18"/>
                <w:szCs w:val="18"/>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163.91</w:t>
            </w:r>
          </w:p>
        </w:tc>
        <w:tc>
          <w:tcPr>
            <w:tcW w:w="62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166.44</w:t>
            </w: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Weighted average grant date fair value of shares granted under the ESPP (1)</w:t>
            </w: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68.70</w:t>
            </w:r>
          </w:p>
        </w:tc>
        <w:tc>
          <w:tcPr>
            <w:tcW w:w="62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67.77</w:t>
            </w:r>
          </w:p>
        </w:tc>
      </w:tr>
    </w:tbl>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of the award grant date using the Black-Scholes Merton (“BSM”) option pricing model.</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5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17" w:name="page18"/>
    <w:bookmarkEnd w:id="17"/>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stock-based compensation expense for the three and nine months ended October 31, 2023 and 2022, as follows:</w:t>
      </w:r>
    </w:p>
    <w:p>
      <w:pPr>
        <w:sectPr>
          <w:pgSz w:w="11900" w:h="16838" w:orient="portrait"/>
          <w:cols w:equalWidth="0" w:num="1">
            <w:col w:w="11240"/>
          </w:cols>
          <w:pgMar w:left="320" w:top="869" w:right="339" w:bottom="1440" w:gutter="0" w:footer="0" w:header="0"/>
        </w:sectPr>
      </w:pPr>
    </w:p>
    <w:p>
      <w:pPr>
        <w:spacing w:after="0" w:line="152"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37465</wp:posOffset>
            </wp:positionV>
            <wp:extent cx="19215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41" w:lineRule="exact"/>
        <w:rPr>
          <w:sz w:val="20"/>
          <w:szCs w:val="20"/>
          <w:color w:val="auto"/>
        </w:rPr>
      </w:pPr>
    </w:p>
    <w:p>
      <w:pPr>
        <w:ind w:left="5720"/>
        <w:spacing w:after="0"/>
        <w:tabs>
          <w:tab w:leader="none" w:pos="72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30480</wp:posOffset>
            </wp:positionV>
            <wp:extent cx="1913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13255" cy="8255"/>
                    </a:xfrm>
                    <a:prstGeom prst="rect">
                      <a:avLst/>
                    </a:prstGeom>
                    <a:noFill/>
                  </pic:spPr>
                </pic:pic>
              </a:graphicData>
            </a:graphic>
          </wp:anchor>
        </w:drawing>
      </w:r>
    </w:p>
    <w:p>
      <w:pPr>
        <w:spacing w:after="0" w:line="30" w:lineRule="exact"/>
        <w:rPr>
          <w:sz w:val="20"/>
          <w:szCs w:val="20"/>
          <w:color w:val="auto"/>
        </w:rPr>
      </w:pPr>
    </w:p>
    <w:p>
      <w:pPr>
        <w:ind w:left="8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8" w:lineRule="exact"/>
        <w:rPr>
          <w:sz w:val="20"/>
          <w:szCs w:val="20"/>
          <w:color w:val="auto"/>
        </w:rPr>
      </w:pPr>
    </w:p>
    <w:p>
      <w:pPr>
        <w:sectPr>
          <w:pgSz w:w="11900" w:h="16838" w:orient="portrait"/>
          <w:cols w:equalWidth="0" w:num="2">
            <w:col w:w="8040" w:space="720"/>
            <w:col w:w="2480"/>
          </w:cols>
          <w:pgMar w:left="320" w:top="869"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64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6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60" w:type="dxa"/>
            <w:vAlign w:val="bottom"/>
            <w:tcBorders>
              <w:top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other revenue</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and sales</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2"/>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w w:val="99"/>
              </w:rPr>
              <w:t>Stock-based compensation expense related to stock awards and ESPP purchases</w:t>
            </w: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expense</w:t>
            </w:r>
          </w:p>
        </w:tc>
        <w:tc>
          <w:tcPr>
            <w:tcW w:w="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38"/>
        </w:trPr>
        <w:tc>
          <w:tcPr>
            <w:tcW w:w="512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color w:val="auto"/>
              </w:rPr>
              <w:t>Stock-based compensation expense related to stock awards and ESPP</w:t>
            </w:r>
          </w:p>
        </w:tc>
        <w:tc>
          <w:tcPr>
            <w:tcW w:w="64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66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1"/>
                <w:szCs w:val="11"/>
                <w:color w:val="auto"/>
              </w:rPr>
            </w:pPr>
          </w:p>
        </w:tc>
        <w:tc>
          <w:tcPr>
            <w:tcW w:w="66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660" w:type="dxa"/>
            <w:vAlign w:val="bottom"/>
            <w:vMerge w:val="restart"/>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189"/>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net of tax</w:t>
            </w:r>
          </w:p>
        </w:tc>
        <w:tc>
          <w:tcPr>
            <w:tcW w:w="6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 Assumptions</w:t>
      </w:r>
    </w:p>
    <w:p>
      <w:pPr>
        <w:spacing w:after="0" w:line="242"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the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2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Three Months Ended October 31, 2023</w:t>
            </w:r>
          </w:p>
        </w:tc>
        <w:tc>
          <w:tcPr>
            <w:tcW w:w="3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 31, 2022</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62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62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Performance Stock</w:t>
            </w:r>
          </w:p>
        </w:tc>
        <w:tc>
          <w:tcPr>
            <w:tcW w:w="15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expected volatility</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29.4 - 37.4%</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40.7 - 44.9%</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expected lives (in years)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0.5- 2.0</w:t>
            </w: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5.0 -5.5%</w:t>
            </w:r>
          </w:p>
        </w:tc>
        <w:tc>
          <w:tcPr>
            <w:tcW w:w="1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3.7 - 3.9%</w:t>
            </w:r>
          </w:p>
        </w:tc>
        <w:tc>
          <w:tcPr>
            <w:tcW w:w="0" w:type="dxa"/>
            <w:vAlign w:val="bottom"/>
          </w:tcPr>
          <w:p>
            <w:pPr>
              <w:spacing w:after="0"/>
              <w:rPr>
                <w:sz w:val="1"/>
                <w:szCs w:val="1"/>
                <w:color w:val="auto"/>
              </w:rPr>
            </w:pPr>
          </w:p>
        </w:tc>
      </w:tr>
      <w:tr>
        <w:trPr>
          <w:trHeight w:val="388"/>
        </w:trPr>
        <w:tc>
          <w:tcPr>
            <w:tcW w:w="4780" w:type="dxa"/>
            <w:vAlign w:val="bottom"/>
          </w:tcPr>
          <w:p>
            <w:pPr>
              <w:spacing w:after="0"/>
              <w:rPr>
                <w:sz w:val="24"/>
                <w:szCs w:val="24"/>
                <w:color w:val="auto"/>
              </w:rPr>
            </w:pPr>
          </w:p>
        </w:tc>
        <w:tc>
          <w:tcPr>
            <w:tcW w:w="32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October 31, 2023</w:t>
            </w:r>
          </w:p>
        </w:tc>
        <w:tc>
          <w:tcPr>
            <w:tcW w:w="3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 31, 2022</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62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62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Performance Stock</w:t>
            </w:r>
          </w:p>
        </w:tc>
        <w:tc>
          <w:tcPr>
            <w:tcW w:w="15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expected volatilities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40.9 - 42.5%</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29.4 - 42.4%</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39.4 - 40.7%</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38.3 - 44.9%</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expected lives (in years)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0.5 - 2.0</w:t>
            </w: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4.3 - 4.7%</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4.3 - 5.5%</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1.2 - 1.6%</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0.9 - 3.9%</w:t>
            </w:r>
          </w:p>
        </w:tc>
        <w:tc>
          <w:tcPr>
            <w:tcW w:w="0" w:type="dxa"/>
            <w:vAlign w:val="bottom"/>
          </w:tcPr>
          <w:p>
            <w:pPr>
              <w:spacing w:after="0"/>
              <w:rPr>
                <w:sz w:val="1"/>
                <w:szCs w:val="1"/>
                <w:color w:val="auto"/>
              </w:rPr>
            </w:pPr>
          </w:p>
        </w:tc>
      </w:tr>
    </w:tbl>
    <w:p>
      <w:pPr>
        <w:spacing w:after="0" w:line="393"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range of expected lives of ESPP awards are based upon the four six-month exercise periods within a 24-month offering period.</w:t>
      </w:r>
    </w:p>
    <w:p>
      <w:pPr>
        <w:spacing w:after="0" w:line="240"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96"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18" w:name="page19"/>
    <w:bookmarkEnd w:id="18"/>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Autodesk recognizes expense only for the stock-based awards that ultimately vest. Autodesk accounts for forfeitures of our stock-based awards as those forfeitures occur.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Income Tax</w:t>
      </w:r>
    </w:p>
    <w:p>
      <w:pPr>
        <w:spacing w:after="0" w:line="244" w:lineRule="exact"/>
        <w:rPr>
          <w:sz w:val="20"/>
          <w:szCs w:val="20"/>
          <w:color w:val="auto"/>
        </w:rPr>
      </w:pPr>
    </w:p>
    <w:p>
      <w:pPr>
        <w:ind w:right="40" w:firstLine="468"/>
        <w:spacing w:after="0" w:line="252" w:lineRule="auto"/>
        <w:rPr>
          <w:sz w:val="20"/>
          <w:szCs w:val="20"/>
          <w:color w:val="auto"/>
        </w:rPr>
      </w:pPr>
      <w:r>
        <w:rPr>
          <w:rFonts w:ascii="Times New Roman" w:cs="Times New Roman" w:eastAsia="Times New Roman" w:hAnsi="Times New Roman"/>
          <w:sz w:val="18"/>
          <w:szCs w:val="18"/>
          <w:color w:val="auto"/>
        </w:rPr>
        <w:t>Autodesk had income tax expense of $79 million, relative to pre-tax income of $320 million for the three months ended October 31, 2023, and income tax expense of $44 million, relative to pre-tax income of $242 million for the three months ended October 31, 2022. Income tax expense for the three months ended October 31, 2023, reflects an increased withholding tax expense and non-recurring integration tax expense, offset by a decrease in tax expense as a result of jurisdictional mix of year-to-date earnings, resulting in a net tax expense increase year over year.</w:t>
      </w:r>
    </w:p>
    <w:p>
      <w:pPr>
        <w:spacing w:after="0" w:line="210"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Autodesk had income tax expense of $175 million, relative to pre-tax income of $799 million for the nine months ended October 31, 2023, and income tax expense of $139 million, relative to pre-tax income of $669 million for the nine months ended October 31, 2022. Income tax expense for the nine months ended October 31, 2023, reflects a reduced U.S. foreign derived intangible income tax benefit, increased withholding tax expense and non-recurring integration tax expense, offset by an income tax benefit arising from temporary relief provided by the Internal Revenue Service relating to U.S. foreign tax credit regulations and reduced tax expense relating to stock-based compensation.</w:t>
      </w:r>
    </w:p>
    <w:p>
      <w:pPr>
        <w:spacing w:after="0" w:line="212"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all or part of our Australia, New Zealand, California, Michigan deferred tax assets, as well as our U.S. capital loss deferred tax assets as it is more likely than not that these deferred tax assets will not be realized.</w:t>
      </w:r>
    </w:p>
    <w:p>
      <w:pPr>
        <w:spacing w:after="0" w:line="198" w:lineRule="exact"/>
        <w:rPr>
          <w:sz w:val="20"/>
          <w:szCs w:val="20"/>
          <w:color w:val="auto"/>
        </w:rPr>
      </w:pPr>
    </w:p>
    <w:p>
      <w:pPr>
        <w:ind w:right="60" w:firstLine="474"/>
        <w:spacing w:after="0" w:line="241" w:lineRule="auto"/>
        <w:rPr>
          <w:sz w:val="20"/>
          <w:szCs w:val="20"/>
          <w:color w:val="auto"/>
        </w:rPr>
      </w:pPr>
      <w:r>
        <w:rPr>
          <w:rFonts w:ascii="Times New Roman" w:cs="Times New Roman" w:eastAsia="Times New Roman" w:hAnsi="Times New Roman"/>
          <w:sz w:val="18"/>
          <w:szCs w:val="18"/>
          <w:color w:val="auto"/>
        </w:rPr>
        <w:t>As of October 31, 2023, the Company had $234 million of gross unrecognized tax benefits, of which $195 million would impact the effective tax rate, if recognized. The remaining $39 million would reduce our valuation allowance, if recognized. Approximately $2 million of unrecognized tax benefits will decrease in the next twelve months for statute lapses.</w:t>
      </w:r>
    </w:p>
    <w:p>
      <w:pPr>
        <w:spacing w:after="0" w:line="219"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Signed into law on August 16, 2022, the Inflation Reduction Act contains many revisions to the Internal Revenue Code effective in taxable years beginning after December 31, 2022, including a 15% corporate alternative minimum tax. Autodesk continues to monitor the impact of the Inflation Reduction 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Intangible Assets, Net</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Company's intangible assets, net, as of October 31, 2023, and January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0"/>
                <w:szCs w:val="10"/>
                <w:color w:val="auto"/>
              </w:rPr>
            </w:pPr>
          </w:p>
        </w:tc>
        <w:tc>
          <w:tcPr>
            <w:tcW w:w="1440" w:type="dxa"/>
            <w:vAlign w:val="bottom"/>
            <w:gridSpan w:val="2"/>
          </w:tcPr>
          <w:p>
            <w:pPr>
              <w:ind w:left="20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0"/>
                <w:szCs w:val="10"/>
                <w:color w:val="auto"/>
              </w:rPr>
            </w:pPr>
          </w:p>
        </w:tc>
        <w:tc>
          <w:tcPr>
            <w:tcW w:w="1040" w:type="dxa"/>
            <w:vAlign w:val="bottom"/>
            <w:vMerge w:val="restart"/>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8"/>
        </w:trPr>
        <w:tc>
          <w:tcPr>
            <w:tcW w:w="6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160" w:type="dxa"/>
            <w:vAlign w:val="bottom"/>
          </w:tcPr>
          <w:p>
            <w:pPr>
              <w:spacing w:after="0"/>
              <w:rPr>
                <w:sz w:val="9"/>
                <w:szCs w:val="9"/>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(1)</w:t>
        <w:tab/>
        <w:t>Includes the effects of foreign currency translation.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0"/>
                <w:szCs w:val="10"/>
                <w:color w:val="auto"/>
              </w:rPr>
            </w:pPr>
          </w:p>
        </w:tc>
        <w:tc>
          <w:tcPr>
            <w:tcW w:w="140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0"/>
                <w:szCs w:val="10"/>
                <w:color w:val="auto"/>
              </w:rPr>
            </w:pPr>
          </w:p>
        </w:tc>
        <w:tc>
          <w:tcPr>
            <w:tcW w:w="1120" w:type="dxa"/>
            <w:vAlign w:val="bottom"/>
            <w:vMerge w:val="restart"/>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8"/>
        </w:trPr>
        <w:tc>
          <w:tcPr>
            <w:tcW w:w="6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180" w:type="dxa"/>
            <w:vAlign w:val="bottom"/>
          </w:tcPr>
          <w:p>
            <w:pPr>
              <w:spacing w:after="0"/>
              <w:rPr>
                <w:sz w:val="9"/>
                <w:szCs w:val="9"/>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effects of foreign currency translation.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Cloud Computing Arrangements</w:t>
      </w:r>
    </w:p>
    <w:p>
      <w:pPr>
        <w:spacing w:after="0" w:line="244"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$238 million and $190 million at October 31, 2023, and January 31, 2023, respectively. Accumulated amortization was $69 million and $41 million at October 31, 2023, and January 31, 2023, respectively. Amortization expense for the three months ended October 31, 2023 and 2022, was $10 million and $7 million, respectively. Amortization expense for the nine months ended October 31, 2023 and 2022 was $28 million and $16 million,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Goodwill</w:t>
      </w:r>
    </w:p>
    <w:p>
      <w:pPr>
        <w:spacing w:after="0" w:line="244"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Goodwill consists of the excess of the consideration transferred over the fair value of net assets acquired in business combinations. The following table summarizes the changes in the carrying amount of goodwill for the nine months ended October 31, 2023,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31, 2023</w:t>
            </w: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w:t>
            </w:r>
          </w:p>
        </w:tc>
      </w:tr>
      <w:tr>
        <w:trPr>
          <w:trHeight w:val="209"/>
        </w:trPr>
        <w:tc>
          <w:tcPr>
            <w:tcW w:w="9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accumulated impairment losses as of January 31, 2023</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6"/>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balance as of January 31, 2023</w:t>
            </w: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r>
      <w:tr>
        <w:trPr>
          <w:trHeight w:val="209"/>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arising from acquisitions during the period</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2"/>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w:t>
            </w:r>
          </w:p>
        </w:tc>
      </w:tr>
      <w:tr>
        <w:trPr>
          <w:trHeight w:val="21"/>
        </w:trPr>
        <w:tc>
          <w:tcPr>
            <w:tcW w:w="9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11. Deferred Compensation</w:t>
      </w:r>
    </w:p>
    <w:p>
      <w:pPr>
        <w:spacing w:after="0" w:line="244"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At October 31, 2023, Autodesk had investments in debt and equity securities that are held in a rabbi trust under non-qualified deferred compensation plans and a corresponding deferred compensation liability totaling $90 million. Of this amount, $7 million was classified as current and $83 million was classified as non-current in the Condensed Consolidated Balance Sheets. Of the $86 million related to the investments in a rabbi trust as of January 31, 2023, $7 million was classified as current and $79 million was classified as non-current. The current and non-current asset portions of the investments in debt and equity securities that are held in a rabbi trust under non-qualified deferred compensation plans are recorded in the Condensed Consolidated Balance Sheets under “Prepaid expenses and other current assets” and “Long-term other assets,” respectively. The current and non-current portions of the liability are recorded in the Condensed Consolidated Balance Sheets under “Accrued compensation” and “Long-term other liabilities,” respectively.</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42"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Sales commissions earned by our internal sales personnel and our channel partners are considered incremental and recoverable costs of obtaining a contract with a customer. The ending balance of assets recognized from costs to obtain a contract with a customer was $151 million as of October 31, 2023, and $133 million as of January 31, 2023. These assets are recorded in “Prepaid expenses and other current assets” and “Long-term other assets” in the Condensed Consolidated Balance Sheets. Amortization expense related to assets recognized from costs to obtain a contract with a customer was $34 million and $97 million during the three and nine months ended October 31, 2023, respectively. Amortization expense related to assets recognized from costs to obtain a contract with a customer was $35 million and $102 million during the three and nine months ended October 31, 2022, respectively. Autodesk did not recognize any contract cost impairment losses during the three and nine months ended October 31, 2023 and 2022.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Computer Equipment, Software, Furniture, and Leasehold Improvements, Net</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 equipment, software, furniture and equipment, and leasehold improvements, and the related accumulated depreciation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60" w:type="dxa"/>
            <w:vAlign w:val="bottom"/>
          </w:tcPr>
          <w:p>
            <w:pPr>
              <w:spacing w:after="0"/>
              <w:rPr>
                <w:sz w:val="16"/>
                <w:szCs w:val="16"/>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31, 2023</w:t>
            </w:r>
          </w:p>
        </w:tc>
      </w:tr>
      <w:tr>
        <w:trPr>
          <w:trHeight w:val="24"/>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at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at cost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 at cost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 land and buildings, at cost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06"/>
        </w:trPr>
        <w:tc>
          <w:tcPr>
            <w:tcW w:w="8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Borrowing Arrangements</w:t>
      </w:r>
    </w:p>
    <w:p>
      <w:pPr>
        <w:spacing w:after="0" w:line="244" w:lineRule="exact"/>
        <w:rPr>
          <w:sz w:val="20"/>
          <w:szCs w:val="20"/>
          <w:color w:val="auto"/>
        </w:rPr>
      </w:pPr>
    </w:p>
    <w:p>
      <w:pPr>
        <w:ind w:right="20" w:firstLine="395"/>
        <w:spacing w:after="0" w:line="279" w:lineRule="auto"/>
        <w:rPr>
          <w:sz w:val="20"/>
          <w:szCs w:val="20"/>
          <w:color w:val="auto"/>
        </w:rPr>
      </w:pPr>
      <w:r>
        <w:rPr>
          <w:rFonts w:ascii="Times New Roman" w:cs="Times New Roman" w:eastAsia="Times New Roman" w:hAnsi="Times New Roman"/>
          <w:sz w:val="16"/>
          <w:szCs w:val="16"/>
          <w:color w:val="auto"/>
        </w:rPr>
        <w:t>In November 2022, the Company entered into an Amended and Restated Credit Agreement (the “Credit Agreement”) by and among the Company, the lenders party thereto and Citibank, N.A. (“Citibank”), as administrative agent, which provides for an unsecured revolving loan facility in the aggregate principal amount of $1.5 billion, with an option to be increased up to $2.0 billion. The revolving credit facility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requires the Company to maintain a maximum leverage ratio of Consolidated Covenant Debt to Consolidated EBITDA (each as defined in the Credit Agreement) no greater than 3.50:1.00 during the term of the credit facility, subject to adjustment following the consummation of certain acquisitions up to 4.00:1.00 for up to four consecutive fiscal quarters. At October 31, 2023, Autodesk was in compliance with the Credit Agreement covenants. Revolving loans under the Credit Agreement will bear interest, at the Company’s option, at either (i) a per annum rate equal to the Base Rate (as defined in the Credit Agreement) plus a margin of between 0.000% and 0.375%, depending on the Company’s Public Debt Rating (as defined in the Credit Agreement), or (ii) a per annum rate equal to the rate at which dollar deposits are offered in the Secured Overnight Financing Rate, plus a margin of between 0.785% and 1.375%, depending on Company’s Public Debt Rating. The interest rates for the revolving credit facility are subject to upward or downward adjustments, on an annual basis, if the Company achieves, or fails to achieve, certain sustainability-linked targets based on two key performance indicator metrics: (i) the amount of scope 1 and 2 greenhouse gas emissions from the global operations of the Company and its subsidiaries during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1" w:name="page22"/>
    <w:bookmarkEnd w:id="21"/>
    <w:p>
      <w:pPr>
        <w:ind w:right="160"/>
        <w:spacing w:after="0" w:line="256" w:lineRule="auto"/>
        <w:rPr>
          <w:sz w:val="20"/>
          <w:szCs w:val="20"/>
          <w:color w:val="auto"/>
        </w:rPr>
      </w:pPr>
      <w:r>
        <w:rPr>
          <w:rFonts w:ascii="Times New Roman" w:cs="Times New Roman" w:eastAsia="Times New Roman" w:hAnsi="Times New Roman"/>
          <w:sz w:val="18"/>
          <w:szCs w:val="18"/>
          <w:color w:val="auto"/>
        </w:rPr>
        <w:t>a fiscal year less qualified emissions reduction instruments and (ii) the percentage of employees of the Company and its subsidiaries identifying as female working in technical roles. The maturity date on the Credit Agreement is September 30, 2026. At October 31, 2023, Autodesk had no outstanding borrowings under the Credit Agreement.</w:t>
      </w:r>
    </w:p>
    <w:p>
      <w:pPr>
        <w:spacing w:after="0" w:line="206"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In October 2021, Autodesk issued $1.0 billion aggregate principal amount of 2.4% notes due December 15, 2031 (“2021 Notes”). Net of a discount of $3 million and issuance costs of $9 million, Autodesk received net proceeds of $988 million from issuance of the 2021 Notes. Both the discount and issuance costs are being amortized to interest expense over the term of the 2021 Notes using the effective interest method. The 2021 Notes were designated as sustainability bonds, the net proceeds of which are used to fund environmentally and socially responsible projects in the following areas: eco-efficient products, production technologies, and processes, sustainable water and wastewater management, renewable energy &amp; energy efficiency, green buildings, pollution prevention and control, and socioeconomic advancement and empowerment.</w:t>
      </w:r>
    </w:p>
    <w:p>
      <w:pPr>
        <w:spacing w:after="0" w:line="21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January 2020, Autodesk issued $500 million aggregate principal amount of 2.85% notes due January 15, 2030 (“2020 Notes”). Net of a discount of $1 million and issuance costs of $5 million, Autodesk received net proceeds of $494 million from issuance of the 2020 Notes. Both the discount and issuance costs are being amortized to interest expense over the term of the 2020 Notes using the effective interest method. The proceeds of the 2020 Notes were used for the repayment of $450 million of debt due June 15, 2020, and the remainder is available for general corporate purposes.</w:t>
      </w:r>
    </w:p>
    <w:p>
      <w:pPr>
        <w:spacing w:after="0" w:line="210"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June 2017, Autodesk issued $500 million aggregate principal amount of 3.5% notes due June 15, 2027 (the “2017 Notes”). Net of a discount of $3 million and issuance costs of $5 million, Autodesk received net proceeds of $492 million from issuance of the 2017 Notes. Both the discount and issuance costs are being amortized to interest expense over the term of the 2017 Notes using the effective interest method. The proceeds of the 2017 Notes have been used for the repayment of $400 million of debt due December 15, 2017, and the remainder is available for general corporate purposes.</w:t>
      </w:r>
    </w:p>
    <w:p>
      <w:pPr>
        <w:spacing w:after="0" w:line="210"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In June 2015, Autodesk issued $300 million aggregate principal amount of 4.375% notes due June 15, 2025 (“2015 Notes”). Net of a discount of $1 million, and issuance costs of $3 million, Autodesk received net proceeds of $296 million from issuance of the 2015 Notes. Both the discount and issuance costs are being amortized to interest expense over the respective term of the 2015 Notes using the effective interest method. The proceeds of the 2015 Notes are available for general corporate purposes.</w:t>
      </w:r>
    </w:p>
    <w:p>
      <w:pPr>
        <w:spacing w:after="0" w:line="210" w:lineRule="exact"/>
        <w:rPr>
          <w:sz w:val="20"/>
          <w:szCs w:val="20"/>
          <w:color w:val="auto"/>
        </w:rPr>
      </w:pPr>
    </w:p>
    <w:p>
      <w:pPr>
        <w:ind w:right="120" w:firstLine="434"/>
        <w:spacing w:after="0" w:line="250" w:lineRule="auto"/>
        <w:rPr>
          <w:sz w:val="20"/>
          <w:szCs w:val="20"/>
          <w:color w:val="auto"/>
        </w:rPr>
      </w:pPr>
      <w:r>
        <w:rPr>
          <w:rFonts w:ascii="Times New Roman" w:cs="Times New Roman" w:eastAsia="Times New Roman" w:hAnsi="Times New Roman"/>
          <w:sz w:val="18"/>
          <w:szCs w:val="18"/>
          <w:color w:val="auto"/>
        </w:rPr>
        <w:t>The 2021 Notes, 2020 Notes, 2017 Notes, and the 2015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quoted market prices, the approximate fair value of the notes as of October 31, 2023,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300" w:type="dxa"/>
            <w:vAlign w:val="bottom"/>
          </w:tcPr>
          <w:p>
            <w:pPr>
              <w:spacing w:after="0"/>
              <w:rPr>
                <w:sz w:val="13"/>
                <w:szCs w:val="13"/>
                <w:color w:val="auto"/>
              </w:rPr>
            </w:pPr>
          </w:p>
        </w:tc>
        <w:tc>
          <w:tcPr>
            <w:tcW w:w="132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09"/>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 Notes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 Notes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0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Notes</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October 31, 2023,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(remainder)</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9"/>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31"/>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outstanding</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Leases</w:t>
      </w:r>
    </w:p>
    <w:p>
      <w:pPr>
        <w:spacing w:after="0" w:line="244" w:lineRule="exact"/>
        <w:rPr>
          <w:sz w:val="20"/>
          <w:szCs w:val="20"/>
          <w:color w:val="auto"/>
        </w:rPr>
      </w:pPr>
    </w:p>
    <w:p>
      <w:pPr>
        <w:ind w:right="60" w:firstLine="395"/>
        <w:spacing w:after="0" w:line="281" w:lineRule="auto"/>
        <w:rPr>
          <w:sz w:val="20"/>
          <w:szCs w:val="20"/>
          <w:color w:val="auto"/>
        </w:rPr>
      </w:pPr>
      <w:r>
        <w:rPr>
          <w:rFonts w:ascii="Times New Roman" w:cs="Times New Roman" w:eastAsia="Times New Roman" w:hAnsi="Times New Roman"/>
          <w:sz w:val="16"/>
          <w:szCs w:val="16"/>
          <w:color w:val="auto"/>
        </w:rPr>
        <w:t>Autodesk has operating leases for real estate, vehicles, and certain equipment. Leases have remaining lease terms of less than 1 year to 66 years, some of which include options to extend the lease with renewal terms from 1 year to 9 years and some of which include options to terminate the leases from less than 1 year to 6 years. Options to extend or terminate the lease are considered in determining the lease term when it is reasonably certain that the option will be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 with the exception of “Lease-related asset impairments” which is presented in “Adjustments to reconcile net income to net cash provided by operating activities”.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October 31, 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left="765"/>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October 31, 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Three Months Ended October 31, 2022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center"/>
              <w:ind w:left="805"/>
              <w:spacing w:after="0"/>
              <w:rPr>
                <w:sz w:val="20"/>
                <w:szCs w:val="20"/>
                <w:color w:val="auto"/>
              </w:rPr>
            </w:pPr>
            <w:r>
              <w:rPr>
                <w:rFonts w:ascii="Times New Roman" w:cs="Times New Roman" w:eastAsia="Times New Roman" w:hAnsi="Times New Roman"/>
                <w:sz w:val="16"/>
                <w:szCs w:val="16"/>
                <w:color w:val="auto"/>
                <w:w w:val="99"/>
              </w:rPr>
              <w:t>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left="805"/>
              <w:spacing w:after="0"/>
              <w:rPr>
                <w:sz w:val="20"/>
                <w:szCs w:val="20"/>
                <w:color w:val="auto"/>
              </w:rPr>
            </w:pPr>
            <w:r>
              <w:rPr>
                <w:rFonts w:ascii="Times New Roman" w:cs="Times New Roman" w:eastAsia="Times New Roman" w:hAnsi="Times New Roman"/>
                <w:sz w:val="16"/>
                <w:szCs w:val="16"/>
                <w:color w:val="auto"/>
                <w:w w:val="99"/>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October 31, 2022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center"/>
              <w:ind w:left="805"/>
              <w:spacing w:after="0"/>
              <w:rPr>
                <w:sz w:val="20"/>
                <w:szCs w:val="20"/>
                <w:color w:val="auto"/>
              </w:rPr>
            </w:pPr>
            <w:r>
              <w:rPr>
                <w:rFonts w:ascii="Times New Roman" w:cs="Times New Roman" w:eastAsia="Times New Roman" w:hAnsi="Times New Roman"/>
                <w:sz w:val="16"/>
                <w:szCs w:val="16"/>
                <w:color w:val="auto"/>
                <w:w w:val="99"/>
              </w:rPr>
              <w:t>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left="805"/>
              <w:spacing w:after="0"/>
              <w:rPr>
                <w:sz w:val="20"/>
                <w:szCs w:val="20"/>
                <w:color w:val="auto"/>
              </w:rPr>
            </w:pPr>
            <w:r>
              <w:rPr>
                <w:rFonts w:ascii="Times New Roman" w:cs="Times New Roman" w:eastAsia="Times New Roman" w:hAnsi="Times New Roman"/>
                <w:sz w:val="16"/>
                <w:szCs w:val="16"/>
                <w:color w:val="auto"/>
                <w:w w:val="99"/>
              </w:rPr>
              <w:t>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7" w:right="37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color w:val="auto"/>
        </w:rPr>
        <w:t>Supplemental operating cash flow information related to leases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600" w:type="dxa"/>
            <w:vAlign w:val="bottom"/>
            <w:gridSpan w:val="4"/>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38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 included in operating cash flows (1)</w:t>
            </w:r>
          </w:p>
        </w:tc>
        <w:tc>
          <w:tcPr>
            <w:tcW w:w="104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operating lease liabilities arising from obtaining operating lease right-of-use assets</w:t>
            </w: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bl>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right="340" w:firstLine="5"/>
        <w:spacing w:after="0" w:line="269" w:lineRule="auto"/>
        <w:tabs>
          <w:tab w:leader="none" w:pos="22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$12 million in variable lease payments for both the nine months ended October 31, 2023 and 2022, not included in “Operating lease liabilities” and “Long-term operating lease liabilities” on the Condensed Consolidated Balance Sheets.</w:t>
      </w:r>
    </w:p>
    <w:p>
      <w:pPr>
        <w:spacing w:after="0" w:line="188" w:lineRule="exact"/>
        <w:rPr>
          <w:sz w:val="20"/>
          <w:szCs w:val="20"/>
          <w:color w:val="auto"/>
        </w:rPr>
      </w:pPr>
    </w:p>
    <w:p>
      <w:pPr>
        <w:ind w:right="660" w:firstLine="395"/>
        <w:spacing w:after="0" w:line="268"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6.1 and 6.5 years at October 31, 2023, and January 31, 2023, respectively. The weighted average discount rate was 2.77% and 2.60% at October 31, 2023, and January 31, 2023, respectively.</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(remainder)</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9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2"/>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9"/>
        </w:trPr>
        <w:tc>
          <w:tcPr>
            <w:tcW w:w="9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6"/>
        </w:trPr>
        <w:tc>
          <w:tcPr>
            <w:tcW w:w="9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0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31"/>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Autodesk has subleased certain office space to a third party and has classified the sublease as an operating lease. The sublease has a remaining lease term of 8.3 years. Sublease income was $2 million and $6 million and for the three and nine months ended October 31, 2023, respectively. Sublease income was $2 million and $3 million for the three and nine months ended October 31, 2022, respectively. Sublease income is recorded as a reduction of lease expense in the Company’s Condensed Consolidated Statements of Operations.</w:t>
      </w:r>
    </w:p>
    <w:p>
      <w:pPr>
        <w:spacing w:after="0" w:line="210"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Operating lease amounts in the table above do not include sublease income payments of $73 million. Autodesk expects to receive sublease income payments of approximately $35 million for remaining fiscal 2024 through fiscal 2028 and $38 million thereafter.</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October 31, 2023, Autodesk had no material additional operating lease minimum lease payments for executed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15. Derivative Instruments</w:t>
      </w:r>
    </w:p>
    <w:p>
      <w:pPr>
        <w:spacing w:after="0" w:line="244"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fair values of derivative instruments in Autodesk’s Condensed Consolidated Balance Sheets were as follows as of October 31, 2023, and January 31, 2023: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4"/>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4"/>
        </w:trPr>
        <w:tc>
          <w:tcPr>
            <w:tcW w:w="5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580" w:type="dxa"/>
            <w:vAlign w:val="bottom"/>
          </w:tcPr>
          <w:p>
            <w:pPr>
              <w:spacing w:after="0"/>
              <w:rPr>
                <w:sz w:val="22"/>
                <w:szCs w:val="22"/>
                <w:color w:val="auto"/>
              </w:rPr>
            </w:pPr>
          </w:p>
        </w:tc>
        <w:tc>
          <w:tcPr>
            <w:tcW w:w="2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60" w:type="dxa"/>
            <w:vAlign w:val="bottom"/>
          </w:tcPr>
          <w:p>
            <w:pPr>
              <w:spacing w:after="0"/>
              <w:rPr>
                <w:sz w:val="22"/>
                <w:szCs w:val="22"/>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0" w:type="dxa"/>
            <w:vAlign w:val="bottom"/>
          </w:tcPr>
          <w:p>
            <w:pPr>
              <w:spacing w:after="0"/>
              <w:rPr>
                <w:sz w:val="1"/>
                <w:szCs w:val="1"/>
                <w:color w:val="auto"/>
              </w:rPr>
            </w:pPr>
          </w:p>
        </w:tc>
      </w:tr>
      <w:tr>
        <w:trPr>
          <w:trHeight w:val="24"/>
        </w:trPr>
        <w:tc>
          <w:tcPr>
            <w:tcW w:w="558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5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Prepaid expenses and other current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5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6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Prepaid expenses and other current</w:t>
            </w: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5580" w:type="dxa"/>
            <w:vAlign w:val="bottom"/>
            <w:vMerge w:val="continue"/>
            <w:shd w:val="clear" w:color="auto" w:fill="CCEEFF"/>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derivative assets</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Derivative Liabilities</w:t>
            </w:r>
          </w:p>
        </w:tc>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1"/>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6"/>
        </w:trPr>
        <w:tc>
          <w:tcPr>
            <w:tcW w:w="5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240" w:firstLine="434"/>
        <w:spacing w:after="0" w:line="263"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Autodesk’s Condensed Consolidated Statements of Operations were as follows for the three and nine months ended October 31, 2023 and 2022 (amounts presented include any income tax effects):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4"/>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7"/>
        </w:trPr>
        <w:tc>
          <w:tcPr>
            <w:tcW w:w="5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Amount of gain (loss) recognized in accumulated other comprehensive income, net of tax,</w:t>
            </w:r>
          </w:p>
        </w:tc>
        <w:tc>
          <w:tcPr>
            <w:tcW w:w="920" w:type="dxa"/>
            <w:vAlign w:val="bottom"/>
            <w:vMerge w:val="restart"/>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91"/>
        </w:trPr>
        <w:tc>
          <w:tcPr>
            <w:tcW w:w="5740" w:type="dxa"/>
            <w:vAlign w:val="bottom"/>
            <w:tcBorders>
              <w:bottom w:val="single" w:sz="8" w:color="CCEEFF"/>
            </w:tcBorders>
            <w:shd w:val="clear" w:color="auto" w:fill="CCEEFF"/>
          </w:tcPr>
          <w:p>
            <w:pPr>
              <w:ind w:left="180"/>
              <w:spacing w:after="0" w:line="171" w:lineRule="exact"/>
              <w:rPr>
                <w:sz w:val="20"/>
                <w:szCs w:val="20"/>
                <w:color w:val="auto"/>
              </w:rPr>
            </w:pPr>
            <w:r>
              <w:rPr>
                <w:rFonts w:ascii="Times New Roman" w:cs="Times New Roman" w:eastAsia="Times New Roman" w:hAnsi="Times New Roman"/>
                <w:sz w:val="16"/>
                <w:szCs w:val="16"/>
                <w:color w:val="auto"/>
                <w:shd w:val="clear" w:color="auto" w:fill="CCEEFF"/>
              </w:rPr>
              <w:t>(effective portion)</w:t>
            </w: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45" w:lineRule="exact"/>
              <w:rPr>
                <w:sz w:val="20"/>
                <w:szCs w:val="20"/>
                <w:color w:val="auto"/>
              </w:rPr>
            </w:pPr>
            <w:r>
              <w:rPr>
                <w:rFonts w:ascii="Times New Roman" w:cs="Times New Roman" w:eastAsia="Times New Roman" w:hAnsi="Times New Roman"/>
                <w:sz w:val="16"/>
                <w:szCs w:val="16"/>
                <w:color w:val="auto"/>
              </w:rPr>
              <w:t>Amount and location of gain (loss) reclassified from accumulated other comprehensive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7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into income (effective portion)</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revenue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9"/>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9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6"/>
              </w:rPr>
              <w:t>(8)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6"/>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500" w:firstLine="434"/>
        <w:spacing w:after="0" w:line="256" w:lineRule="auto"/>
        <w:rPr>
          <w:sz w:val="20"/>
          <w:szCs w:val="20"/>
          <w:color w:val="auto"/>
        </w:rPr>
      </w:pPr>
      <w:r>
        <w:rPr>
          <w:rFonts w:ascii="Times New Roman" w:cs="Times New Roman" w:eastAsia="Times New Roman" w:hAnsi="Times New Roman"/>
          <w:sz w:val="18"/>
          <w:szCs w:val="18"/>
          <w:color w:val="auto"/>
        </w:rPr>
        <w:t>The amount and location of (loss) gain recognized in net income of derivatives not designated as hedging instruments on Autodesk’s Condensed Consolidated Statements of Operations were as follows for the three and nine months ended October 31, 2023 and 2022, (amounts presented include any income tax effects):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2460" w:type="dxa"/>
            <w:vAlign w:val="bottom"/>
            <w:gridSpan w:val="4"/>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300" w:type="dxa"/>
            <w:vAlign w:val="bottom"/>
          </w:tcPr>
          <w:p>
            <w:pPr>
              <w:spacing w:after="0"/>
              <w:rPr>
                <w:sz w:val="16"/>
                <w:szCs w:val="16"/>
                <w:color w:val="auto"/>
              </w:rPr>
            </w:pPr>
          </w:p>
        </w:tc>
      </w:tr>
      <w:tr>
        <w:trPr>
          <w:trHeight w:val="24"/>
        </w:trPr>
        <w:tc>
          <w:tcPr>
            <w:tcW w:w="5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84"/>
        </w:trPr>
        <w:tc>
          <w:tcPr>
            <w:tcW w:w="56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r>
      <w:tr>
        <w:trPr>
          <w:trHeight w:val="210"/>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94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bl>
    <w:p>
      <w:pPr>
        <w:spacing w:after="0" w:line="3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contracts designated as cash flow hedges</w:t>
      </w:r>
    </w:p>
    <w:p>
      <w:pPr>
        <w:spacing w:after="0" w:line="242"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$1.08 billion at October 31, 2023, and $934 million at January 31, 2023. Outstanding contracts are recognized as either assets or liabilities on the Company's Condensed Consolidated Balance Sheet at fair value. The majority of the net gain of $42 million remaining in “Accumulated other comprehensive loss” as of October 31, 2023, is expected to be recognized into earnings within the next 24 months.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5" w:name="page26"/>
    <w:bookmarkEnd w:id="25"/>
    <w:p>
      <w:pPr>
        <w:ind w:firstLine="395"/>
        <w:spacing w:after="0" w:line="256" w:lineRule="auto"/>
        <w:rPr>
          <w:sz w:val="20"/>
          <w:szCs w:val="20"/>
          <w:color w:val="auto"/>
        </w:rPr>
      </w:pPr>
      <w:r>
        <w:rPr>
          <w:rFonts w:ascii="Times New Roman" w:cs="Times New Roman" w:eastAsia="Times New Roman" w:hAnsi="Times New Roman"/>
          <w:sz w:val="18"/>
          <w:szCs w:val="18"/>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and nine months ended October 31, 2023 and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Three Months Ended October 31, 2023</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27"/>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36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20" w:type="dxa"/>
            <w:vAlign w:val="bottom"/>
          </w:tcPr>
          <w:p>
            <w:pPr>
              <w:spacing w:after="0"/>
              <w:rPr>
                <w:sz w:val="12"/>
                <w:szCs w:val="12"/>
                <w:color w:val="auto"/>
              </w:rPr>
            </w:pPr>
          </w:p>
        </w:tc>
        <w:tc>
          <w:tcPr>
            <w:tcW w:w="108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1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administrative</w:t>
            </w:r>
          </w:p>
        </w:tc>
        <w:tc>
          <w:tcPr>
            <w:tcW w:w="0" w:type="dxa"/>
            <w:vAlign w:val="bottom"/>
          </w:tcPr>
          <w:p>
            <w:pPr>
              <w:spacing w:after="0"/>
              <w:rPr>
                <w:sz w:val="1"/>
                <w:szCs w:val="1"/>
                <w:color w:val="auto"/>
              </w:rPr>
            </w:pPr>
          </w:p>
        </w:tc>
      </w:tr>
      <w:tr>
        <w:trPr>
          <w:trHeight w:val="143"/>
        </w:trPr>
        <w:tc>
          <w:tcPr>
            <w:tcW w:w="3180" w:type="dxa"/>
            <w:vAlign w:val="bottom"/>
            <w:tcBorders>
              <w:top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Total amounts of income and expense line</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items presented in the condensed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1,314</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94</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439</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339</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statements of operations</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i w:val="1"/>
                <w:iCs w:val="1"/>
                <w:color w:val="auto"/>
              </w:rPr>
              <w:t>Gain (loss) on cash flow hedging relationships</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in Subtopic ASC 815-20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ind w:left="300"/>
              <w:spacing w:after="0" w:line="159" w:lineRule="exact"/>
              <w:rPr>
                <w:sz w:val="20"/>
                <w:szCs w:val="20"/>
                <w:color w:val="auto"/>
              </w:rPr>
            </w:pPr>
            <w:r>
              <w:rPr>
                <w:rFonts w:ascii="Times New Roman" w:cs="Times New Roman" w:eastAsia="Times New Roman" w:hAnsi="Times New Roman"/>
                <w:sz w:val="16"/>
                <w:szCs w:val="16"/>
                <w:color w:val="auto"/>
              </w:rPr>
              <w:t>Amount of gain (loss) reclassified from</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46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into income</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Nine Months Ended October 31, 2023</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27"/>
              <w:spacing w:after="0" w:line="127"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36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20" w:type="dxa"/>
            <w:vAlign w:val="bottom"/>
          </w:tcPr>
          <w:p>
            <w:pPr>
              <w:spacing w:after="0"/>
              <w:rPr>
                <w:sz w:val="12"/>
                <w:szCs w:val="12"/>
                <w:color w:val="auto"/>
              </w:rPr>
            </w:pPr>
          </w:p>
        </w:tc>
        <w:tc>
          <w:tcPr>
            <w:tcW w:w="108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1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administrative</w:t>
            </w:r>
          </w:p>
        </w:tc>
        <w:tc>
          <w:tcPr>
            <w:tcW w:w="0" w:type="dxa"/>
            <w:vAlign w:val="bottom"/>
          </w:tcPr>
          <w:p>
            <w:pPr>
              <w:spacing w:after="0"/>
              <w:rPr>
                <w:sz w:val="1"/>
                <w:szCs w:val="1"/>
                <w:color w:val="auto"/>
              </w:rPr>
            </w:pPr>
          </w:p>
        </w:tc>
      </w:tr>
      <w:tr>
        <w:trPr>
          <w:trHeight w:val="143"/>
        </w:trPr>
        <w:tc>
          <w:tcPr>
            <w:tcW w:w="3180" w:type="dxa"/>
            <w:vAlign w:val="bottom"/>
            <w:tcBorders>
              <w:top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Total amounts of income and expense line</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items presented in the condensed</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consolidated statements of operations in</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which the effects of cash flow hedges are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3,777</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285</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1,344</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1,021</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recorded</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i w:val="1"/>
                <w:iCs w:val="1"/>
                <w:color w:val="auto"/>
              </w:rPr>
              <w:t>Gain on cash flow hedging relationships in</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Subtopic ASC 815-20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180" w:type="dxa"/>
            <w:vAlign w:val="bottom"/>
            <w:shd w:val="clear" w:color="auto" w:fill="CCEEFF"/>
          </w:tcPr>
          <w:p>
            <w:pPr>
              <w:ind w:left="300"/>
              <w:spacing w:after="0" w:line="161" w:lineRule="exact"/>
              <w:rPr>
                <w:sz w:val="20"/>
                <w:szCs w:val="20"/>
                <w:color w:val="auto"/>
              </w:rPr>
            </w:pPr>
            <w:r>
              <w:rPr>
                <w:rFonts w:ascii="Times New Roman" w:cs="Times New Roman" w:eastAsia="Times New Roman" w:hAnsi="Times New Roman"/>
                <w:sz w:val="16"/>
                <w:szCs w:val="16"/>
                <w:color w:val="auto"/>
              </w:rPr>
              <w:t>Amount of gain reclassified from</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46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into income</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Three Months Ended October 31, 2022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28"/>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Research and</w:t>
            </w:r>
          </w:p>
        </w:tc>
        <w:tc>
          <w:tcPr>
            <w:tcW w:w="140" w:type="dxa"/>
            <w:vAlign w:val="bottom"/>
          </w:tcPr>
          <w:p>
            <w:pPr>
              <w:spacing w:after="0"/>
              <w:rPr>
                <w:sz w:val="12"/>
                <w:szCs w:val="12"/>
                <w:color w:val="auto"/>
              </w:rPr>
            </w:pPr>
          </w:p>
        </w:tc>
        <w:tc>
          <w:tcPr>
            <w:tcW w:w="110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development</w:t>
            </w: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43"/>
        </w:trPr>
        <w:tc>
          <w:tcPr>
            <w:tcW w:w="3300" w:type="dxa"/>
            <w:vAlign w:val="bottom"/>
            <w:tcBorders>
              <w:top w:val="single" w:sz="8" w:color="CCEEFF"/>
            </w:tcBorders>
            <w:shd w:val="clear" w:color="auto" w:fill="CCEEFF"/>
          </w:tcPr>
          <w:p>
            <w:pPr>
              <w:jc w:val="center"/>
              <w:ind w:right="161"/>
              <w:spacing w:after="0" w:line="143" w:lineRule="exact"/>
              <w:rPr>
                <w:sz w:val="20"/>
                <w:szCs w:val="20"/>
                <w:color w:val="auto"/>
              </w:rPr>
            </w:pPr>
            <w:r>
              <w:rPr>
                <w:rFonts w:ascii="Times New Roman" w:cs="Times New Roman" w:eastAsia="Times New Roman" w:hAnsi="Times New Roman"/>
                <w:sz w:val="16"/>
                <w:szCs w:val="16"/>
                <w:color w:val="auto"/>
                <w:w w:val="98"/>
              </w:rPr>
              <w:t>Total amounts of income and expense line items</w:t>
            </w: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color w:val="auto"/>
              </w:rPr>
              <w:t>presented in the condensed consolidated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statements of operations</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i w:val="1"/>
                <w:iCs w:val="1"/>
                <w:color w:val="auto"/>
              </w:rPr>
              <w:t>Gain (loss) on cash flow hedging relationships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in Subtopic ASC 815-20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jc w:val="center"/>
              <w:ind w:right="161"/>
              <w:spacing w:after="0" w:line="159" w:lineRule="exact"/>
              <w:rPr>
                <w:sz w:val="20"/>
                <w:szCs w:val="20"/>
                <w:color w:val="auto"/>
              </w:rPr>
            </w:pPr>
            <w:r>
              <w:rPr>
                <w:rFonts w:ascii="Times New Roman" w:cs="Times New Roman" w:eastAsia="Times New Roman" w:hAnsi="Times New Roman"/>
                <w:sz w:val="16"/>
                <w:szCs w:val="16"/>
                <w:color w:val="auto"/>
                <w:w w:val="98"/>
              </w:rPr>
              <w:t>Amount of gain (loss) reclassified from</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44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into income</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October 31, 2022</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Net revenue</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28"/>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Research and</w:t>
            </w:r>
          </w:p>
        </w:tc>
        <w:tc>
          <w:tcPr>
            <w:tcW w:w="140" w:type="dxa"/>
            <w:vAlign w:val="bottom"/>
          </w:tcPr>
          <w:p>
            <w:pPr>
              <w:spacing w:after="0"/>
              <w:rPr>
                <w:sz w:val="12"/>
                <w:szCs w:val="12"/>
                <w:color w:val="auto"/>
              </w:rPr>
            </w:pPr>
          </w:p>
        </w:tc>
        <w:tc>
          <w:tcPr>
            <w:tcW w:w="110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development</w:t>
            </w: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43"/>
        </w:trPr>
        <w:tc>
          <w:tcPr>
            <w:tcW w:w="3300" w:type="dxa"/>
            <w:vAlign w:val="bottom"/>
            <w:tcBorders>
              <w:top w:val="single" w:sz="8" w:color="CCEEFF"/>
            </w:tcBorders>
            <w:shd w:val="clear" w:color="auto" w:fill="CCEEFF"/>
          </w:tcPr>
          <w:p>
            <w:pPr>
              <w:jc w:val="center"/>
              <w:ind w:right="161"/>
              <w:spacing w:after="0" w:line="143" w:lineRule="exact"/>
              <w:rPr>
                <w:sz w:val="20"/>
                <w:szCs w:val="20"/>
                <w:color w:val="auto"/>
              </w:rPr>
            </w:pPr>
            <w:r>
              <w:rPr>
                <w:rFonts w:ascii="Times New Roman" w:cs="Times New Roman" w:eastAsia="Times New Roman" w:hAnsi="Times New Roman"/>
                <w:sz w:val="16"/>
                <w:szCs w:val="16"/>
                <w:color w:val="auto"/>
                <w:w w:val="98"/>
              </w:rPr>
              <w:t>Total amounts of income and expense line items</w:t>
            </w: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color w:val="auto"/>
              </w:rPr>
              <w:t>presented in the condensed consolidated</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color w:val="auto"/>
              </w:rPr>
              <w:t>statements of operations in which the effects of</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3,437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flow hedges are recorded</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jc w:val="center"/>
              <w:ind w:right="141"/>
              <w:spacing w:after="0" w:line="158" w:lineRule="exact"/>
              <w:rPr>
                <w:sz w:val="20"/>
                <w:szCs w:val="20"/>
                <w:color w:val="auto"/>
              </w:rPr>
            </w:pPr>
            <w:r>
              <w:rPr>
                <w:rFonts w:ascii="Times New Roman" w:cs="Times New Roman" w:eastAsia="Times New Roman" w:hAnsi="Times New Roman"/>
                <w:sz w:val="16"/>
                <w:szCs w:val="16"/>
                <w:i w:val="1"/>
                <w:iCs w:val="1"/>
                <w:color w:val="auto"/>
                <w:w w:val="98"/>
              </w:rPr>
              <w:t>Gain (loss)on cash flow hedging relationships in</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Subtopic ASC 815-20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jc w:val="center"/>
              <w:ind w:right="161"/>
              <w:spacing w:after="0" w:line="159" w:lineRule="exact"/>
              <w:rPr>
                <w:sz w:val="20"/>
                <w:szCs w:val="20"/>
                <w:color w:val="auto"/>
              </w:rPr>
            </w:pPr>
            <w:r>
              <w:rPr>
                <w:rFonts w:ascii="Times New Roman" w:cs="Times New Roman" w:eastAsia="Times New Roman" w:hAnsi="Times New Roman"/>
                <w:sz w:val="16"/>
                <w:szCs w:val="16"/>
                <w:color w:val="auto"/>
                <w:w w:val="98"/>
              </w:rPr>
              <w:t>Amount of gain (loss) reclassified from</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44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into income</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$48 million at October 31, 2023, and $951 million at January 31, 2023.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16. Commitments and Contingencies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42" w:lineRule="exact"/>
        <w:rPr>
          <w:sz w:val="20"/>
          <w:szCs w:val="20"/>
          <w:color w:val="auto"/>
        </w:rPr>
      </w:pPr>
    </w:p>
    <w:p>
      <w:pPr>
        <w:ind w:right="80" w:firstLine="43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Autodesk enters into various purchase commitments for goods or services. Effective April 1, 2023, Autodesk entered into a renewed agreement with a third-party cloud services provider. Under the agreement, Autodesk committed to spend an aggregate of $750 million through March 31, 2028 on cloud services.</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42"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2"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0" w:lineRule="exact"/>
        <w:rPr>
          <w:sz w:val="20"/>
          <w:szCs w:val="20"/>
          <w:color w:val="auto"/>
        </w:rPr>
      </w:pPr>
    </w:p>
    <w:p>
      <w:pPr>
        <w:ind w:right="80" w:firstLine="434"/>
        <w:spacing w:after="0" w:line="250" w:lineRule="auto"/>
        <w:rPr>
          <w:sz w:val="20"/>
          <w:szCs w:val="20"/>
          <w:color w:val="auto"/>
        </w:rPr>
      </w:pPr>
      <w:r>
        <w:rPr>
          <w:rFonts w:ascii="Times New Roman" w:cs="Times New Roman" w:eastAsia="Times New Roman" w:hAnsi="Times New Roman"/>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4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Autodesk is involved in a variety of claims, suits, investigations, inquiries,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17. Stockholders' Equity</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as of October 31, 2023,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1"/>
        </w:trPr>
        <w:tc>
          <w:tcPr>
            <w:tcW w:w="48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Total stockholders'</w:t>
            </w:r>
          </w:p>
        </w:tc>
      </w:tr>
      <w:tr>
        <w:trPr>
          <w:trHeight w:val="191"/>
        </w:trPr>
        <w:tc>
          <w:tcPr>
            <w:tcW w:w="480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6"/>
                <w:szCs w:val="16"/>
                <w:color w:val="auto"/>
              </w:rPr>
            </w:pPr>
          </w:p>
        </w:tc>
        <w:tc>
          <w:tcPr>
            <w:tcW w:w="10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2023</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0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2023</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6"/>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July 31, 2023</w:t>
            </w: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29"/>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October 31, 2023</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and nine months ended October 31, 2023, Autodesk repurchased 543 thousand and 4 million shares at an average repurchase price of $205.70 and</w:t>
      </w:r>
    </w:p>
    <w:p>
      <w:pPr>
        <w:spacing w:after="0" w:line="9" w:lineRule="exact"/>
        <w:rPr>
          <w:rFonts w:ascii="Times New Roman" w:cs="Times New Roman" w:eastAsia="Times New Roman" w:hAnsi="Times New Roman"/>
          <w:sz w:val="16"/>
          <w:szCs w:val="16"/>
          <w:color w:val="auto"/>
        </w:rPr>
      </w:pPr>
    </w:p>
    <w:p>
      <w:pPr>
        <w:ind w:left="400" w:right="24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$200.35 per share, respectively. At October 31, 2023, no shares remained available for repurchase under the September 2016 repurchase program. At October 31, 2023, $4.80 billion remained available for repurchase under the November 2022 repurchase program approved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as of October 31, 2022,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1"/>
        </w:trPr>
        <w:tc>
          <w:tcPr>
            <w:tcW w:w="48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7"/>
              </w:rPr>
              <w:t>Total stockholders'</w:t>
            </w:r>
          </w:p>
        </w:tc>
      </w:tr>
      <w:tr>
        <w:trPr>
          <w:trHeight w:val="191"/>
        </w:trPr>
        <w:tc>
          <w:tcPr>
            <w:tcW w:w="488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2022</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issued related to business combination</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02"/>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2022</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217</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0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July 31, 2022</w:t>
            </w: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216</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02"/>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October 31, 2022</w:t>
            </w:r>
          </w:p>
        </w:tc>
        <w:tc>
          <w:tcPr>
            <w:tcW w:w="7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216</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w:t>
            </w:r>
          </w:p>
        </w:tc>
      </w:tr>
      <w:tr>
        <w:trPr>
          <w:trHeight w:val="21"/>
        </w:trPr>
        <w:tc>
          <w:tcPr>
            <w:tcW w:w="4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20" w:hanging="395"/>
        <w:spacing w:after="0" w:line="255" w:lineRule="auto"/>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and nine months ended October 31, 2022, Autodesk repurchased 1 million and 4 million shares at an average repurchase price of $201.33 and $199.83 per share, respectively. At October 31, 2022, 4 million shares remained available for repurchase under the September 2016 repurchase program approved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18. Accumulated Other Comprehensive Loss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October 31, 2023:</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8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loss reclassified from accumulated other comprehensive loss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October 31,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October 31,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losses reclassified from accumulated other comprehensive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October 31,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Reclassifications related to gains and losses on available-for-sale debt securities are included in “Interest and other expense, net.” Refer to Note 15, “Derivative Instruments,” for the amount and location of reclassifications related to derivative instruments. Reclassifications of the defined benefit pension components of net periodic benefit cost are included in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19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 Income Per Share</w:t>
      </w:r>
    </w:p>
    <w:p>
      <w:pPr>
        <w:spacing w:after="0" w:line="244" w:lineRule="exact"/>
        <w:rPr>
          <w:sz w:val="20"/>
          <w:szCs w:val="20"/>
          <w:color w:val="auto"/>
        </w:rPr>
      </w:pPr>
    </w:p>
    <w:p>
      <w:pPr>
        <w:ind w:right="260" w:firstLine="434"/>
        <w:spacing w:after="0" w:line="252"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Diluted net income per share is computed using the weighted average number of shares of common stock outstanding for the period and potentially dilutive common shares, including the effect of restricted stock units, performance share awards, and stock options using the treasury stock method. The following table sets forth the computation of the numerators and denominators used in the basic and diluted net income per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4"/>
        </w:trPr>
        <w:tc>
          <w:tcPr>
            <w:tcW w:w="5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Denominator:</w:t>
            </w:r>
          </w:p>
        </w:tc>
        <w:tc>
          <w:tcPr>
            <w:tcW w:w="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basic net income per share—weighted average shares</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dilutive net income per share</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0.92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2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0.91</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20" w:firstLine="434"/>
        <w:spacing w:after="0" w:line="250" w:lineRule="auto"/>
        <w:rPr>
          <w:sz w:val="20"/>
          <w:szCs w:val="20"/>
          <w:color w:val="auto"/>
        </w:rPr>
      </w:pPr>
      <w:r>
        <w:rPr>
          <w:rFonts w:ascii="Times New Roman" w:cs="Times New Roman" w:eastAsia="Times New Roman" w:hAnsi="Times New Roman"/>
          <w:sz w:val="18"/>
          <w:szCs w:val="18"/>
          <w:color w:val="auto"/>
        </w:rPr>
        <w:t>The computation of diluted net income per share does not include shares that are anti-dilutive under the treasury stock method because their exercise prices are higher than the average market value of Autodesk’s stock during the periods. For the three and nine months ended October 31, 2023, there were 141 thousand and 388 thousand anti-dilutive shares excluded from the computation of diluted net income per share, respectively. For the three and nine months ended October 31, 2022, there were 921 thousand and 1,052 thousand anti-dilutive shares excluded from the computation of diluted net income per share,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 Segments</w:t>
      </w:r>
    </w:p>
    <w:p>
      <w:pPr>
        <w:spacing w:after="0" w:line="24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Autodesk operates in one operating segment and accordingly, all required financial segment information is included in the condensed consolidated financial statements. Operating segments are defined as components of an enterprise for which separate financial information is evaluated regularly by the chief operating decision makers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Autodesk’s long-lived assets by geographic area is as follows: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80" w:type="dxa"/>
            <w:vAlign w:val="bottom"/>
          </w:tcPr>
          <w:p>
            <w:pPr>
              <w:spacing w:after="0"/>
              <w:rPr>
                <w:sz w:val="16"/>
                <w:szCs w:val="16"/>
                <w:color w:val="auto"/>
              </w:rPr>
            </w:pPr>
          </w:p>
        </w:tc>
        <w:tc>
          <w:tcPr>
            <w:tcW w:w="14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0" w:type="dxa"/>
            <w:vAlign w:val="bottom"/>
          </w:tcPr>
          <w:p>
            <w:pPr>
              <w:spacing w:after="0"/>
              <w:rPr>
                <w:sz w:val="1"/>
                <w:szCs w:val="1"/>
                <w:color w:val="auto"/>
              </w:rPr>
            </w:pPr>
          </w:p>
        </w:tc>
      </w:tr>
      <w:tr>
        <w:trPr>
          <w:trHeight w:val="2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Long-lived assets (1):</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Americas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2"/>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long-lived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exclude deferred tax assets, marketable securities, goodwill, and intangible assets.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5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2" w:name="page33"/>
    <w:bookmarkEnd w:id="32"/>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40" w:lineRule="exact"/>
        <w:rPr>
          <w:sz w:val="20"/>
          <w:szCs w:val="20"/>
          <w:color w:val="auto"/>
        </w:rPr>
      </w:pPr>
    </w:p>
    <w:p>
      <w:pPr>
        <w:ind w:right="40" w:firstLine="17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The discussion in our MD&amp;A and elsewhere in this Quarterly Report on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and Nine Months Ended October 31, 2023,” and in </w:t>
      </w:r>
      <w:r>
        <w:rPr>
          <w:rFonts w:ascii="Times New Roman" w:cs="Times New Roman" w:eastAsia="Times New Roman" w:hAnsi="Times New Roman"/>
          <w:sz w:val="18"/>
          <w:szCs w:val="18"/>
          <w:i w:val="1"/>
          <w:iCs w:val="1"/>
          <w:color w:val="212529"/>
        </w:rPr>
        <w:t>“Results of Operations-Overview.”</w:t>
      </w:r>
      <w:r>
        <w:rPr>
          <w:rFonts w:ascii="Times New Roman" w:cs="Times New Roman" w:eastAsia="Times New Roman" w:hAnsi="Times New Roman"/>
          <w:sz w:val="18"/>
          <w:szCs w:val="18"/>
          <w:i w:val="1"/>
          <w:iCs w:val="1"/>
          <w:color w:val="auto"/>
        </w:rPr>
        <w:t xml:space="preserve"> Examples of such forward-looking statements may relate to items such as future net revenue, operating expenses, recurring revenue, net revenue retention rate, cash flow, remaining performance obligations, and other future financial results (by product type and geography); the transition to annual billings for multi-year contracts; the implementation of new transaction models; the effectiveness of our efforts to successfully manage transitions to new markets; our ability to increase our subscription base; expected market trends, including the growth of cloud and mobile computing; the availability of credit; the effect of unemployment; the effects of global economic conditions, including from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anticipated benefits of our products;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glossary of terms used in this Quarterly Report on Form 10-Q appears at the end of this Item 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2"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Autodesk is changing how the world is designed and made. Our technology spans architecture, engineering, construction, product design, manufacturing, media and entertainment, empowering innovators everywhere to solve challenges big and small. From greener buildings to smarter products to more mesmerizing blockbusters, Autodesk technology helps our customers to design and make a better world for all.</w:t>
      </w:r>
    </w:p>
    <w:p>
      <w:pPr>
        <w:spacing w:after="0" w:line="206" w:lineRule="exact"/>
        <w:rPr>
          <w:sz w:val="20"/>
          <w:szCs w:val="20"/>
          <w:color w:val="auto"/>
        </w:rPr>
      </w:pPr>
    </w:p>
    <w:p>
      <w:pPr>
        <w:jc w:val="both"/>
        <w:ind w:right="80" w:firstLine="395"/>
        <w:spacing w:after="0" w:line="256" w:lineRule="auto"/>
        <w:rPr>
          <w:sz w:val="20"/>
          <w:szCs w:val="20"/>
          <w:color w:val="auto"/>
        </w:rPr>
      </w:pPr>
      <w:r>
        <w:rPr>
          <w:rFonts w:ascii="Times New Roman" w:cs="Times New Roman" w:eastAsia="Times New Roman" w:hAnsi="Times New Roman"/>
          <w:sz w:val="18"/>
          <w:szCs w:val="18"/>
          <w:color w:val="auto"/>
        </w:rPr>
        <w:t>Our strategy is to build enduring customer relationships, delivering innovative technology that provides valuable automation and insight into their design and make processes. To drive the execution of our strategy, we are focused on three strategic priorities: deliver a world-class customer experience, catalyze our customers’ digital transformation, and establish an industry-leading platform for Design and Make.</w:t>
      </w:r>
    </w:p>
    <w:p>
      <w:pPr>
        <w:spacing w:after="0" w:line="206"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210"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Autodesk was founded during the platform transition from mainframe computers and engineering workstations to personal computers. We have developed and sustained a compelling value proposition based on software for the personal computer. Just as the transition from mainframes to personal computers transformed the hardware industry, the software industry has transitioned from developing and selling perpetual licenses and on-premises products to subscriptions and cloud-enabled technologies.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Evolution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3" w:name="page34"/>
    <w:bookmarkEnd w:id="33"/>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offer subscriptions for individual products and Industry Collections, enterprise business arrangements (“EBAs”), and cloud service offerings (collectively referred to as “subscription plans”). Subscription plans are designed to give our customers more flexibility with how they use our offerings and to attract a broader range of customers, such as project-based users and small businesses.</w:t>
      </w:r>
    </w:p>
    <w:p>
      <w:pPr>
        <w:spacing w:after="0" w:line="206"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Our subscription plans represent a hybrid of desktop software and cloud functionality, which provides a device-independent, collaborative design workflow for designers and their stakeholders. Our cloud offerings, for example, BIM 360, Autodesk Build, Fusion 360, ShotGrid,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212"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196"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color w:val="auto"/>
        </w:rPr>
        <w:t>To support our strategic priority of digital transformation in Architecture, Engineering, and Construction (“AEC”), we are strengthening our AEC solutions’ foundation with both organic and inorganic investments. In fiscal 2024, we launched the first set of capabilities in Autodesk Forma, an industry cloud that unifies workflows across the teams that design, build, and operate the built environment. Autodesk Forma’s initial capabilities enable the early-stage planning and design process with automation and AI-powered insights that simplify the exploration of design concepts, offload repetitive tasks, and help evaluate environmental qualities surrounding a building site. In fiscal 2023, we acquired a cloud-connected, extended reality (XR) platform enabling AEC professionals to present, collaborate and review projects in immersive and interactive experiences, from anywhere and at any time. This acquisition enables Autodesk to meet increasing needs for augmented reality (AR) and virtual reality (VR) technology advancements within the AEC industry and further support AEC customers throughout the project delivery lifecycle. In fiscal 2022, we acquired Storm UK Holdco Limited, the parent of Innovyze, Inc. (“Innovyze”), which provides water infrastructure software. Combining Innovyze’s hydraulic modeling, simulation, asset performance management and operational analytics solutions with Autodesk’s design and analysis solutions (including Autodesk Civil 3D, Autodesk InfraWorks, and the Autodesk Construction Cloud) enables us to deliver end-to-end, cloud-based solutions for our water infrastructure customers that drive efficiency and sustainability. Other acquisitions in fiscal 2022 include a cloud-based estimating solution that enables construction teams to create estimates, perform digital takeoffs, generate detailed reports and proposals and manage bid-day processes. Additionally, in fiscal 2022, we launched Autodesk Tandem, a cloud-based digital twin technology platform that extends digital project delivery by providing owner/operators with an easy to use, accurate, digital as-built model of a newly built or renovated facility. This accelerates operational readiness and extends the value of BIM downstream into the owner/operator segment.</w:t>
      </w:r>
    </w:p>
    <w:p>
      <w:pPr>
        <w:spacing w:after="0" w:line="212" w:lineRule="exact"/>
        <w:rPr>
          <w:sz w:val="20"/>
          <w:szCs w:val="20"/>
          <w:color w:val="auto"/>
        </w:rPr>
      </w:pPr>
    </w:p>
    <w:p>
      <w:pPr>
        <w:ind w:right="20" w:firstLine="395"/>
        <w:spacing w:after="0" w:line="234" w:lineRule="auto"/>
        <w:rPr>
          <w:sz w:val="20"/>
          <w:szCs w:val="20"/>
          <w:color w:val="auto"/>
        </w:rPr>
      </w:pPr>
      <w:r>
        <w:rPr>
          <w:rFonts w:ascii="Times New Roman" w:cs="Times New Roman" w:eastAsia="Times New Roman" w:hAnsi="Times New Roman"/>
          <w:sz w:val="18"/>
          <w:szCs w:val="18"/>
          <w:color w:val="auto"/>
        </w:rPr>
        <w:t>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360 that converges the design process with manufacturing. In fiscal 2023, we acquired a maker of software for optimizing manufacturing processes with automation and digitization from the shop floor upward that provides a real-time system of record for data collection, management, and analysis. In fiscal 2022, we acquired Upchain, an instant-on, cloud-based data management technology that allows product design and manufacturing customers to collaborate in the cloud across their value chains and bring products to market faster.</w:t>
      </w:r>
    </w:p>
    <w:p>
      <w:pPr>
        <w:spacing w:after="0" w:line="223"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Global Reach</w:t>
      </w:r>
    </w:p>
    <w:p>
      <w:pPr>
        <w:spacing w:after="0" w:line="229" w:lineRule="exact"/>
        <w:rPr>
          <w:sz w:val="20"/>
          <w:szCs w:val="20"/>
          <w:color w:val="auto"/>
        </w:rPr>
      </w:pPr>
    </w:p>
    <w:p>
      <w:pPr>
        <w:ind w:firstLine="395"/>
        <w:spacing w:after="0" w:line="230" w:lineRule="auto"/>
        <w:rPr>
          <w:sz w:val="20"/>
          <w:szCs w:val="20"/>
          <w:color w:val="auto"/>
        </w:rPr>
      </w:pPr>
      <w:r>
        <w:rPr>
          <w:rFonts w:ascii="Times New Roman" w:cs="Times New Roman" w:eastAsia="Times New Roman" w:hAnsi="Times New Roman"/>
          <w:sz w:val="18"/>
          <w:szCs w:val="18"/>
          <w:color w:val="auto"/>
        </w:rPr>
        <w:t>We sell our products and services globally, through a combination of indirect and direct channels. Our direct channels include internal sales resources focused on selling in our largest accounts, our highly specialized solutions, and business transacted through our online Autodesk branded store. Our indirect channels primarily include value-added resellers, direct market resellers, distributors, and other software developers. We have entered into transition agreements with certain of our distributors, including TD Synnex and Ingram Micro, to provide transition distribution activities for a one-to-two-year period, with potential extensions. In connection with the transition agreements, Autodesk intends to increase its selling efforts with value-added resellers and agents. We introduced a new transaction model for our token-based Flex offering in North America, and certain countries in EMEA, and APAC, and for most of our subscription offerings in Australia during fiscal 2024. In this new transaction model, channel partners provide a quote to customers but the actual transaction occurs directly between Autodesk and the customer. Dependent upon successful implementation in Australia, we intend to transition our indirect business to the new transaction model in our major markets globally in fiscal 2025 and fiscal 2026. In the near term, we expect the change in recognition of sales incentives to indirect channels from contra revenue to operating costs under the new transaction model to positively impact revenue growth, while being broadly neutral to operating profit and free cash flow dollars, and to result in a negative impact to operating margin. See Part I, Item 1, “Financial Statements,” Note 3, “Revenue Recognition” in the Notes to the Condensed Consolidated Financial Statements for further detail on the results of our indirect and direct channel sales for the three and nine months ended October 31, 2023 and 2022.</w:t>
      </w:r>
    </w:p>
    <w:p>
      <w:pPr>
        <w:spacing w:after="0" w:line="211" w:lineRule="exact"/>
        <w:rPr>
          <w:sz w:val="20"/>
          <w:szCs w:val="20"/>
          <w:color w:val="auto"/>
        </w:rPr>
      </w:pPr>
    </w:p>
    <w:p>
      <w:pPr>
        <w:ind w:firstLine="632"/>
        <w:spacing w:after="0" w:line="271" w:lineRule="auto"/>
        <w:rPr>
          <w:sz w:val="20"/>
          <w:szCs w:val="20"/>
          <w:color w:val="auto"/>
        </w:rPr>
      </w:pPr>
      <w:r>
        <w:rPr>
          <w:rFonts w:ascii="Times New Roman" w:cs="Times New Roman" w:eastAsia="Times New Roman" w:hAnsi="Times New Roman"/>
          <w:sz w:val="16"/>
          <w:szCs w:val="16"/>
          <w:color w:val="auto"/>
        </w:rPr>
        <w:t>We anticipate that our channel mix will continue to change as we scale our business. With the continued growth of our online Autodesk branded store, and the transition to annual billings for multi-year contracts and our new token-based Flex model, we are expanding our transactions with value-added resellers and transacting directly with more end customers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direct and indirect channels with our business strategies.</w:t>
      </w:r>
    </w:p>
    <w:p>
      <w:pPr>
        <w:spacing w:after="0" w:line="198"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w:t>
      </w:r>
    </w:p>
    <w:p>
      <w:pPr>
        <w:spacing w:after="0" w:line="212"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In addition to the competitive advantages afforded by our technology, our large global network of distributors, resellers, third-party developers, customers, educators, educational institutions, learning partners, and students is a key competitive advantage that has been cultivated over an extensive period. This network of partners and relationships provides us with a broad and deep reach into volume markets worldwide.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to a variety of specialized applications.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at Autodesk</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Autodesk is committed to advancing a more sustainable, resilient, and equitable world. We don’t believe in waiting for progress, we believe in making it.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take action as a business and support our employees, customers, and communities in our collective opportunity to design and make a better world for all.</w:t>
      </w:r>
    </w:p>
    <w:p>
      <w:pPr>
        <w:spacing w:after="0" w:line="246" w:lineRule="exact"/>
        <w:rPr>
          <w:sz w:val="20"/>
          <w:szCs w:val="20"/>
          <w:color w:val="auto"/>
        </w:rPr>
      </w:pPr>
    </w:p>
    <w:p>
      <w:pPr>
        <w:ind w:right="40" w:firstLine="395"/>
        <w:spacing w:after="0" w:line="303" w:lineRule="auto"/>
        <w:rPr>
          <w:sz w:val="20"/>
          <w:szCs w:val="20"/>
          <w:color w:val="auto"/>
        </w:rPr>
      </w:pPr>
      <w:r>
        <w:rPr>
          <w:rFonts w:ascii="Times New Roman" w:cs="Times New Roman" w:eastAsia="Times New Roman" w:hAnsi="Times New Roman"/>
          <w:sz w:val="16"/>
          <w:szCs w:val="16"/>
          <w:color w:val="auto"/>
        </w:rPr>
        <w:t>We focus our efforts to advance positive outcomes across three primary areas: energy and materials, health and resilience, and work and prosperity. These impact opportunity areas are derived from the UN Sustainable Development Goals (“SDGs”) and have been focused through a multi-pronged process to align the top needs of our stakeholders, the important issues of our business, and the areas we are best placed to accelerate positive impact at scale.</w:t>
      </w:r>
    </w:p>
    <w:p>
      <w:pPr>
        <w:spacing w:after="0" w:line="17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These opportunities manifest as outcomes through how our customers leverage our technology to design and make net-zero carbon buildings, resilient infrastructure, more sustainable products, and a thriving workforce. We realize these opportunities through powering our business with 100% renewable energy, neutralizing greenhouse gas emissions and developing an inclusive culture. We advance these opportunities with industry innovators through collaboration, philanthropic capital, software donations, and training.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5" w:name="page36"/>
    <w:bookmarkEnd w:id="35"/>
    <w:p>
      <w:pPr>
        <w:ind w:right="240" w:firstLine="395"/>
        <w:spacing w:after="0" w:line="250" w:lineRule="auto"/>
        <w:rPr>
          <w:sz w:val="20"/>
          <w:szCs w:val="20"/>
          <w:color w:val="auto"/>
        </w:rPr>
      </w:pPr>
      <w:r>
        <w:rPr>
          <w:rFonts w:ascii="Times New Roman" w:cs="Times New Roman" w:eastAsia="Times New Roman" w:hAnsi="Times New Roman"/>
          <w:sz w:val="18"/>
          <w:szCs w:val="18"/>
          <w:color w:val="auto"/>
        </w:rPr>
        <w:t>The Autodesk Foundation (the “Foundation”), a privately funded 501(c)(3) charity organization established and solely funded by us, leads our philanthropic efforts. The purpose of the Foundation is twofold: to support employees to make a better world by matching employees’ volunteer time and/or donations to nonprofit organizations; and to support organizations using design to drive positive social and environmental impact.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212" w:lineRule="exact"/>
        <w:rPr>
          <w:sz w:val="20"/>
          <w:szCs w:val="20"/>
          <w:color w:val="auto"/>
        </w:rPr>
      </w:pPr>
    </w:p>
    <w:p>
      <w:pPr>
        <w:ind w:right="1060" w:firstLine="395"/>
        <w:spacing w:after="0" w:line="332" w:lineRule="auto"/>
        <w:rPr>
          <w:sz w:val="20"/>
          <w:szCs w:val="20"/>
          <w:color w:val="auto"/>
        </w:rPr>
      </w:pPr>
      <w:r>
        <w:rPr>
          <w:rFonts w:ascii="Times New Roman" w:cs="Times New Roman" w:eastAsia="Times New Roman" w:hAnsi="Times New Roman"/>
          <w:sz w:val="16"/>
          <w:szCs w:val="16"/>
          <w:color w:val="auto"/>
        </w:rPr>
        <w:t>Additional information about our environmental, social, and governance program is available in our annual impact report on our website at www.autodesk.com. Information contained on or accessible through our website is not part of or incorporated by reference into this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Behind Our Strategy</w:t>
      </w:r>
    </w:p>
    <w:p>
      <w:pPr>
        <w:spacing w:after="0" w:line="242" w:lineRule="exact"/>
        <w:rPr>
          <w:sz w:val="20"/>
          <w:szCs w:val="20"/>
          <w:color w:val="auto"/>
        </w:rPr>
      </w:pPr>
    </w:p>
    <w:p>
      <w:pPr>
        <w:ind w:right="160" w:firstLine="434"/>
        <w:spacing w:after="0" w:line="250" w:lineRule="auto"/>
        <w:rPr>
          <w:sz w:val="20"/>
          <w:szCs w:val="20"/>
          <w:color w:val="auto"/>
        </w:rPr>
      </w:pPr>
      <w:r>
        <w:rPr>
          <w:rFonts w:ascii="Times New Roman" w:cs="Times New Roman" w:eastAsia="Times New Roman" w:hAnsi="Times New Roman"/>
          <w:sz w:val="18"/>
          <w:szCs w:val="18"/>
          <w:color w:val="auto"/>
        </w:rPr>
        <w:t>Our strategy depends upon many assumptions, including: making our technology available to mainstream markets; leveraging our large global network of distributors, resellers, agents,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Item 8, “Financial Statements and Supplementary Data,” Note 1, “Business and Summary of Significant Accounting Policies,” in the Notes to Consolidated Financial Statements in our Annual Report on Form 10-K for the fiscal year ended January 31, 2023.</w:t>
      </w:r>
    </w:p>
    <w:p>
      <w:pPr>
        <w:spacing w:after="0" w:line="213"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Annual Report on Form 10-K. There have been no material changes to our critical accounting policies and estimates during the three and nine months ended October 31, 2023, as compared to those disclosed in our Annual Report on Form 10-K for the fiscal year ended January 31, 2023. We believe these policies are the most critical to aid in fully understanding and evaluating our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Three and Nine Months Ended October 31, 2023</w:t>
      </w:r>
    </w:p>
    <w:p>
      <w:pPr>
        <w:spacing w:after="0" w:line="190" w:lineRule="exact"/>
        <w:rPr>
          <w:sz w:val="20"/>
          <w:szCs w:val="20"/>
          <w:color w:val="auto"/>
        </w:rPr>
      </w:pPr>
    </w:p>
    <w:p>
      <w:pPr>
        <w:ind w:left="640" w:right="28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increased 10% and 9% during the three and nine months ended October 31, 2023, to $1.41 billion and $4.03 billion, respectively, compared to the same periods in the prior fiscal year.</w:t>
      </w:r>
    </w:p>
    <w:p>
      <w:pPr>
        <w:spacing w:after="0" w:line="1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as a percentage of net revenue was 98% for both the three and nine months ended October 31, 2023, and remained flat as compared to both periods in the prior fiscal year.</w:t>
      </w:r>
    </w:p>
    <w:p>
      <w:pPr>
        <w:spacing w:after="0" w:line="11" w:lineRule="exact"/>
        <w:rPr>
          <w:rFonts w:ascii="Times New Roman" w:cs="Times New Roman" w:eastAsia="Times New Roman" w:hAnsi="Times New Roman"/>
          <w:sz w:val="18"/>
          <w:szCs w:val="18"/>
          <w:color w:val="auto"/>
        </w:rPr>
      </w:pPr>
    </w:p>
    <w:p>
      <w:pPr>
        <w:ind w:left="640" w:right="20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retention rate (“NR3”) was within the range of 100% and 110%, on a constant currency basis, for both the three and nine months ended October 31, 2023 and 2022.</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$4.02 billion, a decrease of 12% compared to the fourth quarter in the prior fiscal year.</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performance obligations (short-term and long-term deferred revenue plus unbilled deferred revenue) (“RPO”) was $5.24 billion, a decrease of 7% compared to the fourth quarter in the prior fiscal year.</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remaining performance obligations was $3.52 billion, flat compared to the fourth quarter in the prior fiscal year.</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36" w:name="page37"/>
    <w:bookmarkEnd w:id="36"/>
    <w:p>
      <w:pPr>
        <w:ind w:left="240"/>
        <w:spacing w:after="0"/>
        <w:rPr>
          <w:sz w:val="20"/>
          <w:szCs w:val="20"/>
          <w:color w:val="auto"/>
        </w:rPr>
      </w:pPr>
      <w:r>
        <w:rPr>
          <w:rFonts w:ascii="Times New Roman" w:cs="Times New Roman" w:eastAsia="Times New Roman" w:hAnsi="Times New Roman"/>
          <w:sz w:val="18"/>
          <w:szCs w:val="18"/>
          <w:i w:val="1"/>
          <w:iCs w:val="1"/>
          <w:color w:val="auto"/>
        </w:rPr>
        <w:t>Revenue Analysis</w:t>
      </w:r>
    </w:p>
    <w:p>
      <w:pPr>
        <w:spacing w:after="0" w:line="229" w:lineRule="exact"/>
        <w:rPr>
          <w:sz w:val="20"/>
          <w:szCs w:val="20"/>
          <w:color w:val="auto"/>
        </w:rPr>
      </w:pPr>
    </w:p>
    <w:p>
      <w:pPr>
        <w:ind w:right="260" w:firstLine="395"/>
        <w:spacing w:after="0" w:line="241" w:lineRule="auto"/>
        <w:rPr>
          <w:sz w:val="20"/>
          <w:szCs w:val="20"/>
          <w:color w:val="auto"/>
        </w:rPr>
      </w:pPr>
      <w:r>
        <w:rPr>
          <w:rFonts w:ascii="Times New Roman" w:cs="Times New Roman" w:eastAsia="Times New Roman" w:hAnsi="Times New Roman"/>
          <w:sz w:val="18"/>
          <w:szCs w:val="18"/>
          <w:color w:val="auto"/>
        </w:rPr>
        <w:t>Net revenue increased 10% and 9% during the three and nine months ended October 31, 2023, as compared to the same periods in the prior fiscal year, primarily due to an 11% and 10% increase in subscription revenue, respectively, partially offset by a 25% and 22% decrease in maintenance revenue, respectively.</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further discussion of the drivers of these results, see below under the heading “Results of Operations.”</w:t>
      </w:r>
    </w:p>
    <w:p>
      <w:pPr>
        <w:spacing w:after="0" w:line="240" w:lineRule="exact"/>
        <w:rPr>
          <w:sz w:val="20"/>
          <w:szCs w:val="20"/>
          <w:color w:val="auto"/>
        </w:rPr>
      </w:pPr>
    </w:p>
    <w:p>
      <w:pPr>
        <w:ind w:right="60" w:firstLine="395"/>
        <w:spacing w:after="0" w:line="277" w:lineRule="auto"/>
        <w:rPr>
          <w:sz w:val="20"/>
          <w:szCs w:val="20"/>
          <w:color w:val="auto"/>
        </w:rPr>
      </w:pPr>
      <w:r>
        <w:rPr>
          <w:rFonts w:ascii="Times New Roman" w:cs="Times New Roman" w:eastAsia="Times New Roman" w:hAnsi="Times New Roman"/>
          <w:sz w:val="16"/>
          <w:szCs w:val="16"/>
          <w:color w:val="auto"/>
        </w:rPr>
        <w:t>We rely significantly upon major distributors and resellers in both the U.S. and international regions, including TD Synnex Corporation and its global affiliates (collectively, “TD Synnex”) and Ingram Micro Inc. (“Ingram Micro”). Total sales to TD Synnex accounted for 39% and 40% of our total net revenue for the three and nine months ended October 31, 2023, respectively. Total sales to TD Synnex accounted for 37% of our total net revenue for both the three and nine months ended October 31, 2022. Ingram Micro accounted for 7% and 8% of Autodesk's total net revenue during the three and nine months ended October 31, 2023, respectively. During both the three and nine months ended October 31, 2022, total sales to Ingram Micro accounted for 9% of Autodesk’s total net revenue. Our customers through TD Synnex and Ingram Micro are the resellers and end users who purchase our software subscriptions and services. We entered into transition agreements with certain of our distributors, including TD Synnex and Ingram Micro, to provide transition distribution activities for a one-to-two-year period, with potential extensions. In connection with the transition agreements, we intend to increase our selling efforts with value-added resellers and agents. Consequently, we believe our business is not substantially dependent on TD Synnex or Ingram Micro.</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Recurring Revenue and Net Revenue Retention Rate</w:t>
      </w:r>
    </w:p>
    <w:p>
      <w:pPr>
        <w:spacing w:after="0" w:line="22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outlines our recurring revenue metric for the three and nine months ended October 31, 2023 and 2022:</w:t>
      </w:r>
    </w:p>
    <w:p>
      <w:pPr>
        <w:spacing w:after="0" w:line="142"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Change compared to</w:t>
      </w:r>
    </w:p>
    <w:p>
      <w:pPr>
        <w:jc w:val="center"/>
        <w:ind w:left="5300"/>
        <w:spacing w:after="0" w:line="238" w:lineRule="auto"/>
        <w:rPr>
          <w:sz w:val="20"/>
          <w:szCs w:val="20"/>
          <w:color w:val="auto"/>
        </w:rPr>
      </w:pPr>
      <w:r>
        <w:rPr>
          <w:rFonts w:ascii="Times New Roman" w:cs="Times New Roman" w:eastAsia="Times New Roman" w:hAnsi="Times New Roman"/>
          <w:sz w:val="14"/>
          <w:szCs w:val="14"/>
          <w:b w:val="1"/>
          <w:bCs w:val="1"/>
          <w:color w:val="auto"/>
        </w:rPr>
        <w:t>prior fiscal year</w:t>
      </w:r>
    </w:p>
    <w:tbl>
      <w:tblPr>
        <w:tblLayout w:type="fixed"/>
        <w:tblInd w:w="60" w:type="dxa"/>
        <w:tblCellMar>
          <w:top w:w="0" w:type="dxa"/>
          <w:left w:w="0" w:type="dxa"/>
          <w:bottom w:w="0" w:type="dxa"/>
          <w:right w:w="0" w:type="dxa"/>
        </w:tblCellMar>
      </w:tblPr>
      <w:tr>
        <w:trPr>
          <w:trHeight w:val="10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 data)</w:t>
            </w:r>
          </w:p>
        </w:tc>
        <w:tc>
          <w:tcPr>
            <w:tcW w:w="3120" w:type="dxa"/>
            <w:vAlign w:val="bottom"/>
          </w:tcPr>
          <w:p>
            <w:pPr>
              <w:jc w:val="center"/>
              <w:ind w:left="1395"/>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1300" w:type="dxa"/>
            <w:vAlign w:val="bottom"/>
            <w:tcBorders>
              <w:top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top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center"/>
              <w:ind w:left="95"/>
              <w:spacing w:after="0" w:line="107"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85"/>
        </w:trPr>
        <w:tc>
          <w:tcPr>
            <w:tcW w:w="3700" w:type="dxa"/>
            <w:vAlign w:val="bottom"/>
            <w:vMerge w:val="continue"/>
          </w:tcPr>
          <w:p>
            <w:pPr>
              <w:spacing w:after="0"/>
              <w:rPr>
                <w:sz w:val="16"/>
                <w:szCs w:val="16"/>
                <w:color w:val="auto"/>
              </w:rPr>
            </w:pPr>
          </w:p>
        </w:tc>
        <w:tc>
          <w:tcPr>
            <w:tcW w:w="3120" w:type="dxa"/>
            <w:vAlign w:val="bottom"/>
          </w:tcPr>
          <w:p>
            <w:pPr>
              <w:jc w:val="center"/>
              <w:ind w:left="1395"/>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3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44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8"/>
              </w:rPr>
              <w:t>October 31, 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1,255</w:t>
            </w: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427"/>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91"/>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3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October 31, 2022</w:t>
            </w:r>
          </w:p>
        </w:tc>
      </w:tr>
      <w:tr>
        <w:trPr>
          <w:trHeight w:val="209"/>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3,939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3,616</w:t>
            </w: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r>
    </w:tbl>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140" w:hanging="395"/>
        <w:spacing w:after="0" w:line="252" w:lineRule="auto"/>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214"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NR3 was within the range of 100% and 110%, on a constant currency basis, for both the three and nine months ended October 31, 2023 and 2022.</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Analysis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a significant amount of our revenue in the United States, Japan, Germany, the United Kingdom and Finland.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color w:val="auto"/>
        </w:rPr>
        <w:t>The following table shows the impact of foreign exchange rate changes on our net revenue and total spend:</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50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October 31, 2023</w:t>
            </w:r>
          </w:p>
        </w:tc>
        <w:tc>
          <w:tcPr>
            <w:tcW w:w="4620" w:type="dxa"/>
            <w:vAlign w:val="bottom"/>
            <w:gridSpan w:val="5"/>
          </w:tcPr>
          <w:p>
            <w:pPr>
              <w:jc w:val="center"/>
              <w:ind w:left="227"/>
              <w:spacing w:after="0"/>
              <w:rPr>
                <w:sz w:val="20"/>
                <w:szCs w:val="20"/>
                <w:color w:val="auto"/>
              </w:rPr>
            </w:pPr>
            <w:r>
              <w:rPr>
                <w:rFonts w:ascii="Times New Roman" w:cs="Times New Roman" w:eastAsia="Times New Roman" w:hAnsi="Times New Roman"/>
                <w:sz w:val="14"/>
                <w:szCs w:val="14"/>
                <w:b w:val="1"/>
                <w:bCs w:val="1"/>
                <w:color w:val="auto"/>
                <w:w w:val="99"/>
              </w:rPr>
              <w:t>Nine Months Ended October 31, 2023</w:t>
            </w:r>
          </w:p>
        </w:tc>
        <w:tc>
          <w:tcPr>
            <w:tcW w:w="0" w:type="dxa"/>
            <w:vAlign w:val="bottom"/>
          </w:tcPr>
          <w:p>
            <w:pPr>
              <w:spacing w:after="0"/>
              <w:rPr>
                <w:sz w:val="1"/>
                <w:szCs w:val="1"/>
                <w:color w:val="auto"/>
              </w:rPr>
            </w:pPr>
          </w:p>
        </w:tc>
      </w:tr>
      <w:tr>
        <w:trPr>
          <w:trHeight w:val="24"/>
        </w:trPr>
        <w:tc>
          <w:tcPr>
            <w:tcW w:w="1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6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Constant Currency</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Positive/Negative/Neutral</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Positive/Negative/Ne</w:t>
            </w:r>
          </w:p>
        </w:tc>
        <w:tc>
          <w:tcPr>
            <w:tcW w:w="0" w:type="dxa"/>
            <w:vAlign w:val="bottom"/>
          </w:tcPr>
          <w:p>
            <w:pPr>
              <w:spacing w:after="0"/>
              <w:rPr>
                <w:sz w:val="1"/>
                <w:szCs w:val="1"/>
                <w:color w:val="auto"/>
              </w:rPr>
            </w:pPr>
          </w:p>
        </w:tc>
      </w:tr>
      <w:tr>
        <w:trPr>
          <w:trHeight w:val="143"/>
        </w:trPr>
        <w:tc>
          <w:tcPr>
            <w:tcW w:w="13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6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percent</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16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6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impact from foreign</w:t>
            </w:r>
          </w:p>
        </w:tc>
        <w:tc>
          <w:tcPr>
            <w:tcW w:w="16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2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impact from forei</w:t>
            </w: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prior fiscal year (1)</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exchange rate changes</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prior fiscal year (1)</w:t>
            </w:r>
          </w:p>
        </w:tc>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exchange rate chan</w:t>
            </w:r>
          </w:p>
        </w:tc>
        <w:tc>
          <w:tcPr>
            <w:tcW w:w="0" w:type="dxa"/>
            <w:vAlign w:val="bottom"/>
          </w:tcPr>
          <w:p>
            <w:pPr>
              <w:spacing w:after="0"/>
              <w:rPr>
                <w:sz w:val="1"/>
                <w:szCs w:val="1"/>
                <w:color w:val="auto"/>
              </w:rPr>
            </w:pPr>
          </w:p>
        </w:tc>
      </w:tr>
      <w:tr>
        <w:trPr>
          <w:trHeight w:val="210"/>
        </w:trPr>
        <w:tc>
          <w:tcPr>
            <w:tcW w:w="1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Negative</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206"/>
              <w:spacing w:after="0"/>
              <w:rPr>
                <w:sz w:val="20"/>
                <w:szCs w:val="20"/>
                <w:color w:val="auto"/>
              </w:rPr>
            </w:pPr>
            <w:r>
              <w:rPr>
                <w:rFonts w:ascii="Times New Roman" w:cs="Times New Roman" w:eastAsia="Times New Roman" w:hAnsi="Times New Roman"/>
                <w:sz w:val="16"/>
                <w:szCs w:val="16"/>
                <w:color w:val="auto"/>
              </w:rPr>
              <w:t>Negative</w:t>
            </w:r>
          </w:p>
        </w:tc>
        <w:tc>
          <w:tcPr>
            <w:tcW w:w="0" w:type="dxa"/>
            <w:vAlign w:val="bottom"/>
          </w:tcPr>
          <w:p>
            <w:pPr>
              <w:spacing w:after="0"/>
              <w:rPr>
                <w:sz w:val="1"/>
                <w:szCs w:val="1"/>
                <w:color w:val="auto"/>
              </w:rPr>
            </w:pPr>
          </w:p>
        </w:tc>
      </w:tr>
      <w:tr>
        <w:trPr>
          <w:trHeight w:val="207"/>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spend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Positive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7"/>
                <w:szCs w:val="17"/>
                <w:color w:val="auto"/>
              </w:rPr>
            </w:pPr>
          </w:p>
        </w:tc>
        <w:tc>
          <w:tcPr>
            <w:tcW w:w="1260" w:type="dxa"/>
            <w:vAlign w:val="bottom"/>
          </w:tcPr>
          <w:p>
            <w:pPr>
              <w:jc w:val="center"/>
              <w:ind w:left="206"/>
              <w:spacing w:after="0"/>
              <w:rPr>
                <w:sz w:val="20"/>
                <w:szCs w:val="20"/>
                <w:color w:val="auto"/>
              </w:rPr>
            </w:pPr>
            <w:r>
              <w:rPr>
                <w:rFonts w:ascii="Times New Roman" w:cs="Times New Roman" w:eastAsia="Times New Roman" w:hAnsi="Times New Roman"/>
                <w:sz w:val="16"/>
                <w:szCs w:val="16"/>
                <w:color w:val="auto"/>
                <w:w w:val="96"/>
              </w:rPr>
              <w:t>Positive</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refer to the Glossary of Terms for the definitions of our constant currency growth rates.</w:t>
      </w:r>
    </w:p>
    <w:p>
      <w:pPr>
        <w:spacing w:after="0" w:line="219"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42"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Part I, Item 1, “Financial Statements,” Note 3, “Revenue Recognition,” for more details on Autodesk's performance obligations.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40" w:type="dxa"/>
            <w:vAlign w:val="bottom"/>
          </w:tcPr>
          <w:p>
            <w:pPr>
              <w:spacing w:after="0"/>
              <w:rPr>
                <w:sz w:val="16"/>
                <w:szCs w:val="16"/>
                <w:color w:val="auto"/>
              </w:rPr>
            </w:pPr>
          </w:p>
        </w:tc>
        <w:tc>
          <w:tcPr>
            <w:tcW w:w="13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January 31, 2023</w:t>
            </w:r>
          </w:p>
        </w:tc>
      </w:tr>
      <w:tr>
        <w:trPr>
          <w:trHeight w:val="24"/>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w:t>
            </w:r>
          </w:p>
        </w:tc>
      </w:tr>
      <w:tr>
        <w:trPr>
          <w:trHeight w:val="209"/>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Unbilled deferred revenue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31"/>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RPO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RPO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60" w:type="dxa"/>
            <w:vAlign w:val="bottom"/>
          </w:tcPr>
          <w:p>
            <w:pPr>
              <w:spacing w:after="0"/>
              <w:rPr>
                <w:sz w:val="16"/>
                <w:szCs w:val="16"/>
                <w:color w:val="auto"/>
              </w:rPr>
            </w:pP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January 31, 2023</w:t>
            </w:r>
          </w:p>
        </w:tc>
      </w:tr>
      <w:tr>
        <w:trPr>
          <w:trHeight w:val="24"/>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RPO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w:t>
            </w:r>
          </w:p>
        </w:tc>
      </w:tr>
      <w:tr>
        <w:trPr>
          <w:trHeight w:val="20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Non-current RPO</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w:t>
            </w:r>
          </w:p>
        </w:tc>
      </w:tr>
      <w:tr>
        <w:trPr>
          <w:trHeight w:val="231"/>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RPO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340" w:firstLine="395"/>
        <w:spacing w:after="0" w:line="248" w:lineRule="auto"/>
        <w:rPr>
          <w:sz w:val="20"/>
          <w:szCs w:val="20"/>
          <w:color w:val="auto"/>
        </w:rPr>
      </w:pPr>
      <w:r>
        <w:rPr>
          <w:rFonts w:ascii="Times New Roman" w:cs="Times New Roman" w:eastAsia="Times New Roman" w:hAnsi="Times New Roman"/>
          <w:sz w:val="18"/>
          <w:szCs w:val="18"/>
          <w:color w:val="auto"/>
        </w:rPr>
        <w:t>We expect that the amount of RPO will change from quarter to quarter for several reasons, including the specific timing, duration, and size of customer subscription and support agreements, the specific timing of customer renewals, and foreign currency fluctuations. Historically, we have had increased EBA sales activity in our fourth fiscal quarter and this seasonality may affect the relative value of our billings, RPO, and collections in the fourth and first fiscal quarters. As customers transition from multi-year subscription contracts billed upfront to annual billing installments, some customers may choose annual contracts instead. If this were to occur, we would expect it to proportionately reduce the unbilled portion of our total remaining performance obligations and would expect it to impact total RPO growth rates negatively. Deferred revenue, billings, current RPO, revenue, Non-GAAP operating margin, and free cash flow would remain broadly unchanged in this scenario.</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Balance Sheet and Cash Flow Items</w:t>
      </w:r>
    </w:p>
    <w:p>
      <w:pPr>
        <w:spacing w:after="0" w:line="242" w:lineRule="exact"/>
        <w:rPr>
          <w:sz w:val="20"/>
          <w:szCs w:val="20"/>
          <w:color w:val="auto"/>
        </w:rPr>
      </w:pPr>
    </w:p>
    <w:p>
      <w:pPr>
        <w:ind w:right="220" w:firstLine="395"/>
        <w:spacing w:after="0" w:line="250" w:lineRule="auto"/>
        <w:rPr>
          <w:sz w:val="20"/>
          <w:szCs w:val="20"/>
          <w:color w:val="auto"/>
        </w:rPr>
      </w:pPr>
      <w:r>
        <w:rPr>
          <w:rFonts w:ascii="Times New Roman" w:cs="Times New Roman" w:eastAsia="Times New Roman" w:hAnsi="Times New Roman"/>
          <w:sz w:val="18"/>
          <w:szCs w:val="18"/>
          <w:color w:val="auto"/>
        </w:rPr>
        <w:t>At October 31, 2023, we had $2.17 billion in cash, cash equivalents, and marketable securities. Our cash flow from operations decreased to $876 million for the nine months ended October 31, 2023, compared to $1.16 billion for the nine months ended October 31, 2022. We repurchased 3.6 million shares of our common stock for $733 million during the nine months ended October 31, 2023. Comparatively, we repurchased 4.4 million shares of our common stock for $873 million during the nine months ended October 31, 2022. See further discussion regarding the balance sheet and cash flow activities under the heading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71"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29" w:lineRule="exact"/>
        <w:rPr>
          <w:sz w:val="20"/>
          <w:szCs w:val="20"/>
          <w:color w:val="auto"/>
        </w:rPr>
      </w:pPr>
    </w:p>
    <w:p>
      <w:pPr>
        <w:ind w:right="20" w:firstLine="395"/>
        <w:spacing w:after="0" w:line="234" w:lineRule="auto"/>
        <w:rPr>
          <w:sz w:val="20"/>
          <w:szCs w:val="20"/>
          <w:color w:val="auto"/>
        </w:rPr>
      </w:pPr>
      <w:r>
        <w:rPr>
          <w:rFonts w:ascii="Times New Roman" w:cs="Times New Roman" w:eastAsia="Times New Roman" w:hAnsi="Times New Roman"/>
          <w:sz w:val="18"/>
          <w:szCs w:val="18"/>
          <w:color w:val="auto"/>
        </w:rPr>
        <w:t>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the war in Ukraine, and foreign exchange rate fluctuations, may impact our outlook. We also expect our transition to annual billings for multi-year contracts to impact the timing of our billings and cash collections. The extent of the impact of these risks on our business in the remainder of fiscal 2024 and beyond will depend on several factors, some of which are out of our control. Further discussion of the potential impacts of these risks on our business can be found in Part II, Item 1A,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w:t>
      </w: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Income Statement Presentation</w:t>
      </w:r>
    </w:p>
    <w:p>
      <w:pPr>
        <w:spacing w:after="0" w:line="242"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206" w:lineRule="exact"/>
        <w:rPr>
          <w:sz w:val="20"/>
          <w:szCs w:val="20"/>
          <w:color w:val="auto"/>
        </w:rPr>
      </w:pPr>
    </w:p>
    <w:p>
      <w:pPr>
        <w:jc w:val="both"/>
        <w:ind w:right="120" w:firstLine="434"/>
        <w:spacing w:after="0" w:line="256" w:lineRule="auto"/>
        <w:rPr>
          <w:sz w:val="20"/>
          <w:szCs w:val="20"/>
          <w:color w:val="auto"/>
        </w:rPr>
      </w:pPr>
      <w:r>
        <w:rPr>
          <w:rFonts w:ascii="Times New Roman" w:cs="Times New Roman" w:eastAsia="Times New Roman" w:hAnsi="Times New Roman"/>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20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Other revenue consists of revenue from consulting, training, and other products and services, and is recognized as the products are delivered and services are performed.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20" w:type="dxa"/>
            <w:vAlign w:val="bottom"/>
          </w:tcPr>
          <w:p>
            <w:pPr>
              <w:spacing w:after="0"/>
              <w:rPr>
                <w:sz w:val="13"/>
                <w:szCs w:val="13"/>
                <w:color w:val="auto"/>
              </w:rPr>
            </w:pPr>
          </w:p>
        </w:tc>
        <w:tc>
          <w:tcPr>
            <w:tcW w:w="192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Compared to Prior</w:t>
            </w:r>
          </w:p>
        </w:tc>
        <w:tc>
          <w:tcPr>
            <w:tcW w:w="140" w:type="dxa"/>
            <w:vAlign w:val="bottom"/>
          </w:tcPr>
          <w:p>
            <w:pPr>
              <w:spacing w:after="0"/>
              <w:rPr>
                <w:sz w:val="13"/>
                <w:szCs w:val="13"/>
                <w:color w:val="auto"/>
              </w:rPr>
            </w:pPr>
          </w:p>
        </w:tc>
        <w:tc>
          <w:tcPr>
            <w:tcW w:w="7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4"/>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74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00" w:type="dxa"/>
            <w:vAlign w:val="bottom"/>
          </w:tcPr>
          <w:p>
            <w:pPr>
              <w:spacing w:after="0"/>
              <w:rPr>
                <w:sz w:val="13"/>
                <w:szCs w:val="13"/>
                <w:color w:val="auto"/>
              </w:rPr>
            </w:pPr>
          </w:p>
        </w:tc>
        <w:tc>
          <w:tcPr>
            <w:tcW w:w="32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78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1,314</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the subscriber base acro</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subscription types, led by subscription renewal</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revenue with current-year subscription renewals</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6"/>
              </w:rPr>
              <w:t>reflecting new subscriptions sold in prior period. A</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contributing to the growth was an increase in reve</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from EBA offerings and Cloud Service Offerings.</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80" w:type="dxa"/>
            <w:vAlign w:val="bottom"/>
          </w:tcPr>
          <w:p>
            <w:pPr>
              <w:spacing w:after="0"/>
              <w:rPr>
                <w:sz w:val="24"/>
                <w:szCs w:val="24"/>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24"/>
                <w:szCs w:val="24"/>
                <w:color w:val="auto"/>
              </w:rPr>
            </w:pPr>
          </w:p>
        </w:tc>
        <w:tc>
          <w:tcPr>
            <w:tcW w:w="19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9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74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00" w:type="dxa"/>
            <w:vAlign w:val="bottom"/>
          </w:tcPr>
          <w:p>
            <w:pPr>
              <w:spacing w:after="0"/>
              <w:rPr>
                <w:sz w:val="13"/>
                <w:szCs w:val="13"/>
                <w:color w:val="auto"/>
              </w:rPr>
            </w:pPr>
          </w:p>
        </w:tc>
        <w:tc>
          <w:tcPr>
            <w:tcW w:w="32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78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3,777</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3,437</w:t>
            </w: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the subscriber base acro</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subscription types, led by subscription renewal</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revenue with current-year subscription renewals</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reflecting new subscriptions sold in a prior period.</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Also contributing to the growth was an increase in</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revenue from EBA offerings and Cloud Service</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Offerings.</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3,488</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4,028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720" w:top="928" w:right="239" w:bottom="1440" w:gutter="0" w:footer="0" w:header="0"/>
        </w:sectPr>
      </w:pPr>
    </w:p>
    <w:bookmarkStart w:id="40" w:name="page41"/>
    <w:bookmarkEnd w:id="40"/>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Family</w:t>
      </w:r>
    </w:p>
    <w:p>
      <w:pPr>
        <w:spacing w:after="0" w:line="242"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Our product offerings are focused in four primary product families: Architecture, Engineering and Construction (“AEC”), AutoCAD and AutoCAD LT, Manufacturing (“MFG”), and Media and Entertainment (“M&amp;E”).</w:t>
      </w:r>
    </w:p>
    <w:p>
      <w:pPr>
        <w:spacing w:after="0" w:line="1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200" w:type="dxa"/>
            <w:vAlign w:val="bottom"/>
          </w:tcPr>
          <w:p>
            <w:pPr>
              <w:spacing w:after="0"/>
              <w:rPr>
                <w:sz w:val="13"/>
                <w:szCs w:val="13"/>
                <w:color w:val="auto"/>
              </w:rPr>
            </w:pPr>
          </w:p>
        </w:tc>
        <w:tc>
          <w:tcPr>
            <w:tcW w:w="1480" w:type="dxa"/>
            <w:vAlign w:val="bottom"/>
            <w:gridSpan w:val="4"/>
            <w:vMerge w:val="restart"/>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20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4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200" w:type="dxa"/>
            <w:vAlign w:val="bottom"/>
          </w:tcPr>
          <w:p>
            <w:pPr>
              <w:spacing w:after="0"/>
              <w:rPr>
                <w:sz w:val="13"/>
                <w:szCs w:val="13"/>
                <w:color w:val="auto"/>
              </w:rPr>
            </w:pP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4"/>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80" w:type="dxa"/>
            <w:vAlign w:val="bottom"/>
          </w:tcPr>
          <w:p>
            <w:pPr>
              <w:spacing w:after="0"/>
              <w:rPr>
                <w:sz w:val="13"/>
                <w:szCs w:val="13"/>
                <w:color w:val="auto"/>
              </w:rPr>
            </w:pPr>
          </w:p>
        </w:tc>
        <w:tc>
          <w:tcPr>
            <w:tcW w:w="354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AEC</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675</w:t>
            </w:r>
          </w:p>
        </w:tc>
        <w:tc>
          <w:tcPr>
            <w:tcW w:w="120" w:type="dxa"/>
            <w:vAlign w:val="bottom"/>
          </w:tcPr>
          <w:p>
            <w:pPr>
              <w:spacing w:after="0"/>
              <w:rPr>
                <w:sz w:val="13"/>
                <w:szCs w:val="13"/>
                <w:color w:val="auto"/>
              </w:rPr>
            </w:pPr>
          </w:p>
        </w:tc>
        <w:tc>
          <w:tcPr>
            <w:tcW w:w="20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3"/>
                <w:szCs w:val="13"/>
                <w:color w:val="auto"/>
              </w:rPr>
            </w:pPr>
          </w:p>
        </w:tc>
        <w:tc>
          <w:tcPr>
            <w:tcW w:w="1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Increase due to growth in revenue from AEC Collection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 Autodesk Build, and Revit.</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AutoCAD and AutoCAD LT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372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354</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Increase due to growth in revenue from both AutoCAD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AutoCAD LT.</w:t>
            </w: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MFG</w:t>
            </w:r>
          </w:p>
        </w:tc>
        <w:tc>
          <w:tcPr>
            <w:tcW w:w="14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254</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revenue from MFG Collectio</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 Fusion 360, and Inventor.</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M&amp;E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Declined due to upfront revenue in Q3’23 from multi-y</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that did not recur in Q3’24.</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8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32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00" w:type="dxa"/>
            <w:vAlign w:val="bottom"/>
          </w:tcPr>
          <w:p>
            <w:pPr>
              <w:spacing w:after="0"/>
              <w:rPr>
                <w:sz w:val="24"/>
                <w:szCs w:val="24"/>
                <w:color w:val="auto"/>
              </w:rPr>
            </w:pPr>
          </w:p>
        </w:tc>
        <w:tc>
          <w:tcPr>
            <w:tcW w:w="1480" w:type="dxa"/>
            <w:vAlign w:val="bottom"/>
            <w:gridSpan w:val="4"/>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94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2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4"/>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AEC</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1,884</w:t>
            </w:r>
          </w:p>
        </w:tc>
        <w:tc>
          <w:tcPr>
            <w:tcW w:w="120" w:type="dxa"/>
            <w:vAlign w:val="bottom"/>
          </w:tcPr>
          <w:p>
            <w:pPr>
              <w:spacing w:after="0"/>
              <w:rPr>
                <w:sz w:val="13"/>
                <w:szCs w:val="13"/>
                <w:color w:val="auto"/>
              </w:rPr>
            </w:pPr>
          </w:p>
        </w:tc>
        <w:tc>
          <w:tcPr>
            <w:tcW w:w="20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3"/>
                <w:szCs w:val="13"/>
                <w:color w:val="auto"/>
              </w:rPr>
            </w:pPr>
          </w:p>
        </w:tc>
        <w:tc>
          <w:tcPr>
            <w:tcW w:w="1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1,676</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Increase due to growth in revenue from AEC Collection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 Autodesk Build, and Revit.</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ACAD and AutoCAD LT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1,085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1,025</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Increase due to growth in revenue from both AutoCAD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AutoCAD LT.</w:t>
            </w: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MFG</w:t>
            </w:r>
          </w:p>
        </w:tc>
        <w:tc>
          <w:tcPr>
            <w:tcW w:w="14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771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721</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revenue from MFG Collectio</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Fusion360, EBA offerings, and Inventor.</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M&amp;E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7"/>
              </w:rPr>
              <w:t>Growth in EBA offerings, 3DS Max, and Flame offset b</w:t>
            </w:r>
          </w:p>
        </w:tc>
        <w:tc>
          <w:tcPr>
            <w:tcW w:w="0" w:type="dxa"/>
            <w:vAlign w:val="bottom"/>
          </w:tcPr>
          <w:p>
            <w:pPr>
              <w:spacing w:after="0"/>
              <w:rPr>
                <w:sz w:val="1"/>
                <w:szCs w:val="1"/>
                <w:color w:val="auto"/>
              </w:rPr>
            </w:pPr>
          </w:p>
        </w:tc>
      </w:tr>
      <w:tr>
        <w:trPr>
          <w:trHeight w:val="158"/>
        </w:trPr>
        <w:tc>
          <w:tcPr>
            <w:tcW w:w="3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upfront revenue from multi-year contract in Q3’23 that</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 recur in Q3’24.</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8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41" w:name="page42"/>
    <w:bookmarkEnd w:id="41"/>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Geographic Area</w:t>
      </w:r>
    </w:p>
    <w:p>
      <w:pPr>
        <w:spacing w:after="0" w:line="15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8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compared to prior fiscal</w:t>
            </w: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40" w:type="dxa"/>
            <w:vAlign w:val="bottom"/>
          </w:tcPr>
          <w:p>
            <w:pPr>
              <w:spacing w:after="0"/>
              <w:rPr>
                <w:sz w:val="16"/>
                <w:szCs w:val="16"/>
                <w:color w:val="auto"/>
              </w:rPr>
            </w:pPr>
          </w:p>
        </w:tc>
        <w:tc>
          <w:tcPr>
            <w:tcW w:w="152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8"/>
              </w:rPr>
              <w:t>October 31, 2022</w:t>
            </w:r>
          </w:p>
        </w:tc>
        <w:tc>
          <w:tcPr>
            <w:tcW w:w="0" w:type="dxa"/>
            <w:vAlign w:val="bottom"/>
          </w:tcPr>
          <w:p>
            <w:pPr>
              <w:spacing w:after="0"/>
              <w:rPr>
                <w:sz w:val="1"/>
                <w:szCs w:val="1"/>
                <w:color w:val="auto"/>
              </w:rPr>
            </w:pPr>
          </w:p>
        </w:tc>
      </w:tr>
      <w:tr>
        <w:trPr>
          <w:trHeight w:val="197"/>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Americas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EMEA</w:t>
            </w:r>
          </w:p>
        </w:tc>
        <w:tc>
          <w:tcPr>
            <w:tcW w:w="160" w:type="dxa"/>
            <w:vAlign w:val="bottom"/>
          </w:tcPr>
          <w:p>
            <w:pPr>
              <w:spacing w:after="0"/>
              <w:rPr>
                <w:sz w:val="18"/>
                <w:szCs w:val="18"/>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APAC</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1,280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8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compared to prior fiscal</w:t>
            </w: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40" w:type="dxa"/>
            <w:vAlign w:val="bottom"/>
          </w:tcPr>
          <w:p>
            <w:pPr>
              <w:spacing w:after="0"/>
              <w:rPr>
                <w:sz w:val="16"/>
                <w:szCs w:val="16"/>
                <w:color w:val="auto"/>
              </w:rPr>
            </w:pPr>
          </w:p>
        </w:tc>
        <w:tc>
          <w:tcPr>
            <w:tcW w:w="152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3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8"/>
              </w:rPr>
              <w:t>October 31, 2022</w:t>
            </w:r>
          </w:p>
        </w:tc>
        <w:tc>
          <w:tcPr>
            <w:tcW w:w="0" w:type="dxa"/>
            <w:vAlign w:val="bottom"/>
          </w:tcPr>
          <w:p>
            <w:pPr>
              <w:spacing w:after="0"/>
              <w:rPr>
                <w:sz w:val="1"/>
                <w:szCs w:val="1"/>
                <w:color w:val="auto"/>
              </w:rPr>
            </w:pPr>
          </w:p>
        </w:tc>
      </w:tr>
      <w:tr>
        <w:trPr>
          <w:trHeight w:val="197"/>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Americas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EMEA</w:t>
            </w:r>
          </w:p>
        </w:tc>
        <w:tc>
          <w:tcPr>
            <w:tcW w:w="160" w:type="dxa"/>
            <w:vAlign w:val="bottom"/>
          </w:tcPr>
          <w:p>
            <w:pPr>
              <w:spacing w:after="0"/>
              <w:rPr>
                <w:sz w:val="18"/>
                <w:szCs w:val="18"/>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1,398</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APAC</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4,028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3,687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Constant currency data not provided at this level.</w:t>
      </w:r>
    </w:p>
    <w:p>
      <w:pPr>
        <w:spacing w:after="0" w:line="219" w:lineRule="exact"/>
        <w:rPr>
          <w:sz w:val="20"/>
          <w:szCs w:val="20"/>
          <w:color w:val="auto"/>
        </w:rPr>
      </w:pPr>
    </w:p>
    <w:p>
      <w:pPr>
        <w:ind w:firstLine="395"/>
        <w:spacing w:after="0" w:line="264" w:lineRule="auto"/>
        <w:rPr>
          <w:sz w:val="20"/>
          <w:szCs w:val="20"/>
          <w:color w:val="auto"/>
        </w:rPr>
      </w:pPr>
      <w:r>
        <w:rPr>
          <w:rFonts w:ascii="Times New Roman" w:cs="Times New Roman" w:eastAsia="Times New Roman" w:hAnsi="Times New Roman"/>
          <w:sz w:val="16"/>
          <w:szCs w:val="16"/>
          <w:color w:val="auto"/>
        </w:rPr>
        <w:t>We believe that international revenue will continue to comprise a majority of our net revenue. Unfavorable economic conditions, including in connection with the significant military action against Ukraine launched by Russia and the conflict between Israel and Hamas (and any related political or economic responses and counter-responses or otherwise by various global actors or the general effect on the global economy),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Net Revenue by Sales Channel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4"/>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20" w:type="dxa"/>
            <w:vAlign w:val="bottom"/>
          </w:tcPr>
          <w:p>
            <w:pPr>
              <w:spacing w:after="0"/>
              <w:rPr>
                <w:sz w:val="13"/>
                <w:szCs w:val="13"/>
                <w:color w:val="auto"/>
              </w:rPr>
            </w:pP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25"/>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354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0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Indirect</w:t>
            </w:r>
          </w:p>
        </w:tc>
        <w:tc>
          <w:tcPr>
            <w:tcW w:w="1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876</w:t>
            </w:r>
          </w:p>
        </w:tc>
        <w:tc>
          <w:tcPr>
            <w:tcW w:w="100" w:type="dxa"/>
            <w:vAlign w:val="bottom"/>
          </w:tcPr>
          <w:p>
            <w:pPr>
              <w:spacing w:after="0"/>
              <w:rPr>
                <w:sz w:val="13"/>
                <w:szCs w:val="13"/>
                <w:color w:val="auto"/>
              </w:rPr>
            </w:pPr>
          </w:p>
        </w:tc>
        <w:tc>
          <w:tcPr>
            <w:tcW w:w="22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spacing w:after="0"/>
              <w:rPr>
                <w:sz w:val="13"/>
                <w:szCs w:val="13"/>
                <w:color w:val="auto"/>
              </w:rPr>
            </w:pPr>
          </w:p>
        </w:tc>
        <w:tc>
          <w:tcPr>
            <w:tcW w:w="380" w:type="dxa"/>
            <w:vAlign w:val="bottom"/>
          </w:tcPr>
          <w:p>
            <w:pPr>
              <w:jc w:val="right"/>
              <w:ind w:right="5"/>
              <w:spacing w:after="0" w:line="158" w:lineRule="exact"/>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6 %</w:t>
            </w:r>
          </w:p>
        </w:tc>
        <w:tc>
          <w:tcPr>
            <w:tcW w:w="120" w:type="dxa"/>
            <w:vAlign w:val="bottom"/>
          </w:tcPr>
          <w:p>
            <w:pPr>
              <w:spacing w:after="0"/>
              <w:rPr>
                <w:sz w:val="13"/>
                <w:szCs w:val="13"/>
                <w:color w:val="auto"/>
              </w:rPr>
            </w:pPr>
          </w:p>
        </w:tc>
        <w:tc>
          <w:tcPr>
            <w:tcW w:w="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827</w:t>
            </w:r>
          </w:p>
        </w:tc>
        <w:tc>
          <w:tcPr>
            <w:tcW w:w="120" w:type="dxa"/>
            <w:vAlign w:val="bottom"/>
          </w:tcPr>
          <w:p>
            <w:pPr>
              <w:spacing w:after="0"/>
              <w:rPr>
                <w:sz w:val="13"/>
                <w:szCs w:val="13"/>
                <w:color w:val="auto"/>
              </w:rPr>
            </w:pPr>
          </w:p>
        </w:tc>
        <w:tc>
          <w:tcPr>
            <w:tcW w:w="35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Increase due to growth in subscription revenue, led by</w:t>
            </w:r>
          </w:p>
        </w:tc>
        <w:tc>
          <w:tcPr>
            <w:tcW w:w="0" w:type="dxa"/>
            <w:vAlign w:val="bottom"/>
          </w:tcPr>
          <w:p>
            <w:pPr>
              <w:spacing w:after="0"/>
              <w:rPr>
                <w:sz w:val="1"/>
                <w:szCs w:val="1"/>
                <w:color w:val="auto"/>
              </w:rPr>
            </w:pPr>
          </w:p>
        </w:tc>
      </w:tr>
      <w:tr>
        <w:trPr>
          <w:trHeight w:val="158"/>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product subscription renewal revenue from a growing</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subscriber base.</w:t>
            </w: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Direct</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5"/>
              <w:spacing w:after="0" w:line="160" w:lineRule="exact"/>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19 %</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453</w:t>
            </w:r>
          </w:p>
        </w:tc>
        <w:tc>
          <w:tcPr>
            <w:tcW w:w="12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Increase due to revenues from EBA offerings and our</w:t>
            </w:r>
          </w:p>
        </w:tc>
        <w:tc>
          <w:tcPr>
            <w:tcW w:w="0" w:type="dxa"/>
            <w:vAlign w:val="bottom"/>
          </w:tcPr>
          <w:p>
            <w:pPr>
              <w:spacing w:after="0"/>
              <w:rPr>
                <w:sz w:val="1"/>
                <w:szCs w:val="1"/>
                <w:color w:val="auto"/>
              </w:rPr>
            </w:pPr>
          </w:p>
        </w:tc>
      </w:tr>
      <w:tr>
        <w:trPr>
          <w:trHeight w:val="211"/>
        </w:trPr>
        <w:tc>
          <w:tcPr>
            <w:tcW w:w="3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online Autodesk branded store.</w:t>
            </w:r>
          </w:p>
        </w:tc>
        <w:tc>
          <w:tcPr>
            <w:tcW w:w="0" w:type="dxa"/>
            <w:vAlign w:val="bottom"/>
          </w:tcPr>
          <w:p>
            <w:pPr>
              <w:spacing w:after="0"/>
              <w:rPr>
                <w:sz w:val="1"/>
                <w:szCs w:val="1"/>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020" w:type="dxa"/>
            <w:vAlign w:val="bottom"/>
          </w:tcPr>
          <w:p>
            <w:pPr>
              <w:spacing w:after="0"/>
              <w:rPr>
                <w:sz w:val="24"/>
                <w:szCs w:val="24"/>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4"/>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22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25"/>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354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0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Indirect</w:t>
            </w:r>
          </w:p>
        </w:tc>
        <w:tc>
          <w:tcPr>
            <w:tcW w:w="1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2,546</w:t>
            </w:r>
          </w:p>
        </w:tc>
        <w:tc>
          <w:tcPr>
            <w:tcW w:w="100" w:type="dxa"/>
            <w:vAlign w:val="bottom"/>
          </w:tcPr>
          <w:p>
            <w:pPr>
              <w:spacing w:after="0"/>
              <w:rPr>
                <w:sz w:val="13"/>
                <w:szCs w:val="13"/>
                <w:color w:val="auto"/>
              </w:rPr>
            </w:pPr>
          </w:p>
        </w:tc>
        <w:tc>
          <w:tcPr>
            <w:tcW w:w="22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spacing w:after="0"/>
              <w:rPr>
                <w:sz w:val="13"/>
                <w:szCs w:val="13"/>
                <w:color w:val="auto"/>
              </w:rPr>
            </w:pPr>
          </w:p>
        </w:tc>
        <w:tc>
          <w:tcPr>
            <w:tcW w:w="380" w:type="dxa"/>
            <w:vAlign w:val="bottom"/>
          </w:tcPr>
          <w:p>
            <w:pPr>
              <w:jc w:val="right"/>
              <w:ind w:right="5"/>
              <w:spacing w:after="0" w:line="158" w:lineRule="exact"/>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6 %</w:t>
            </w:r>
          </w:p>
        </w:tc>
        <w:tc>
          <w:tcPr>
            <w:tcW w:w="120" w:type="dxa"/>
            <w:vAlign w:val="bottom"/>
          </w:tcPr>
          <w:p>
            <w:pPr>
              <w:spacing w:after="0"/>
              <w:rPr>
                <w:sz w:val="13"/>
                <w:szCs w:val="13"/>
                <w:color w:val="auto"/>
              </w:rPr>
            </w:pPr>
          </w:p>
        </w:tc>
        <w:tc>
          <w:tcPr>
            <w:tcW w:w="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2,412</w:t>
            </w:r>
          </w:p>
        </w:tc>
        <w:tc>
          <w:tcPr>
            <w:tcW w:w="120" w:type="dxa"/>
            <w:vAlign w:val="bottom"/>
          </w:tcPr>
          <w:p>
            <w:pPr>
              <w:spacing w:after="0"/>
              <w:rPr>
                <w:sz w:val="13"/>
                <w:szCs w:val="13"/>
                <w:color w:val="auto"/>
              </w:rPr>
            </w:pPr>
          </w:p>
        </w:tc>
        <w:tc>
          <w:tcPr>
            <w:tcW w:w="35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Increase due to growth in subscription revenue, led by</w:t>
            </w:r>
          </w:p>
        </w:tc>
        <w:tc>
          <w:tcPr>
            <w:tcW w:w="0" w:type="dxa"/>
            <w:vAlign w:val="bottom"/>
          </w:tcPr>
          <w:p>
            <w:pPr>
              <w:spacing w:after="0"/>
              <w:rPr>
                <w:sz w:val="1"/>
                <w:szCs w:val="1"/>
                <w:color w:val="auto"/>
              </w:rPr>
            </w:pPr>
          </w:p>
        </w:tc>
      </w:tr>
      <w:tr>
        <w:trPr>
          <w:trHeight w:val="158"/>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product subscription renewal revenue from a growing</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subscriber base.</w:t>
            </w: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Direct</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1,482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5"/>
              <w:spacing w:after="0" w:line="160" w:lineRule="exact"/>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1,275</w:t>
            </w:r>
          </w:p>
        </w:tc>
        <w:tc>
          <w:tcPr>
            <w:tcW w:w="12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Increase due to revenues from EBA offerings and our</w:t>
            </w:r>
          </w:p>
        </w:tc>
        <w:tc>
          <w:tcPr>
            <w:tcW w:w="0" w:type="dxa"/>
            <w:vAlign w:val="bottom"/>
          </w:tcPr>
          <w:p>
            <w:pPr>
              <w:spacing w:after="0"/>
              <w:rPr>
                <w:sz w:val="1"/>
                <w:szCs w:val="1"/>
                <w:color w:val="auto"/>
              </w:rPr>
            </w:pPr>
          </w:p>
        </w:tc>
      </w:tr>
      <w:tr>
        <w:trPr>
          <w:trHeight w:val="211"/>
        </w:trPr>
        <w:tc>
          <w:tcPr>
            <w:tcW w:w="3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online Autodesk branded store.</w:t>
            </w:r>
          </w:p>
        </w:tc>
        <w:tc>
          <w:tcPr>
            <w:tcW w:w="0" w:type="dxa"/>
            <w:vAlign w:val="bottom"/>
          </w:tcPr>
          <w:p>
            <w:pPr>
              <w:spacing w:after="0"/>
              <w:rPr>
                <w:sz w:val="1"/>
                <w:szCs w:val="1"/>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We anticipate that our revenue by direct sales channel will continue to increase as a percentage of total net revenue with the continued growth of our online Autodesk branded store, expanding our token-based Flex offering transactions with agents and transacting directly with more end customers. See further discussion regarding our new transaction model under the heading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43" w:name="page44"/>
    <w:bookmarkEnd w:id="43"/>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Type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540" w:type="dxa"/>
            <w:vAlign w:val="bottom"/>
            <w:gridSpan w:val="3"/>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line="20" w:lineRule="exact"/>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0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Design</w:t>
            </w:r>
          </w:p>
        </w:tc>
        <w:tc>
          <w:tcPr>
            <w:tcW w:w="1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1,192</w:t>
            </w:r>
          </w:p>
        </w:tc>
        <w:tc>
          <w:tcPr>
            <w:tcW w:w="120" w:type="dxa"/>
            <w:vAlign w:val="bottom"/>
          </w:tcPr>
          <w:p>
            <w:pPr>
              <w:spacing w:after="0"/>
              <w:rPr>
                <w:sz w:val="13"/>
                <w:szCs w:val="13"/>
                <w:color w:val="auto"/>
              </w:rPr>
            </w:pPr>
          </w:p>
        </w:tc>
        <w:tc>
          <w:tcPr>
            <w:tcW w:w="180" w:type="dxa"/>
            <w:vAlign w:val="bottom"/>
          </w:tcPr>
          <w:p>
            <w:pPr>
              <w:jc w:val="right"/>
              <w:ind w:right="2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105</w:t>
            </w:r>
          </w:p>
        </w:tc>
        <w:tc>
          <w:tcPr>
            <w:tcW w:w="11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collections, EBA offerings, and AutoCAD Family.</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Make</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17</w:t>
            </w:r>
          </w:p>
        </w:tc>
        <w:tc>
          <w:tcPr>
            <w:tcW w:w="11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Fusion 360, BIM 360, and ACS products.</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line="20" w:lineRule="exact"/>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0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Design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120" w:type="dxa"/>
            <w:vAlign w:val="bottom"/>
          </w:tcPr>
          <w:p>
            <w:pPr>
              <w:spacing w:after="0"/>
              <w:rPr>
                <w:sz w:val="13"/>
                <w:szCs w:val="13"/>
                <w:color w:val="auto"/>
              </w:rPr>
            </w:pPr>
          </w:p>
        </w:tc>
        <w:tc>
          <w:tcPr>
            <w:tcW w:w="1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collections, EBA offerings, and AutoCAD Family.</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Make</w:t>
            </w: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Fusion 360, ACS, and BIM 360 products.</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of Revenue and Operating Expenses</w:t>
      </w:r>
    </w:p>
    <w:p>
      <w:pPr>
        <w:spacing w:after="0" w:line="242"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salaries, related expenses of network operations, stock-based compensation expense, and gains and losses on our operating expense cash flow hedges.</w:t>
      </w:r>
    </w:p>
    <w:p>
      <w:pPr>
        <w:spacing w:after="0" w:line="210" w:lineRule="exact"/>
        <w:rPr>
          <w:sz w:val="20"/>
          <w:szCs w:val="20"/>
          <w:color w:val="auto"/>
        </w:rPr>
      </w:pPr>
    </w:p>
    <w:p>
      <w:pPr>
        <w:jc w:val="both"/>
        <w:ind w:right="320" w:firstLine="395"/>
        <w:spacing w:after="0" w:line="256" w:lineRule="auto"/>
        <w:rPr>
          <w:sz w:val="20"/>
          <w:szCs w:val="20"/>
          <w:color w:val="auto"/>
        </w:rPr>
      </w:pPr>
      <w:r>
        <w:rPr>
          <w:rFonts w:ascii="Times New Roman" w:cs="Times New Roman" w:eastAsia="Times New Roman" w:hAnsi="Times New Roman"/>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206"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206"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44" w:name="page45"/>
    <w:bookmarkEnd w:id="44"/>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210"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40" w:type="dxa"/>
            <w:vAlign w:val="bottom"/>
          </w:tcPr>
          <w:p>
            <w:pPr>
              <w:spacing w:after="0"/>
              <w:rPr>
                <w:sz w:val="13"/>
                <w:szCs w:val="13"/>
                <w:color w:val="auto"/>
              </w:rPr>
            </w:pPr>
          </w:p>
        </w:tc>
        <w:tc>
          <w:tcPr>
            <w:tcW w:w="15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40" w:type="dxa"/>
            <w:vAlign w:val="bottom"/>
          </w:tcPr>
          <w:p>
            <w:pPr>
              <w:spacing w:after="0"/>
              <w:rPr>
                <w:sz w:val="13"/>
                <w:szCs w:val="13"/>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4"/>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40" w:type="dxa"/>
            <w:vAlign w:val="bottom"/>
          </w:tcPr>
          <w:p>
            <w:pPr>
              <w:spacing w:after="0"/>
              <w:rPr>
                <w:sz w:val="13"/>
                <w:szCs w:val="13"/>
                <w:color w:val="auto"/>
              </w:rPr>
            </w:pPr>
          </w:p>
        </w:tc>
        <w:tc>
          <w:tcPr>
            <w:tcW w:w="60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478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 and maintenance</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8</w:t>
            </w:r>
          </w:p>
        </w:tc>
        <w:tc>
          <w:tcPr>
            <w:tcW w:w="8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employee related costs driven by higher</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headcount and merit increases as well as an increase in cloud hosting</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Remained flat as compared to the prior period.</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Amortization of developed</w:t>
            </w: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The decrease is primarily due to previously acquired assets that continue to</w:t>
            </w:r>
          </w:p>
        </w:tc>
        <w:tc>
          <w:tcPr>
            <w:tcW w:w="0" w:type="dxa"/>
            <w:vAlign w:val="bottom"/>
          </w:tcPr>
          <w:p>
            <w:pPr>
              <w:spacing w:after="0"/>
              <w:rPr>
                <w:sz w:val="1"/>
                <w:szCs w:val="1"/>
                <w:color w:val="auto"/>
              </w:rPr>
            </w:pPr>
          </w:p>
        </w:tc>
      </w:tr>
      <w:tr>
        <w:trPr>
          <w:trHeight w:val="158"/>
        </w:trPr>
        <w:tc>
          <w:tcPr>
            <w:tcW w:w="28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technologies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become fully amortized offset by amortization of acquired developed</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w w:val="99"/>
              </w:rPr>
              <w:t>technologies as a result of an acquisition in the first quarter of fiscal 2024.</w:t>
            </w:r>
          </w:p>
        </w:tc>
        <w:tc>
          <w:tcPr>
            <w:tcW w:w="0" w:type="dxa"/>
            <w:vAlign w:val="bottom"/>
          </w:tcPr>
          <w:p>
            <w:pPr>
              <w:spacing w:after="0"/>
              <w:rPr>
                <w:sz w:val="1"/>
                <w:szCs w:val="1"/>
                <w:color w:val="auto"/>
              </w:rPr>
            </w:pPr>
          </w:p>
        </w:tc>
      </w:tr>
      <w:tr>
        <w:trPr>
          <w:trHeight w:val="231"/>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Marketing and sales</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(15)</w:t>
            </w:r>
          </w:p>
        </w:tc>
        <w:tc>
          <w:tcPr>
            <w:tcW w:w="8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Decrease primarily due to timing of costs for Autodesk promotional events</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partially offset by an increase in employee-related costs primarily driven</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by merit increases.</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
              <w:spacing w:after="0" w:line="160" w:lineRule="exact"/>
              <w:rPr>
                <w:sz w:val="20"/>
                <w:szCs w:val="20"/>
                <w:color w:val="auto"/>
              </w:rPr>
            </w:pPr>
            <w:r>
              <w:rPr>
                <w:rFonts w:ascii="Times New Roman" w:cs="Times New Roman" w:eastAsia="Times New Roman" w:hAnsi="Times New Roman"/>
                <w:sz w:val="16"/>
                <w:szCs w:val="16"/>
                <w:color w:val="auto"/>
              </w:rPr>
              <w:t>28</w:t>
            </w:r>
          </w:p>
        </w:tc>
        <w:tc>
          <w:tcPr>
            <w:tcW w:w="84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3"/>
                <w:szCs w:val="13"/>
                <w:color w:val="auto"/>
              </w:rPr>
            </w:pPr>
          </w:p>
        </w:tc>
        <w:tc>
          <w:tcPr>
            <w:tcW w:w="47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employee-related costs, including stock-based</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driven by higher headcount and merit increases.</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36</w:t>
            </w:r>
          </w:p>
        </w:tc>
        <w:tc>
          <w:tcPr>
            <w:tcW w:w="8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charitable contributions and employee-related</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costs, including stock-based compensation expense, driven by higher</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headcount and merit increases.</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Remained flat as compared to the prior period.</w:t>
            </w:r>
          </w:p>
        </w:tc>
        <w:tc>
          <w:tcPr>
            <w:tcW w:w="0" w:type="dxa"/>
            <w:vAlign w:val="bottom"/>
          </w:tcPr>
          <w:p>
            <w:pPr>
              <w:spacing w:after="0"/>
              <w:rPr>
                <w:sz w:val="1"/>
                <w:szCs w:val="1"/>
                <w:color w:val="auto"/>
              </w:rPr>
            </w:pPr>
          </w:p>
        </w:tc>
      </w:tr>
      <w:tr>
        <w:trPr>
          <w:trHeight w:val="202"/>
        </w:trPr>
        <w:tc>
          <w:tcPr>
            <w:tcW w:w="2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840" w:type="dxa"/>
            <w:vAlign w:val="bottom"/>
          </w:tcPr>
          <w:p>
            <w:pPr>
              <w:spacing w:after="0"/>
              <w:rPr>
                <w:sz w:val="24"/>
                <w:szCs w:val="24"/>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40" w:type="dxa"/>
            <w:vAlign w:val="bottom"/>
          </w:tcPr>
          <w:p>
            <w:pPr>
              <w:spacing w:after="0"/>
              <w:rPr>
                <w:sz w:val="24"/>
                <w:szCs w:val="24"/>
                <w:color w:val="auto"/>
              </w:rPr>
            </w:pPr>
          </w:p>
        </w:tc>
        <w:tc>
          <w:tcPr>
            <w:tcW w:w="15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9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40" w:type="dxa"/>
            <w:vAlign w:val="bottom"/>
          </w:tcPr>
          <w:p>
            <w:pPr>
              <w:spacing w:after="0"/>
              <w:rPr>
                <w:sz w:val="13"/>
                <w:szCs w:val="13"/>
                <w:color w:val="auto"/>
              </w:rPr>
            </w:pPr>
          </w:p>
        </w:tc>
        <w:tc>
          <w:tcPr>
            <w:tcW w:w="60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478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 and maintenance</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32</w:t>
            </w:r>
          </w:p>
        </w:tc>
        <w:tc>
          <w:tcPr>
            <w:tcW w:w="8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employee-related costs including stock-based</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compensation expense driven by higher headcount and merit increases, as</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well as an increase in cloud hosting costs, and professional fees.</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
              <w:spacing w:after="0" w:line="160" w:lineRule="exact"/>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3"/>
                <w:szCs w:val="13"/>
                <w:color w:val="auto"/>
              </w:rPr>
            </w:pPr>
          </w:p>
        </w:tc>
        <w:tc>
          <w:tcPr>
            <w:tcW w:w="47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employee-related costs including stock-based</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driven by higher headcount and merit increases.</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Amortization of developed</w:t>
            </w: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w:t>
            </w:r>
          </w:p>
        </w:tc>
        <w:tc>
          <w:tcPr>
            <w:tcW w:w="8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The decrease is primarily due to previously acquired assets that continue to</w:t>
            </w:r>
          </w:p>
        </w:tc>
        <w:tc>
          <w:tcPr>
            <w:tcW w:w="0" w:type="dxa"/>
            <w:vAlign w:val="bottom"/>
          </w:tcPr>
          <w:p>
            <w:pPr>
              <w:spacing w:after="0"/>
              <w:rPr>
                <w:sz w:val="1"/>
                <w:szCs w:val="1"/>
                <w:color w:val="auto"/>
              </w:rPr>
            </w:pPr>
          </w:p>
        </w:tc>
      </w:tr>
      <w:tr>
        <w:trPr>
          <w:trHeight w:val="158"/>
        </w:trPr>
        <w:tc>
          <w:tcPr>
            <w:tcW w:w="28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technologies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become fully amortized offset by amortization of acquired developed</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w w:val="99"/>
              </w:rPr>
              <w:t>technologies as a result of an acquisition in the first quarter of fiscal 2024.</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Borders>
              <w:bottom w:val="single" w:sz="8" w:color="CCEEFF"/>
            </w:tcBorders>
            <w:shd w:val="clear" w:color="auto" w:fill="CCEEFF"/>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2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Marketing and sales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20" w:type="dxa"/>
            <w:vAlign w:val="bottom"/>
          </w:tcPr>
          <w:p>
            <w:pPr>
              <w:spacing w:after="0"/>
              <w:rPr>
                <w:sz w:val="16"/>
                <w:szCs w:val="16"/>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3 %</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1,306</w:t>
            </w:r>
          </w:p>
        </w:tc>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primarily due to employee-related costs including stock-based</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9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compensation expense driven by merit increases and an increase in cloud</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9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hosting costs partially offset by the timing of costs for Autodesk</w:t>
            </w:r>
          </w:p>
        </w:tc>
      </w:tr>
      <w:tr>
        <w:trPr>
          <w:trHeight w:val="209"/>
        </w:trPr>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promotional events.</w:t>
            </w: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1,021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115</w:t>
            </w:r>
          </w:p>
        </w:tc>
        <w:tc>
          <w:tcPr>
            <w:tcW w:w="940" w:type="dxa"/>
            <w:vAlign w:val="bottom"/>
            <w:shd w:val="clear" w:color="auto" w:fill="CCEEFF"/>
          </w:tcPr>
          <w:p>
            <w:pPr>
              <w:jc w:val="right"/>
              <w:ind w:right="41"/>
              <w:spacing w:after="0" w:line="160" w:lineRule="exact"/>
              <w:rPr>
                <w:sz w:val="20"/>
                <w:szCs w:val="20"/>
                <w:color w:val="auto"/>
              </w:rPr>
            </w:pPr>
            <w:r>
              <w:rPr>
                <w:rFonts w:ascii="Times New Roman" w:cs="Times New Roman" w:eastAsia="Times New Roman" w:hAnsi="Times New Roman"/>
                <w:sz w:val="16"/>
                <w:szCs w:val="16"/>
                <w:color w:val="auto"/>
              </w:rPr>
              <w:t>13 %</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line="160" w:lineRule="exact"/>
              <w:rPr>
                <w:sz w:val="20"/>
                <w:szCs w:val="20"/>
                <w:color w:val="auto"/>
              </w:rPr>
            </w:pPr>
            <w:r>
              <w:rPr>
                <w:rFonts w:ascii="Times New Roman" w:cs="Times New Roman" w:eastAsia="Times New Roman" w:hAnsi="Times New Roman"/>
                <w:sz w:val="16"/>
                <w:szCs w:val="16"/>
                <w:color w:val="auto"/>
              </w:rPr>
              <w:t>906</w:t>
            </w:r>
          </w:p>
        </w:tc>
        <w:tc>
          <w:tcPr>
            <w:tcW w:w="490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Increase primarily due to employee-related costs, including stock-based</w:t>
            </w:r>
          </w:p>
        </w:tc>
      </w:tr>
      <w:tr>
        <w:trPr>
          <w:trHeight w:val="158"/>
        </w:trPr>
        <w:tc>
          <w:tcPr>
            <w:tcW w:w="2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9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compensation expense, driven by higher headcount and merit increases as</w:t>
            </w:r>
          </w:p>
        </w:tc>
      </w:tr>
      <w:tr>
        <w:trPr>
          <w:trHeight w:val="211"/>
        </w:trPr>
        <w:tc>
          <w:tcPr>
            <w:tcW w:w="2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well as an increase in cloud hosting costs.</w:t>
            </w: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438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61</w:t>
            </w:r>
          </w:p>
        </w:tc>
        <w:tc>
          <w:tcPr>
            <w:tcW w:w="94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rPr>
              <w:t>16 %</w:t>
            </w:r>
          </w:p>
        </w:tc>
        <w:tc>
          <w:tcPr>
            <w:tcW w:w="280" w:type="dxa"/>
            <w:vAlign w:val="bottom"/>
          </w:tcPr>
          <w:p>
            <w:pPr>
              <w:spacing w:after="0"/>
              <w:rPr>
                <w:sz w:val="13"/>
                <w:szCs w:val="13"/>
                <w:color w:val="auto"/>
              </w:rPr>
            </w:pPr>
          </w:p>
        </w:tc>
        <w:tc>
          <w:tcPr>
            <w:tcW w:w="600" w:type="dxa"/>
            <w:vAlign w:val="bottom"/>
          </w:tcPr>
          <w:p>
            <w:pPr>
              <w:jc w:val="right"/>
              <w:ind w:right="1"/>
              <w:spacing w:after="0" w:line="158" w:lineRule="exact"/>
              <w:rPr>
                <w:sz w:val="20"/>
                <w:szCs w:val="20"/>
                <w:color w:val="auto"/>
              </w:rPr>
            </w:pPr>
            <w:r>
              <w:rPr>
                <w:rFonts w:ascii="Times New Roman" w:cs="Times New Roman" w:eastAsia="Times New Roman" w:hAnsi="Times New Roman"/>
                <w:sz w:val="16"/>
                <w:szCs w:val="16"/>
                <w:color w:val="auto"/>
              </w:rPr>
              <w:t>377</w:t>
            </w:r>
          </w:p>
        </w:tc>
        <w:tc>
          <w:tcPr>
            <w:tcW w:w="49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Increase primarily due to employee-related costs, including stock-based</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9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compensation expense, driven by higher headcount and merit increases as</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9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well as an increase in cloud hosting costs and lower capitalized software</w:t>
            </w:r>
          </w:p>
        </w:tc>
      </w:tr>
      <w:tr>
        <w:trPr>
          <w:trHeight w:val="209"/>
        </w:trPr>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costs.</w:t>
            </w: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Amortization of purchased intangibles</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w:t>
            </w:r>
          </w:p>
        </w:tc>
        <w:tc>
          <w:tcPr>
            <w:tcW w:w="940" w:type="dxa"/>
            <w:vAlign w:val="bottom"/>
            <w:shd w:val="clear" w:color="auto" w:fill="CCEEFF"/>
          </w:tcPr>
          <w:p>
            <w:pPr>
              <w:jc w:val="right"/>
              <w:ind w:right="41"/>
              <w:spacing w:after="0" w:line="160" w:lineRule="exact"/>
              <w:rPr>
                <w:sz w:val="20"/>
                <w:szCs w:val="20"/>
                <w:color w:val="auto"/>
              </w:rPr>
            </w:pPr>
            <w:r>
              <w:rPr>
                <w:rFonts w:ascii="Times New Roman" w:cs="Times New Roman" w:eastAsia="Times New Roman" w:hAnsi="Times New Roman"/>
                <w:sz w:val="16"/>
                <w:szCs w:val="16"/>
                <w:color w:val="auto"/>
              </w:rPr>
              <w:t>3 %</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line="160" w:lineRule="exact"/>
              <w:rPr>
                <w:sz w:val="20"/>
                <w:szCs w:val="20"/>
                <w:color w:val="auto"/>
              </w:rPr>
            </w:pPr>
            <w:r>
              <w:rPr>
                <w:rFonts w:ascii="Times New Roman" w:cs="Times New Roman" w:eastAsia="Times New Roman" w:hAnsi="Times New Roman"/>
                <w:sz w:val="16"/>
                <w:szCs w:val="16"/>
                <w:color w:val="auto"/>
              </w:rPr>
              <w:t>30</w:t>
            </w:r>
          </w:p>
        </w:tc>
        <w:tc>
          <w:tcPr>
            <w:tcW w:w="490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auto"/>
              </w:rPr>
              <w:t>The increase is primarily due to amortization of acquired intangibles as a</w:t>
            </w:r>
          </w:p>
        </w:tc>
      </w:tr>
      <w:tr>
        <w:trPr>
          <w:trHeight w:val="158"/>
        </w:trPr>
        <w:tc>
          <w:tcPr>
            <w:tcW w:w="2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9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result of an acquisition in the first quarter of fiscal 2024 offset by</w:t>
            </w:r>
          </w:p>
        </w:tc>
      </w:tr>
      <w:tr>
        <w:trPr>
          <w:trHeight w:val="211"/>
        </w:trPr>
        <w:tc>
          <w:tcPr>
            <w:tcW w:w="2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previously acquired assets that continue to become fully amortized.</w:t>
            </w:r>
          </w:p>
        </w:tc>
      </w:tr>
      <w:tr>
        <w:trPr>
          <w:trHeight w:val="209"/>
        </w:trPr>
        <w:tc>
          <w:tcPr>
            <w:tcW w:w="2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8 %</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2,619</w:t>
            </w:r>
          </w:p>
        </w:tc>
        <w:tc>
          <w:tcPr>
            <w:tcW w:w="4900" w:type="dxa"/>
            <w:vAlign w:val="bottom"/>
          </w:tcPr>
          <w:p>
            <w:pPr>
              <w:spacing w:after="0"/>
              <w:rPr>
                <w:sz w:val="18"/>
                <w:szCs w:val="18"/>
                <w:color w:val="auto"/>
              </w:rPr>
            </w:pPr>
          </w:p>
        </w:tc>
      </w:tr>
      <w:tr>
        <w:trPr>
          <w:trHeight w:val="21"/>
        </w:trPr>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bl>
    <w:p>
      <w:pPr>
        <w:spacing w:after="0" w:line="311" w:lineRule="exact"/>
        <w:rPr>
          <w:sz w:val="20"/>
          <w:szCs w:val="20"/>
          <w:color w:val="auto"/>
        </w:rPr>
      </w:pPr>
    </w:p>
    <w:p>
      <w:pPr>
        <w:ind w:right="80"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highlights our expectation for the absolute dollar change and percent of revenue change between the fourth quarter of fiscal 2024, as compared to the fourth quarter of fiscal 2023:</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Absolute dollar impact</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 of net revenue impact</w:t>
            </w:r>
          </w:p>
        </w:tc>
      </w:tr>
      <w:tr>
        <w:trPr>
          <w:trHeight w:val="24"/>
        </w:trPr>
        <w:tc>
          <w:tcPr>
            <w:tcW w:w="66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0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Increase</w:t>
            </w:r>
          </w:p>
        </w:tc>
        <w:tc>
          <w:tcPr>
            <w:tcW w:w="1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Marketing and sales</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Increase</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1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Increase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6"/>
              </w:rPr>
              <w:t>Flat</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1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6"/>
              </w:rPr>
              <w:t>Flat</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bl>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interest and other income (expense),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6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shd w:val="clear" w:color="auto" w:fill="CCEEFF"/>
          </w:tcPr>
          <w:p>
            <w:pPr>
              <w:spacing w:after="0"/>
              <w:rPr>
                <w:sz w:val="17"/>
                <w:szCs w:val="17"/>
                <w:color w:val="auto"/>
              </w:rPr>
            </w:pPr>
          </w:p>
        </w:tc>
        <w:tc>
          <w:tcPr>
            <w:tcW w:w="2560" w:type="dxa"/>
            <w:vAlign w:val="bottom"/>
            <w:gridSpan w:val="4"/>
            <w:shd w:val="clear" w:color="auto" w:fill="CCEEFF"/>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(expense) income, net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foreign currency</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on strategic investments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(loss) income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9"/>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180" w:firstLine="395"/>
        <w:spacing w:after="0" w:line="247" w:lineRule="auto"/>
        <w:rPr>
          <w:sz w:val="20"/>
          <w:szCs w:val="20"/>
          <w:color w:val="auto"/>
        </w:rPr>
      </w:pPr>
      <w:r>
        <w:rPr>
          <w:rFonts w:ascii="Times New Roman" w:cs="Times New Roman" w:eastAsia="Times New Roman" w:hAnsi="Times New Roman"/>
          <w:sz w:val="18"/>
          <w:szCs w:val="18"/>
          <w:color w:val="auto"/>
        </w:rPr>
        <w:t>Interest and other expense, net, remained flat during the three months ended October 31, 2023, and interest and other expense, net, decreased by $29 million during the nine months ended October 31, 2023, as compared to the same periods in the prior fiscal year. Interest income increased due to higher cash balances and higher rate of return on our investments. Additionally, interest expense decreased on our outstanding notes payable. These were primarily offset by unrealized impairment losses on our strategic investment equity securities in the three months ended October 31, 2023, as compared to the same period in the prior fiscal year. The decrease in the nine months ended October 31, 2023, as compared to the same period in the prior fiscal year was primarily due to an increase in interest income, a decrease in losses for investments in debt and equity securities that are held in a rabbi trust under non-qualified deferred compensation plans, a decrease in gains on foreign currency due to foreign currency exchange rate fluctuations, and a decrease in interest expense on our outstanding notes payable, offset by an increase in impairments of strategic investment equity securities in the current period compared to the same period in the prior fiscal year.</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expense and investment income fluctuates based on average cash, marketable securities, debt balances, average maturities, and interest rates.</w:t>
      </w:r>
    </w:p>
    <w:p>
      <w:pPr>
        <w:spacing w:after="0" w:line="24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6" w:name="page47"/>
    <w:bookmarkEnd w:id="46"/>
    <w:p>
      <w:pPr>
        <w:ind w:left="2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93" w:lineRule="exact"/>
        <w:rPr>
          <w:sz w:val="20"/>
          <w:szCs w:val="20"/>
          <w:color w:val="auto"/>
        </w:rPr>
      </w:pPr>
    </w:p>
    <w:p>
      <w:pPr>
        <w:ind w:firstLine="434"/>
        <w:spacing w:after="0" w:line="237" w:lineRule="auto"/>
        <w:rPr>
          <w:sz w:val="20"/>
          <w:szCs w:val="20"/>
          <w:color w:val="auto"/>
        </w:rPr>
      </w:pPr>
      <w:r>
        <w:rPr>
          <w:rFonts w:ascii="Times New Roman" w:cs="Times New Roman" w:eastAsia="Times New Roman" w:hAnsi="Times New Roman"/>
          <w:sz w:val="18"/>
          <w:szCs w:val="18"/>
          <w:color w:val="auto"/>
        </w:rPr>
        <w:t>We had an income tax expense of $79 million, relative to pre-tax income of $320 million for the three months ended October 31, 2023, and an income tax expense of $44 million, relative to pre-tax income of $242 million for the three months ended October 31, 2022. Income tax expense for the three months ended October 31, 2023, reflects an increased withholding tax expense and non-recurring integration tax expense, offset by a decrease in tax expense as a result of jurisdictional mix of year-to-date earnings, resulting in a net tax expense increase year over year.</w:t>
      </w:r>
    </w:p>
    <w:p>
      <w:pPr>
        <w:spacing w:after="0" w:line="209" w:lineRule="exact"/>
        <w:rPr>
          <w:sz w:val="20"/>
          <w:szCs w:val="20"/>
          <w:color w:val="auto"/>
        </w:rPr>
      </w:pPr>
    </w:p>
    <w:p>
      <w:pPr>
        <w:ind w:firstLine="434"/>
        <w:spacing w:after="0" w:line="232" w:lineRule="auto"/>
        <w:rPr>
          <w:sz w:val="20"/>
          <w:szCs w:val="20"/>
          <w:color w:val="auto"/>
        </w:rPr>
      </w:pPr>
      <w:r>
        <w:rPr>
          <w:rFonts w:ascii="Times New Roman" w:cs="Times New Roman" w:eastAsia="Times New Roman" w:hAnsi="Times New Roman"/>
          <w:sz w:val="18"/>
          <w:szCs w:val="18"/>
          <w:color w:val="auto"/>
        </w:rPr>
        <w:t>We had an income tax expense of $175 million, relative to pre-tax income of $799 million for the nine months ended October 31, 2023, and an income tax expense of $139 million, relative to pre-tax income of $669 million for the nine months ended October 31, 2022. Income tax expense for the nine months ended October 31, 2023, reflects a reduced U.S. foreign derived intangible income tax benefit, increased withholding tax expense, non-recurring integration tax expense, offset by an income tax benefit arising from the temporary relief provide by the Internal Revenue Service relating to U.S. foreign tax credit regulations and reduced tax expense relating to stock-based compensation.</w:t>
      </w:r>
    </w:p>
    <w:p>
      <w:pPr>
        <w:spacing w:after="0" w:line="223"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The U.S. Tax Cut and Jobs Act (“Tax Act”) enacted on December 22, 2017, eliminates the option to deduct research and development expenditures and requires taxpayers to capitalize and amortize such expenditures over five or fifteen years beginning in fiscal 2023. Although Congress is considering legislation that would defer the capitalization and amortization requirement, there is no assurance that the provision will be repealed or otherwise modified.</w:t>
      </w:r>
    </w:p>
    <w:p>
      <w:pPr>
        <w:spacing w:after="0" w:line="206"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all or part of our Australia, New Zealand, California, Michigan deferred tax assets, as well as our U.S. capital loss deferred tax assets as it is more likely than not that some or all of the deferred tax assets will not be realized.</w:t>
      </w:r>
    </w:p>
    <w:p>
      <w:pPr>
        <w:spacing w:after="0" w:line="212" w:lineRule="exact"/>
        <w:rPr>
          <w:sz w:val="20"/>
          <w:szCs w:val="20"/>
          <w:color w:val="auto"/>
        </w:rPr>
      </w:pPr>
    </w:p>
    <w:p>
      <w:pPr>
        <w:jc w:val="both"/>
        <w:ind w:right="80" w:firstLine="434"/>
        <w:spacing w:after="0" w:line="256" w:lineRule="auto"/>
        <w:rPr>
          <w:sz w:val="20"/>
          <w:szCs w:val="20"/>
          <w:color w:val="auto"/>
        </w:rPr>
      </w:pPr>
      <w:r>
        <w:rPr>
          <w:rFonts w:ascii="Times New Roman" w:cs="Times New Roman" w:eastAsia="Times New Roman" w:hAnsi="Times New Roman"/>
          <w:sz w:val="18"/>
          <w:szCs w:val="18"/>
          <w:color w:val="auto"/>
        </w:rPr>
        <w:t>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w:t>
      </w:r>
    </w:p>
    <w:p>
      <w:pPr>
        <w:spacing w:after="0" w:line="206"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As of October 31, 2023, we had $234 million of gross unrecognized tax benefits, of which $195 million would impact the effective tax rate, if recognized. The remaining $39 million would reduce our valuation allowance, if recognized. Approximately $2 million of unrecognized tax benefits will decrease in the next twelve months for statute lapse.</w:t>
      </w:r>
    </w:p>
    <w:p>
      <w:pPr>
        <w:spacing w:after="0" w:line="206"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We anticipate that the U.S. Department of Treasury will continue to interpret or issue guidance on how provisions of the Tax Act will be applied or otherwise administered. As future guidance is issued, we may adjust the amounts that we have previously recorded that may materially impact our financial statements.</w:t>
      </w:r>
    </w:p>
    <w:p>
      <w:pPr>
        <w:spacing w:after="0" w:line="206"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A significant amount of our earnings are generated by our European and Asia Pacific subsidiaries. Our future effective tax rates may be adversely affected to the extent earnings are lower than anticipated in countries where we have lower statutory tax rates.</w:t>
      </w:r>
    </w:p>
    <w:p>
      <w:pPr>
        <w:spacing w:after="0" w:line="212"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Signed into law on August 16, 2022, the Inflation Reduction Act contains many revisions to the Internal Revenue Code effective in taxable years beginning after December 31, 2022, including a 15% corporate alternative minimum tax. Autodesk continues to monitor the impact of the Inflation Reduction Act on our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p>
      <w:pPr>
        <w:spacing w:after="0" w:line="242" w:lineRule="exact"/>
        <w:rPr>
          <w:sz w:val="20"/>
          <w:szCs w:val="20"/>
          <w:color w:val="auto"/>
        </w:rPr>
      </w:pPr>
    </w:p>
    <w:p>
      <w:pPr>
        <w:jc w:val="both"/>
        <w:ind w:right="200" w:firstLine="434"/>
        <w:spacing w:after="0" w:line="303" w:lineRule="auto"/>
        <w:rPr>
          <w:sz w:val="20"/>
          <w:szCs w:val="20"/>
          <w:color w:val="auto"/>
        </w:rPr>
      </w:pPr>
      <w:r>
        <w:rPr>
          <w:rFonts w:ascii="Times New Roman" w:cs="Times New Roman" w:eastAsia="Times New Roman" w:hAnsi="Times New Roman"/>
          <w:sz w:val="16"/>
          <w:szCs w:val="16"/>
          <w:color w:val="auto"/>
        </w:rPr>
        <w:t>In addition to our results determined under GAAP discussed above, we believe the following non-GAAP measures are useful to investors in evaluating our operating performance. For the three and nine months ended October 31, 2023 and 2022, our gross profit, income from operations, operating margin, net income, and diluted net income per share on a GAAP and non-GAAP basis were as follows (in millions except for operating margin and per share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31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2520" w:type="dxa"/>
            <w:vAlign w:val="bottom"/>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4"/>
        </w:trPr>
        <w:tc>
          <w:tcPr>
            <w:tcW w:w="5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5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4"/>
              </w:rPr>
              <w:t>1,287</w:t>
            </w:r>
          </w:p>
        </w:tc>
        <w:tc>
          <w:tcPr>
            <w:tcW w:w="4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3,647</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3,331</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4"/>
              </w:rPr>
              <w:t>1,311</w:t>
            </w:r>
          </w:p>
        </w:tc>
        <w:tc>
          <w:tcPr>
            <w:tcW w:w="4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3,717</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3,407</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334</w:t>
            </w:r>
          </w:p>
        </w:tc>
        <w:tc>
          <w:tcPr>
            <w:tcW w:w="4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813</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712</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547</w:t>
            </w:r>
          </w:p>
        </w:tc>
        <w:tc>
          <w:tcPr>
            <w:tcW w:w="4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1,440</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1,306</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operating margin</w:t>
            </w: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241</w:t>
            </w:r>
          </w:p>
        </w:tc>
        <w:tc>
          <w:tcPr>
            <w:tcW w:w="4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624</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530</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447</w:t>
            </w:r>
          </w:p>
        </w:tc>
        <w:tc>
          <w:tcPr>
            <w:tcW w:w="4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1,191</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1,042</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diluted net income per share</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1.12</w:t>
            </w:r>
          </w:p>
        </w:tc>
        <w:tc>
          <w:tcPr>
            <w:tcW w:w="4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0.91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2.89</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2.43</w:t>
            </w:r>
          </w:p>
        </w:tc>
      </w:tr>
      <w:tr>
        <w:trPr>
          <w:trHeight w:val="20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2.07</w:t>
            </w:r>
          </w:p>
        </w:tc>
        <w:tc>
          <w:tcPr>
            <w:tcW w:w="4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5.51</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4.78</w:t>
            </w:r>
          </w:p>
        </w:tc>
      </w:tr>
    </w:tbl>
    <w:p>
      <w:pPr>
        <w:spacing w:after="0" w:line="301"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For our internal budgeting and resource allocation process and as a means to provide consistency in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221"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color w:val="auto"/>
        </w:rPr>
        <w:t>Reconciliation of GAAP Financial Measures to Non-GAAP Financial Measures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for operating margin and per share data):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5860" w:val="left"/>
        </w:tabs>
        <w:rPr>
          <w:sz w:val="20"/>
          <w:szCs w:val="20"/>
          <w:color w:val="auto"/>
        </w:rPr>
      </w:pPr>
      <w:r>
        <w:rPr>
          <w:rFonts w:ascii="Times New Roman" w:cs="Times New Roman" w:eastAsia="Times New Roman" w:hAnsi="Times New Roman"/>
          <w:sz w:val="16"/>
          <w:szCs w:val="16"/>
          <w:color w:val="auto"/>
        </w:rPr>
        <w:t>Gross profit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860" w:val="left"/>
        </w:tabs>
        <w:rPr>
          <w:sz w:val="20"/>
          <w:szCs w:val="20"/>
          <w:color w:val="auto"/>
        </w:rPr>
      </w:pPr>
      <w:r>
        <w:rPr>
          <w:rFonts w:ascii="Times New Roman" w:cs="Times New Roman" w:eastAsia="Times New Roman" w:hAnsi="Times New Roman"/>
          <w:sz w:val="16"/>
          <w:szCs w:val="16"/>
          <w:color w:val="auto"/>
        </w:rPr>
        <w:t>Non-GAAP gross profit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35495" cy="158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5860" w:val="left"/>
        </w:tabs>
        <w:rPr>
          <w:sz w:val="20"/>
          <w:szCs w:val="20"/>
          <w:color w:val="auto"/>
        </w:rPr>
      </w:pPr>
      <w:r>
        <w:rPr>
          <w:rFonts w:ascii="Times New Roman" w:cs="Times New Roman" w:eastAsia="Times New Roman" w:hAnsi="Times New Roman"/>
          <w:sz w:val="16"/>
          <w:szCs w:val="16"/>
          <w:color w:val="auto"/>
        </w:rPr>
        <w:t>Income from operations</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860" w:val="left"/>
        </w:tabs>
        <w:rPr>
          <w:sz w:val="20"/>
          <w:szCs w:val="20"/>
          <w:color w:val="auto"/>
        </w:rPr>
      </w:pPr>
      <w:r>
        <w:rPr>
          <w:rFonts w:ascii="Times New Roman" w:cs="Times New Roman" w:eastAsia="Times New Roman" w:hAnsi="Times New Roman"/>
          <w:sz w:val="16"/>
          <w:szCs w:val="16"/>
          <w:color w:val="auto"/>
        </w:rPr>
        <w:t>Non-GAAP income from operations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35495" cy="158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margin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Non-GAAP operating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35495" cy="158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5860" w:val="left"/>
        </w:tabs>
        <w:rPr>
          <w:sz w:val="20"/>
          <w:szCs w:val="20"/>
          <w:color w:val="auto"/>
        </w:rPr>
      </w:pPr>
      <w:r>
        <w:rPr>
          <w:rFonts w:ascii="Times New Roman" w:cs="Times New Roman" w:eastAsia="Times New Roman" w:hAnsi="Times New Roman"/>
          <w:sz w:val="16"/>
          <w:szCs w:val="16"/>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Loss (gain) on strategic investments and dispositions, net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Discrete tax provision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Establishment of valuation allowance on deferred tax assets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Income tax effect of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860" w:val="left"/>
        </w:tabs>
        <w:rPr>
          <w:sz w:val="20"/>
          <w:szCs w:val="20"/>
          <w:color w:val="auto"/>
        </w:rPr>
      </w:pPr>
      <w:r>
        <w:rPr>
          <w:rFonts w:ascii="Times New Roman" w:cs="Times New Roman" w:eastAsia="Times New Roman" w:hAnsi="Times New Roman"/>
          <w:sz w:val="16"/>
          <w:szCs w:val="16"/>
          <w:color w:val="auto"/>
        </w:rPr>
        <w:t>Non-GAAP 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2300" w:type="dxa"/>
            <w:vAlign w:val="bottom"/>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9"/>
              </w:rPr>
              <w:t>Nine Months Ended October 31,</w:t>
            </w:r>
          </w:p>
        </w:tc>
        <w:tc>
          <w:tcPr>
            <w:tcW w:w="0" w:type="dxa"/>
            <w:vAlign w:val="bottom"/>
          </w:tcPr>
          <w:p>
            <w:pPr>
              <w:spacing w:after="0"/>
              <w:rPr>
                <w:sz w:val="1"/>
                <w:szCs w:val="1"/>
                <w:color w:val="auto"/>
              </w:rPr>
            </w:pPr>
          </w:p>
        </w:tc>
      </w:tr>
      <w:tr>
        <w:trPr>
          <w:trHeight w:val="24"/>
        </w:trPr>
        <w:tc>
          <w:tcPr>
            <w:tcW w:w="104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2"/>
                <w:szCs w:val="2"/>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1,287</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3,647</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3,331</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6"/>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1,311</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3,717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3,407</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334</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24"/>
                <w:szCs w:val="24"/>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6"/>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547</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1"/>
        </w:trPr>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1"/>
        </w:trPr>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1"/>
        </w:trPr>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1"/>
        </w:trPr>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1"/>
        </w:trPr>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6"/>
        </w:trPr>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39 %</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241</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24"/>
                <w:szCs w:val="24"/>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8"/>
                <w:szCs w:val="18"/>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10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6"/>
        </w:trPr>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447</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1,042</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-33020</wp:posOffset>
            </wp:positionV>
            <wp:extent cx="8020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-7620</wp:posOffset>
            </wp:positionV>
            <wp:extent cx="8020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-174625</wp:posOffset>
            </wp:positionV>
            <wp:extent cx="8020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-1687195</wp:posOffset>
            </wp:positionV>
            <wp:extent cx="8020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-1829435</wp:posOffset>
            </wp:positionV>
            <wp:extent cx="8020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-2806700</wp:posOffset>
            </wp:positionV>
            <wp:extent cx="8020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-2948940</wp:posOffset>
            </wp:positionV>
            <wp:extent cx="8020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-4068445</wp:posOffset>
            </wp:positionV>
            <wp:extent cx="8020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-3926840</wp:posOffset>
            </wp:positionV>
            <wp:extent cx="8020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-4603115</wp:posOffset>
            </wp:positionV>
            <wp:extent cx="34175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1757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-4737100</wp:posOffset>
            </wp:positionV>
            <wp:extent cx="1671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220"/>
            <w:col w:w="5060"/>
          </w:cols>
          <w:pgMar w:left="320" w:top="869"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5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0" w:type="dxa"/>
            <w:vAlign w:val="bottom"/>
          </w:tcPr>
          <w:p>
            <w:pPr>
              <w:spacing w:after="0"/>
              <w:rPr>
                <w:sz w:val="16"/>
                <w:szCs w:val="16"/>
                <w:color w:val="auto"/>
              </w:rPr>
            </w:pPr>
          </w:p>
        </w:tc>
        <w:tc>
          <w:tcPr>
            <w:tcW w:w="2280" w:type="dxa"/>
            <w:vAlign w:val="bottom"/>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4"/>
        </w:trPr>
        <w:tc>
          <w:tcPr>
            <w:tcW w:w="6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61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6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7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503"/>
              <w:spacing w:after="0"/>
              <w:rPr>
                <w:sz w:val="20"/>
                <w:szCs w:val="20"/>
                <w:color w:val="auto"/>
              </w:rPr>
            </w:pPr>
            <w:r>
              <w:rPr>
                <w:rFonts w:ascii="Times New Roman" w:cs="Times New Roman" w:eastAsia="Times New Roman" w:hAnsi="Times New Roman"/>
                <w:sz w:val="16"/>
                <w:szCs w:val="16"/>
                <w:color w:val="auto"/>
                <w:w w:val="92"/>
              </w:rPr>
              <w:t>2.89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center"/>
              <w:ind w:left="422"/>
              <w:spacing w:after="0"/>
              <w:rPr>
                <w:sz w:val="20"/>
                <w:szCs w:val="20"/>
                <w:color w:val="auto"/>
              </w:rPr>
            </w:pPr>
            <w:r>
              <w:rPr>
                <w:rFonts w:ascii="Times New Roman" w:cs="Times New Roman" w:eastAsia="Times New Roman" w:hAnsi="Times New Roman"/>
                <w:sz w:val="16"/>
                <w:szCs w:val="16"/>
                <w:color w:val="auto"/>
                <w:w w:val="99"/>
              </w:rPr>
              <w:t>2.43</w:t>
            </w:r>
          </w:p>
        </w:tc>
      </w:tr>
      <w:tr>
        <w:trPr>
          <w:trHeight w:val="209"/>
        </w:trPr>
        <w:tc>
          <w:tcPr>
            <w:tcW w:w="6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left="503"/>
              <w:spacing w:after="0"/>
              <w:rPr>
                <w:sz w:val="20"/>
                <w:szCs w:val="20"/>
                <w:color w:val="auto"/>
              </w:rPr>
            </w:pPr>
            <w:r>
              <w:rPr>
                <w:rFonts w:ascii="Times New Roman" w:cs="Times New Roman" w:eastAsia="Times New Roman" w:hAnsi="Times New Roman"/>
                <w:sz w:val="16"/>
                <w:szCs w:val="16"/>
                <w:color w:val="auto"/>
                <w:w w:val="92"/>
              </w:rPr>
              <w:t>2.52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center"/>
              <w:ind w:left="422"/>
              <w:spacing w:after="0"/>
              <w:rPr>
                <w:sz w:val="20"/>
                <w:szCs w:val="20"/>
                <w:color w:val="auto"/>
              </w:rPr>
            </w:pPr>
            <w:r>
              <w:rPr>
                <w:rFonts w:ascii="Times New Roman" w:cs="Times New Roman" w:eastAsia="Times New Roman" w:hAnsi="Times New Roman"/>
                <w:sz w:val="16"/>
                <w:szCs w:val="16"/>
                <w:color w:val="auto"/>
                <w:w w:val="99"/>
              </w:rPr>
              <w:t>2.28</w:t>
            </w:r>
          </w:p>
        </w:tc>
      </w:tr>
      <w:tr>
        <w:trPr>
          <w:trHeight w:val="212"/>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03"/>
              <w:spacing w:after="0"/>
              <w:rPr>
                <w:sz w:val="20"/>
                <w:szCs w:val="20"/>
                <w:color w:val="auto"/>
              </w:rPr>
            </w:pPr>
            <w:r>
              <w:rPr>
                <w:rFonts w:ascii="Times New Roman" w:cs="Times New Roman" w:eastAsia="Times New Roman" w:hAnsi="Times New Roman"/>
                <w:sz w:val="16"/>
                <w:szCs w:val="16"/>
                <w:color w:val="auto"/>
                <w:w w:val="92"/>
              </w:rPr>
              <w:t>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22"/>
              <w:spacing w:after="0"/>
              <w:rPr>
                <w:sz w:val="20"/>
                <w:szCs w:val="20"/>
                <w:color w:val="auto"/>
              </w:rPr>
            </w:pPr>
            <w:r>
              <w:rPr>
                <w:rFonts w:ascii="Times New Roman" w:cs="Times New Roman" w:eastAsia="Times New Roman" w:hAnsi="Times New Roman"/>
                <w:sz w:val="16"/>
                <w:szCs w:val="16"/>
                <w:color w:val="auto"/>
                <w:w w:val="99"/>
              </w:rPr>
              <w:t>0.19</w:t>
            </w:r>
          </w:p>
        </w:tc>
      </w:tr>
      <w:tr>
        <w:trPr>
          <w:trHeight w:val="209"/>
        </w:trPr>
        <w:tc>
          <w:tcPr>
            <w:tcW w:w="6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left="503"/>
              <w:spacing w:after="0"/>
              <w:rPr>
                <w:sz w:val="20"/>
                <w:szCs w:val="20"/>
                <w:color w:val="auto"/>
              </w:rPr>
            </w:pPr>
            <w:r>
              <w:rPr>
                <w:rFonts w:ascii="Times New Roman" w:cs="Times New Roman" w:eastAsia="Times New Roman" w:hAnsi="Times New Roman"/>
                <w:sz w:val="16"/>
                <w:szCs w:val="16"/>
                <w:color w:val="auto"/>
                <w:w w:val="92"/>
              </w:rPr>
              <w:t>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center"/>
              <w:ind w:left="422"/>
              <w:spacing w:after="0"/>
              <w:rPr>
                <w:sz w:val="20"/>
                <w:szCs w:val="20"/>
                <w:color w:val="auto"/>
              </w:rPr>
            </w:pPr>
            <w:r>
              <w:rPr>
                <w:rFonts w:ascii="Times New Roman" w:cs="Times New Roman" w:eastAsia="Times New Roman" w:hAnsi="Times New Roman"/>
                <w:sz w:val="16"/>
                <w:szCs w:val="16"/>
                <w:color w:val="auto"/>
                <w:w w:val="99"/>
              </w:rPr>
              <w:t>0.14</w:t>
            </w:r>
          </w:p>
        </w:tc>
      </w:tr>
      <w:tr>
        <w:trPr>
          <w:trHeight w:val="212"/>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03"/>
              <w:spacing w:after="0"/>
              <w:rPr>
                <w:sz w:val="20"/>
                <w:szCs w:val="20"/>
                <w:color w:val="auto"/>
              </w:rPr>
            </w:pPr>
            <w:r>
              <w:rPr>
                <w:rFonts w:ascii="Times New Roman" w:cs="Times New Roman" w:eastAsia="Times New Roman" w:hAnsi="Times New Roman"/>
                <w:sz w:val="16"/>
                <w:szCs w:val="16"/>
                <w:color w:val="auto"/>
                <w:w w:val="92"/>
              </w:rPr>
              <w:t>0.07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22"/>
              <w:spacing w:after="0"/>
              <w:rPr>
                <w:sz w:val="20"/>
                <w:szCs w:val="20"/>
                <w:color w:val="auto"/>
              </w:rPr>
            </w:pPr>
            <w:r>
              <w:rPr>
                <w:rFonts w:ascii="Times New Roman" w:cs="Times New Roman" w:eastAsia="Times New Roman" w:hAnsi="Times New Roman"/>
                <w:sz w:val="16"/>
                <w:szCs w:val="16"/>
                <w:color w:val="auto"/>
                <w:w w:val="99"/>
              </w:rPr>
              <w:t>0.03</w:t>
            </w:r>
          </w:p>
        </w:tc>
      </w:tr>
      <w:tr>
        <w:trPr>
          <w:trHeight w:val="209"/>
        </w:trPr>
        <w:tc>
          <w:tcPr>
            <w:tcW w:w="6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tc>
        <w:tc>
          <w:tcPr>
            <w:tcW w:w="7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left="503"/>
              <w:spacing w:after="0"/>
              <w:rPr>
                <w:sz w:val="20"/>
                <w:szCs w:val="20"/>
                <w:color w:val="auto"/>
              </w:rPr>
            </w:pPr>
            <w:r>
              <w:rPr>
                <w:rFonts w:ascii="Times New Roman" w:cs="Times New Roman" w:eastAsia="Times New Roman" w:hAnsi="Times New Roman"/>
                <w:sz w:val="16"/>
                <w:szCs w:val="16"/>
                <w:color w:val="auto"/>
                <w:w w:val="92"/>
              </w:rPr>
              <w:t>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center"/>
              <w:ind w:left="422"/>
              <w:spacing w:after="0"/>
              <w:rPr>
                <w:sz w:val="20"/>
                <w:szCs w:val="20"/>
                <w:color w:val="auto"/>
              </w:rPr>
            </w:pPr>
            <w:r>
              <w:rPr>
                <w:rFonts w:ascii="Times New Roman" w:cs="Times New Roman" w:eastAsia="Times New Roman" w:hAnsi="Times New Roman"/>
                <w:sz w:val="16"/>
                <w:szCs w:val="16"/>
                <w:color w:val="auto"/>
                <w:w w:val="99"/>
              </w:rPr>
              <w:t>0.09</w:t>
            </w:r>
          </w:p>
        </w:tc>
      </w:tr>
      <w:tr>
        <w:trPr>
          <w:trHeight w:val="212"/>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(gain) on strategic investments and dispositions, net</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03"/>
              <w:spacing w:after="0"/>
              <w:rPr>
                <w:sz w:val="20"/>
                <w:szCs w:val="20"/>
                <w:color w:val="auto"/>
              </w:rPr>
            </w:pPr>
            <w:r>
              <w:rPr>
                <w:rFonts w:ascii="Times New Roman" w:cs="Times New Roman" w:eastAsia="Times New Roman" w:hAnsi="Times New Roman"/>
                <w:sz w:val="16"/>
                <w:szCs w:val="16"/>
                <w:color w:val="auto"/>
                <w:w w:val="92"/>
              </w:rPr>
              <w:t>0.12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02"/>
              <w:spacing w:after="0"/>
              <w:rPr>
                <w:sz w:val="20"/>
                <w:szCs w:val="20"/>
                <w:color w:val="auto"/>
              </w:rPr>
            </w:pPr>
            <w:r>
              <w:rPr>
                <w:rFonts w:ascii="Times New Roman" w:cs="Times New Roman" w:eastAsia="Times New Roman" w:hAnsi="Times New Roman"/>
                <w:sz w:val="16"/>
                <w:szCs w:val="16"/>
                <w:color w:val="auto"/>
                <w:w w:val="98"/>
              </w:rPr>
              <w:t>(0.04)</w:t>
            </w:r>
          </w:p>
        </w:tc>
      </w:tr>
      <w:tr>
        <w:trPr>
          <w:trHeight w:val="209"/>
        </w:trPr>
        <w:tc>
          <w:tcPr>
            <w:tcW w:w="6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Discrete tax provision items</w:t>
            </w:r>
          </w:p>
        </w:tc>
        <w:tc>
          <w:tcPr>
            <w:tcW w:w="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left="463"/>
              <w:spacing w:after="0"/>
              <w:rPr>
                <w:sz w:val="20"/>
                <w:szCs w:val="20"/>
                <w:color w:val="auto"/>
              </w:rPr>
            </w:pPr>
            <w:r>
              <w:rPr>
                <w:rFonts w:ascii="Times New Roman" w:cs="Times New Roman" w:eastAsia="Times New Roman" w:hAnsi="Times New Roman"/>
                <w:sz w:val="16"/>
                <w:szCs w:val="16"/>
                <w:color w:val="auto"/>
                <w:w w:val="98"/>
              </w:rPr>
              <w:t>(0.08)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center"/>
              <w:ind w:left="402"/>
              <w:spacing w:after="0"/>
              <w:rPr>
                <w:sz w:val="20"/>
                <w:szCs w:val="20"/>
                <w:color w:val="auto"/>
              </w:rPr>
            </w:pPr>
            <w:r>
              <w:rPr>
                <w:rFonts w:ascii="Times New Roman" w:cs="Times New Roman" w:eastAsia="Times New Roman" w:hAnsi="Times New Roman"/>
                <w:sz w:val="16"/>
                <w:szCs w:val="16"/>
                <w:color w:val="auto"/>
                <w:w w:val="98"/>
              </w:rPr>
              <w:t>(0.02)</w:t>
            </w:r>
          </w:p>
        </w:tc>
      </w:tr>
      <w:tr>
        <w:trPr>
          <w:trHeight w:val="212"/>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(0.12)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463"/>
              <w:spacing w:after="0"/>
              <w:rPr>
                <w:sz w:val="20"/>
                <w:szCs w:val="20"/>
                <w:color w:val="auto"/>
              </w:rPr>
            </w:pPr>
            <w:r>
              <w:rPr>
                <w:rFonts w:ascii="Times New Roman" w:cs="Times New Roman" w:eastAsia="Times New Roman" w:hAnsi="Times New Roman"/>
                <w:sz w:val="16"/>
                <w:szCs w:val="16"/>
                <w:color w:val="auto"/>
                <w:w w:val="98"/>
              </w:rPr>
              <w:t>(0.32)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02"/>
              <w:spacing w:after="0"/>
              <w:rPr>
                <w:sz w:val="20"/>
                <w:szCs w:val="20"/>
                <w:color w:val="auto"/>
              </w:rPr>
            </w:pPr>
            <w:r>
              <w:rPr>
                <w:rFonts w:ascii="Times New Roman" w:cs="Times New Roman" w:eastAsia="Times New Roman" w:hAnsi="Times New Roman"/>
                <w:sz w:val="16"/>
                <w:szCs w:val="16"/>
                <w:color w:val="auto"/>
                <w:w w:val="98"/>
              </w:rPr>
              <w:t>(0.32)</w:t>
            </w:r>
          </w:p>
        </w:tc>
      </w:tr>
      <w:tr>
        <w:trPr>
          <w:trHeight w:val="202"/>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76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center"/>
              <w:ind w:left="503"/>
              <w:spacing w:after="0"/>
              <w:rPr>
                <w:sz w:val="20"/>
                <w:szCs w:val="20"/>
                <w:color w:val="auto"/>
              </w:rPr>
            </w:pPr>
            <w:r>
              <w:rPr>
                <w:rFonts w:ascii="Times New Roman" w:cs="Times New Roman" w:eastAsia="Times New Roman" w:hAnsi="Times New Roman"/>
                <w:sz w:val="16"/>
                <w:szCs w:val="16"/>
                <w:color w:val="auto"/>
                <w:w w:val="92"/>
              </w:rPr>
              <w:t>5.51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center"/>
              <w:ind w:left="422"/>
              <w:spacing w:after="0"/>
              <w:rPr>
                <w:sz w:val="20"/>
                <w:szCs w:val="20"/>
                <w:color w:val="auto"/>
              </w:rPr>
            </w:pPr>
            <w:r>
              <w:rPr>
                <w:rFonts w:ascii="Times New Roman" w:cs="Times New Roman" w:eastAsia="Times New Roman" w:hAnsi="Times New Roman"/>
                <w:sz w:val="16"/>
                <w:szCs w:val="16"/>
                <w:color w:val="auto"/>
                <w:w w:val="99"/>
              </w:rPr>
              <w:t>4.78</w:t>
            </w:r>
          </w:p>
        </w:tc>
      </w:tr>
      <w:tr>
        <w:trPr>
          <w:trHeight w:val="21"/>
        </w:trPr>
        <w:tc>
          <w:tcPr>
            <w:tcW w:w="6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may not sum due to rounding.</w:t>
      </w:r>
    </w:p>
    <w:p>
      <w:pPr>
        <w:spacing w:after="0" w:line="219"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non-GAAP financial measures may exclude the following, as applicable:</w:t>
      </w:r>
    </w:p>
    <w:p>
      <w:pPr>
        <w:spacing w:after="0" w:line="238"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We exclude stock-based compensation expenses from non-GAAP measures primarily because they are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21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Amortization of developed technologies and purchased intangibles. </w:t>
      </w:r>
      <w:r>
        <w:rPr>
          <w:rFonts w:ascii="Times New Roman" w:cs="Times New Roman" w:eastAsia="Times New Roman" w:hAnsi="Times New Roman"/>
          <w:sz w:val="18"/>
          <w:szCs w:val="18"/>
          <w:color w:val="auto"/>
        </w:rPr>
        <w:t>We incur amortization of acquisition-related developed technologies and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212"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CEO transition costs. </w:t>
      </w:r>
      <w:r>
        <w:rPr>
          <w:rFonts w:ascii="Times New Roman" w:cs="Times New Roman" w:eastAsia="Times New Roman" w:hAnsi="Times New Roman"/>
          <w:sz w:val="18"/>
          <w:szCs w:val="18"/>
          <w:color w:val="auto"/>
        </w:rPr>
        <w:t>We exclude amounts paid to our former CEOs upon departure under the terms of their transition agreements, including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212" w:lineRule="exact"/>
        <w:rPr>
          <w:sz w:val="20"/>
          <w:szCs w:val="20"/>
          <w:color w:val="auto"/>
        </w:rPr>
      </w:pPr>
    </w:p>
    <w:p>
      <w:pPr>
        <w:jc w:val="both"/>
        <w:ind w:right="5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This is a non-cash charge to write down goodwill to fair value when there was an indication that the asset was impaired.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204" w:lineRule="exact"/>
        <w:rPr>
          <w:sz w:val="20"/>
          <w:szCs w:val="20"/>
          <w:color w:val="auto"/>
        </w:rPr>
      </w:pPr>
    </w:p>
    <w:p>
      <w:pPr>
        <w:ind w:right="10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Restructuring and other exit costs, net. </w:t>
      </w:r>
      <w:r>
        <w:rPr>
          <w:rFonts w:ascii="Times New Roman" w:cs="Times New Roman" w:eastAsia="Times New Roman" w:hAnsi="Times New Roman"/>
          <w:sz w:val="16"/>
          <w:szCs w:val="16"/>
          <w:color w:val="auto"/>
        </w:rPr>
        <w:t>These expenses are associated with realigning our business strategies based on current economic conditions.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64" w:lineRule="exact"/>
        <w:rPr>
          <w:sz w:val="20"/>
          <w:szCs w:val="20"/>
          <w:color w:val="auto"/>
        </w:rPr>
      </w:pPr>
    </w:p>
    <w:p>
      <w:pPr>
        <w:ind w:firstLine="395"/>
        <w:spacing w:after="0" w:line="236" w:lineRule="auto"/>
        <w:rPr>
          <w:sz w:val="20"/>
          <w:szCs w:val="20"/>
          <w:color w:val="auto"/>
        </w:rPr>
      </w:pPr>
      <w:r>
        <w:rPr>
          <w:rFonts w:ascii="Times New Roman" w:cs="Times New Roman" w:eastAsia="Times New Roman" w:hAnsi="Times New Roman"/>
          <w:sz w:val="18"/>
          <w:szCs w:val="18"/>
          <w:i w:val="1"/>
          <w:iCs w:val="1"/>
          <w:color w:val="auto"/>
        </w:rPr>
        <w:t>Lease-related asset impairments and other charges. </w:t>
      </w:r>
      <w:r>
        <w:rPr>
          <w:rFonts w:ascii="Times New Roman" w:cs="Times New Roman" w:eastAsia="Times New Roman" w:hAnsi="Times New Roman"/>
          <w:sz w:val="18"/>
          <w:szCs w:val="18"/>
          <w:color w:val="auto"/>
        </w:rPr>
        <w:t> These charges are associated with the optimization of our facilities costs related to leases for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vacated as a result of our one-time move to a more hybrid remote workforce. In connection with these facility leases, we recognize costs related to the impairment or abandonment of operating lease right-of-use assets, computer equipment, furniture, and leasehold improvements, and other costs. We exclude these charges because these expenses are not reflective of ongoing business and operating results. We believe it is useful for investors to understand the effects of these items on our total operating expenses.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50" w:name="page51"/>
    <w:bookmarkEnd w:id="50"/>
    <w:p>
      <w:pPr>
        <w:jc w:val="both"/>
        <w:ind w:right="8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Acquisition-related costs. </w:t>
      </w:r>
      <w:r>
        <w:rPr>
          <w:rFonts w:ascii="Times New Roman" w:cs="Times New Roman" w:eastAsia="Times New Roman" w:hAnsi="Times New Roman"/>
          <w:sz w:val="18"/>
          <w:szCs w:val="18"/>
          <w:color w:val="auto"/>
        </w:rPr>
        <w:t>We exclude certain acquisition-related costs, including due diligence costs, professional fees in connection with an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our historical operating results and to other companies in our industry.</w:t>
      </w:r>
    </w:p>
    <w:p>
      <w:pPr>
        <w:spacing w:after="0" w:line="212" w:lineRule="exact"/>
        <w:rPr>
          <w:sz w:val="20"/>
          <w:szCs w:val="20"/>
          <w:color w:val="auto"/>
        </w:rPr>
      </w:pPr>
    </w:p>
    <w:p>
      <w:pPr>
        <w:ind w:right="20"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Loss (gain) on strategic investments and dispositions. </w:t>
      </w:r>
      <w:r>
        <w:rPr>
          <w:rFonts w:ascii="Times New Roman" w:cs="Times New Roman" w:eastAsia="Times New Roman" w:hAnsi="Times New Roman"/>
          <w:sz w:val="16"/>
          <w:szCs w:val="16"/>
          <w:color w:val="auto"/>
        </w:rPr>
        <w:t>We exclude gains and losses related to our strategic investments and dispositions of strategic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gain and loss on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85" w:lineRule="exact"/>
        <w:rPr>
          <w:sz w:val="20"/>
          <w:szCs w:val="20"/>
          <w:color w:val="auto"/>
        </w:rPr>
      </w:pPr>
    </w:p>
    <w:p>
      <w:pPr>
        <w:ind w:right="140" w:firstLine="39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Discrete tax provision items. </w:t>
      </w:r>
      <w:r>
        <w:rPr>
          <w:rFonts w:ascii="Times New Roman" w:cs="Times New Roman" w:eastAsia="Times New Roman" w:hAnsi="Times New Roman"/>
          <w:sz w:val="16"/>
          <w:szCs w:val="16"/>
          <w:color w:val="auto"/>
        </w:rPr>
        <w:t>We exclude the GAAP tax provision, including discrete items, from the non-GAAP measure of net income (loss),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210"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Establishment (release) of a valuation allowance on certain net deferred tax assets. </w:t>
      </w:r>
      <w:r>
        <w:rPr>
          <w:rFonts w:ascii="Times New Roman" w:cs="Times New Roman" w:eastAsia="Times New Roman" w:hAnsi="Times New Roman"/>
          <w:sz w:val="18"/>
          <w:szCs w:val="18"/>
          <w:color w:val="auto"/>
        </w:rPr>
        <w:t>This is a non-cash charge to record or to release a valuation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certain deferred tax assets. As explained above, management finds it useful to exclude certain non-cash charges to assess the appropriate level of various cash expenses to assist in budgeting, planning, and forecasting future periods.</w:t>
      </w:r>
    </w:p>
    <w:p>
      <w:pPr>
        <w:spacing w:after="0" w:line="204" w:lineRule="exact"/>
        <w:rPr>
          <w:sz w:val="20"/>
          <w:szCs w:val="20"/>
          <w:color w:val="auto"/>
        </w:rPr>
      </w:pPr>
    </w:p>
    <w:p>
      <w:pPr>
        <w:ind w:right="3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effects on the difference between GAAP and non-GAAP costs and expenses. </w:t>
      </w:r>
      <w:r>
        <w:rPr>
          <w:rFonts w:ascii="Times New Roman" w:cs="Times New Roman" w:eastAsia="Times New Roman" w:hAnsi="Times New Roman"/>
          <w:sz w:val="18"/>
          <w:szCs w:val="18"/>
          <w:color w:val="auto"/>
        </w:rPr>
        <w:t>The income tax effects that are excluded from the non-GAAP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12"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At October 31, 2023, our principal sources of liquidity were cash, cash equivalents, and marketable securities totaling $2.17 billion and net accounts receivable of $579 million.</w:t>
      </w:r>
    </w:p>
    <w:p>
      <w:pPr>
        <w:spacing w:after="0" w:line="183" w:lineRule="exact"/>
        <w:rPr>
          <w:sz w:val="20"/>
          <w:szCs w:val="20"/>
          <w:color w:val="auto"/>
        </w:rPr>
      </w:pPr>
    </w:p>
    <w:p>
      <w:pPr>
        <w:ind w:firstLine="395"/>
        <w:spacing w:after="0" w:line="267" w:lineRule="auto"/>
        <w:rPr>
          <w:sz w:val="20"/>
          <w:szCs w:val="20"/>
          <w:color w:val="auto"/>
        </w:rPr>
      </w:pPr>
      <w:r>
        <w:rPr>
          <w:rFonts w:ascii="Times New Roman" w:cs="Times New Roman" w:eastAsia="Times New Roman" w:hAnsi="Times New Roman"/>
          <w:sz w:val="16"/>
          <w:szCs w:val="16"/>
          <w:color w:val="auto"/>
        </w:rPr>
        <w:t>In November 2022, Autodesk entered into an amended and restated credit agreement (“Credit Agreement”) by and among Autodesk, the lenders party thereto, and Citibank, N.A., as agent, that provides for a revolving credit facility in the aggregate principal amount of $1.5 billion with an option to be increased up to $2.0 billion. The revolving credit facility is available for working capital or other business needs. The maturity date on the Credit Agreement is September 30, 2026. At October 31, 2023, Autodesk had no outstanding borrowings under the Credit Agreement. Additionally, as of December 4, 2023, we have no amounts outstanding under the Credit Agreement. See Part I, Item 1, “Financial Statements,” Note 13, “Borrowing Arrangements,” in the Notes to Condensed Consolidated Financial Statements for further discussion on our covenant requirements and recent amendments to the Credit Agreement. If we are unable to remain in compliance with the covenants under the Credit Agreement, we will not be able to draw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1" w:name="page52"/>
    <w:bookmarkEnd w:id="51"/>
    <w:p>
      <w:pPr>
        <w:ind w:right="440" w:firstLine="395"/>
        <w:spacing w:after="0" w:line="253" w:lineRule="auto"/>
        <w:rPr>
          <w:sz w:val="20"/>
          <w:szCs w:val="20"/>
          <w:color w:val="auto"/>
        </w:rPr>
      </w:pPr>
      <w:r>
        <w:rPr>
          <w:rFonts w:ascii="Times New Roman" w:cs="Times New Roman" w:eastAsia="Times New Roman" w:hAnsi="Times New Roman"/>
          <w:sz w:val="18"/>
          <w:szCs w:val="18"/>
          <w:color w:val="auto"/>
        </w:rPr>
        <w:t>As of October 31, 2023, we have $2.30 billion aggregate principal amount of notes outstanding. See Part I, Item 1, “Financial Statements,” Note 13, “Borrowing Arrangements,” in the Notes to Condensed Consolidated Financial Statements for further discussion.</w:t>
      </w:r>
    </w:p>
    <w:p>
      <w:pPr>
        <w:spacing w:after="0" w:line="208"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w:t>
      </w:r>
    </w:p>
    <w:p>
      <w:pPr>
        <w:spacing w:after="0" w:line="206"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Our cash and cash equivalents balances are concentrated in a few locations around the world, with substantial amounts held outside of the United States. As of October 31, 2023, approximately 69% of our total cash or cash equivalents are located in foreign jurisdictions and that percentage will fluctuate subject to business needs.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21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Cash from operations could also be affected by various risks and uncertainties, including, but not limited to, the risks detailed in Part II, Item 1A titled “Risk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w:t>
      </w:r>
    </w:p>
    <w:p>
      <w:pPr>
        <w:spacing w:after="0" w:line="210"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4"/>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625"/>
              <w:spacing w:after="0"/>
              <w:rPr>
                <w:sz w:val="20"/>
                <w:szCs w:val="20"/>
                <w:color w:val="auto"/>
              </w:rPr>
            </w:pPr>
            <w:r>
              <w:rPr>
                <w:rFonts w:ascii="Times New Roman" w:cs="Times New Roman" w:eastAsia="Times New Roman" w:hAnsi="Times New Roman"/>
                <w:sz w:val="16"/>
                <w:szCs w:val="16"/>
                <w:color w:val="auto"/>
                <w:w w:val="99"/>
              </w:rPr>
              <w:t>876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spacing w:after="0"/>
              <w:rPr>
                <w:sz w:val="18"/>
                <w:szCs w:val="18"/>
                <w:color w:val="auto"/>
              </w:rPr>
            </w:pPr>
          </w:p>
        </w:tc>
        <w:tc>
          <w:tcPr>
            <w:tcW w:w="106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auto"/>
                <w:w w:val="97"/>
              </w:rPr>
              <w:t>(524)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605"/>
              <w:spacing w:after="0"/>
              <w:rPr>
                <w:sz w:val="20"/>
                <w:szCs w:val="20"/>
                <w:color w:val="auto"/>
              </w:rPr>
            </w:pPr>
            <w:r>
              <w:rPr>
                <w:rFonts w:ascii="Times New Roman" w:cs="Times New Roman" w:eastAsia="Times New Roman" w:hAnsi="Times New Roman"/>
                <w:sz w:val="16"/>
                <w:szCs w:val="16"/>
                <w:color w:val="auto"/>
                <w:w w:val="97"/>
              </w:rPr>
              <w:t>(753)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of $876 million for the nine months ended October 31, 2023, primarily consisted of $624 million of our net income adjusted for $522 million non-cash items such as stock-based compensation expense, and depreciation, amortization, and accretion expense, and deferred income tax. The decrease in working capital is primarily due to a decrease in deferred revenue of $551 million due to the timing of our billing installments and seasonality of billings in the fourth fiscal quarter partially offset by the change in accounts receivable of $380 million due to the seasonality of our billings in the fourth fiscal quarter and timing of cash collections from customers.</w:t>
      </w:r>
    </w:p>
    <w:p>
      <w:pPr>
        <w:spacing w:after="0" w:line="212" w:lineRule="exact"/>
        <w:rPr>
          <w:sz w:val="20"/>
          <w:szCs w:val="20"/>
          <w:color w:val="auto"/>
        </w:rPr>
      </w:pPr>
    </w:p>
    <w:p>
      <w:pPr>
        <w:ind w:right="140" w:firstLine="395"/>
        <w:spacing w:after="0" w:line="280" w:lineRule="auto"/>
        <w:rPr>
          <w:sz w:val="20"/>
          <w:szCs w:val="20"/>
          <w:color w:val="auto"/>
        </w:rPr>
      </w:pPr>
      <w:r>
        <w:rPr>
          <w:rFonts w:ascii="Times New Roman" w:cs="Times New Roman" w:eastAsia="Times New Roman" w:hAnsi="Times New Roman"/>
          <w:sz w:val="16"/>
          <w:szCs w:val="16"/>
          <w:color w:val="auto"/>
        </w:rPr>
        <w:t>Net cash provided by operating activities of $1,160 million for the nine months ended October 31, 2022, primarily consisted of $530 million of our net income adjusted for $542 million non-cash items such as stock-based compensation expense, and depreciation, amortization, and accretion expense, lease-related impairment charges, and deferred income tax. Cash provided by working capital increased due to the change in accounts receivable of $70 million due to the seasonality of our billings in the fourth fiscal quarter and timing of cash collections from customers and the change in accrued income taxes of</w:t>
      </w:r>
    </w:p>
    <w:p>
      <w:pPr>
        <w:spacing w:after="0" w:line="1"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18"/>
          <w:szCs w:val="18"/>
          <w:color w:val="auto"/>
        </w:rPr>
        <w:t>$79 million offset in part by the change in accounts payable and other liabilities of $76 million primarily due to the timing of payments related to employee compensation and related costs.</w:t>
      </w:r>
    </w:p>
    <w:p>
      <w:pPr>
        <w:spacing w:after="0" w:line="212"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Net cash used in investing activities was $524 million for the nine months ended October 31, 2023, primarily due to purchases of marketable securities partially offset by the sales and maturities of marketable securities. Net cash used in investing activities was $84 million for the nine months ended October 31, 2022, primarily due to purchases of marketable securities, business combinations, net of cash acquired, and purchases of strategic investments partially offset by the sales and maturities of marketable securities.</w:t>
      </w:r>
    </w:p>
    <w:p>
      <w:pPr>
        <w:spacing w:after="0" w:line="21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Net cash used in financing activities was $753 million and $897 million for the nine months ended October 31, 2023 and 2022, respectively, primarily due to repurchases of common stock.</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2"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Autodesk's stock repurchase programs provide Autodesk with the ability to offset the dilution from the issuance of stock under our employee stock plans and reduce shares outstanding over time, and has the effect of returning excess cash generated from our business to stockholders. Under the share repurchase programs, Autodesk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or dollar amount available in the authorized pool, cash requirements for acquisitions, cash requirements to retire outstanding debt, economic and market conditions, stock price, and legal and regulatory requirements.</w:t>
      </w:r>
    </w:p>
    <w:p>
      <w:pPr>
        <w:spacing w:after="0" w:line="213"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information about the repurchase of common stock in open-market transactions during the three months ended October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Approximate Dollar Value of Shares</w:t>
            </w:r>
          </w:p>
        </w:tc>
        <w:tc>
          <w:tcPr>
            <w:tcW w:w="0" w:type="dxa"/>
            <w:vAlign w:val="bottom"/>
          </w:tcPr>
          <w:p>
            <w:pPr>
              <w:spacing w:after="0"/>
              <w:rPr>
                <w:sz w:val="1"/>
                <w:szCs w:val="1"/>
                <w:color w:val="auto"/>
              </w:rPr>
            </w:pPr>
          </w:p>
        </w:tc>
      </w:tr>
      <w:tr>
        <w:trPr>
          <w:trHeight w:val="145"/>
        </w:trPr>
        <w:tc>
          <w:tcPr>
            <w:tcW w:w="4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right"/>
              <w:ind w:right="3"/>
              <w:spacing w:after="0" w:line="145"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14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13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120" w:type="dxa"/>
            <w:vAlign w:val="bottom"/>
          </w:tcPr>
          <w:p>
            <w:pPr>
              <w:spacing w:after="0"/>
              <w:rPr>
                <w:sz w:val="12"/>
                <w:szCs w:val="12"/>
                <w:color w:val="auto"/>
              </w:rPr>
            </w:pPr>
          </w:p>
        </w:tc>
        <w:tc>
          <w:tcPr>
            <w:tcW w:w="22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 xml:space="preserve">the Plans or Programs </w:t>
            </w:r>
            <w:r>
              <w:rPr>
                <w:rFonts w:ascii="Times New Roman" w:cs="Times New Roman" w:eastAsia="Times New Roman" w:hAnsi="Times New Roman"/>
                <w:sz w:val="14"/>
                <w:szCs w:val="14"/>
                <w:b w:val="1"/>
                <w:bCs w:val="1"/>
                <w:i w:val="1"/>
                <w:iCs w:val="1"/>
                <w:color w:val="auto"/>
              </w:rPr>
              <w:t>(in millions)</w:t>
            </w:r>
          </w:p>
        </w:tc>
        <w:tc>
          <w:tcPr>
            <w:tcW w:w="0" w:type="dxa"/>
            <w:vAlign w:val="bottom"/>
          </w:tcPr>
          <w:p>
            <w:pPr>
              <w:spacing w:after="0"/>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 (1)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1 - August 31</w:t>
            </w:r>
          </w:p>
        </w:tc>
        <w:tc>
          <w:tcPr>
            <w:tcW w:w="13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206.25</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1 - September 30</w:t>
            </w: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208.03</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 October 31</w:t>
            </w: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203.05</w:t>
            </w:r>
          </w:p>
        </w:tc>
        <w:tc>
          <w:tcPr>
            <w:tcW w:w="12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w:t>
            </w:r>
          </w:p>
        </w:tc>
        <w:tc>
          <w:tcPr>
            <w:tcW w:w="0" w:type="dxa"/>
            <w:vAlign w:val="bottom"/>
          </w:tcPr>
          <w:p>
            <w:pPr>
              <w:spacing w:after="0"/>
              <w:rPr>
                <w:sz w:val="1"/>
                <w:szCs w:val="1"/>
                <w:color w:val="auto"/>
              </w:rPr>
            </w:pPr>
          </w:p>
        </w:tc>
      </w:tr>
      <w:tr>
        <w:trPr>
          <w:trHeight w:val="20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543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205.70</w:t>
            </w:r>
          </w:p>
        </w:tc>
        <w:tc>
          <w:tcPr>
            <w:tcW w:w="12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shares purchased in open-market transactions under the stock repurchase plan approved by the Board of Directors in November 2022.</w:t>
      </w:r>
    </w:p>
    <w:p>
      <w:pPr>
        <w:spacing w:after="0" w:line="4" w:lineRule="exact"/>
        <w:rPr>
          <w:rFonts w:ascii="Times New Roman" w:cs="Times New Roman" w:eastAsia="Times New Roman" w:hAnsi="Times New Roman"/>
          <w:sz w:val="16"/>
          <w:szCs w:val="16"/>
          <w:color w:val="auto"/>
        </w:rPr>
      </w:pPr>
    </w:p>
    <w:p>
      <w:pPr>
        <w:ind w:left="400" w:right="80" w:hanging="395"/>
        <w:spacing w:after="0" w:line="251" w:lineRule="auto"/>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 publicly announced and approved by the Board of Directors in November 2022 that authorized the repurchase of $5 billion. At October 31, 2023, $4.80 billion remained available for repurchase under the November 2022 repurchase program. The plan does not have a fixed expiration date. See Part I, Item 1, “Financial Statements,” Note 17, “Stockholders' Equity,” in the Notes to the Condensed Consolidated Financial Statements for further discussion.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Billings: </w:t>
      </w:r>
      <w:r>
        <w:rPr>
          <w:rFonts w:ascii="Times New Roman" w:cs="Times New Roman" w:eastAsia="Times New Roman" w:hAnsi="Times New Roman"/>
          <w:sz w:val="18"/>
          <w:szCs w:val="18"/>
          <w:color w:val="auto"/>
        </w:rPr>
        <w:t>Total revenue plus the net change in deferred revenue from the beginning to the end of the period.</w:t>
      </w:r>
    </w:p>
    <w:p>
      <w:pPr>
        <w:spacing w:after="0" w:line="240"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18"/>
          <w:szCs w:val="18"/>
          <w:i w:val="1"/>
          <w:iCs w:val="1"/>
          <w:color w:val="auto"/>
        </w:rPr>
        <w:t>Cloud Service Offerings</w:t>
      </w:r>
      <w:r>
        <w:rPr>
          <w:rFonts w:ascii="Times New Roman" w:cs="Times New Roman" w:eastAsia="Times New Roman" w:hAnsi="Times New Roman"/>
          <w:sz w:val="18"/>
          <w:szCs w:val="18"/>
          <w:color w:val="auto"/>
        </w:rPr>
        <w:t>: Represents individual term-based offerings deployed through web browser technologies or in a hybrid software and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configuration. Cloud service offerings that are bundled with other product offerings are not captured as a separate cloud service offering.</w:t>
      </w:r>
    </w:p>
    <w:p>
      <w:pPr>
        <w:spacing w:after="0" w:line="19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Constant Currency (CC) Growth Rates: </w:t>
      </w:r>
      <w:r>
        <w:rPr>
          <w:rFonts w:ascii="Times New Roman" w:cs="Times New Roman" w:eastAsia="Times New Roman" w:hAnsi="Times New Roman"/>
          <w:sz w:val="18"/>
          <w:szCs w:val="18"/>
          <w:color w:val="auto"/>
        </w:rPr>
        <w:t>We attempt to represent the changes in the underlying business operations by eliminating fluctuations caused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206"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Design Business: </w:t>
      </w:r>
      <w:r>
        <w:rPr>
          <w:rFonts w:ascii="Times New Roman" w:cs="Times New Roman" w:eastAsia="Times New Roman" w:hAnsi="Times New Roman"/>
          <w:sz w:val="18"/>
          <w:szCs w:val="18"/>
          <w:color w:val="auto"/>
        </w:rPr>
        <w:t>Represents the combination of maintenance, product subscriptions, and all EBAs. Main products include, but are not limited to, AutoCAD,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AutoCAD LT, Industry Collections, Revit, Inventor, Maya and 3ds Max. Certain products, such as our computer aided manufacturing solutions, incorporate both Design and Make functionality and are classified as Design.</w:t>
      </w:r>
    </w:p>
    <w:p>
      <w:pPr>
        <w:spacing w:after="0" w:line="204"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Enterprise Business Agreements (EBAs): </w:t>
      </w:r>
      <w:r>
        <w:rPr>
          <w:rFonts w:ascii="Times New Roman" w:cs="Times New Roman" w:eastAsia="Times New Roman" w:hAnsi="Times New Roman"/>
          <w:sz w:val="18"/>
          <w:szCs w:val="18"/>
          <w:color w:val="auto"/>
        </w:rPr>
        <w:t>Represents programs providing enterprise customers with token-based access to a broad pool of Autodesk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defined contract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Flex: </w:t>
      </w:r>
      <w:r>
        <w:rPr>
          <w:rFonts w:ascii="Times New Roman" w:cs="Times New Roman" w:eastAsia="Times New Roman" w:hAnsi="Times New Roman"/>
          <w:sz w:val="18"/>
          <w:szCs w:val="18"/>
          <w:color w:val="auto"/>
        </w:rPr>
        <w:t>A pay-as-you-go consumption option to pre-purchase tokens to access any product available with Flex for a daily rate.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Cash flow from operating activities minus capital expenditures.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3" w:name="page54"/>
    <w:bookmarkEnd w:id="53"/>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Industry Collections: </w:t>
      </w:r>
      <w:r>
        <w:rPr>
          <w:rFonts w:ascii="Times New Roman" w:cs="Times New Roman" w:eastAsia="Times New Roman" w:hAnsi="Times New Roman"/>
          <w:sz w:val="18"/>
          <w:szCs w:val="18"/>
          <w:color w:val="auto"/>
        </w:rPr>
        <w:t>Autodesk Industry Collections are a combination of products and services that target a specific user objective and support a 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workflows for that objective. Our Industry Collections consist of: Autodesk Architecture, Engineering and Construction Collection, Autodesk Product Design and Manufacturing Collection, and Autodesk Media and Entertainment Collection.</w:t>
      </w:r>
    </w:p>
    <w:p>
      <w:pPr>
        <w:spacing w:after="0" w:line="204" w:lineRule="exact"/>
        <w:rPr>
          <w:sz w:val="20"/>
          <w:szCs w:val="20"/>
          <w:color w:val="auto"/>
        </w:rPr>
      </w:pPr>
    </w:p>
    <w:p>
      <w:pPr>
        <w:ind w:right="180"/>
        <w:spacing w:after="0" w:line="304" w:lineRule="auto"/>
        <w:rPr>
          <w:sz w:val="20"/>
          <w:szCs w:val="20"/>
          <w:color w:val="auto"/>
        </w:rPr>
      </w:pPr>
      <w:r>
        <w:rPr>
          <w:rFonts w:ascii="Times New Roman" w:cs="Times New Roman" w:eastAsia="Times New Roman" w:hAnsi="Times New Roman"/>
          <w:sz w:val="16"/>
          <w:szCs w:val="16"/>
          <w:i w:val="1"/>
          <w:iCs w:val="1"/>
          <w:color w:val="auto"/>
        </w:rPr>
        <w:t xml:space="preserve">Maintenance Plan: </w:t>
      </w:r>
      <w:r>
        <w:rPr>
          <w:rFonts w:ascii="Times New Roman" w:cs="Times New Roman" w:eastAsia="Times New Roman" w:hAnsi="Times New Roman"/>
          <w:sz w:val="16"/>
          <w:szCs w:val="16"/>
          <w:color w:val="auto"/>
        </w:rPr>
        <w:t>Our maintenance plans provide our customers with a cost effective and predictable budgetary option to obtain the productivity benefits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69"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Make Business: </w:t>
      </w:r>
      <w:r>
        <w:rPr>
          <w:rFonts w:ascii="Times New Roman" w:cs="Times New Roman" w:eastAsia="Times New Roman" w:hAnsi="Times New Roman"/>
          <w:sz w:val="18"/>
          <w:szCs w:val="18"/>
          <w:color w:val="auto"/>
        </w:rPr>
        <w:t>Represents certain cloud-based product subscriptions. Main products include, but are not limited to, Assemble, Autodesk Build,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BuildingConnected, Fusion 360 and ShotGrid. Certain products, such as Fusion 360, incorporate both Design and Make functionality and are classified as Make.</w:t>
      </w:r>
    </w:p>
    <w:p>
      <w:pPr>
        <w:spacing w:after="0" w:line="20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Net Revenue Retention Rate (NR3): </w:t>
      </w:r>
      <w:r>
        <w:rPr>
          <w:rFonts w:ascii="Times New Roman" w:cs="Times New Roman" w:eastAsia="Times New Roman" w:hAnsi="Times New Roman"/>
          <w:sz w:val="16"/>
          <w:szCs w:val="16"/>
          <w:color w:val="auto"/>
        </w:rPr>
        <w:t>Measures the year-over-year change in Recurring Revenue for the population of customers that existed one year ago (“base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w:t>
      </w:r>
    </w:p>
    <w:p>
      <w:pPr>
        <w:spacing w:after="0" w:line="18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Consists of revenue from consulting, training, and other products and services, and is recognized as the products are delivered and services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w:t>
      </w:r>
    </w:p>
    <w:p>
      <w:pPr>
        <w:spacing w:after="0" w:line="19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Subscription: </w:t>
      </w:r>
      <w:r>
        <w:rPr>
          <w:rFonts w:ascii="Times New Roman" w:cs="Times New Roman" w:eastAsia="Times New Roman" w:hAnsi="Times New Roman"/>
          <w:sz w:val="18"/>
          <w:szCs w:val="18"/>
          <w:color w:val="auto"/>
        </w:rPr>
        <w:t>Provides customers a flexible, cost-effective way to access and manage 3D design, engineering, and entertainment software tools.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subscriptions currently represent a hybrid of desktop and cloud functionality, which provides a device-independent, collaborative design workflow for designers and their stakeholders.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Recurring Revenue: </w:t>
      </w:r>
      <w:r>
        <w:rPr>
          <w:rFonts w:ascii="Times New Roman" w:cs="Times New Roman" w:eastAsia="Times New Roman" w:hAnsi="Times New Roman"/>
          <w:sz w:val="18"/>
          <w:szCs w:val="18"/>
          <w:color w:val="auto"/>
        </w:rPr>
        <w:t>Consists of the revenue for the period from our traditional maintenance plans, our subscription plan offerings, and certain Other revenue.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excludes subscription revenue related to third-party products. Recurring revenue acquired with the acquisition of a business is captured when total subscriptions are captured in our systems and may cause variability in the comparison of this calculation.</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(RPO): </w:t>
      </w:r>
      <w:r>
        <w:rPr>
          <w:rFonts w:ascii="Times New Roman" w:cs="Times New Roman" w:eastAsia="Times New Roman" w:hAnsi="Times New Roman"/>
          <w:sz w:val="18"/>
          <w:szCs w:val="18"/>
          <w:color w:val="auto"/>
        </w:rPr>
        <w:t>The sum of total short-term, long-term, and unbilled deferred revenue. Current remaining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amount of revenue we expect to recognize in the next twelve months.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Spend</w:t>
      </w:r>
      <w:r>
        <w:rPr>
          <w:rFonts w:ascii="Times New Roman" w:cs="Times New Roman" w:eastAsia="Times New Roman" w:hAnsi="Times New Roman"/>
          <w:sz w:val="18"/>
          <w:szCs w:val="18"/>
          <w:color w:val="auto"/>
        </w:rPr>
        <w:t>: The sum of cost of revenue and operating expenses.</w:t>
      </w:r>
    </w:p>
    <w:p>
      <w:pPr>
        <w:spacing w:after="0" w:line="24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Plan: </w:t>
      </w:r>
      <w:r>
        <w:rPr>
          <w:rFonts w:ascii="Times New Roman" w:cs="Times New Roman" w:eastAsia="Times New Roman" w:hAnsi="Times New Roman"/>
          <w:sz w:val="18"/>
          <w:szCs w:val="18"/>
          <w:color w:val="auto"/>
        </w:rPr>
        <w:t>Comprises our term-based product subscriptions, cloud service offerings, and EBAs. Subscriptions represent a combined hybrid offering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Includes our cloud-enabled term-based product subscriptions, cloud service offerings, and flexible EBAs.</w:t>
      </w:r>
    </w:p>
    <w:p>
      <w:pPr>
        <w:spacing w:after="0" w:line="240"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6"/>
          <w:szCs w:val="16"/>
          <w:i w:val="1"/>
          <w:iCs w:val="1"/>
          <w:color w:val="auto"/>
        </w:rPr>
        <w:t xml:space="preserve">Unbilled Deferred Revenue: </w:t>
      </w:r>
      <w:r>
        <w:rPr>
          <w:rFonts w:ascii="Times New Roman" w:cs="Times New Roman" w:eastAsia="Times New Roman" w:hAnsi="Times New Roman"/>
          <w:sz w:val="16"/>
          <w:szCs w:val="16"/>
          <w:color w:val="auto"/>
        </w:rPr>
        <w:t>Unbilled deferred revenue represents contractually stated or committed orders under early renewal and multi-year billing plans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4" w:name="page55"/>
    <w:bookmarkEnd w:id="54"/>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42" w:lineRule="exact"/>
        <w:rPr>
          <w:sz w:val="20"/>
          <w:szCs w:val="20"/>
          <w:color w:val="auto"/>
        </w:rPr>
      </w:pPr>
    </w:p>
    <w:p>
      <w:pPr>
        <w:ind w:right="140" w:firstLine="434"/>
        <w:spacing w:after="0" w:line="247"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2023, and January 31, 2023, we had open cash flow and balance sheet hedge contracts with future settlements generally within one to 12 months. Contracts were primarily denominated in Euros, British pounds, Japanese yen, Canadian dollars, Australian dollars, Norwegian krone, Singapore dollars, Indian rupees, and Swiss francs. We do not enter into foreign exchange derivative instruments for trading or speculative purposes.</w:t>
      </w:r>
    </w:p>
    <w:p>
      <w:pPr>
        <w:spacing w:after="0" w:line="217" w:lineRule="exact"/>
        <w:rPr>
          <w:sz w:val="20"/>
          <w:szCs w:val="20"/>
          <w:color w:val="auto"/>
        </w:rPr>
      </w:pPr>
    </w:p>
    <w:p>
      <w:pPr>
        <w:ind w:right="100" w:firstLine="434"/>
        <w:spacing w:after="0" w:line="263" w:lineRule="auto"/>
        <w:rPr>
          <w:sz w:val="20"/>
          <w:szCs w:val="20"/>
          <w:color w:val="auto"/>
        </w:rPr>
      </w:pPr>
      <w:r>
        <w:rPr>
          <w:rFonts w:ascii="Times New Roman" w:cs="Times New Roman" w:eastAsia="Times New Roman" w:hAnsi="Times New Roman"/>
          <w:sz w:val="18"/>
          <w:szCs w:val="18"/>
          <w:color w:val="auto"/>
        </w:rPr>
        <w:t>Our option and foreign exchange forward contracts outstanding as of the respective period-ends are summarized in U.S. dollar equivalents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3"/>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4"/>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January 31, 2023</w:t>
            </w:r>
          </w:p>
        </w:tc>
      </w:tr>
      <w:tr>
        <w:trPr>
          <w:trHeight w:val="24"/>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7"/>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Contracts: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09"/>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tcPr>
          <w:p>
            <w:pPr>
              <w:spacing w:after="0"/>
              <w:rPr>
                <w:sz w:val="18"/>
                <w:szCs w:val="18"/>
                <w:color w:val="auto"/>
              </w:rPr>
            </w:pPr>
          </w:p>
        </w:tc>
        <w:tc>
          <w:tcPr>
            <w:tcW w:w="1100" w:type="dxa"/>
            <w:vAlign w:val="bottom"/>
          </w:tcPr>
          <w:p>
            <w:pPr>
              <w:jc w:val="right"/>
              <w:ind w:right="945"/>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 Contracts: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bl>
    <w:p>
      <w:pPr>
        <w:spacing w:after="0" w:line="314"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We use foreign currency contracts to reduce the exchange rate impact on the net revenue and operating expenses of certain anticipated transactions. A hypothetical 10% appreciation of the U.S. dollar from its value at October 31, 2023, and January 31, 2023, would increase the fair value of our foreign currency contracts by $142 million and $149 million, respectively. A hypothetical 10% depreciation of the dollar from its value at October 31, 2023, and January 31, 2023, would decrease the fair value of our foreign currency contracts by $48 million and $191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2"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Interest rate movements affect both the interest income we earn on our short-term investments and the market value of certain longer-term securities. At October 31, 2023, we had $1,533 million of cash equivalents and marketable securities, including $428 million classified as short-term marketable securities and $219 million classified as long-term marketable securities. If interest rates were to move up or down by 50 or 100 basis points over a 12-month period, the market value change of these securities would not have a material impact on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w:t>
      </w:r>
    </w:p>
    <w:p>
      <w:pPr>
        <w:spacing w:after="0" w:line="24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 Item 1, “Financial Statements,” Note 5, “Financial Instruments,” in the Notes to Condensed Consolidated Financial Statements for further discussion regarding these strategic investments.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5" w:name="page56"/>
    <w:bookmarkEnd w:id="55"/>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2" w:lineRule="exact"/>
        <w:rPr>
          <w:sz w:val="20"/>
          <w:szCs w:val="20"/>
          <w:color w:val="auto"/>
        </w:rPr>
      </w:pPr>
    </w:p>
    <w:p>
      <w:pPr>
        <w:ind w:right="200" w:firstLine="395"/>
        <w:spacing w:after="0" w:line="286" w:lineRule="auto"/>
        <w:rPr>
          <w:sz w:val="20"/>
          <w:szCs w:val="20"/>
          <w:color w:val="auto"/>
        </w:rPr>
      </w:pPr>
      <w:r>
        <w:rPr>
          <w:rFonts w:ascii="Times New Roman" w:cs="Times New Roman" w:eastAsia="Times New Roman" w:hAnsi="Times New Roman"/>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5"/>
        <w:spacing w:after="0" w:line="283" w:lineRule="auto"/>
        <w:tabs>
          <w:tab w:leader="none" w:pos="20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87"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100" w:firstLine="395"/>
        <w:spacing w:after="0" w:line="24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three months ended October 31, 2023,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21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significant risks, a number of which are beyond our control. In addition to the other information contained in this Quarterly Report on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Quarterly Report on Form 10-Q and in the documents incorporated herein by reference. They could affect our actual results of operations, causing them to differ materially from those expressed in forward-looking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Risk Factors</w:t>
      </w:r>
    </w:p>
    <w:p>
      <w:pPr>
        <w:spacing w:after="0" w:line="242"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22" w:lineRule="exact"/>
        <w:rPr>
          <w:sz w:val="20"/>
          <w:szCs w:val="20"/>
          <w:color w:val="auto"/>
        </w:rPr>
      </w:pPr>
    </w:p>
    <w:p>
      <w:pPr>
        <w:ind w:left="640" w:right="340" w:hanging="319"/>
        <w:spacing w:after="0" w:line="241" w:lineRule="auto"/>
        <w:tabs>
          <w:tab w:leader="none" w:pos="63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Our strategy to develop and introduce new products and services, exposing us to risks such as limited customer acceptance (both new and existing customers), costs related to product defects, and large expenditures.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Global economic and political conditions.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Costs and challenges associated with strategic acquisitions and investments.</w:t>
      </w:r>
    </w:p>
    <w:p>
      <w:pPr>
        <w:spacing w:after="0" w:line="22" w:lineRule="exact"/>
        <w:rPr>
          <w:rFonts w:ascii="Arial" w:cs="Arial" w:eastAsia="Arial" w:hAnsi="Arial"/>
          <w:sz w:val="21"/>
          <w:szCs w:val="21"/>
          <w:color w:val="auto"/>
        </w:rPr>
      </w:pPr>
    </w:p>
    <w:p>
      <w:pPr>
        <w:ind w:left="640" w:right="180" w:hanging="319"/>
        <w:spacing w:after="0" w:line="234" w:lineRule="auto"/>
        <w:tabs>
          <w:tab w:leader="none" w:pos="63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Dependency on international revenue and operations, exposing us to significant international regulatory, economic, intellectual property, collections, currency exchange rate, taxation, political, and other risks.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Inability to predict subscription renewal rates and their impact on our future revenue and operating results.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Existing and increased competition and rapidly evolving technological changes.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 of our financial results, key metrics and other operating metrics.</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17"/>
          <w:szCs w:val="17"/>
          <w:color w:val="auto"/>
        </w:rPr>
        <w:t>Deriving a substantial portion of our net revenue from a small number of solutions, including our AutoCAD-based software products and collections.</w:t>
      </w:r>
    </w:p>
    <w:p>
      <w:pPr>
        <w:spacing w:after="0" w:line="15"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Any failure to successfully execute and manage initiatives to realign or introduce new business and sales initiatives.</w:t>
      </w:r>
    </w:p>
    <w:p>
      <w:pPr>
        <w:spacing w:after="0" w:line="16" w:lineRule="exact"/>
        <w:rPr>
          <w:rFonts w:ascii="Arial" w:cs="Arial" w:eastAsia="Arial" w:hAnsi="Arial"/>
          <w:sz w:val="21"/>
          <w:szCs w:val="21"/>
          <w:color w:val="auto"/>
        </w:rPr>
      </w:pPr>
    </w:p>
    <w:p>
      <w:pPr>
        <w:ind w:left="640" w:hanging="319"/>
        <w:spacing w:after="0" w:line="221"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Net revenue, billings, earnings, cash flow, or subscriptions shortfalls or volatility of the market causing the market price of our stock to decline.</w:t>
      </w: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relating to the proper management and governance of our use of artificial intelligence in our offerings.</w:t>
      </w:r>
    </w:p>
    <w:p>
      <w:pPr>
        <w:spacing w:after="0" w:line="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Security incidents compromising the integrity of our or our customers’ offerings, services, data, or intellectual property.</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Reliance on third parties to provide us with a number of operational and technical services as well as software.</w:t>
      </w:r>
    </w:p>
    <w:p>
      <w:pPr>
        <w:spacing w:after="0" w:line="35" w:lineRule="exact"/>
        <w:rPr>
          <w:rFonts w:ascii="Arial" w:cs="Arial" w:eastAsia="Arial" w:hAnsi="Arial"/>
          <w:sz w:val="21"/>
          <w:szCs w:val="21"/>
          <w:color w:val="auto"/>
        </w:rPr>
      </w:pPr>
    </w:p>
    <w:p>
      <w:pPr>
        <w:ind w:left="640" w:right="400" w:hanging="319"/>
        <w:spacing w:after="0" w:line="229" w:lineRule="auto"/>
        <w:tabs>
          <w:tab w:leader="none" w:pos="63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Our highly complex software, which may contain undetected errors, defects, or vulnerabilities, and is subject to service disruptions, degradations, outages or other performance problems.</w:t>
      </w: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data protection, and information security issues and expanding laws.</w:t>
      </w:r>
    </w:p>
    <w:p>
      <w:pPr>
        <w:spacing w:after="0" w:line="23" w:lineRule="exact"/>
        <w:rPr>
          <w:rFonts w:ascii="Times New Roman" w:cs="Times New Roman" w:eastAsia="Times New Roman" w:hAnsi="Times New Roman"/>
          <w:sz w:val="18"/>
          <w:szCs w:val="18"/>
          <w:color w:val="auto"/>
        </w:rPr>
      </w:pPr>
    </w:p>
    <w:p>
      <w:pPr>
        <w:ind w:left="640" w:right="280" w:hanging="319"/>
        <w:spacing w:after="0" w:line="234" w:lineRule="auto"/>
        <w:tabs>
          <w:tab w:leader="none" w:pos="63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Governmental export and import controls that could impair our ability to compete in international markets or subject us to liability if we violate the controls.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Protection of our intellectual property rights and intellectual property infringement claims from others.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The government procurement process.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7" w:name="page58"/>
    <w:bookmarkEnd w:id="57"/>
    <w:p>
      <w:pPr>
        <w:ind w:left="640" w:hanging="319"/>
        <w:spacing w:after="0"/>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currency exchange rates.</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Our debt service obligations.</w:t>
      </w:r>
    </w:p>
    <w:p>
      <w:pPr>
        <w:spacing w:after="0" w:line="22" w:lineRule="exact"/>
        <w:rPr>
          <w:rFonts w:ascii="Arial" w:cs="Arial" w:eastAsia="Arial" w:hAnsi="Arial"/>
          <w:sz w:val="21"/>
          <w:szCs w:val="21"/>
          <w:color w:val="auto"/>
        </w:rPr>
      </w:pPr>
    </w:p>
    <w:p>
      <w:pPr>
        <w:ind w:left="640" w:right="280" w:hanging="319"/>
        <w:spacing w:after="0" w:line="234" w:lineRule="auto"/>
        <w:tabs>
          <w:tab w:leader="none" w:pos="63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Our investment portfolio consisting of a variety of investment vehicles that are subject to interest rate trends, market volatility, and other economic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Business and Strategy</w:t>
      </w:r>
    </w:p>
    <w:p>
      <w:pPr>
        <w:spacing w:after="0" w:line="240" w:lineRule="exact"/>
        <w:rPr>
          <w:sz w:val="20"/>
          <w:szCs w:val="20"/>
          <w:color w:val="auto"/>
        </w:rPr>
      </w:pPr>
    </w:p>
    <w:p>
      <w:pPr>
        <w:ind w:right="700"/>
        <w:spacing w:after="0" w:line="335" w:lineRule="auto"/>
        <w:rPr>
          <w:sz w:val="20"/>
          <w:szCs w:val="20"/>
          <w:color w:val="auto"/>
        </w:rPr>
      </w:pPr>
      <w:r>
        <w:rPr>
          <w:rFonts w:ascii="Times New Roman" w:cs="Times New Roman" w:eastAsia="Times New Roman" w:hAnsi="Times New Roman"/>
          <w:sz w:val="16"/>
          <w:szCs w:val="16"/>
          <w:i w:val="1"/>
          <w:iCs w:val="1"/>
          <w:color w:val="auto"/>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spacing w:after="0" w:line="133" w:lineRule="exact"/>
        <w:rPr>
          <w:sz w:val="20"/>
          <w:szCs w:val="20"/>
          <w:color w:val="auto"/>
        </w:rPr>
      </w:pPr>
    </w:p>
    <w:p>
      <w:pPr>
        <w:ind w:firstLine="395"/>
        <w:spacing w:after="0" w:line="231" w:lineRule="auto"/>
        <w:rPr>
          <w:sz w:val="20"/>
          <w:szCs w:val="20"/>
          <w:color w:val="auto"/>
        </w:rPr>
      </w:pPr>
      <w:r>
        <w:rPr>
          <w:rFonts w:ascii="Times New Roman" w:cs="Times New Roman" w:eastAsia="Times New Roman" w:hAnsi="Times New Roman"/>
          <w:sz w:val="18"/>
          <w:szCs w:val="18"/>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artificial intelligence (“AI”) and machine learning are propelling advancements in technology, but if they are not widely adopted and accepted or fail to operate as expected, our business and reputation may be harmed.</w:t>
      </w:r>
    </w:p>
    <w:p>
      <w:pPr>
        <w:spacing w:after="0" w:line="220" w:lineRule="exact"/>
        <w:rPr>
          <w:sz w:val="20"/>
          <w:szCs w:val="20"/>
          <w:color w:val="auto"/>
        </w:rPr>
      </w:pPr>
    </w:p>
    <w:p>
      <w:pPr>
        <w:ind w:right="80" w:firstLine="395"/>
        <w:spacing w:after="0" w:line="247" w:lineRule="auto"/>
        <w:rPr>
          <w:sz w:val="20"/>
          <w:szCs w:val="20"/>
          <w:color w:val="auto"/>
        </w:rPr>
      </w:pPr>
      <w:r>
        <w:rPr>
          <w:rFonts w:ascii="Times New Roman" w:cs="Times New Roman" w:eastAsia="Times New Roman" w:hAnsi="Times New Roman"/>
          <w:sz w:val="18"/>
          <w:szCs w:val="18"/>
          <w:color w:val="auto"/>
        </w:rPr>
        <w:t>In addition, we frequently introduce new business models or methods that require a considerable investment of technical and financial resources, such as our introduction of flexible subscription and service offerings and our transition of multi-subscription plans to named-user plans.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new customers or existing customers, and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217"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12"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and political conditions may further impact our industries, business, and financial results.</w:t>
      </w:r>
    </w:p>
    <w:p>
      <w:pPr>
        <w:spacing w:after="0" w:line="229" w:lineRule="exact"/>
        <w:rPr>
          <w:sz w:val="20"/>
          <w:szCs w:val="20"/>
          <w:color w:val="auto"/>
        </w:rPr>
      </w:pPr>
    </w:p>
    <w:p>
      <w:pPr>
        <w:ind w:right="100" w:firstLine="395"/>
        <w:spacing w:after="0" w:line="234" w:lineRule="auto"/>
        <w:rPr>
          <w:sz w:val="20"/>
          <w:szCs w:val="20"/>
          <w:color w:val="auto"/>
        </w:rPr>
      </w:pPr>
      <w:r>
        <w:rPr>
          <w:rFonts w:ascii="Times New Roman" w:cs="Times New Roman" w:eastAsia="Times New Roman" w:hAnsi="Times New Roman"/>
          <w:sz w:val="18"/>
          <w:szCs w:val="18"/>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and the coronavirus (COVID-19) pandemic have caused uncertainty in the global economy, and an economic downturn or recession in the United States or in other countries may occur or has already occurred and may</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97" w:right="359" w:bottom="1440" w:gutter="0" w:footer="0" w:header="0"/>
        </w:sectPr>
      </w:pPr>
    </w:p>
    <w:bookmarkStart w:id="58" w:name="page59"/>
    <w:bookmarkEnd w:id="58"/>
    <w:p>
      <w:pPr>
        <w:ind w:right="20"/>
        <w:spacing w:after="0" w:line="230" w:lineRule="auto"/>
        <w:rPr>
          <w:sz w:val="20"/>
          <w:szCs w:val="20"/>
          <w:color w:val="auto"/>
        </w:rPr>
      </w:pPr>
      <w:r>
        <w:rPr>
          <w:rFonts w:ascii="Times New Roman" w:cs="Times New Roman" w:eastAsia="Times New Roman" w:hAnsi="Times New Roman"/>
          <w:sz w:val="18"/>
          <w:szCs w:val="18"/>
          <w:color w:val="auto"/>
        </w:rPr>
        <w:t>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the ebb and flow of COVID-19, including in specific geographies and as a result of outbreaks and variants;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current conflicts between Russia and Ukraine and between Israel and Hamas; foreign exchange rate fluctuations; and the effect of these challenges on margins and cash flow. All of these factors continue to evolve and remain uncertain at this time, and some of these factors are not within our control. Due to our subscription-based business model, the effect of COVID-19 may not be fully reflected in our results of operations until future periods, if at all. If economic growth in countries where we do business slows or if such countries experience further economic recessions, customers may delay or reduce technology purchases, which we have seen recently in certain countries including China.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211" w:lineRule="exact"/>
        <w:rPr>
          <w:sz w:val="20"/>
          <w:szCs w:val="20"/>
          <w:color w:val="auto"/>
        </w:rPr>
      </w:pPr>
    </w:p>
    <w:p>
      <w:pPr>
        <w:ind w:firstLine="395"/>
        <w:spacing w:after="0" w:line="230" w:lineRule="auto"/>
        <w:rPr>
          <w:sz w:val="20"/>
          <w:szCs w:val="20"/>
          <w:color w:val="auto"/>
        </w:rPr>
      </w:pPr>
      <w:r>
        <w:rPr>
          <w:rFonts w:ascii="Times New Roman" w:cs="Times New Roman" w:eastAsia="Times New Roman" w:hAnsi="Times New Roman"/>
          <w:sz w:val="18"/>
          <w:szCs w:val="18"/>
          <w:color w:val="auto"/>
        </w:rPr>
        <w:t>As described elsewhere in these risk factors, we are dependent on international revenue and operations and are subject to related risks of conducting business globally. Trends toward nationalism and protectionism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including the significant military action against Ukraine launched by Russia, the conflict between Israel and Hamas,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impacted by the costs and challenges associated with strategic acquisitions and investments.</w:t>
      </w:r>
    </w:p>
    <w:p>
      <w:pPr>
        <w:spacing w:after="0" w:line="229" w:lineRule="exact"/>
        <w:rPr>
          <w:sz w:val="20"/>
          <w:szCs w:val="20"/>
          <w:color w:val="auto"/>
        </w:rPr>
      </w:pPr>
    </w:p>
    <w:p>
      <w:pPr>
        <w:ind w:right="20" w:firstLine="395"/>
        <w:spacing w:after="0" w:line="234" w:lineRule="auto"/>
        <w:rPr>
          <w:sz w:val="20"/>
          <w:szCs w:val="20"/>
          <w:color w:val="auto"/>
        </w:rPr>
      </w:pPr>
      <w:r>
        <w:rPr>
          <w:rFonts w:ascii="Times New Roman" w:cs="Times New Roman" w:eastAsia="Times New Roman" w:hAnsi="Times New Roman"/>
          <w:sz w:val="18"/>
          <w:szCs w:val="18"/>
          <w:color w:val="auto"/>
        </w:rPr>
        <w:t>We regularly acquire or invest in businesses, software solutions, and technologies that are complementary to our business through acquisitions, strategic alliances, or equity or debt investments, including several transactions in fiscal 2023 and the nine months ended October 31, 2023.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250" w:lineRule="exact"/>
        <w:rPr>
          <w:sz w:val="20"/>
          <w:szCs w:val="20"/>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the inability to retain customers, key employees, vendors, distributors, business partners, and other entities associated with the acquired business;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that due diligence of the acquired business or solution does not identify significant problems;</w:t>
      </w:r>
    </w:p>
    <w:p>
      <w:pPr>
        <w:spacing w:after="0" w:line="22" w:lineRule="exact"/>
        <w:rPr>
          <w:rFonts w:ascii="Arial" w:cs="Arial" w:eastAsia="Arial" w:hAnsi="Arial"/>
          <w:sz w:val="21"/>
          <w:szCs w:val="21"/>
          <w:color w:val="auto"/>
        </w:rPr>
      </w:pPr>
    </w:p>
    <w:p>
      <w:pPr>
        <w:ind w:left="640" w:right="120" w:hanging="319"/>
        <w:spacing w:after="0" w:line="234"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claims from terminated employees, customers, or other third parties;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for incompatible business cultures;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significantly higher than anticipated transaction or integration-related costs;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additional exposure to economic, tax, currency, political, legal, and regulatory risks associated with specific countries; and</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7"/>
          <w:szCs w:val="17"/>
          <w:color w:val="auto"/>
        </w:rPr>
        <w:t>the potential impact on relationships with existing customers, vendors, and distributors as business partners as a result of acquiring another business.</w:t>
      </w:r>
    </w:p>
    <w:p>
      <w:pPr>
        <w:spacing w:after="0" w:line="219"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9" w:name="page60"/>
    <w:bookmarkEnd w:id="59"/>
    <w:p>
      <w:pPr>
        <w:spacing w:after="0" w:line="377"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179" w:lineRule="exact"/>
        <w:rPr>
          <w:sz w:val="20"/>
          <w:szCs w:val="20"/>
          <w:color w:val="auto"/>
        </w:rPr>
      </w:pPr>
    </w:p>
    <w:p>
      <w:pPr>
        <w:ind w:firstLine="395"/>
        <w:spacing w:after="0" w:line="269" w:lineRule="auto"/>
        <w:rPr>
          <w:sz w:val="20"/>
          <w:szCs w:val="20"/>
          <w:color w:val="auto"/>
        </w:rPr>
      </w:pPr>
      <w:r>
        <w:rPr>
          <w:rFonts w:ascii="Times New Roman" w:cs="Times New Roman" w:eastAsia="Times New Roman" w:hAnsi="Times New Roman"/>
          <w:sz w:val="16"/>
          <w:szCs w:val="16"/>
          <w:color w:val="auto"/>
        </w:rPr>
        <w:t>International net revenue represented 64% and 66% of our net revenue for the nine months ended October 31, 2023 and 2022, respectively. Our international revenue, some of which comes from emerging economies, is subject to economic and political conditions in foreign markets, including those resulting from economic and political conditions in the United States, as well as country-specific conditions related to COVID-19, such as varied speed of recovery in different geographies. For example, we have recently seen a deceleration in growth in certain geographies including China.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197" w:lineRule="exact"/>
        <w:rPr>
          <w:sz w:val="20"/>
          <w:szCs w:val="20"/>
          <w:color w:val="auto"/>
        </w:rPr>
      </w:pPr>
    </w:p>
    <w:p>
      <w:pPr>
        <w:jc w:val="both"/>
        <w:ind w:right="220" w:firstLine="395"/>
        <w:spacing w:after="0" w:line="250" w:lineRule="auto"/>
        <w:rPr>
          <w:sz w:val="20"/>
          <w:szCs w:val="20"/>
          <w:color w:val="auto"/>
        </w:rPr>
      </w:pPr>
      <w:r>
        <w:rPr>
          <w:rFonts w:ascii="Times New Roman" w:cs="Times New Roman" w:eastAsia="Times New Roman" w:hAnsi="Times New Roman"/>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spacing w:after="0" w:line="11" w:lineRule="exact"/>
        <w:rPr>
          <w:sz w:val="20"/>
          <w:szCs w:val="20"/>
          <w:color w:val="auto"/>
        </w:rPr>
      </w:pPr>
    </w:p>
    <w:p>
      <w:pPr>
        <w:ind w:left="640" w:hanging="319"/>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economic volatility;</w:t>
      </w:r>
    </w:p>
    <w:p>
      <w:pPr>
        <w:spacing w:after="0" w:line="21" w:lineRule="exact"/>
        <w:rPr>
          <w:rFonts w:ascii="Arial" w:cs="Arial" w:eastAsia="Arial" w:hAnsi="Arial"/>
          <w:sz w:val="21"/>
          <w:szCs w:val="21"/>
          <w:color w:val="auto"/>
        </w:rPr>
      </w:pPr>
    </w:p>
    <w:p>
      <w:pPr>
        <w:ind w:left="640" w:right="160" w:hanging="319"/>
        <w:spacing w:after="0" w:line="255"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tariffs, quotas, and other trade barriers and restrictions , including any political or economic responses and counter-responses or otherwise by various global actors to the significant military action against Ukraine launched by Russia;</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7"/>
          <w:szCs w:val="17"/>
          <w:color w:val="auto"/>
        </w:rPr>
        <w:t>fluctuating currency exchange rates, including devaluations, currency controls, and inflation, and risks related to any hedging activities we undertake;</w:t>
      </w:r>
    </w:p>
    <w:p>
      <w:pPr>
        <w:spacing w:after="0" w:line="16"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regulatory requirements and practices;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delays resulting from difficulty in obtaining export licenses for certain technology;</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different purchase patterns as compared to the developed world;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operating in locations with a higher incidence of corruption and fraudulent business practices, particularly in emerging economies;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compliance with the U.S. Foreign Corrupt Practices Act, the U.K. Bribery Act, and other anti-corruption laws;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difficulties in staffing and managing foreign sales and development operations;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local competition;</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longer collection cycles for accounts receivable;</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U.S. and foreign tax law changes and the complexities of tax reporting;</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laws regarding the free flow of data across international borders and management of and access to data and public networks;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possible future limitations upon foreign-owned businesses;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inadequate local infrastructure;</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greater difficulty in protecting intellectual property;</w:t>
      </w:r>
    </w:p>
    <w:p>
      <w:pPr>
        <w:spacing w:after="0" w:line="16" w:lineRule="exact"/>
        <w:rPr>
          <w:rFonts w:ascii="Arial" w:cs="Arial" w:eastAsia="Arial" w:hAnsi="Arial"/>
          <w:sz w:val="21"/>
          <w:szCs w:val="21"/>
          <w:color w:val="auto"/>
        </w:rPr>
      </w:pPr>
    </w:p>
    <w:p>
      <w:pPr>
        <w:ind w:left="640" w:hanging="319"/>
        <w:spacing w:after="0" w:line="221"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software piracy; and</w:t>
      </w:r>
    </w:p>
    <w:p>
      <w:pPr>
        <w:ind w:left="640" w:right="160" w:hanging="319"/>
        <w:spacing w:after="0" w:line="233"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 including popular uprisings, terrorism, war (including the significant military action against Ukraine launched by Russia, the conflict between Israel and Hamas, and any related political or economic responses and counter-responses or otherwise by various global actors or the general effect on the global economy), natural disasters, and diseases and pandemics, such as COVID-19.</w:t>
      </w:r>
    </w:p>
    <w:p>
      <w:pPr>
        <w:spacing w:after="0"/>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w:t>
      </w:r>
    </w:p>
    <w:p>
      <w:pPr>
        <w:spacing w:after="0" w:line="210" w:lineRule="exact"/>
        <w:rPr>
          <w:sz w:val="20"/>
          <w:szCs w:val="20"/>
          <w:color w:val="auto"/>
        </w:rPr>
      </w:pPr>
    </w:p>
    <w:p>
      <w:pPr>
        <w:ind w:right="120" w:firstLine="434"/>
        <w:spacing w:after="0" w:line="236" w:lineRule="auto"/>
        <w:rPr>
          <w:sz w:val="20"/>
          <w:szCs w:val="20"/>
          <w:color w:val="auto"/>
        </w:rPr>
      </w:pPr>
      <w:r>
        <w:rPr>
          <w:rFonts w:ascii="Times New Roman" w:cs="Times New Roman" w:eastAsia="Times New Roman" w:hAnsi="Times New Roman"/>
          <w:sz w:val="18"/>
          <w:szCs w:val="18"/>
          <w:color w:val="auto"/>
        </w:rPr>
        <w:t>The application of the Trade and Cooperation Agreement between the European Union, the European Atomic Energy Community, and the United Kingdom signed in December 2020 (the “TCA”), which took effect January 1, 2021, could have adverse tax, tax treaty, banking, operational, legal, regulatory, or other impacts on our businesses in the region. The withdrawal could also, among other potential outcomes, create currency volatility; disrupt the free movement of goods, services, and people between the United Kingdom and the European Union; and significantly disrupt trade between the United Kingdom and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ind w:right="300"/>
        <w:spacing w:after="0" w:line="253" w:lineRule="auto"/>
        <w:rPr>
          <w:sz w:val="20"/>
          <w:szCs w:val="20"/>
          <w:color w:val="auto"/>
        </w:rPr>
      </w:pPr>
      <w:r>
        <w:rPr>
          <w:rFonts w:ascii="Times New Roman" w:cs="Times New Roman" w:eastAsia="Times New Roman" w:hAnsi="Times New Roman"/>
          <w:sz w:val="18"/>
          <w:szCs w:val="18"/>
          <w:color w:val="auto"/>
        </w:rPr>
        <w:t>European Union and other parties. Uncertainty around these and related issues could lead to adverse effects on the United Kingdom economy, the European Union economies, and the other economies in which we operate.</w:t>
      </w:r>
    </w:p>
    <w:p>
      <w:pPr>
        <w:spacing w:after="0" w:line="195" w:lineRule="exact"/>
        <w:rPr>
          <w:sz w:val="20"/>
          <w:szCs w:val="20"/>
          <w:color w:val="auto"/>
        </w:rPr>
      </w:pPr>
    </w:p>
    <w:p>
      <w:pPr>
        <w:ind w:right="60" w:firstLine="474"/>
        <w:spacing w:after="0" w:line="231" w:lineRule="auto"/>
        <w:rPr>
          <w:sz w:val="20"/>
          <w:szCs w:val="20"/>
          <w:color w:val="auto"/>
        </w:rPr>
      </w:pPr>
      <w:r>
        <w:rPr>
          <w:rFonts w:ascii="Times New Roman" w:cs="Times New Roman" w:eastAsia="Times New Roman" w:hAnsi="Times New Roman"/>
          <w:sz w:val="18"/>
          <w:szCs w:val="18"/>
          <w:color w:val="auto"/>
        </w:rPr>
        <w:t>In addition, in recent years, the United States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More recently, the United States and other global actors have imposed sanctions as a result of the significant military action against Ukraine launched by Russia. New or increased tariffs and other changes in U.S. trade policy, including new sanctions, could trigger retaliatory actions by affected countries, including Russia. In addition, certain foreign governments, including the Chinese government, have instituted or considered imposing trade sanctions on certain U.S.-manufactured goods. The escalation of protectionist or retaliatory trade measures in either the United States or any other countries in which we do business, such as announcing sanctions, a change in tariff structures, export compliance, or other trade policies, may increase the cost of, or otherwise interfere with, the conduct of our business, and could have a material adverse effect on our operations and business outlook.</w:t>
      </w:r>
    </w:p>
    <w:p>
      <w:pPr>
        <w:spacing w:after="0" w:line="207" w:lineRule="exact"/>
        <w:rPr>
          <w:sz w:val="20"/>
          <w:szCs w:val="20"/>
          <w:color w:val="auto"/>
        </w:rPr>
      </w:pPr>
    </w:p>
    <w:p>
      <w:pPr>
        <w:ind w:right="180" w:firstLine="474"/>
        <w:spacing w:after="0" w:line="253" w:lineRule="auto"/>
        <w:rPr>
          <w:sz w:val="20"/>
          <w:szCs w:val="20"/>
          <w:color w:val="auto"/>
        </w:rPr>
      </w:pPr>
      <w:r>
        <w:rPr>
          <w:rFonts w:ascii="Times New Roman" w:cs="Times New Roman" w:eastAsia="Times New Roman" w:hAnsi="Times New Roman"/>
          <w:sz w:val="18"/>
          <w:szCs w:val="18"/>
          <w:color w:val="auto"/>
        </w:rPr>
        <w:t>Even if we are able to successfully manage the risks of international operations, our business may be adversely affected if our business partners are not able to successfully manage these risks.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predict subscription renewal rates and their impact on our future revenue and operating results.</w:t>
      </w:r>
    </w:p>
    <w:p>
      <w:pPr>
        <w:spacing w:after="0" w:line="242" w:lineRule="exact"/>
        <w:rPr>
          <w:sz w:val="20"/>
          <w:szCs w:val="20"/>
          <w:color w:val="auto"/>
        </w:rPr>
      </w:pPr>
    </w:p>
    <w:p>
      <w:pPr>
        <w:ind w:right="120" w:firstLine="395"/>
        <w:spacing w:after="0" w:line="289" w:lineRule="auto"/>
        <w:rPr>
          <w:sz w:val="20"/>
          <w:szCs w:val="20"/>
          <w:color w:val="auto"/>
        </w:rPr>
      </w:pPr>
      <w:r>
        <w:rPr>
          <w:rFonts w:ascii="Times New Roman" w:cs="Times New Roman" w:eastAsia="Times New Roman" w:hAnsi="Times New Roman"/>
          <w:sz w:val="16"/>
          <w:szCs w:val="16"/>
          <w:color w:val="auto"/>
        </w:rPr>
        <w:t>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or financial markets uncertainty. If our customers do not renew their subscriptions or if they renew on less favorable terms, our revenues may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and increased competition and rapidly evolving technological changes may reduce our revenue and profits.</w:t>
      </w:r>
    </w:p>
    <w:p>
      <w:pPr>
        <w:spacing w:after="0" w:line="24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6"/>
          <w:szCs w:val="16"/>
          <w:color w:val="auto"/>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w:t>
      </w:r>
      <w:r>
        <w:rPr>
          <w:rFonts w:ascii="Times New Roman" w:cs="Times New Roman" w:eastAsia="Times New Roman" w:hAnsi="Times New Roman"/>
          <w:sz w:val="16"/>
          <w:szCs w:val="16"/>
          <w:color w:val="212529"/>
        </w:rPr>
        <w:t>subscriptions and cloud-enabled technologies</w:t>
      </w:r>
      <w:r>
        <w:rPr>
          <w:rFonts w:ascii="Times New Roman" w:cs="Times New Roman" w:eastAsia="Times New Roman" w:hAnsi="Times New Roman"/>
          <w:sz w:val="16"/>
          <w:szCs w:val="16"/>
          <w:color w:val="auto"/>
        </w:rPr>
        <w:t>.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Our competitors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200" w:lineRule="exact"/>
        <w:rPr>
          <w:sz w:val="20"/>
          <w:szCs w:val="20"/>
          <w:color w:val="auto"/>
        </w:rPr>
      </w:pPr>
    </w:p>
    <w:p>
      <w:pPr>
        <w:spacing w:after="0" w:line="204"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92"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could cause our financial results, key metrics, and other operating metrics to fluctuate include:</w:t>
      </w:r>
    </w:p>
    <w:p>
      <w:pPr>
        <w:spacing w:after="0" w:line="23" w:lineRule="exact"/>
        <w:rPr>
          <w:sz w:val="20"/>
          <w:szCs w:val="20"/>
          <w:color w:val="auto"/>
        </w:rPr>
      </w:pPr>
    </w:p>
    <w:p>
      <w:pPr>
        <w:ind w:left="640" w:right="300" w:hanging="319"/>
        <w:spacing w:after="0" w:line="234" w:lineRule="auto"/>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general market, economic, business, and political conditions in Europe, APAC, and emerging economies, including from an economic downturn or recession in the United States or other countries;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produce sufficient revenue, billings, subscription, profitability, and cash flow growth, including as a result of the COVID-19 pandemic;</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1" w:name="page62"/>
    <w:bookmarkEnd w:id="61"/>
    <w:p>
      <w:pPr>
        <w:ind w:left="640" w:right="500" w:hanging="319"/>
        <w:spacing w:after="0" w:line="234"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 w:lineRule="exact"/>
        <w:rPr>
          <w:rFonts w:ascii="Arial" w:cs="Arial" w:eastAsia="Arial" w:hAnsi="Arial"/>
          <w:sz w:val="21"/>
          <w:szCs w:val="21"/>
          <w:color w:val="auto"/>
        </w:rPr>
      </w:pPr>
    </w:p>
    <w:p>
      <w:pPr>
        <w:ind w:left="640" w:hanging="319"/>
        <w:spacing w:after="0" w:line="235"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shift to named-user plans and annual billing of multi-year contracts;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successfully introduce and expand new transaction models;</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goodwill impairment charges related to prior acquisitions;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manage spend;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billings linearity;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subscription mix, pricing pressure, or changes in subscription pricing;</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weak or negative growth in one or more of the industries we serve, including AEC, manufacturing, and digital media and entertainment markets;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the success of new business or sales initiatives;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security breaches, related reputational harm, and potential financial penalties to customers and government entities;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restructuring or other accounting charges and unexpected costs or other operating expenses;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additional investments in our technologies or deployment of our services;</w:t>
      </w:r>
    </w:p>
    <w:p>
      <w:pPr>
        <w:spacing w:after="0" w:line="22" w:lineRule="exact"/>
        <w:rPr>
          <w:rFonts w:ascii="Arial" w:cs="Arial" w:eastAsia="Arial" w:hAnsi="Arial"/>
          <w:sz w:val="21"/>
          <w:szCs w:val="21"/>
          <w:color w:val="auto"/>
        </w:rPr>
      </w:pPr>
    </w:p>
    <w:p>
      <w:pPr>
        <w:ind w:left="640" w:right="480" w:hanging="319"/>
        <w:spacing w:after="0" w:line="234"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revenue recognition or other accounting guidelines employed by us and/or established by the Financial Accounting Standards Board, Securities and Exchange Commission, or other rulemaking bodies;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foreign currency exchange rates and the effectiveness of our hedging activity;</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dependence on and timing of large transactions;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adjustments arising from ongoing or future tax examinations;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the ability of governments around the world to adopt fiscal policies, meet their financial and debt obligations, and finance infrastructure projects;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expand our AutoCAD and AutoCAD LT customer base to related design products and services;</w:t>
      </w:r>
    </w:p>
    <w:p>
      <w:pPr>
        <w:spacing w:after="0" w:line="22" w:lineRule="exact"/>
        <w:rPr>
          <w:rFonts w:ascii="Arial" w:cs="Arial" w:eastAsia="Arial" w:hAnsi="Arial"/>
          <w:sz w:val="21"/>
          <w:szCs w:val="21"/>
          <w:color w:val="auto"/>
        </w:rPr>
      </w:pPr>
    </w:p>
    <w:p>
      <w:pPr>
        <w:ind w:left="640" w:right="260" w:hanging="319"/>
        <w:spacing w:after="0" w:line="241"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rapidly adapt to technological and customer preference changes, including those related to cloud computing, mobile devices, and new computing platforms;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the introduction of new products by us or our competitors;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the financial and business condition of our reseller and distribution channels;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perceived or actual technical or other problems with a product or combination of subscriptions;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unexpected or negative outcomes of matters and expenses relating to litigation or regulatory inquiries;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increases in cloud functionality-related expenses;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releases and retirements of offerings;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tax laws or tax or accounting rules and regulations, such as increased use of fair value measures;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sales compensation practices;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effectively implement and maintain our copyright legalization programs, especially in developing countries;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renegotiation or termination of royalty or intellectual property arrangements;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interruptions or terminations in the business of our consultants or third-party developers;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timing and degree of expected investments in growth and efficiency opportunities;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achieve continued success in technology advancements;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catastrophic events, natural disasters, or public health events, such as pandemics and epidemics, including COVID-19;</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regulatory compliance costs; and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appropriately estimate the scope of services under consulting arrangements.</w:t>
      </w:r>
    </w:p>
    <w:p>
      <w:pPr>
        <w:spacing w:after="0" w:line="220" w:lineRule="exact"/>
        <w:rPr>
          <w:sz w:val="20"/>
          <w:szCs w:val="20"/>
          <w:color w:val="auto"/>
        </w:rPr>
      </w:pPr>
    </w:p>
    <w:p>
      <w:pPr>
        <w:ind w:firstLine="395"/>
        <w:spacing w:after="0" w:line="232" w:lineRule="auto"/>
        <w:rPr>
          <w:sz w:val="20"/>
          <w:szCs w:val="20"/>
          <w:color w:val="auto"/>
        </w:rPr>
      </w:pPr>
      <w:r>
        <w:rPr>
          <w:rFonts w:ascii="Times New Roman" w:cs="Times New Roman" w:eastAsia="Times New Roman" w:hAnsi="Times New Roman"/>
          <w:sz w:val="18"/>
          <w:szCs w:val="18"/>
          <w:color w:val="auto"/>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including the significant military action against Ukraine launched by Russia, the conflict between Israel and Hamas, and any related political or economic responses and counter-responses or otherwise by various global actors or the general effect on the global economy, could also affect our business.</w:t>
      </w:r>
    </w:p>
    <w:p>
      <w:pPr>
        <w:spacing w:after="0" w:line="223"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1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color w:val="auto"/>
        </w:rPr>
        <w:t>adverse effect on our profitability. Greater than anticipated expenses or a failure to maintain rigorous cost controls would also negatively affect profitability.</w:t>
      </w:r>
    </w:p>
    <w:p>
      <w:pPr>
        <w:spacing w:after="0" w:line="26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192" w:lineRule="exact"/>
        <w:rPr>
          <w:sz w:val="20"/>
          <w:szCs w:val="20"/>
          <w:color w:val="auto"/>
        </w:rPr>
      </w:pPr>
    </w:p>
    <w:p>
      <w:pPr>
        <w:ind w:right="80" w:firstLine="434"/>
        <w:spacing w:after="0" w:line="249" w:lineRule="auto"/>
        <w:rPr>
          <w:sz w:val="20"/>
          <w:szCs w:val="20"/>
          <w:color w:val="auto"/>
        </w:rPr>
      </w:pPr>
      <w:r>
        <w:rPr>
          <w:rFonts w:ascii="Times New Roman" w:cs="Times New Roman" w:eastAsia="Times New Roman" w:hAnsi="Times New Roman"/>
          <w:sz w:val="18"/>
          <w:szCs w:val="18"/>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nine months ended October 31, 2023 and 2022, combined revenue from our AutoCAD and AutoCAD LT family products, not including collections having AutoCAD or AutoCAD LT as a component, represented 27% and 28% of our total net revenue, respectively.</w:t>
      </w:r>
    </w:p>
    <w:p>
      <w:pPr>
        <w:spacing w:after="0" w:line="210"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92"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As part of our effort to accommodate our customers’ needs and demands and the rapid evolution of technology, from time to time we evolve our business and sales initiatives, such as shifting to annual billing of multi-year contracts,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revenue, billings, earnings, cash flow, or subscriptions shortfalls or volatility of the market generally may cause the market price of our stock to decline.</w:t>
      </w:r>
    </w:p>
    <w:p>
      <w:pPr>
        <w:spacing w:after="0" w:line="265" w:lineRule="exact"/>
        <w:rPr>
          <w:sz w:val="20"/>
          <w:szCs w:val="20"/>
          <w:color w:val="auto"/>
        </w:rPr>
      </w:pPr>
    </w:p>
    <w:p>
      <w:pPr>
        <w:ind w:right="360" w:firstLine="395"/>
        <w:spacing w:after="0" w:line="254" w:lineRule="auto"/>
        <w:rPr>
          <w:sz w:val="20"/>
          <w:szCs w:val="20"/>
          <w:color w:val="auto"/>
        </w:rPr>
      </w:pPr>
      <w:r>
        <w:rPr>
          <w:rFonts w:ascii="Times New Roman" w:cs="Times New Roman" w:eastAsia="Times New Roman" w:hAnsi="Times New Roman"/>
          <w:sz w:val="18"/>
          <w:szCs w:val="18"/>
          <w:color w:val="auto"/>
        </w:rPr>
        <w:t>The market price for our common stock has experienced significant fluctuations and may continue to fluctuate significantly. The market price for our common stock may be affected by a number of factors, including the other risks described in these risk factors and the following:</w:t>
      </w:r>
    </w:p>
    <w:p>
      <w:pPr>
        <w:spacing w:after="0" w:line="22" w:lineRule="exact"/>
        <w:rPr>
          <w:sz w:val="20"/>
          <w:szCs w:val="20"/>
          <w:color w:val="auto"/>
        </w:rPr>
      </w:pPr>
    </w:p>
    <w:p>
      <w:pPr>
        <w:ind w:left="640" w:hanging="319"/>
        <w:spacing w:after="0" w:line="237"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17"/>
          <w:szCs w:val="17"/>
          <w:color w:val="auto"/>
        </w:rPr>
        <w:t>general socioeconomic, political, or market conditions, including from an economic downturn or recession in the United States or in other countries;</w:t>
      </w:r>
    </w:p>
    <w:p>
      <w:pPr>
        <w:spacing w:after="0" w:line="34" w:lineRule="exact"/>
        <w:rPr>
          <w:rFonts w:ascii="Arial" w:cs="Arial" w:eastAsia="Arial" w:hAnsi="Arial"/>
          <w:sz w:val="20"/>
          <w:szCs w:val="20"/>
          <w:color w:val="auto"/>
        </w:rPr>
      </w:pPr>
    </w:p>
    <w:p>
      <w:pPr>
        <w:ind w:left="640" w:hanging="319"/>
        <w:spacing w:after="0" w:line="234"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uncertainty about certain governments’ abilities to repay debt or effect fiscal policy;</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announcements of new offerings or enhancements by us or our competitors;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unusual events such as significant acquisitions, divestitures, regulatory actions, and litigation;</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laws, rules, or regulations applicable to our business;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outstanding debt service obligations; and</w:t>
      </w:r>
    </w:p>
    <w:p>
      <w:pPr>
        <w:spacing w:after="0" w:line="21" w:lineRule="exact"/>
        <w:rPr>
          <w:rFonts w:ascii="Arial" w:cs="Arial" w:eastAsia="Arial" w:hAnsi="Arial"/>
          <w:sz w:val="21"/>
          <w:szCs w:val="21"/>
          <w:color w:val="auto"/>
        </w:rPr>
      </w:pPr>
    </w:p>
    <w:p>
      <w:pPr>
        <w:ind w:left="640" w:right="140" w:hanging="319"/>
        <w:spacing w:after="0" w:line="234"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other factors, including factors unrelated to our operating performance, such as instability affecting the economy or the operating performance of our competitors.</w:t>
      </w:r>
    </w:p>
    <w:p>
      <w:pPr>
        <w:spacing w:after="0" w:line="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63" w:name="page64"/>
    <w:bookmarkEnd w:id="63"/>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9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1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i w:val="1"/>
          <w:iCs w:val="1"/>
          <w:color w:val="auto"/>
        </w:rPr>
        <w:t>We incorporate artificial intelligence into our offerings, and challenges with properly managing its use could result in competitive harm, reputational harm, or liability, and adversely affect our results of operations.</w:t>
      </w:r>
    </w:p>
    <w:p>
      <w:pPr>
        <w:spacing w:after="0" w:line="19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Additionally, our offerings based on AI may expose us to additional lawsuits and regulatory investigations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w:t>
      </w:r>
    </w:p>
    <w:p>
      <w:pPr>
        <w:spacing w:after="0" w:line="21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As with many innovations, AI presents risks and challenges that could affect its adoption, and therefore our business. AI presents emerging ethical issues and if we enable or offer solutions that draw controversy due to their perceived or actual impact on society, we may experience brand or reputational harm, competitive harm, or legal liability. Potential government regulation in the space of AI ethics may also increase the burden and cost of research and development in this area, subjecting us to brand or reputational harm, competitive harm, or legal liability. Failure to address AI ethics issues by us or others in our industry could undermine public confidence in AI and slow adoption of AI in our products and services.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Operations</w:t>
      </w:r>
    </w:p>
    <w:p>
      <w:pPr>
        <w:spacing w:after="0" w:line="24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spacing w:after="0" w:line="179" w:lineRule="exact"/>
        <w:rPr>
          <w:sz w:val="20"/>
          <w:szCs w:val="20"/>
          <w:color w:val="auto"/>
        </w:rPr>
      </w:pPr>
    </w:p>
    <w:p>
      <w:pPr>
        <w:ind w:right="20" w:firstLine="395"/>
        <w:spacing w:after="0" w:line="231" w:lineRule="auto"/>
        <w:rPr>
          <w:sz w:val="20"/>
          <w:szCs w:val="20"/>
          <w:color w:val="auto"/>
        </w:rPr>
      </w:pPr>
      <w:r>
        <w:rPr>
          <w:rFonts w:ascii="Times New Roman" w:cs="Times New Roman" w:eastAsia="Times New Roman" w:hAnsi="Times New Roman"/>
          <w:sz w:val="18"/>
          <w:szCs w:val="18"/>
          <w:color w:val="auto"/>
        </w:rPr>
        <w:t>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may not prevent security breaches or incidents, and we may face delays or other difficulties in identifying, responding to, or remediating security breaches or incidents.</w:t>
      </w:r>
    </w:p>
    <w:p>
      <w:pPr>
        <w:spacing w:after="0" w:line="22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Hackers regularly have targeted our systems, offerings, services, and applications, and we expect them to do so in the future. To date, such identified security events have not been material or significant to us or our customers, including to our reputation or business operations, or had a material financial impact, but there can be no assurance that future cyberattacks will not be material or significant. Security breaches or incidents could disrupt the proper functioning of our systems, solutions,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4" w:name="page65"/>
    <w:bookmarkEnd w:id="64"/>
    <w:p>
      <w:pPr>
        <w:jc w:val="both"/>
        <w:spacing w:after="0" w:line="245" w:lineRule="auto"/>
        <w:rPr>
          <w:sz w:val="20"/>
          <w:szCs w:val="20"/>
          <w:color w:val="auto"/>
        </w:rPr>
      </w:pPr>
      <w:r>
        <w:rPr>
          <w:rFonts w:ascii="Times New Roman" w:cs="Times New Roman" w:eastAsia="Times New Roman" w:hAnsi="Times New Roman"/>
          <w:sz w:val="18"/>
          <w:szCs w:val="18"/>
          <w:color w:val="auto"/>
        </w:rPr>
        <w:t>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 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existing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Russian invasion of Ukraine as we and our third-party technology providers and vendors are vulnerable to a heightened risk of cyberattacks from or affiliated with nation-state actors, including retaliatory attacks from Russian actors against U.S.-based companies.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spacing w:after="0" w:line="212" w:lineRule="exact"/>
        <w:rPr>
          <w:sz w:val="20"/>
          <w:szCs w:val="20"/>
          <w:color w:val="auto"/>
        </w:rPr>
      </w:pPr>
    </w:p>
    <w:p>
      <w:pPr>
        <w:ind w:right="20" w:firstLine="395"/>
        <w:spacing w:after="0" w:line="231"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retaining existing customers, and securing payment from customers, our expenditure of significant capital and other resources to evaluate and alleviate the security incident and to try to prevent further or additional incidents, and regulatory inquiries, investigations, and other proceedings, private claims, demands, and lawsuits, and other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spacing w:after="0" w:line="22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4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i w:val="1"/>
          <w:iCs w:val="1"/>
          <w:color w:val="auto"/>
        </w:rPr>
        <w:t>Our use of third-party open source software could negatively affect our ability to sell subscriptions to access our products and subject us to possible litigation and greater security risks.</w:t>
      </w:r>
    </w:p>
    <w:p>
      <w:pPr>
        <w:spacing w:after="0" w:line="19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5" w:name="page66"/>
    <w:bookmarkEnd w:id="65"/>
    <w:p>
      <w:pPr>
        <w:jc w:val="both"/>
        <w:spacing w:after="0" w:line="268" w:lineRule="auto"/>
        <w:rPr>
          <w:sz w:val="20"/>
          <w:szCs w:val="20"/>
          <w:color w:val="auto"/>
        </w:rPr>
      </w:pPr>
      <w:r>
        <w:rPr>
          <w:rFonts w:ascii="Times New Roman" w:cs="Times New Roman" w:eastAsia="Times New Roman" w:hAnsi="Times New Roman"/>
          <w:sz w:val="18"/>
          <w:szCs w:val="18"/>
          <w:color w:val="auto"/>
        </w:rPr>
        <w:t>required to expend substantial time and resources to re-engineer some or all of our software. Any of the foregoing could materially adversely affect our business, financial condition, results of operations, and prospects.</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spacing w:after="0" w:line="21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i w:val="1"/>
          <w:iCs w:val="1"/>
          <w:color w:val="auto"/>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spacing w:after="0" w:line="194" w:lineRule="exact"/>
        <w:rPr>
          <w:sz w:val="20"/>
          <w:szCs w:val="20"/>
          <w:color w:val="auto"/>
        </w:rPr>
      </w:pPr>
    </w:p>
    <w:p>
      <w:pPr>
        <w:ind w:firstLine="434"/>
        <w:spacing w:after="0" w:line="264" w:lineRule="auto"/>
        <w:rPr>
          <w:sz w:val="20"/>
          <w:szCs w:val="20"/>
          <w:color w:val="auto"/>
        </w:rPr>
      </w:pPr>
      <w:r>
        <w:rPr>
          <w:rFonts w:ascii="Times New Roman" w:cs="Times New Roman" w:eastAsia="Times New Roman" w:hAnsi="Times New Roman"/>
          <w:sz w:val="16"/>
          <w:szCs w:val="16"/>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w:t>
      </w:r>
    </w:p>
    <w:p>
      <w:pPr>
        <w:spacing w:after="0" w:line="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integrity or availability of, or result in the theft 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w:t>
      </w:r>
    </w:p>
    <w:p>
      <w:pPr>
        <w:spacing w:after="0" w:line="19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Delays in service from third-party service providers could expose us to liability, harm our reputation, damage our competitiveness, and adversely impact our financial results.</w:t>
      </w:r>
    </w:p>
    <w:p>
      <w:pPr>
        <w:spacing w:after="0" w:line="179" w:lineRule="exact"/>
        <w:rPr>
          <w:sz w:val="20"/>
          <w:szCs w:val="20"/>
          <w:color w:val="auto"/>
        </w:rPr>
      </w:pPr>
    </w:p>
    <w:p>
      <w:pPr>
        <w:ind w:right="140" w:firstLine="434"/>
        <w:spacing w:after="0" w:line="232" w:lineRule="auto"/>
        <w:rPr>
          <w:sz w:val="20"/>
          <w:szCs w:val="20"/>
          <w:color w:val="auto"/>
        </w:rPr>
      </w:pPr>
      <w:r>
        <w:rPr>
          <w:rFonts w:ascii="Times New Roman" w:cs="Times New Roman" w:eastAsia="Times New Roman" w:hAnsi="Times New Roman"/>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information security in certain jurisdictions, and our financial results could be negatively impacted.</w:t>
      </w:r>
    </w:p>
    <w:p>
      <w:pPr>
        <w:spacing w:after="0" w:line="221" w:lineRule="exact"/>
        <w:rPr>
          <w:sz w:val="20"/>
          <w:szCs w:val="20"/>
          <w:color w:val="auto"/>
        </w:rPr>
      </w:pPr>
    </w:p>
    <w:p>
      <w:pPr>
        <w:ind w:right="20"/>
        <w:spacing w:after="0" w:line="335" w:lineRule="auto"/>
        <w:rPr>
          <w:sz w:val="20"/>
          <w:szCs w:val="20"/>
          <w:color w:val="auto"/>
        </w:rPr>
      </w:pPr>
      <w:r>
        <w:rPr>
          <w:rFonts w:ascii="Times New Roman" w:cs="Times New Roman" w:eastAsia="Times New Roman" w:hAnsi="Times New Roman"/>
          <w:sz w:val="16"/>
          <w:szCs w:val="16"/>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46" w:lineRule="exact"/>
        <w:rPr>
          <w:sz w:val="20"/>
          <w:szCs w:val="20"/>
          <w:color w:val="auto"/>
        </w:rPr>
      </w:pPr>
    </w:p>
    <w:p>
      <w:pPr>
        <w:ind w:right="60" w:firstLine="395"/>
        <w:spacing w:after="0" w:line="284" w:lineRule="auto"/>
        <w:rPr>
          <w:sz w:val="20"/>
          <w:szCs w:val="20"/>
          <w:color w:val="auto"/>
        </w:rPr>
      </w:pPr>
      <w:r>
        <w:rPr>
          <w:rFonts w:ascii="Times New Roman" w:cs="Times New Roman" w:eastAsia="Times New Roman" w:hAnsi="Times New Roman"/>
          <w:sz w:val="16"/>
          <w:szCs w:val="16"/>
          <w:color w:val="auto"/>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8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spacing w:after="0" w:line="192"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The software solutions that we offer are complex and, despite extensive testing and quality control, may contain errors, defects, or vulnerabilities. Some errors, defects, or vulnerabilities in our software solutions may only be discovered after they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6" w:name="page67"/>
    <w:bookmarkEnd w:id="66"/>
    <w:p>
      <w:pPr>
        <w:ind w:right="380"/>
        <w:spacing w:after="0" w:line="268" w:lineRule="auto"/>
        <w:rPr>
          <w:sz w:val="20"/>
          <w:szCs w:val="20"/>
          <w:color w:val="auto"/>
        </w:rPr>
      </w:pPr>
      <w:r>
        <w:rPr>
          <w:rFonts w:ascii="Times New Roman" w:cs="Times New Roman" w:eastAsia="Times New Roman" w:hAnsi="Times New Roman"/>
          <w:sz w:val="18"/>
          <w:szCs w:val="18"/>
          <w:color w:val="auto"/>
        </w:rPr>
        <w:t>have been released. In addition, we have experienced, and may in the future experience, service disruptions, degradations, outages, and other performance problems in connection with our software solutions.</w:t>
      </w:r>
    </w:p>
    <w:p>
      <w:pPr>
        <w:spacing w:after="0" w:line="196"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spacing w:after="0" w:line="204" w:lineRule="exact"/>
        <w:rPr>
          <w:sz w:val="20"/>
          <w:szCs w:val="20"/>
          <w:color w:val="auto"/>
        </w:rPr>
      </w:pPr>
    </w:p>
    <w:p>
      <w:pPr>
        <w:ind w:right="520"/>
        <w:spacing w:after="0" w:line="257" w:lineRule="auto"/>
        <w:rPr>
          <w:sz w:val="20"/>
          <w:szCs w:val="20"/>
          <w:color w:val="auto"/>
        </w:rPr>
      </w:pPr>
      <w:r>
        <w:rPr>
          <w:rFonts w:ascii="Times New Roman" w:cs="Times New Roman" w:eastAsia="Times New Roman" w:hAnsi="Times New Roman"/>
          <w:sz w:val="18"/>
          <w:szCs w:val="18"/>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206"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We sell our software products both directly to end users and through a network of distributors and resellers. For the nine months ended October 31, 2023 and 2022, approximately 63% and 65%,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215" w:lineRule="exact"/>
        <w:rPr>
          <w:sz w:val="20"/>
          <w:szCs w:val="20"/>
          <w:color w:val="auto"/>
        </w:rPr>
      </w:pPr>
    </w:p>
    <w:p>
      <w:pPr>
        <w:ind w:firstLine="434"/>
        <w:spacing w:after="0" w:line="279" w:lineRule="auto"/>
        <w:rPr>
          <w:sz w:val="20"/>
          <w:szCs w:val="20"/>
          <w:color w:val="auto"/>
        </w:rPr>
      </w:pPr>
      <w:r>
        <w:rPr>
          <w:rFonts w:ascii="Times New Roman" w:cs="Times New Roman" w:eastAsia="Times New Roman" w:hAnsi="Times New Roman"/>
          <w:sz w:val="16"/>
          <w:szCs w:val="16"/>
          <w:color w:val="auto"/>
        </w:rPr>
        <w:t>We rely significantly upon major distributors and resellers in both the U.S. and international regions. Of our distributors, TD Synnex accounted for 40% and 37% of our total net revenue for the nine months ended October 31, 2023 and 2022, respectively, and Ingram Micro accounted for 8% and 9% of our total net revenue for the nine months ended October 31, 2023 and 2022, respectively. During October 2022, we entered into a transition agreements with each of TD Synnex and Ingram Micro to provide transition distribution activities for a one-to-two-year period, with potential extensions. In connection with such transition agreements, we intend to increase our selling efforts with value-added resellers and agents. During the transition period, we believe the resellers and end users who currently purchase our products through TD Synnex and Ingram Micro will be able to continue to do so, and following the transition period, we believe such end users will be able to continue to purchase our products from certain value-added resellers or directly from Autodesk, in each case under substantially the same terms and without substantial disruption to our revenue. However, if during the transition period, TD Synnex or Ingram Micro were to experience a significant business disruption or if our relationship with either were to significantly deteriorate, it is possible that our ability to sell to end users would, at least temporarily, be negatively impacted. Also, if any of our assumptions about our end users, value added resellers, distributors, or agents or our direct selling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capabilities proves incorrect, these changes could harm our business. This could, in turn, negatively impact our financial results.</w:t>
      </w:r>
    </w:p>
    <w:p>
      <w:pPr>
        <w:spacing w:after="0" w:line="240"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Over time, we have modified and especially during the transition process noted above, we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software from third parties, and a failure to properly manage our use of third-party software could result in increased costs or loss of revenue.</w:t>
      </w:r>
    </w:p>
    <w:p>
      <w:pPr>
        <w:spacing w:after="0" w:line="242" w:lineRule="exact"/>
        <w:rPr>
          <w:sz w:val="20"/>
          <w:szCs w:val="20"/>
          <w:color w:val="auto"/>
        </w:rPr>
      </w:pPr>
    </w:p>
    <w:p>
      <w:pPr>
        <w:ind w:right="40" w:firstLine="395"/>
        <w:spacing w:after="0" w:line="293" w:lineRule="auto"/>
        <w:rPr>
          <w:sz w:val="20"/>
          <w:szCs w:val="20"/>
          <w:color w:val="auto"/>
        </w:rPr>
      </w:pPr>
      <w:r>
        <w:rPr>
          <w:rFonts w:ascii="Times New Roman" w:cs="Times New Roman" w:eastAsia="Times New Roman" w:hAnsi="Times New Roman"/>
          <w:sz w:val="16"/>
          <w:szCs w:val="16"/>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67" w:name="page68"/>
    <w:bookmarkEnd w:id="67"/>
    <w:p>
      <w:pPr>
        <w:jc w:val="both"/>
        <w:ind w:right="260"/>
        <w:spacing w:after="0" w:line="256" w:lineRule="auto"/>
        <w:rPr>
          <w:sz w:val="20"/>
          <w:szCs w:val="20"/>
          <w:color w:val="auto"/>
        </w:rPr>
      </w:pPr>
      <w:r>
        <w:rPr>
          <w:rFonts w:ascii="Times New Roman" w:cs="Times New Roman" w:eastAsia="Times New Roman" w:hAnsi="Times New Roman"/>
          <w:sz w:val="18"/>
          <w:szCs w:val="18"/>
          <w:color w:val="auto"/>
        </w:rPr>
        <w:t>“copyleft”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spacing w:after="0" w:line="206"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affected if we are unable to attract and retain key personnel.</w:t>
      </w:r>
    </w:p>
    <w:p>
      <w:pPr>
        <w:spacing w:after="0" w:line="242"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could make it difficult to meet key objectives, such as timely and effective product introductions and financial goals.</w:t>
      </w:r>
    </w:p>
    <w:p>
      <w:pPr>
        <w:spacing w:after="0" w:line="21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92" w:lineRule="exact"/>
        <w:rPr>
          <w:sz w:val="20"/>
          <w:szCs w:val="20"/>
          <w:color w:val="auto"/>
        </w:rPr>
      </w:pPr>
    </w:p>
    <w:p>
      <w:pPr>
        <w:jc w:val="both"/>
        <w:ind w:right="120" w:firstLine="395"/>
        <w:spacing w:after="0" w:line="250" w:lineRule="auto"/>
        <w:rPr>
          <w:sz w:val="20"/>
          <w:szCs w:val="20"/>
          <w:color w:val="auto"/>
        </w:rPr>
      </w:pPr>
      <w:r>
        <w:rPr>
          <w:rFonts w:ascii="Times New Roman" w:cs="Times New Roman" w:eastAsia="Times New Roman" w:hAnsi="Times New Roman"/>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in licensing relationships and with third-party developers could adversely impact our business.</w:t>
      </w:r>
    </w:p>
    <w:p>
      <w:pPr>
        <w:spacing w:after="0" w:line="24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212"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Laws and Regulations</w:t>
      </w:r>
    </w:p>
    <w:p>
      <w:pPr>
        <w:spacing w:after="0" w:line="24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Increasing regulatory focus on privacy, data protection, and information security issues and new and expanding laws may impact our business and expose us to increased liability.</w:t>
      </w:r>
    </w:p>
    <w:p>
      <w:pPr>
        <w:spacing w:after="0" w:line="179"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6"/>
          <w:szCs w:val="16"/>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 contractors. As a result, federal, state, and global laws relating to privacy, data protection, and information security apply to Autodesk’s personal data and personal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privacy, data protection, and information security proposed and enacted in various jurisdictions. Globally, laws such as the General Data Protection Regulation (EU) 2016/679 (“GDPR”) in the European Union (“EU”) and the Personal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8" w:name="page69"/>
    <w:bookmarkEnd w:id="68"/>
    <w:p>
      <w:pPr>
        <w:ind w:right="40"/>
        <w:spacing w:after="0" w:line="261" w:lineRule="auto"/>
        <w:rPr>
          <w:sz w:val="20"/>
          <w:szCs w:val="20"/>
          <w:color w:val="auto"/>
        </w:rPr>
      </w:pPr>
      <w:r>
        <w:rPr>
          <w:rFonts w:ascii="Times New Roman" w:cs="Times New Roman" w:eastAsia="Times New Roman" w:hAnsi="Times New Roman"/>
          <w:sz w:val="16"/>
          <w:szCs w:val="16"/>
          <w:color w:val="auto"/>
        </w:rPr>
        <w:t>Information Protection Law (“PIPL”) in China have been enacted, and numerous other countries have proposed or have enacted laws concerning privacy, data protection, and information security. In addition, new and emerging state laws in the United States governing privacy, data protection, and information security, such as the California Consumer Privacy Act (“CCPA”), the California Privacy Rights Act (“CPRA”), and numerous laws in other states, many of which provide for obligations similar to the CCPA and CPRA, have been enacted.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artificial intelligence and machine learning). These requirements, among others, may impact demand for our offerings and force us to bear the burden of expanded obligations in our contracts.</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there is continued instability of international personal data transfer legal mechanisms that are complex, uncertain, and subject to active</w:t>
      </w:r>
    </w:p>
    <w:p>
      <w:pPr>
        <w:spacing w:after="0" w:line="4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litigation and enforcement actions in a number of jurisdictions around the world. For example, on June 4, 2021, the European Commission published a new set of modular standard contractual clause (“SCCs”), providing for an 18-month implementation period, which became effective on June 29, 2021, and imposes on companies obligations relating to personal data transfers, including the obligation to conduct a transfer impact assessment and, depending on a party’s role in the transfer, to implement additional security measures and to update internal privacy practices. We may, in addition to other impacts, be required to expend significant time and resources to update our contractual arrangements and to comply with new obligations, and we face exposure to regulatory actions, substantial fines and injunctions in connection with transfers of personal data from the EU.</w:t>
      </w:r>
    </w:p>
    <w:p>
      <w:pPr>
        <w:spacing w:after="0" w:line="198" w:lineRule="exact"/>
        <w:rPr>
          <w:sz w:val="20"/>
          <w:szCs w:val="20"/>
          <w:color w:val="auto"/>
        </w:rPr>
      </w:pPr>
    </w:p>
    <w:p>
      <w:pPr>
        <w:ind w:firstLine="395"/>
        <w:spacing w:after="0" w:line="230" w:lineRule="auto"/>
        <w:rPr>
          <w:sz w:val="20"/>
          <w:szCs w:val="20"/>
          <w:color w:val="auto"/>
        </w:rPr>
      </w:pPr>
      <w:r>
        <w:rPr>
          <w:rFonts w:ascii="Times New Roman" w:cs="Times New Roman" w:eastAsia="Times New Roman" w:hAnsi="Times New Roman"/>
          <w:sz w:val="18"/>
          <w:szCs w:val="18"/>
          <w:color w:val="auto"/>
        </w:rPr>
        <w:t>In addition, the United Kingdom’s (“UK”) exit from the EU, and ongoing developments in the UK, have created uncertainty with regard to data protection regulation in the UK. Data processing in the UK is now governed by the UK General Data Protection Regulation and supplemented by other domestic data protection laws, such as the UK Data Protection Act 2018, which authorizes fines of up to £17.5 million or 4% of annual global revenue, whichever is higher. We are also exposed to potentially divergent enforcement actions for certain violations. Furthermore, the new SCCs apply only to the transfer of personal data outside the EU and not the UK. Although the European Commission adopted an adequacy decision for the UK on June 28, 2021, allowing the continued flow of personal data from the EU to the UK, this decision will be regularly reviewed going forward and may be revoked if the UK diverges from its current adequate data protection laws following its exit from the EU. On February 2, 2022, the UK’s Information Commissioner’s Office issued new standard contractual clauses to support personal data transfers out of the UK (“UK SCCs”), which became effective March 21, 2022. We may, in addition to other impacts, experience additional costs associated with increased compliance burdens and be required to engage in new contract negotiations with third parties that aid in processing personal data on our behalf or localize certain personal data. On March 25, 2022, the United States and EU announced an “agreement in principle” to replace the EU-U.S. Privacy Shield transfer framework with the Trans-Atlantic Data Privacy Framework (“EU-U.S. DPF”). On July 10, 2023, the European Commission adopted an adequacy decision in relation to the EU-U.S. DPF, allowing the EU-U.S. DPF to be utilized as a means of legitimizing EU-U.S. personal data transfers for participating entities. We are evaluating whether the EU-U.S. DPF will be appropriate for us to utilize. The EU-U.S. DPF may be subject to legal challenges from privacy advocacy groups or others, and the European Commission’s adequacy decision regarding the EU-U.S. DPF provides that the EU-U.S. DPF will be subject to future reviews and may be subject to suspension, amendment, repeal, or limitations to its scope by the European Commission.</w:t>
      </w:r>
    </w:p>
    <w:p>
      <w:pPr>
        <w:spacing w:after="0" w:line="208" w:lineRule="exact"/>
        <w:rPr>
          <w:sz w:val="20"/>
          <w:szCs w:val="20"/>
          <w:color w:val="auto"/>
        </w:rPr>
      </w:pPr>
    </w:p>
    <w:p>
      <w:pPr>
        <w:ind w:right="60" w:firstLine="395"/>
        <w:spacing w:after="0" w:line="237" w:lineRule="auto"/>
        <w:rPr>
          <w:sz w:val="20"/>
          <w:szCs w:val="20"/>
          <w:color w:val="auto"/>
        </w:rPr>
      </w:pPr>
      <w:r>
        <w:rPr>
          <w:rFonts w:ascii="Times New Roman" w:cs="Times New Roman" w:eastAsia="Times New Roman" w:hAnsi="Times New Roman"/>
          <w:sz w:val="18"/>
          <w:szCs w:val="18"/>
          <w:color w:val="auto"/>
        </w:rPr>
        <w:t>Further, several European data protection authorities recently indicated that the use of Google Analytics by European website operators involves the unlawful transfer of personal data to the United States. As the enforcement landscape further develops, and depending on the impacts of these rulings and other developments with respect to cross-border data transfer, we could suffer additional costs, complaints and/or regulatory investigations or fines, have to stop using certain tools and vendors, and make other operational changes.</w:t>
      </w:r>
    </w:p>
    <w:p>
      <w:pPr>
        <w:spacing w:after="0" w:line="209" w:lineRule="exact"/>
        <w:rPr>
          <w:sz w:val="20"/>
          <w:szCs w:val="20"/>
          <w:color w:val="auto"/>
        </w:rPr>
      </w:pPr>
    </w:p>
    <w:p>
      <w:pPr>
        <w:ind w:right="60" w:firstLine="395"/>
        <w:spacing w:after="0" w:line="232" w:lineRule="auto"/>
        <w:rPr>
          <w:sz w:val="20"/>
          <w:szCs w:val="20"/>
          <w:color w:val="auto"/>
        </w:rPr>
      </w:pPr>
      <w:r>
        <w:rPr>
          <w:rFonts w:ascii="Times New Roman" w:cs="Times New Roman" w:eastAsia="Times New Roman" w:hAnsi="Times New Roman"/>
          <w:sz w:val="18"/>
          <w:szCs w:val="18"/>
          <w:color w:val="auto"/>
        </w:rPr>
        <w:t>Several other countries, including China, Australia, New Zealand, Brazil, and Japan, have also established specific legal requirements for cross-border data transfers. There is also an increasing trend towards data localization policies. For example, in 2021, China introduced localization requirements for certain data. Other countries, such as India, also are considering data localization requirements. If this trend continues, and countries implement more restrictive regulations for cross-border personal data transfers (or do not permit personal data to leave the country of origin), it could affect the manner in which we provide our services, the geographical location or segregation of our relevant systems and operations, and our business, financial condition, and results of operations in those jurisdictions could be impacted.</w:t>
      </w:r>
    </w:p>
    <w:p>
      <w:pPr>
        <w:spacing w:after="0" w:line="207" w:lineRule="exact"/>
        <w:rPr>
          <w:sz w:val="20"/>
          <w:szCs w:val="20"/>
          <w:color w:val="auto"/>
        </w:rPr>
      </w:pPr>
    </w:p>
    <w:p>
      <w:pPr>
        <w:ind w:right="120" w:firstLine="395"/>
        <w:spacing w:after="0" w:line="241" w:lineRule="auto"/>
        <w:rPr>
          <w:sz w:val="20"/>
          <w:szCs w:val="20"/>
          <w:color w:val="auto"/>
        </w:rPr>
      </w:pPr>
      <w:r>
        <w:rPr>
          <w:rFonts w:ascii="Times New Roman" w:cs="Times New Roman" w:eastAsia="Times New Roman" w:hAnsi="Times New Roman"/>
          <w:sz w:val="18"/>
          <w:szCs w:val="18"/>
          <w:color w:val="auto"/>
        </w:rPr>
        <w:t>In addition, the CPRA and many of the other new state laws addressing privacy and information security, including those that have become or will become effective in 2023, provide for additional obligations such as data minimization and storage limitations, granting additional rights to consumers such as correction of personal information and additional opt-out rights.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The CPRA also created a new agency to implement and enforce the law. These new state laws have required us to modify our data processing practices and</w:t>
      </w:r>
    </w:p>
    <w:p>
      <w:pPr>
        <w:spacing w:after="0" w:line="30"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policies and may cause us to make additional modifications, and to incur substantial costs and expenses, in our efforts to comply. Laws in all 50 states, and some of our contracts, require us to provide notice under certain circumstances to customers whose personal information has been disclosed as a result of a data breach. Also, if third parties we work with, such as suppliers, violate applicable data protection laws or regulations, such violations may also put our users’ information at risk and could materially adversely affect our business, financial condition, results of operations, and prospects. Additionally, in addition to government activity, privacy advocacy groups and technology and other industries are considering various new, additional, or different self-regulatory standards that may place, or be asserted to place, additional burdens on us. Evolving legislation and the interplay of federal and state laws may be subject to varying interpretations by courts and government agencies, creating complex compliance issues and have and may cause variation in requirements, increase restrictions and potential legal risk and impact strategies and the availability of previously useful data, potentially exposing us to additional expense, adverse publicity, and liability.</w:t>
      </w:r>
    </w:p>
    <w:p>
      <w:pPr>
        <w:spacing w:after="0" w:line="220" w:lineRule="exact"/>
        <w:rPr>
          <w:sz w:val="20"/>
          <w:szCs w:val="20"/>
          <w:color w:val="auto"/>
        </w:rPr>
      </w:pPr>
    </w:p>
    <w:p>
      <w:pPr>
        <w:ind w:right="120" w:firstLine="395"/>
        <w:spacing w:after="0" w:line="247" w:lineRule="auto"/>
        <w:rPr>
          <w:sz w:val="20"/>
          <w:szCs w:val="20"/>
          <w:color w:val="auto"/>
        </w:rPr>
      </w:pPr>
      <w:r>
        <w:rPr>
          <w:rFonts w:ascii="Times New Roman" w:cs="Times New Roman" w:eastAsia="Times New Roman" w:hAnsi="Times New Roman"/>
          <w:sz w:val="18"/>
          <w:szCs w:val="18"/>
          <w:color w:val="auto"/>
        </w:rPr>
        <w:t>In the EU and the UK, regulators are increasingly focusing on compliance with requirements in the online behavioral advertising ecosystem, and current national laws that implement the ePrivacy Directive are likely to be replaced by an EU regulation known as the ePrivacy Regulation, which is expected to significantly increase fines for non-compliance. While the text of the ePrivacy Regulation is under development, recent European case law and regulators’ recent guidance are driving increased attention to cookies and tracking technologies. This could lead to substantial costs, require significant system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our customers.</w:t>
      </w:r>
    </w:p>
    <w:p>
      <w:pPr>
        <w:spacing w:after="0" w:line="204" w:lineRule="exact"/>
        <w:rPr>
          <w:sz w:val="20"/>
          <w:szCs w:val="20"/>
          <w:color w:val="auto"/>
        </w:rPr>
      </w:pPr>
    </w:p>
    <w:p>
      <w:pPr>
        <w:ind w:firstLine="395"/>
        <w:spacing w:after="0" w:line="261" w:lineRule="auto"/>
        <w:rPr>
          <w:sz w:val="20"/>
          <w:szCs w:val="20"/>
          <w:color w:val="auto"/>
        </w:rPr>
      </w:pPr>
      <w:r>
        <w:rPr>
          <w:rFonts w:ascii="Times New Roman" w:cs="Times New Roman" w:eastAsia="Times New Roman" w:hAnsi="Times New Roman"/>
          <w:sz w:val="16"/>
          <w:szCs w:val="16"/>
          <w:color w:val="auto"/>
        </w:rPr>
        <w:t>Governments, regulators, plaintiffs’ attorneys, privacy advocates have increased their focus on how companies collect, process, use, store, share, and transmit personal data and personal information. Any perception of our practices, products, offerings, or services as a violation of individual privacy or data protection rights may subject us to public criticism, lawsuits, reputational harm, or investigations, claims, demands, or other proceedings by regulators, industry groups or other third parties, all of which could disrupt or adversely impact our business and expose us to increased liability. Moreover, because the interpretation and application of many laws, regulations, and other actual and asserted obligations relating to privacy, data protection, and information security are uncertain, it is possible that these laws, regulations, and obligations may be interpreted and applied in a manner that is inconsistent with our existing data management practices or the features of our products, offerings, and services. We could be required to fundamentally change our business activities and practices or modify our offerings and services, any of which could require significant additional expense and adversely affect our business, including impacting our ability to innovate, delaying our development roadmap and adversely affecting our relationships with customers and our ability to compete.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spacing w:after="0" w:line="200" w:lineRule="exact"/>
        <w:rPr>
          <w:sz w:val="20"/>
          <w:szCs w:val="20"/>
          <w:color w:val="auto"/>
        </w:rPr>
      </w:pPr>
    </w:p>
    <w:p>
      <w:pPr>
        <w:spacing w:after="0" w:line="205"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i w:val="1"/>
          <w:iCs w:val="1"/>
          <w:color w:val="auto"/>
        </w:rPr>
        <w:t>We are subject to governmental export and import controls that could impair our ability to compete in international markets or subject us to liability if we violate the controls.</w:t>
      </w:r>
    </w:p>
    <w:p>
      <w:pPr>
        <w:spacing w:after="0" w:line="192"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Our offerings are subject to export controls and economic sanctions laws and regulations that prohibit the delivery of certain solutions and services without the required export authorizations or export to locations, governments, and persons targeted by applicable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212" w:lineRule="exact"/>
        <w:rPr>
          <w:sz w:val="20"/>
          <w:szCs w:val="20"/>
          <w:color w:val="auto"/>
        </w:rPr>
      </w:pPr>
    </w:p>
    <w:p>
      <w:pPr>
        <w:ind w:right="100" w:firstLine="395"/>
        <w:spacing w:after="0" w:line="293" w:lineRule="auto"/>
        <w:rPr>
          <w:sz w:val="20"/>
          <w:szCs w:val="20"/>
          <w:color w:val="auto"/>
        </w:rPr>
      </w:pPr>
      <w:r>
        <w:rPr>
          <w:rFonts w:ascii="Times New Roman" w:cs="Times New Roman" w:eastAsia="Times New Roman" w:hAnsi="Times New Roman"/>
          <w:sz w:val="16"/>
          <w:szCs w:val="16"/>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applicable sanctions or export control laws can result in fines or penalties.</w:t>
      </w:r>
    </w:p>
    <w:p>
      <w:pPr>
        <w:spacing w:after="0" w:line="167" w:lineRule="exact"/>
        <w:rPr>
          <w:sz w:val="20"/>
          <w:szCs w:val="20"/>
          <w:color w:val="auto"/>
        </w:rPr>
      </w:pPr>
    </w:p>
    <w:p>
      <w:pPr>
        <w:ind w:right="540" w:firstLine="395"/>
        <w:spacing w:after="0" w:line="253" w:lineRule="auto"/>
        <w:rPr>
          <w:sz w:val="20"/>
          <w:szCs w:val="20"/>
          <w:color w:val="auto"/>
        </w:rPr>
      </w:pPr>
      <w:r>
        <w:rPr>
          <w:rFonts w:ascii="Times New Roman" w:cs="Times New Roman" w:eastAsia="Times New Roman" w:hAnsi="Times New Roman"/>
          <w:sz w:val="18"/>
          <w:szCs w:val="18"/>
          <w:color w:val="auto"/>
        </w:rPr>
        <w:t>For additional risks regarding sanctions and trade protectionism, please see the risk factor entitled “We are dependent on international revenue and operations . . .” earlier in this section.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not able to adequately protect our proprietary rights, our business could be harmed.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70" w:name="page71"/>
    <w:bookmarkEnd w:id="70"/>
    <w:p>
      <w:pPr>
        <w:ind w:firstLine="395"/>
        <w:spacing w:after="0" w:line="282" w:lineRule="auto"/>
        <w:rPr>
          <w:sz w:val="20"/>
          <w:szCs w:val="20"/>
          <w:color w:val="auto"/>
        </w:rPr>
      </w:pPr>
      <w:r>
        <w:rPr>
          <w:rFonts w:ascii="Times New Roman" w:cs="Times New Roman" w:eastAsia="Times New Roman" w:hAnsi="Times New Roman"/>
          <w:sz w:val="16"/>
          <w:szCs w:val="16"/>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192" w:lineRule="exact"/>
        <w:rPr>
          <w:sz w:val="20"/>
          <w:szCs w:val="20"/>
          <w:color w:val="auto"/>
        </w:rPr>
      </w:pPr>
    </w:p>
    <w:p>
      <w:pPr>
        <w:ind w:right="140" w:firstLine="395"/>
        <w:spacing w:after="0" w:line="286" w:lineRule="auto"/>
        <w:rPr>
          <w:sz w:val="20"/>
          <w:szCs w:val="20"/>
          <w:color w:val="auto"/>
        </w:rPr>
      </w:pPr>
      <w:r>
        <w:rPr>
          <w:rFonts w:ascii="Times New Roman" w:cs="Times New Roman" w:eastAsia="Times New Roman" w:hAnsi="Times New Roman"/>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intellectual property infringement claims that could be costly to defend and result in the loss of significant rights.</w:t>
      </w:r>
    </w:p>
    <w:p>
      <w:pPr>
        <w:spacing w:after="0" w:line="242"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21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Contracting with government entities exposes us to additional risks inherent in the government procurement process.</w:t>
      </w:r>
    </w:p>
    <w:p>
      <w:pPr>
        <w:spacing w:after="0" w:line="242"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Financial Developments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fluctuations in currency exchange rates that could negatively impact our financial results and cash flows.</w:t>
      </w:r>
    </w:p>
    <w:p>
      <w:pPr>
        <w:spacing w:after="0" w:line="242"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71" w:name="page72"/>
    <w:bookmarkEnd w:id="71"/>
    <w:p>
      <w:pPr>
        <w:ind w:right="100"/>
        <w:spacing w:after="0" w:line="250" w:lineRule="auto"/>
        <w:rPr>
          <w:sz w:val="20"/>
          <w:szCs w:val="20"/>
          <w:color w:val="auto"/>
        </w:rPr>
      </w:pPr>
      <w:r>
        <w:rPr>
          <w:rFonts w:ascii="Times New Roman" w:cs="Times New Roman" w:eastAsia="Times New Roman" w:hAnsi="Times New Roman"/>
          <w:sz w:val="18"/>
          <w:szCs w:val="18"/>
          <w:color w:val="auto"/>
        </w:rPr>
        <w:t>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spacing w:after="0" w:line="212"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7" w:lineRule="exact"/>
        <w:rPr>
          <w:sz w:val="20"/>
          <w:szCs w:val="20"/>
          <w:color w:val="auto"/>
        </w:rPr>
      </w:pPr>
    </w:p>
    <w:p>
      <w:pPr>
        <w:ind w:right="120" w:firstLine="395"/>
        <w:spacing w:after="0" w:line="236" w:lineRule="auto"/>
        <w:rPr>
          <w:sz w:val="20"/>
          <w:szCs w:val="20"/>
          <w:color w:val="auto"/>
        </w:rPr>
      </w:pPr>
      <w:r>
        <w:rPr>
          <w:rFonts w:ascii="Times New Roman" w:cs="Times New Roman" w:eastAsia="Times New Roman" w:hAnsi="Times New Roman"/>
          <w:sz w:val="18"/>
          <w:szCs w:val="18"/>
          <w:color w:val="auto"/>
        </w:rPr>
        <w:t>In addition, global events, including the sudden and unexpected effects of the COVID-19 pandemic as well as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service obligations may adversely affect our financial condition and cash flows from operations.</w:t>
      </w:r>
    </w:p>
    <w:p>
      <w:pPr>
        <w:spacing w:after="0" w:line="229" w:lineRule="exact"/>
        <w:rPr>
          <w:sz w:val="20"/>
          <w:szCs w:val="20"/>
          <w:color w:val="auto"/>
        </w:rPr>
      </w:pPr>
    </w:p>
    <w:p>
      <w:pPr>
        <w:ind w:right="20" w:firstLine="395"/>
        <w:spacing w:after="0" w:line="234" w:lineRule="auto"/>
        <w:rPr>
          <w:sz w:val="20"/>
          <w:szCs w:val="20"/>
          <w:color w:val="auto"/>
        </w:rPr>
      </w:pPr>
      <w:r>
        <w:rPr>
          <w:rFonts w:ascii="Times New Roman" w:cs="Times New Roman" w:eastAsia="Times New Roman" w:hAnsi="Times New Roman"/>
          <w:sz w:val="18"/>
          <w:szCs w:val="18"/>
          <w:color w:val="auto"/>
        </w:rPr>
        <w:t>We have $2.30 billion of principal debt, consisting of notes due at various times from June 2025 to December 2031, as of October 31, 2023, as described in Part I, Item 1. We also entered into a credit agreement that provides for an unsecured revolving loan facility in the aggregate principal amount of $1.5 billion, with an option to be increased up to $2.0 billion, as described in Part I, Item 1. Maintenance of our indebtedness, contractual restrictions, and additional issuances of indebtedness could:</w:t>
      </w:r>
    </w:p>
    <w:p>
      <w:pPr>
        <w:spacing w:after="0" w:line="219" w:lineRule="exact"/>
        <w:rPr>
          <w:sz w:val="20"/>
          <w:szCs w:val="20"/>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cause us to dedicate a substantial portion of our cash flows from operations towards debt service obligations and principal repayments;</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impair our ability to obtain future financing for working capital, capital expenditures, acquisitions, general corporate, or other purposes; and</w:t>
      </w:r>
    </w:p>
    <w:p>
      <w:pPr>
        <w:spacing w:after="0" w:line="16" w:lineRule="exact"/>
        <w:rPr>
          <w:rFonts w:ascii="Arial" w:cs="Arial" w:eastAsia="Arial" w:hAnsi="Arial"/>
          <w:sz w:val="21"/>
          <w:szCs w:val="21"/>
          <w:color w:val="auto"/>
        </w:rPr>
      </w:pPr>
    </w:p>
    <w:p>
      <w:pPr>
        <w:ind w:left="640" w:right="20" w:hanging="319"/>
        <w:spacing w:after="0" w:line="235" w:lineRule="auto"/>
        <w:tabs>
          <w:tab w:leader="none" w:pos="63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19"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I, Item 1, and any outstanding indebtedness under the 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210" w:lineRule="exact"/>
        <w:rPr>
          <w:sz w:val="20"/>
          <w:szCs w:val="20"/>
          <w:color w:val="auto"/>
        </w:rPr>
      </w:pPr>
    </w:p>
    <w:p>
      <w:pPr>
        <w:ind w:right="220"/>
        <w:spacing w:after="0" w:line="304" w:lineRule="auto"/>
        <w:rPr>
          <w:sz w:val="20"/>
          <w:szCs w:val="20"/>
          <w:color w:val="auto"/>
        </w:rPr>
      </w:pPr>
      <w:r>
        <w:rPr>
          <w:rFonts w:ascii="Times New Roman" w:cs="Times New Roman" w:eastAsia="Times New Roman" w:hAnsi="Times New Roman"/>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171"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reduce our investment income or result in material charges, which in turn could impact our overall net income (loss) and earnings (loss) per share.</w:t>
      </w:r>
    </w:p>
    <w:p>
      <w:pPr>
        <w:spacing w:after="0" w:line="24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loss on any of our investments may cause us to record an other-than-temporary impairment charge. The effect of this charge could impact our overall</w:t>
      </w:r>
    </w:p>
    <w:p>
      <w:pPr>
        <w:spacing w:after="0" w:line="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income and earnings per share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 any of these scenarios, our liquidity may be negatively impacted, which in turn may prohibit us from making investments in our business, taking advantage of opportunities, and potentially meeting our financial obligations as they come due.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rules and regulations, and uncertainties in interpretation and application, could materially affect our tax obligations and effective tax rate.</w:t>
      </w:r>
    </w:p>
    <w:p>
      <w:pPr>
        <w:spacing w:after="0" w:line="242" w:lineRule="exact"/>
        <w:rPr>
          <w:sz w:val="20"/>
          <w:szCs w:val="20"/>
          <w:color w:val="auto"/>
        </w:rPr>
      </w:pPr>
    </w:p>
    <w:p>
      <w:pPr>
        <w:ind w:right="180" w:firstLine="395"/>
        <w:spacing w:after="0" w:line="249"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Our effective tax rate is primarily based on our geographic mix of earnings; statutory rates; stock-based compensation;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may have a significant impact on our effective tax rate and cash taxes.</w:t>
      </w:r>
    </w:p>
    <w:p>
      <w:pPr>
        <w:spacing w:after="0" w:line="198" w:lineRule="exact"/>
        <w:rPr>
          <w:sz w:val="20"/>
          <w:szCs w:val="20"/>
          <w:color w:val="auto"/>
        </w:rPr>
      </w:pPr>
    </w:p>
    <w:p>
      <w:pPr>
        <w:ind w:firstLine="395"/>
        <w:spacing w:after="0" w:line="266" w:lineRule="auto"/>
        <w:rPr>
          <w:sz w:val="20"/>
          <w:szCs w:val="20"/>
          <w:color w:val="auto"/>
        </w:rPr>
      </w:pPr>
      <w:r>
        <w:rPr>
          <w:rFonts w:ascii="Times New Roman" w:cs="Times New Roman" w:eastAsia="Times New Roman" w:hAnsi="Times New Roman"/>
          <w:sz w:val="16"/>
          <w:szCs w:val="16"/>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Tax Act, which impacted our tax obligations and effective tax rate beginning in our fiscal 2018 tax year, and significant tax legislation was included in the March 2020 CARES Act and subsequent Consolidated Appropriations Act in December 2020. Due to the complexity and varying interpretations of the Tax Act and the CARES Act, the U.S. Department of Treasury and other standard-setting bodies have been issuing and will continue to issue regulations and interpretative guidance that could significantly impact how we will apply the law and the ultimate effect on our results of operations from both the Tax Act and the CARES Act, including for our</w:t>
      </w:r>
    </w:p>
    <w:p>
      <w:pPr>
        <w:ind w:right="420"/>
        <w:spacing w:after="0" w:line="253" w:lineRule="auto"/>
        <w:rPr>
          <w:sz w:val="20"/>
          <w:szCs w:val="20"/>
          <w:color w:val="auto"/>
        </w:rPr>
      </w:pPr>
      <w:r>
        <w:rPr>
          <w:rFonts w:ascii="Times New Roman" w:cs="Times New Roman" w:eastAsia="Times New Roman" w:hAnsi="Times New Roman"/>
          <w:sz w:val="18"/>
          <w:szCs w:val="18"/>
          <w:color w:val="auto"/>
        </w:rPr>
        <w:t>prior tax years. In addition, increases in corporate tax rates, could increase our effective tax rate, cash taxes and have an adverse effect on our results from operations.</w:t>
      </w:r>
    </w:p>
    <w:p>
      <w:pPr>
        <w:spacing w:after="0" w:line="208"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Signed into law on August 16, 2022, the Inflation Reduction Act contains many provisions that may impact Autodesk, including the corporate alternative minimum tax and excise tax on stock buybacks. We are monitoring these impacts on our consolidated financial statements.</w:t>
      </w:r>
    </w:p>
    <w:p>
      <w:pPr>
        <w:spacing w:after="0" w:line="196" w:lineRule="exact"/>
        <w:rPr>
          <w:sz w:val="20"/>
          <w:szCs w:val="20"/>
          <w:color w:val="auto"/>
        </w:rPr>
      </w:pPr>
    </w:p>
    <w:p>
      <w:pPr>
        <w:jc w:val="both"/>
        <w:ind w:right="160" w:firstLine="395"/>
        <w:spacing w:after="0" w:line="303" w:lineRule="auto"/>
        <w:rPr>
          <w:sz w:val="20"/>
          <w:szCs w:val="20"/>
          <w:color w:val="auto"/>
        </w:rPr>
      </w:pPr>
      <w:r>
        <w:rPr>
          <w:rFonts w:ascii="Times New Roman" w:cs="Times New Roman" w:eastAsia="Times New Roman" w:hAnsi="Times New Roman"/>
          <w:sz w:val="16"/>
          <w:szCs w:val="16"/>
          <w:color w:val="auto"/>
        </w:rPr>
        <w:t>Increasingly, tax authorities are reviewing existing corporate tax regulatory and legal regimes. Many countries are actively considering or implementing new taxing regimes and changes to existing tax laws. If U.S. or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17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92" w:lineRule="exact"/>
        <w:rPr>
          <w:sz w:val="20"/>
          <w:szCs w:val="20"/>
          <w:color w:val="auto"/>
        </w:rPr>
      </w:pPr>
    </w:p>
    <w:p>
      <w:pPr>
        <w:ind w:firstLine="395"/>
        <w:spacing w:after="0" w:line="287" w:lineRule="auto"/>
        <w:rPr>
          <w:sz w:val="20"/>
          <w:szCs w:val="20"/>
          <w:color w:val="auto"/>
        </w:rPr>
      </w:pPr>
      <w:r>
        <w:rPr>
          <w:rFonts w:ascii="Times New Roman" w:cs="Times New Roman" w:eastAsia="Times New Roman" w:hAnsi="Times New Roman"/>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w:t>
      </w:r>
    </w:p>
    <w:p>
      <w:pPr>
        <w:spacing w:after="0" w:line="2"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considering both positive and negative evidence to determine whether all or a portion of the deferred tax assets are more likely than not to be realized. 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73" w:name="page74"/>
    <w:bookmarkEnd w:id="73"/>
    <w:p>
      <w:pPr>
        <w:spacing w:after="0" w:line="268" w:lineRule="auto"/>
        <w:rPr>
          <w:sz w:val="20"/>
          <w:szCs w:val="20"/>
          <w:color w:val="auto"/>
        </w:rPr>
      </w:pPr>
      <w:r>
        <w:rPr>
          <w:rFonts w:ascii="Times New Roman" w:cs="Times New Roman" w:eastAsia="Times New Roman" w:hAnsi="Times New Roman"/>
          <w:sz w:val="18"/>
          <w:szCs w:val="18"/>
          <w:color w:val="auto"/>
        </w:rPr>
        <w:t>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Risk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significantly disrupted upon the occurrence of a catastrophic event.</w:t>
      </w:r>
    </w:p>
    <w:p>
      <w:pPr>
        <w:spacing w:after="0" w:line="229" w:lineRule="exact"/>
        <w:rPr>
          <w:sz w:val="20"/>
          <w:szCs w:val="20"/>
          <w:color w:val="auto"/>
        </w:rPr>
      </w:pPr>
    </w:p>
    <w:p>
      <w:pPr>
        <w:ind w:right="40" w:firstLine="395"/>
        <w:spacing w:after="0" w:line="230" w:lineRule="auto"/>
        <w:rPr>
          <w:sz w:val="20"/>
          <w:szCs w:val="20"/>
          <w:color w:val="auto"/>
        </w:rPr>
      </w:pPr>
      <w:r>
        <w:rPr>
          <w:rFonts w:ascii="Times New Roman" w:cs="Times New Roman" w:eastAsia="Times New Roman" w:hAnsi="Times New Roman"/>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(including the significant military action against Ukraine launched by Russia, the conflict between Israel and Hamas,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22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206" w:lineRule="exact"/>
        <w:rPr>
          <w:sz w:val="20"/>
          <w:szCs w:val="20"/>
          <w:color w:val="auto"/>
        </w:rPr>
      </w:pPr>
    </w:p>
    <w:p>
      <w:pPr>
        <w:ind w:right="20" w:firstLine="395"/>
        <w:spacing w:after="0" w:line="282" w:lineRule="auto"/>
        <w:rPr>
          <w:sz w:val="20"/>
          <w:szCs w:val="20"/>
          <w:color w:val="auto"/>
        </w:rPr>
      </w:pPr>
      <w:r>
        <w:rPr>
          <w:rFonts w:ascii="Times New Roman" w:cs="Times New Roman" w:eastAsia="Times New Roman" w:hAnsi="Times New Roman"/>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existing financial accounting standards or practices, or taxation rules or practices may adversely affect our results of operations.</w:t>
      </w:r>
    </w:p>
    <w:p>
      <w:pPr>
        <w:spacing w:after="0" w:line="242"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20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92"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74" w:name="page75"/>
    <w:bookmarkEnd w:id="74"/>
    <w:p>
      <w:pPr>
        <w:ind w:right="360"/>
        <w:spacing w:after="0" w:line="332" w:lineRule="auto"/>
        <w:rPr>
          <w:sz w:val="20"/>
          <w:szCs w:val="20"/>
          <w:color w:val="auto"/>
        </w:rPr>
      </w:pPr>
      <w:r>
        <w:rPr>
          <w:rFonts w:ascii="Times New Roman" w:cs="Times New Roman" w:eastAsia="Times New Roman" w:hAnsi="Times New Roman"/>
          <w:sz w:val="16"/>
          <w:szCs w:val="16"/>
          <w:color w:val="auto"/>
        </w:rPr>
        <w:t>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147"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92" w:lineRule="exact"/>
        <w:rPr>
          <w:sz w:val="20"/>
          <w:szCs w:val="20"/>
          <w:color w:val="auto"/>
        </w:rPr>
      </w:pPr>
    </w:p>
    <w:p>
      <w:pPr>
        <w:ind w:right="180" w:firstLine="395"/>
        <w:spacing w:after="0" w:line="284" w:lineRule="auto"/>
        <w:rPr>
          <w:sz w:val="20"/>
          <w:szCs w:val="20"/>
          <w:color w:val="auto"/>
        </w:rPr>
      </w:pPr>
      <w:r>
        <w:rPr>
          <w:rFonts w:ascii="Times New Roman" w:cs="Times New Roman" w:eastAsia="Times New Roman" w:hAnsi="Times New Roman"/>
          <w:sz w:val="16"/>
          <w:szCs w:val="16"/>
          <w:color w:val="auto"/>
        </w:rPr>
        <w:t>We make assumptions, judgments, and estimates for a number of items, including revenue recognition for product subscriptions and enterprise business arrangements (“EBAs”), the determination of the fair value of acquired assets and liabilities, goodwill, financial instruments including strategic investments, long-lived assets, and intangible assets, the realizability of deferred tax assets, and the fair value of stock awards. We also make assumptions, judgments, and estimates in determining the accruals for uncertain tax positions, variable compensation, partner incentive programs, product returns reserves,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three months ended October 31, 2023.</w:t>
      </w:r>
    </w:p>
    <w:p>
      <w:pPr>
        <w:spacing w:after="0" w:line="227" w:lineRule="exact"/>
        <w:rPr>
          <w:sz w:val="20"/>
          <w:szCs w:val="20"/>
          <w:color w:val="auto"/>
        </w:rPr>
      </w:pPr>
    </w:p>
    <w:p>
      <w:pPr>
        <w:jc w:val="both"/>
        <w:ind w:right="180" w:firstLine="434"/>
        <w:spacing w:after="0" w:line="248" w:lineRule="auto"/>
        <w:rPr>
          <w:sz w:val="20"/>
          <w:szCs w:val="20"/>
          <w:color w:val="auto"/>
        </w:rPr>
      </w:pPr>
      <w:r>
        <w:rPr>
          <w:rFonts w:ascii="Times New Roman" w:cs="Times New Roman" w:eastAsia="Times New Roman" w:hAnsi="Times New Roman"/>
          <w:sz w:val="18"/>
          <w:szCs w:val="18"/>
          <w:color w:val="auto"/>
        </w:rPr>
        <w:t>The information concerning issuer purchases of equity securities required by this Item is incorporated by reference herein to the section of this Report entitled "Issuer Purchases of Equity Securities" in Part I, Item 2, “Management's Discussion and Analysis of Financial Condition and Results of Operations,” above.</w:t>
      </w:r>
    </w:p>
    <w:p>
      <w:pPr>
        <w:spacing w:after="0" w:line="19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40" w:firstLine="632"/>
        <w:spacing w:after="0" w:line="253" w:lineRule="auto"/>
        <w:rPr>
          <w:sz w:val="20"/>
          <w:szCs w:val="20"/>
          <w:color w:val="auto"/>
        </w:rPr>
      </w:pPr>
      <w:r>
        <w:rPr>
          <w:rFonts w:ascii="Times New Roman" w:cs="Times New Roman" w:eastAsia="Times New Roman" w:hAnsi="Times New Roman"/>
          <w:sz w:val="18"/>
          <w:szCs w:val="18"/>
          <w:color w:val="auto"/>
        </w:rPr>
        <w:t>During our fiscal quarter ended October 31, 2023, the following director(s) and officer(s), as defined in Rule 16a-1(f), adopted a “Rule 10b5-1 trading arrangement” as defined in Regulation S-K Item 408, as follows:</w:t>
      </w:r>
    </w:p>
    <w:p>
      <w:pPr>
        <w:spacing w:after="0" w:line="195" w:lineRule="exact"/>
        <w:rPr>
          <w:sz w:val="20"/>
          <w:szCs w:val="20"/>
          <w:color w:val="auto"/>
        </w:rPr>
      </w:pPr>
    </w:p>
    <w:p>
      <w:pPr>
        <w:ind w:firstLine="632"/>
        <w:spacing w:after="0" w:line="241" w:lineRule="auto"/>
        <w:rPr>
          <w:sz w:val="20"/>
          <w:szCs w:val="20"/>
          <w:color w:val="auto"/>
        </w:rPr>
      </w:pPr>
      <w:r>
        <w:rPr>
          <w:rFonts w:ascii="Times New Roman" w:cs="Times New Roman" w:eastAsia="Times New Roman" w:hAnsi="Times New Roman"/>
          <w:sz w:val="18"/>
          <w:szCs w:val="18"/>
          <w:color w:val="auto"/>
        </w:rPr>
        <w:t>On September 13, 2023, Mary McDowell, one of our Directors, adopted a Rule 10b5-1 trading arrangement providing for the sale from time to time of an aggregate of up to 14,100 shares of our common stock. The trading arrangement is intended to satisfy the affirmative defense in Rule 10b5-1(c). The duration of the trading arrangement is until December 13, 2024, or earlier if all transactions under the trading arrangement are completed.</w:t>
      </w:r>
    </w:p>
    <w:p>
      <w:pPr>
        <w:spacing w:after="0" w:line="205" w:lineRule="exact"/>
        <w:rPr>
          <w:sz w:val="20"/>
          <w:szCs w:val="20"/>
          <w:color w:val="auto"/>
        </w:rPr>
      </w:pPr>
    </w:p>
    <w:p>
      <w:pPr>
        <w:ind w:right="480" w:firstLine="632"/>
        <w:spacing w:after="0" w:line="253" w:lineRule="auto"/>
        <w:rPr>
          <w:sz w:val="20"/>
          <w:szCs w:val="20"/>
          <w:color w:val="auto"/>
        </w:rPr>
      </w:pPr>
      <w:r>
        <w:rPr>
          <w:rFonts w:ascii="Times New Roman" w:cs="Times New Roman" w:eastAsia="Times New Roman" w:hAnsi="Times New Roman"/>
          <w:sz w:val="18"/>
          <w:szCs w:val="18"/>
          <w:color w:val="auto"/>
        </w:rPr>
        <w:t>No other officers or directors, as defined in Rule 16a-1(f), adopted a “Rule 10b5-1 trading arrangement” as defined in Regulation S-K Item 408, during the fiscal quarter ended October 31, 2023.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75" w:name="page76"/>
    <w:bookmarkEnd w:id="75"/>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Quarterly Report on Form 10-Q.</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00" w:type="dxa"/>
            <w:vAlign w:val="bottom"/>
          </w:tcPr>
          <w:p>
            <w:pPr>
              <w:spacing w:after="0"/>
              <w:rPr>
                <w:sz w:val="17"/>
                <w:szCs w:val="17"/>
                <w:color w:val="auto"/>
              </w:rPr>
            </w:pPr>
          </w:p>
        </w:tc>
        <w:tc>
          <w:tcPr>
            <w:tcW w:w="7680" w:type="dxa"/>
            <w:vAlign w:val="bottom"/>
            <w:gridSpan w:val="4"/>
          </w:tcPr>
          <w:p>
            <w:pPr>
              <w:ind w:left="2740"/>
              <w:spacing w:after="0"/>
              <w:rPr>
                <w:sz w:val="20"/>
                <w:szCs w:val="20"/>
                <w:color w:val="auto"/>
              </w:rPr>
            </w:pPr>
            <w:r>
              <w:rPr>
                <w:rFonts w:ascii="Times New Roman" w:cs="Times New Roman" w:eastAsia="Times New Roman" w:hAnsi="Times New Roman"/>
                <w:sz w:val="16"/>
                <w:szCs w:val="16"/>
                <w:color w:val="auto"/>
              </w:rPr>
              <w:t>Description</w:t>
            </w:r>
          </w:p>
        </w:tc>
      </w:tr>
      <w:tr>
        <w:trPr>
          <w:trHeight w:val="204"/>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31.1</w:t>
            </w:r>
          </w:p>
        </w:tc>
        <w:tc>
          <w:tcPr>
            <w:tcW w:w="540" w:type="dxa"/>
            <w:vAlign w:val="bottom"/>
          </w:tcPr>
          <w:p>
            <w:pPr>
              <w:spacing w:after="0"/>
              <w:rPr>
                <w:sz w:val="17"/>
                <w:szCs w:val="17"/>
                <w:color w:val="auto"/>
              </w:rPr>
            </w:pP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of the Securities Exchange Act of 1934</w:t>
            </w:r>
          </w:p>
        </w:tc>
      </w:tr>
      <w:tr>
        <w:trPr>
          <w:trHeight w:val="29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40" w:type="dxa"/>
            <w:vAlign w:val="bottom"/>
          </w:tcPr>
          <w:p>
            <w:pPr>
              <w:spacing w:after="0"/>
              <w:rPr>
                <w:sz w:val="24"/>
                <w:szCs w:val="24"/>
                <w:color w:val="auto"/>
              </w:rPr>
            </w:pPr>
          </w:p>
        </w:tc>
        <w:tc>
          <w:tcPr>
            <w:tcW w:w="67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8"/>
              </w:rPr>
              <w:t>Certification of Chief Financial Officer pursuant to Rule 13a-14(a) of the Securities Exchange Act of 1934</w:t>
            </w:r>
          </w:p>
        </w:tc>
        <w:tc>
          <w:tcPr>
            <w:tcW w:w="2700" w:type="dxa"/>
            <w:vAlign w:val="bottom"/>
            <w:gridSpan w:val="2"/>
          </w:tcPr>
          <w:p>
            <w:pPr>
              <w:spacing w:after="0"/>
              <w:rPr>
                <w:sz w:val="24"/>
                <w:szCs w:val="24"/>
                <w:color w:val="auto"/>
              </w:rPr>
            </w:pPr>
          </w:p>
        </w:tc>
      </w:tr>
      <w:tr>
        <w:trPr>
          <w:trHeight w:val="20"/>
        </w:trPr>
        <w:tc>
          <w:tcPr>
            <w:tcW w:w="1220" w:type="dxa"/>
            <w:vAlign w:val="bottom"/>
            <w:gridSpan w:val="2"/>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 the</w:t>
            </w: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80" w:type="dxa"/>
            <w:vAlign w:val="bottom"/>
            <w:tcBorders>
              <w:top w:val="single" w:sz="8" w:color="0000FF"/>
            </w:tcBorders>
            <w:gridSpan w:val="4"/>
          </w:tcPr>
          <w:p>
            <w:pPr>
              <w:spacing w:after="0" w:line="138" w:lineRule="exact"/>
              <w:rPr>
                <w:sz w:val="20"/>
                <w:szCs w:val="20"/>
                <w:color w:val="auto"/>
              </w:rPr>
            </w:pPr>
            <w:r>
              <w:rPr>
                <w:rFonts w:ascii="Times New Roman" w:cs="Times New Roman" w:eastAsia="Times New Roman" w:hAnsi="Times New Roman"/>
                <w:sz w:val="15"/>
                <w:szCs w:val="15"/>
                <w:color w:val="0000FF"/>
              </w:rPr>
              <w:t>Sarbanes-Oxley Act of 2002</w:t>
            </w:r>
          </w:p>
        </w:tc>
        <w:tc>
          <w:tcPr>
            <w:tcW w:w="200" w:type="dxa"/>
            <w:vAlign w:val="bottom"/>
          </w:tcPr>
          <w:p>
            <w:pPr>
              <w:spacing w:after="0"/>
              <w:rPr>
                <w:sz w:val="11"/>
                <w:szCs w:val="11"/>
                <w:color w:val="auto"/>
              </w:rPr>
            </w:pPr>
          </w:p>
        </w:tc>
      </w:tr>
      <w:tr>
        <w:trPr>
          <w:trHeight w:val="20"/>
        </w:trPr>
        <w:tc>
          <w:tcPr>
            <w:tcW w:w="1220" w:type="dxa"/>
            <w:vAlign w:val="bottom"/>
            <w:gridSpan w:val="2"/>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680" w:type="dxa"/>
            <w:vAlign w:val="bottom"/>
            <w:gridSpan w:val="4"/>
          </w:tcPr>
          <w:p>
            <w:pPr>
              <w:spacing w:after="0" w:line="20" w:lineRule="exact"/>
              <w:rPr>
                <w:sz w:val="1"/>
                <w:szCs w:val="1"/>
                <w:color w:val="auto"/>
              </w:rPr>
            </w:pPr>
          </w:p>
        </w:tc>
      </w:tr>
      <w:tr>
        <w:trPr>
          <w:trHeight w:val="230"/>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8"/>
              </w:rPr>
              <w:t>Inline XBRL Instance Document - the instance document does not appear in the Interactive Data File because its XBRL tags are embedded within the</w:t>
            </w:r>
          </w:p>
        </w:tc>
      </w:tr>
      <w:tr>
        <w:trPr>
          <w:trHeight w:val="207"/>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62"/>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Definition Linkbase</w:t>
            </w: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67"/>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 ††</w:t>
            </w: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Cover Page Interactive Data File - the cover page interactive date is embedded within the Inline XBRL document or included within the Exhibit 101</w:t>
            </w:r>
          </w:p>
        </w:tc>
      </w:tr>
      <w:tr>
        <w:trPr>
          <w:trHeight w:val="207"/>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attachments</w:t>
            </w:r>
          </w:p>
        </w:tc>
      </w:tr>
    </w:tbl>
    <w:p>
      <w:pPr>
        <w:spacing w:after="0" w:line="254" w:lineRule="exact"/>
        <w:rPr>
          <w:sz w:val="20"/>
          <w:szCs w:val="20"/>
          <w:color w:val="auto"/>
        </w:rPr>
      </w:pPr>
    </w:p>
    <w:p>
      <w:pPr>
        <w:ind w:left="680" w:hanging="657"/>
        <w:spacing w:after="0"/>
        <w:tabs>
          <w:tab w:leader="none" w:pos="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 management contract or compensatory plan or arrangement.</w:t>
      </w:r>
    </w:p>
    <w:p>
      <w:pPr>
        <w:spacing w:after="0" w:line="27" w:lineRule="exact"/>
        <w:rPr>
          <w:sz w:val="20"/>
          <w:szCs w:val="20"/>
          <w:color w:val="auto"/>
        </w:rPr>
      </w:pPr>
    </w:p>
    <w:p>
      <w:pPr>
        <w:ind w:left="680" w:hanging="657"/>
        <w:spacing w:after="0" w:line="227" w:lineRule="auto"/>
        <w:tabs>
          <w:tab w:leader="none" w:pos="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57" w:lineRule="exact"/>
        <w:rPr>
          <w:sz w:val="20"/>
          <w:szCs w:val="20"/>
          <w:color w:val="auto"/>
        </w:rPr>
      </w:pPr>
    </w:p>
    <w:p>
      <w:pPr>
        <w:ind w:left="680" w:hanging="657"/>
        <w:spacing w:after="0"/>
        <w:tabs>
          <w:tab w:leader="none" w:pos="6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76" w:name="page77"/>
    <w:bookmarkEnd w:id="76"/>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2"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4, 2023</w:t>
      </w:r>
    </w:p>
    <w:p>
      <w:pPr>
        <w:spacing w:after="0" w:line="200" w:lineRule="exact"/>
        <w:rPr>
          <w:sz w:val="20"/>
          <w:szCs w:val="20"/>
          <w:color w:val="auto"/>
        </w:rPr>
      </w:pPr>
    </w:p>
    <w:p>
      <w:pPr>
        <w:spacing w:after="0" w:line="3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AUTODESK, INC.</w:t>
      </w:r>
    </w:p>
    <w:p>
      <w:pPr>
        <w:spacing w:after="0" w:line="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(Registrant)</w:t>
      </w:r>
    </w:p>
    <w:p>
      <w:pPr>
        <w:spacing w:after="0" w:line="27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13970</wp:posOffset>
            </wp:positionV>
            <wp:extent cx="36182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spacing w:after="0" w:line="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Stephen W. Hope</w:t>
      </w:r>
    </w:p>
    <w:p>
      <w:pPr>
        <w:spacing w:after="0" w:line="3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Senior Vice President and Chief Accounting Officer</w:t>
      </w:r>
    </w:p>
    <w:p>
      <w:pPr>
        <w:spacing w:after="0" w:line="3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460"/>
          </w:cols>
          <w:pgMar w:left="320" w:top="869" w:right="11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Anagnost, certify that:</w:t>
      </w:r>
    </w:p>
    <w:p>
      <w:pPr>
        <w:spacing w:after="0" w:line="96" w:lineRule="exact"/>
        <w:rPr>
          <w:sz w:val="20"/>
          <w:szCs w:val="20"/>
          <w:color w:val="auto"/>
        </w:rPr>
      </w:pPr>
    </w:p>
    <w:p>
      <w:pPr>
        <w:ind w:left="320" w:hanging="315"/>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135" w:lineRule="exact"/>
        <w:rPr>
          <w:sz w:val="20"/>
          <w:szCs w:val="20"/>
          <w:color w:val="auto"/>
        </w:rPr>
      </w:pPr>
    </w:p>
    <w:p>
      <w:pPr>
        <w:ind w:left="7540"/>
        <w:spacing w:after="0"/>
        <w:tabs>
          <w:tab w:leader="none" w:pos="7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13970</wp:posOffset>
            </wp:positionV>
            <wp:extent cx="31584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ind w:left="7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ectPr>
          <w:pgSz w:w="11900" w:h="16838" w:orient="portrait"/>
          <w:cols w:equalWidth="0" w:num="1">
            <w:col w:w="11240"/>
          </w:cols>
          <w:pgMar w:left="320" w:top="96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Deborah L. Clifford, certify that:</w:t>
      </w:r>
    </w:p>
    <w:p>
      <w:pPr>
        <w:spacing w:after="0" w:line="96" w:lineRule="exact"/>
        <w:rPr>
          <w:sz w:val="20"/>
          <w:szCs w:val="20"/>
          <w:color w:val="auto"/>
        </w:rPr>
      </w:pPr>
    </w:p>
    <w:p>
      <w:pPr>
        <w:ind w:left="320" w:hanging="315"/>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135"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/s/ 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13970</wp:posOffset>
            </wp:positionV>
            <wp:extent cx="36429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6"/>
          <w:szCs w:val="16"/>
          <w:b w:val="1"/>
          <w:bCs w:val="1"/>
          <w:color w:val="auto"/>
        </w:rPr>
        <w:t>Deborah L. Clifford</w:t>
      </w:r>
    </w:p>
    <w:p>
      <w:pPr>
        <w:spacing w:after="0" w:line="2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ind w:left="742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ectPr>
          <w:pgSz w:w="11900" w:h="16838" w:orient="portrait"/>
          <w:cols w:equalWidth="0" w:num="1">
            <w:col w:w="11240"/>
          </w:cols>
          <w:pgMar w:left="320" w:top="96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7" w:lineRule="exact"/>
        <w:rPr>
          <w:sz w:val="20"/>
          <w:szCs w:val="20"/>
          <w:color w:val="auto"/>
        </w:rPr>
      </w:pPr>
    </w:p>
    <w:p>
      <w:pPr>
        <w:ind w:right="120"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October 31, 2023,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4, 2023</w:t>
      </w:r>
    </w:p>
    <w:p>
      <w:pPr>
        <w:spacing w:after="0" w:line="135" w:lineRule="exact"/>
        <w:rPr>
          <w:sz w:val="20"/>
          <w:szCs w:val="20"/>
          <w:color w:val="auto"/>
        </w:rPr>
      </w:pPr>
    </w:p>
    <w:p>
      <w:pPr>
        <w:ind w:left="7320"/>
        <w:spacing w:after="0"/>
        <w:tabs>
          <w:tab w:leader="none" w:pos="76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ind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Deborah L. Clifford, certify, pursuant to 18 U.S.C. Section 1350, as adopted pursuant to Section 906 of the Sarbanes-Oxley Act of 2002, that the Quarterly Report of Autodesk, Inc. on Form 10-Q for the quarterly period ended October 31, 2023,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4, 2023</w:t>
      </w:r>
    </w:p>
    <w:p>
      <w:pPr>
        <w:spacing w:after="0" w:line="135"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/s/ 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Deborah L. Clifford</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sectPr>
      <w:pgSz w:w="11900" w:h="16838" w:orient="portrait"/>
      <w:cols w:equalWidth="0" w:num="1">
        <w:col w:w="11240"/>
      </w:cols>
      <w:pgMar w:left="320" w:top="9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6"/>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2023-12-04T15:16:45Z</dcterms:created>
  <dcterms:modified xsi:type="dcterms:W3CDTF">2023-12-04T15:16:45Z</dcterms:modified>
</cp:coreProperties>
</file>