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28, 2026</w:t>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Autodesk,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7"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w w:val="97"/>
              </w:rPr>
              <w:t>000-14338</w:t>
            </w:r>
          </w:p>
        </w:tc>
        <w:tc>
          <w:tcPr>
            <w:tcW w:w="1600" w:type="dxa"/>
            <w:vAlign w:val="bottom"/>
          </w:tcPr>
          <w:p>
            <w:pPr>
              <w:spacing w:after="0"/>
              <w:rPr>
                <w:sz w:val="17"/>
                <w:szCs w:val="17"/>
                <w:color w:val="auto"/>
              </w:rPr>
            </w:pPr>
          </w:p>
        </w:tc>
        <w:tc>
          <w:tcPr>
            <w:tcW w:w="236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94-2819853</w:t>
            </w:r>
          </w:p>
        </w:tc>
      </w:tr>
      <w:tr>
        <w:trPr>
          <w:trHeight w:val="20"/>
        </w:trPr>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3040" w:type="dxa"/>
            <w:vAlign w:val="bottom"/>
            <w:gridSpan w:val="3"/>
          </w:tcPr>
          <w:p>
            <w:pPr>
              <w:jc w:val="center"/>
              <w:ind w:right="500"/>
              <w:spacing w:after="0" w:line="196"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900" w:type="dxa"/>
            <w:vAlign w:val="bottom"/>
            <w:gridSpan w:val="4"/>
          </w:tcPr>
          <w:p>
            <w:pPr>
              <w:ind w:left="900"/>
              <w:spacing w:after="0" w:line="196" w:lineRule="exact"/>
              <w:rPr>
                <w:sz w:val="20"/>
                <w:szCs w:val="20"/>
                <w:color w:val="auto"/>
              </w:rPr>
            </w:pPr>
            <w:r>
              <w:rPr>
                <w:rFonts w:ascii="Times New Roman" w:cs="Times New Roman" w:eastAsia="Times New Roman" w:hAnsi="Times New Roman"/>
                <w:sz w:val="18"/>
                <w:szCs w:val="18"/>
                <w:color w:val="auto"/>
              </w:rPr>
              <w:t>(Commission File Number)</w:t>
            </w:r>
          </w:p>
        </w:tc>
        <w:tc>
          <w:tcPr>
            <w:tcW w:w="2360" w:type="dxa"/>
            <w:vAlign w:val="bottom"/>
            <w:gridSpan w:val="3"/>
          </w:tcPr>
          <w:p>
            <w:pPr>
              <w:jc w:val="center"/>
              <w:ind w:left="930"/>
              <w:spacing w:after="0" w:line="196"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incorporation)</w:t>
            </w: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36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67"/>
        </w:trPr>
        <w:tc>
          <w:tcPr>
            <w:tcW w:w="3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One Market Street, Ste. 400</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4"/>
        </w:trPr>
        <w:tc>
          <w:tcPr>
            <w:tcW w:w="3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San Francisco,</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94105</w:t>
            </w:r>
          </w:p>
        </w:tc>
        <w:tc>
          <w:tcPr>
            <w:tcW w:w="1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34"/>
        </w:trPr>
        <w:tc>
          <w:tcPr>
            <w:tcW w:w="3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40" w:type="dxa"/>
            <w:vAlign w:val="bottom"/>
          </w:tcPr>
          <w:p>
            <w:pPr>
              <w:spacing w:after="0"/>
              <w:rPr>
                <w:sz w:val="20"/>
                <w:szCs w:val="20"/>
                <w:color w:val="auto"/>
              </w:rPr>
            </w:pPr>
          </w:p>
        </w:tc>
        <w:tc>
          <w:tcPr>
            <w:tcW w:w="26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(Zip Code)</w:t>
            </w:r>
          </w:p>
        </w:tc>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(415) 507-5000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Written communications pursuant to Rule 425 under the Securities Act (17 CFR 230.425)</w:t>
      </w:r>
    </w:p>
    <w:p>
      <w:pPr>
        <w:spacing w:after="0" w:line="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Soliciting material pursuant to Rule 14a-12 under the Exchange Act (17 CFR 240.14a-12)</w:t>
      </w:r>
    </w:p>
    <w:p>
      <w:pPr>
        <w:spacing w:after="0" w:line="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019" w:right="339" w:bottom="1440" w:gutter="0" w:footer="0" w:header="0"/>
        </w:sectPr>
      </w:pPr>
    </w:p>
    <w:p>
      <w:pPr>
        <w:spacing w:after="0" w:line="140"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2" w:lineRule="exact"/>
        <w:rPr>
          <w:sz w:val="24"/>
          <w:szCs w:val="24"/>
          <w:color w:val="auto"/>
        </w:rPr>
      </w:pPr>
    </w:p>
    <w:p>
      <w:pPr>
        <w:sectPr>
          <w:pgSz w:w="11900" w:h="16838" w:orient="portrait"/>
          <w:cols w:equalWidth="0" w:num="3">
            <w:col w:w="3360" w:space="720"/>
            <w:col w:w="2020" w:space="720"/>
            <w:col w:w="4420"/>
          </w:cols>
          <w:pgMar w:left="320" w:top="1019" w:right="33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7"/>
          <w:szCs w:val="17"/>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ADSK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The Nasdaq Global Select Market</w:t>
      </w:r>
    </w:p>
    <w:p>
      <w:pPr>
        <w:spacing w:after="0" w:line="153" w:lineRule="exact"/>
        <w:rPr>
          <w:sz w:val="24"/>
          <w:szCs w:val="24"/>
          <w:color w:val="auto"/>
        </w:rPr>
      </w:pPr>
    </w:p>
    <w:p>
      <w:pPr>
        <w:sectPr>
          <w:pgSz w:w="11900" w:h="16838" w:orient="portrait"/>
          <w:cols w:equalWidth="0" w:num="3">
            <w:col w:w="3820" w:space="720"/>
            <w:col w:w="2000" w:space="720"/>
            <w:col w:w="3980"/>
          </w:cols>
          <w:pgMar w:left="320" w:top="1019" w:right="339" w:bottom="1440" w:gutter="0" w:footer="0" w:header="0"/>
          <w:type w:val="continuous"/>
        </w:sectPr>
      </w:pPr>
    </w:p>
    <w:p>
      <w:pPr>
        <w:ind w:right="20"/>
        <w:spacing w:after="0" w:line="39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Emerging growth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639445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1" w:name="page2"/>
    <w:bookmarkEnd w:id="1"/>
    <w:p>
      <w:pPr>
        <w:spacing w:after="0" w:line="391"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On May 28, 2026, Autodesk, Inc. (“Autodesk” or the “Company”) issued a press release reporting financial results for the first fiscal quarter ended April 30, 2026. The press release is furnished herewith as Exhibit 99.1 and is incorporated herein by reference.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Disclosures.</w:t>
      </w:r>
    </w:p>
    <w:p>
      <w:pPr>
        <w:spacing w:after="0" w:line="25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May 28, 2026, Autodesk posted supplemental investor materials on its investors.autodesk.com website. Autodesk uses its investors.autodesk.com website as a means of disclosing material non-public information, announcing upcoming investor conferences and for complying with its disclosure obligations under Regulation FD. Accordingly, investors should monitor Autodesk’s investor relations website in addition to following Autodesk’s press releases, SEC filings and public conference calls and webcasts.</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9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24"/>
                <w:szCs w:val="24"/>
                <w:color w:val="auto"/>
              </w:rPr>
            </w:pPr>
          </w:p>
        </w:tc>
        <w:tc>
          <w:tcPr>
            <w:tcW w:w="28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dated as of May 28, 2026</w:t>
            </w:r>
          </w:p>
        </w:tc>
      </w:tr>
    </w:tbl>
    <w:p>
      <w:pPr>
        <w:spacing w:after="0" w:line="22" w:lineRule="exact"/>
        <w:rPr>
          <w:sz w:val="20"/>
          <w:szCs w:val="20"/>
          <w:color w:val="auto"/>
        </w:rPr>
      </w:pPr>
    </w:p>
    <w:p>
      <w:pPr>
        <w:ind w:left="1400" w:hanging="1374"/>
        <w:spacing w:after="0"/>
        <w:tabs>
          <w:tab w:leader="none" w:pos="1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56"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color w:val="auto"/>
        </w:rPr>
        <w:t>/s/ JANESH MOORJANI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17145</wp:posOffset>
            </wp:positionV>
            <wp:extent cx="33775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81"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6"/>
          <w:szCs w:val="16"/>
          <w:b w:val="1"/>
          <w:bCs w:val="1"/>
          <w:color w:val="auto"/>
        </w:rPr>
        <w:t>Janesh Moorjani</w:t>
      </w:r>
    </w:p>
    <w:p>
      <w:pPr>
        <w:spacing w:after="0" w:line="3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6"/>
          <w:szCs w:val="16"/>
          <w:b w:val="1"/>
          <w:bCs w:val="1"/>
          <w:color w:val="auto"/>
        </w:rPr>
        <w:t>Executive Vice President and Chief Financial Officer</w:t>
      </w:r>
    </w:p>
    <w:p>
      <w:pPr>
        <w:ind w:left="5820"/>
        <w:spacing w:after="0"/>
        <w:rPr>
          <w:sz w:val="20"/>
          <w:szCs w:val="20"/>
          <w:color w:val="auto"/>
        </w:rPr>
      </w:pPr>
      <w:r>
        <w:rPr>
          <w:rFonts w:ascii="Times New Roman" w:cs="Times New Roman" w:eastAsia="Times New Roman" w:hAnsi="Times New Roman"/>
          <w:sz w:val="16"/>
          <w:szCs w:val="16"/>
          <w:b w:val="1"/>
          <w:bCs w:val="1"/>
          <w:color w:val="auto"/>
        </w:rPr>
        <w:t>(Principal Financial Officer and Principal Accounting Officer)</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2026</w:t>
      </w:r>
    </w:p>
    <w:p>
      <w:pPr>
        <w:sectPr>
          <w:pgSz w:w="11900" w:h="16838" w:orient="portrait"/>
          <w:cols w:equalWidth="0" w:num="1">
            <w:col w:w="11240"/>
          </w:cols>
          <w:pgMar w:left="320" w:top="117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AUTODESK, INC. ANNOUNCES FISCAL 2027 FIRST QUARTER RESULTS</w:t>
      </w:r>
    </w:p>
    <w:p>
      <w:pPr>
        <w:spacing w:after="0" w:line="36" w:lineRule="exact"/>
        <w:rPr>
          <w:sz w:val="20"/>
          <w:szCs w:val="20"/>
          <w:color w:val="auto"/>
        </w:rPr>
      </w:pPr>
    </w:p>
    <w:p>
      <w:pPr>
        <w:ind w:left="120" w:hanging="112"/>
        <w:spacing w:after="0"/>
        <w:tabs>
          <w:tab w:leader="none" w:pos="1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First quarter revenue grew 18 percent year over year as reported; 16 percent on a constant currency basis, to $1.93 billion</w:t>
      </w:r>
    </w:p>
    <w:p>
      <w:pPr>
        <w:spacing w:after="0" w:line="9" w:lineRule="exact"/>
        <w:rPr>
          <w:rFonts w:ascii="Arial" w:cs="Arial" w:eastAsia="Arial" w:hAnsi="Arial"/>
          <w:sz w:val="18"/>
          <w:szCs w:val="18"/>
          <w:i w:val="1"/>
          <w:iCs w:val="1"/>
          <w:color w:val="auto"/>
        </w:rPr>
      </w:pPr>
    </w:p>
    <w:p>
      <w:pPr>
        <w:ind w:left="120" w:hanging="112"/>
        <w:spacing w:after="0"/>
        <w:tabs>
          <w:tab w:leader="none" w:pos="1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Autodesk to acquire MaintainX, advancing unified platform in operations</w:t>
      </w:r>
    </w:p>
    <w:p>
      <w:pPr>
        <w:spacing w:after="0" w:line="200" w:lineRule="exact"/>
        <w:rPr>
          <w:sz w:val="20"/>
          <w:szCs w:val="20"/>
          <w:color w:val="auto"/>
        </w:rPr>
      </w:pPr>
    </w:p>
    <w:p>
      <w:pPr>
        <w:spacing w:after="0" w:line="272" w:lineRule="exact"/>
        <w:rPr>
          <w:sz w:val="20"/>
          <w:szCs w:val="20"/>
          <w:color w:val="auto"/>
        </w:rPr>
      </w:pPr>
    </w:p>
    <w:p>
      <w:pPr>
        <w:ind w:right="480"/>
        <w:spacing w:after="0" w:line="274" w:lineRule="auto"/>
        <w:rPr>
          <w:sz w:val="20"/>
          <w:szCs w:val="20"/>
          <w:color w:val="auto"/>
        </w:rPr>
      </w:pPr>
      <w:r>
        <w:rPr>
          <w:rFonts w:ascii="Arial" w:cs="Arial" w:eastAsia="Arial" w:hAnsi="Arial"/>
          <w:sz w:val="20"/>
          <w:szCs w:val="20"/>
          <w:b w:val="1"/>
          <w:bCs w:val="1"/>
          <w:color w:val="auto"/>
        </w:rPr>
        <w:t>SAN FRANCISCO, MAY 28, 2026</w:t>
      </w:r>
      <w:r>
        <w:rPr>
          <w:rFonts w:ascii="Arial" w:cs="Arial" w:eastAsia="Arial" w:hAnsi="Arial"/>
          <w:sz w:val="20"/>
          <w:szCs w:val="20"/>
          <w:color w:val="auto"/>
        </w:rPr>
        <w:t>-- Autodesk, Inc. (NASDAQ: ADSK) today reported financial results for the first quarter of</w:t>
      </w:r>
      <w:r>
        <w:rPr>
          <w:rFonts w:ascii="Arial" w:cs="Arial" w:eastAsia="Arial" w:hAnsi="Arial"/>
          <w:sz w:val="20"/>
          <w:szCs w:val="20"/>
          <w:b w:val="1"/>
          <w:bCs w:val="1"/>
          <w:color w:val="auto"/>
        </w:rPr>
        <w:t xml:space="preserve"> </w:t>
      </w:r>
      <w:r>
        <w:rPr>
          <w:rFonts w:ascii="Arial" w:cs="Arial" w:eastAsia="Arial" w:hAnsi="Arial"/>
          <w:sz w:val="20"/>
          <w:szCs w:val="20"/>
          <w:color w:val="auto"/>
        </w:rPr>
        <w:t>fiscal 2027, ended April 30, 2026.</w:t>
      </w:r>
    </w:p>
    <w:p>
      <w:pPr>
        <w:spacing w:after="0" w:line="192"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“Our customers need AI that produces outputs that are accurate in the real world. That requires data, context, and expertise. Each one is scarce and what differentiates Autodesk is that we have all three at scale. We can validate AI-generated outputs against real-world constraints using our existing parametric and physics-based 3D technology,” said Andrew Anagnost, CEO of Autodesk. “Autodesk’s assistants and MCP infrastructure provide the harness layer that makes frontier models more controllable, context-aware, and useful continuously through the full lifecycle. Autodesk’s 3D foundation models provide the core AI engines that directly reason about geometry and physical relationships. This integrated approach is why we believe Autodesk will define the next generation of industrial AI.”</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“We delivered strong first quarter results with solid execution of our plans and consistent momentum in our markets. Our sales reorganization is proceeding as expected,” said Janesh Moorjani, Autodesk CFO. “We have raised our fiscal 27 guidance to reflect the strength of the business in the first quarter. Our guidance assumes that the underlying momentum of the business will remain strong and continues to reflect potential disruption from our sales restructuring consistent with the plan we set out in February. The acquisition of MaintainX will bring a strategic asset into Autodesk and support our focus on durable, long-term growth and shareholder value creation. We will include the impact of the acquisition in our guidance after the transaction closes.”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Fiscal 2027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700" w:type="dxa"/>
            <w:vAlign w:val="bottom"/>
          </w:tcPr>
          <w:p>
            <w:pPr>
              <w:ind w:left="20"/>
              <w:spacing w:after="0"/>
              <w:rPr>
                <w:sz w:val="20"/>
                <w:szCs w:val="20"/>
                <w:color w:val="auto"/>
              </w:rPr>
            </w:pPr>
            <w:r>
              <w:rPr>
                <w:rFonts w:ascii="Arial" w:cs="Arial" w:eastAsia="Arial" w:hAnsi="Arial"/>
                <w:sz w:val="13"/>
                <w:szCs w:val="13"/>
                <w:i w:val="1"/>
                <w:iCs w:val="1"/>
                <w:color w:val="auto"/>
              </w:rPr>
              <w:t>(In millions, except percentages and per share amounts)</w:t>
            </w:r>
          </w:p>
        </w:tc>
        <w:tc>
          <w:tcPr>
            <w:tcW w:w="20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Q1 FY27</w:t>
            </w:r>
          </w:p>
        </w:tc>
        <w:tc>
          <w:tcPr>
            <w:tcW w:w="160" w:type="dxa"/>
            <w:vAlign w:val="bottom"/>
          </w:tcPr>
          <w:p>
            <w:pPr>
              <w:spacing w:after="0"/>
              <w:rPr>
                <w:sz w:val="17"/>
                <w:szCs w:val="17"/>
                <w:color w:val="auto"/>
              </w:rPr>
            </w:pPr>
          </w:p>
        </w:tc>
        <w:tc>
          <w:tcPr>
            <w:tcW w:w="1140" w:type="dxa"/>
            <w:vAlign w:val="bottom"/>
          </w:tcPr>
          <w:p>
            <w:pPr>
              <w:jc w:val="right"/>
              <w:ind w:right="152"/>
              <w:spacing w:after="0"/>
              <w:rPr>
                <w:sz w:val="20"/>
                <w:szCs w:val="20"/>
                <w:color w:val="auto"/>
              </w:rPr>
            </w:pPr>
            <w:r>
              <w:rPr>
                <w:rFonts w:ascii="Arial" w:cs="Arial" w:eastAsia="Arial" w:hAnsi="Arial"/>
                <w:sz w:val="14"/>
                <w:szCs w:val="14"/>
                <w:b w:val="1"/>
                <w:bCs w:val="1"/>
                <w:color w:val="auto"/>
              </w:rPr>
              <w:t>YoY Change</w:t>
            </w:r>
          </w:p>
        </w:tc>
      </w:tr>
      <w:tr>
        <w:trPr>
          <w:trHeight w:val="224"/>
        </w:trPr>
        <w:tc>
          <w:tcPr>
            <w:tcW w:w="8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Billings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1,688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Operating Margin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ppt</w:t>
            </w: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Non-GAAP Operating Margin</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 ppt</w:t>
            </w: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EPS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1.62</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Non-GAAP EPS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0.70</w:t>
            </w: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operating activities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39"/>
        </w:trPr>
        <w:tc>
          <w:tcPr>
            <w:tcW w:w="870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58 %</w:t>
            </w:r>
          </w:p>
        </w:tc>
      </w:tr>
    </w:tbl>
    <w:p>
      <w:pPr>
        <w:spacing w:after="0" w:line="85"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See GAAP to Non-GAAP reconciliation at the end of this document.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Revenue by Product Type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YoY Change</w:t>
            </w:r>
          </w:p>
        </w:tc>
        <w:tc>
          <w:tcPr>
            <w:tcW w:w="120" w:type="dxa"/>
            <w:vAlign w:val="bottom"/>
            <w:vMerge w:val="restart"/>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YoY Change in Constant</w:t>
            </w:r>
          </w:p>
        </w:tc>
        <w:tc>
          <w:tcPr>
            <w:tcW w:w="0" w:type="dxa"/>
            <w:vAlign w:val="bottom"/>
          </w:tcPr>
          <w:p>
            <w:pPr>
              <w:spacing w:after="0"/>
              <w:rPr>
                <w:sz w:val="1"/>
                <w:szCs w:val="1"/>
                <w:color w:val="auto"/>
              </w:rPr>
            </w:pPr>
          </w:p>
        </w:tc>
      </w:tr>
      <w:tr>
        <w:trPr>
          <w:trHeight w:val="189"/>
        </w:trPr>
        <w:tc>
          <w:tcPr>
            <w:tcW w:w="7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95"/>
        </w:trPr>
        <w:tc>
          <w:tcPr>
            <w:tcW w:w="7000" w:type="dxa"/>
            <w:vAlign w:val="bottom"/>
          </w:tcPr>
          <w:p>
            <w:pPr>
              <w:ind w:left="20"/>
              <w:spacing w:after="0"/>
              <w:rPr>
                <w:sz w:val="20"/>
                <w:szCs w:val="20"/>
                <w:color w:val="auto"/>
              </w:rPr>
            </w:pPr>
            <w:r>
              <w:rPr>
                <w:rFonts w:ascii="Arial" w:cs="Arial" w:eastAsia="Arial" w:hAnsi="Arial"/>
                <w:sz w:val="13"/>
                <w:szCs w:val="13"/>
                <w:i w:val="1"/>
                <w:iCs w:val="1"/>
                <w:color w:val="auto"/>
              </w:rPr>
              <w:t>(In millions, except percentages)</w:t>
            </w:r>
          </w:p>
        </w:tc>
        <w:tc>
          <w:tcPr>
            <w:tcW w:w="140" w:type="dxa"/>
            <w:vAlign w:val="bottom"/>
          </w:tcPr>
          <w:p>
            <w:pPr>
              <w:spacing w:after="0"/>
              <w:rPr>
                <w:sz w:val="16"/>
                <w:szCs w:val="16"/>
                <w:color w:val="auto"/>
              </w:rPr>
            </w:pPr>
          </w:p>
        </w:tc>
        <w:tc>
          <w:tcPr>
            <w:tcW w:w="720" w:type="dxa"/>
            <w:vAlign w:val="bottom"/>
          </w:tcPr>
          <w:p>
            <w:pPr>
              <w:jc w:val="right"/>
              <w:ind w:right="54"/>
              <w:spacing w:after="0"/>
              <w:rPr>
                <w:sz w:val="20"/>
                <w:szCs w:val="20"/>
                <w:color w:val="auto"/>
              </w:rPr>
            </w:pPr>
            <w:r>
              <w:rPr>
                <w:rFonts w:ascii="Arial" w:cs="Arial" w:eastAsia="Arial" w:hAnsi="Arial"/>
                <w:sz w:val="14"/>
                <w:szCs w:val="14"/>
                <w:b w:val="1"/>
                <w:bCs w:val="1"/>
                <w:color w:val="auto"/>
                <w:w w:val="99"/>
              </w:rPr>
              <w:t>Q1 FY27</w:t>
            </w:r>
          </w:p>
        </w:tc>
        <w:tc>
          <w:tcPr>
            <w:tcW w:w="1500" w:type="dxa"/>
            <w:vAlign w:val="bottom"/>
            <w:gridSpan w:val="2"/>
          </w:tcPr>
          <w:p>
            <w:pPr>
              <w:jc w:val="right"/>
              <w:ind w:right="63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760" w:type="dxa"/>
            <w:vAlign w:val="bottom"/>
          </w:tcPr>
          <w:p>
            <w:pPr>
              <w:jc w:val="right"/>
              <w:ind w:right="81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Design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Make</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Total Net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Revenue by Geographic Area</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2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YoY Change</w:t>
            </w:r>
          </w:p>
        </w:tc>
        <w:tc>
          <w:tcPr>
            <w:tcW w:w="120" w:type="dxa"/>
            <w:vAlign w:val="bottom"/>
            <w:vMerge w:val="restart"/>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YoY Change in Constant</w:t>
            </w:r>
          </w:p>
        </w:tc>
        <w:tc>
          <w:tcPr>
            <w:tcW w:w="0" w:type="dxa"/>
            <w:vAlign w:val="bottom"/>
          </w:tcPr>
          <w:p>
            <w:pPr>
              <w:spacing w:after="0"/>
              <w:rPr>
                <w:sz w:val="1"/>
                <w:szCs w:val="1"/>
                <w:color w:val="auto"/>
              </w:rPr>
            </w:pPr>
          </w:p>
        </w:tc>
      </w:tr>
      <w:tr>
        <w:trPr>
          <w:trHeight w:val="185"/>
        </w:trPr>
        <w:tc>
          <w:tcPr>
            <w:tcW w:w="7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95"/>
        </w:trPr>
        <w:tc>
          <w:tcPr>
            <w:tcW w:w="7080" w:type="dxa"/>
            <w:vAlign w:val="bottom"/>
          </w:tcPr>
          <w:p>
            <w:pPr>
              <w:ind w:left="20"/>
              <w:spacing w:after="0"/>
              <w:rPr>
                <w:sz w:val="20"/>
                <w:szCs w:val="20"/>
                <w:color w:val="auto"/>
              </w:rPr>
            </w:pPr>
            <w:r>
              <w:rPr>
                <w:rFonts w:ascii="Arial" w:cs="Arial" w:eastAsia="Arial" w:hAnsi="Arial"/>
                <w:sz w:val="13"/>
                <w:szCs w:val="13"/>
                <w:i w:val="1"/>
                <w:iCs w:val="1"/>
                <w:color w:val="auto"/>
              </w:rPr>
              <w:t>(In millions, except percentages)</w:t>
            </w:r>
          </w:p>
        </w:tc>
        <w:tc>
          <w:tcPr>
            <w:tcW w:w="8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Q1 FY27</w:t>
            </w:r>
          </w:p>
        </w:tc>
        <w:tc>
          <w:tcPr>
            <w:tcW w:w="148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760" w:type="dxa"/>
            <w:vAlign w:val="bottom"/>
          </w:tcPr>
          <w:p>
            <w:pPr>
              <w:jc w:val="right"/>
              <w:ind w:right="81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Total Net 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Revenue by Product Family</w:t>
      </w:r>
    </w:p>
    <w:p>
      <w:pPr>
        <w:spacing w:after="0" w:line="243" w:lineRule="exact"/>
        <w:rPr>
          <w:sz w:val="20"/>
          <w:szCs w:val="20"/>
          <w:color w:val="auto"/>
        </w:rPr>
      </w:pPr>
    </w:p>
    <w:p>
      <w:pPr>
        <w:ind w:right="520"/>
        <w:spacing w:after="0" w:line="286" w:lineRule="auto"/>
        <w:rPr>
          <w:sz w:val="20"/>
          <w:szCs w:val="20"/>
          <w:color w:val="auto"/>
        </w:rPr>
      </w:pPr>
      <w:r>
        <w:rPr>
          <w:rFonts w:ascii="Arial" w:cs="Arial" w:eastAsia="Arial" w:hAnsi="Arial"/>
          <w:sz w:val="20"/>
          <w:szCs w:val="20"/>
          <w:color w:val="auto"/>
        </w:rPr>
        <w:t>Our product offerings are focused in four primary product families: Architecture, Engineering, Construction, and Operations ("AECO"), AutoCAD and AutoCAD LT, Manufacturing ("MFG"), and Media and Entertainment ("M&amp;E").</w:t>
      </w:r>
    </w:p>
    <w:tbl>
      <w:tblPr>
        <w:tblLayout w:type="fixed"/>
        <w:tblInd w:w="0" w:type="dxa"/>
        <w:tblCellMar>
          <w:top w:w="0" w:type="dxa"/>
          <w:left w:w="0" w:type="dxa"/>
          <w:bottom w:w="0" w:type="dxa"/>
          <w:right w:w="0" w:type="dxa"/>
        </w:tblCellMar>
      </w:tblPr>
      <w:tr>
        <w:trPr>
          <w:trHeight w:val="153"/>
        </w:trPr>
        <w:tc>
          <w:tcPr>
            <w:tcW w:w="7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YoY Change</w:t>
            </w:r>
          </w:p>
        </w:tc>
        <w:tc>
          <w:tcPr>
            <w:tcW w:w="100" w:type="dxa"/>
            <w:vAlign w:val="bottom"/>
            <w:vMerge w:val="restart"/>
          </w:tcPr>
          <w:p>
            <w:pPr>
              <w:spacing w:after="0"/>
              <w:rPr>
                <w:sz w:val="13"/>
                <w:szCs w:val="13"/>
                <w:color w:val="auto"/>
              </w:rPr>
            </w:pPr>
          </w:p>
        </w:tc>
        <w:tc>
          <w:tcPr>
            <w:tcW w:w="17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YoY Change in Constant</w:t>
            </w:r>
          </w:p>
        </w:tc>
        <w:tc>
          <w:tcPr>
            <w:tcW w:w="0" w:type="dxa"/>
            <w:vAlign w:val="bottom"/>
          </w:tcPr>
          <w:p>
            <w:pPr>
              <w:spacing w:after="0"/>
              <w:rPr>
                <w:sz w:val="1"/>
                <w:szCs w:val="1"/>
                <w:color w:val="auto"/>
              </w:rPr>
            </w:pPr>
          </w:p>
        </w:tc>
      </w:tr>
      <w:tr>
        <w:trPr>
          <w:trHeight w:val="185"/>
        </w:trPr>
        <w:tc>
          <w:tcPr>
            <w:tcW w:w="7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95"/>
        </w:trPr>
        <w:tc>
          <w:tcPr>
            <w:tcW w:w="7160" w:type="dxa"/>
            <w:vAlign w:val="bottom"/>
          </w:tcPr>
          <w:p>
            <w:pPr>
              <w:ind w:left="20"/>
              <w:spacing w:after="0"/>
              <w:rPr>
                <w:sz w:val="20"/>
                <w:szCs w:val="20"/>
                <w:color w:val="auto"/>
              </w:rPr>
            </w:pPr>
            <w:r>
              <w:rPr>
                <w:rFonts w:ascii="Arial" w:cs="Arial" w:eastAsia="Arial" w:hAnsi="Arial"/>
                <w:sz w:val="13"/>
                <w:szCs w:val="13"/>
                <w:i w:val="1"/>
                <w:iCs w:val="1"/>
                <w:color w:val="auto"/>
              </w:rPr>
              <w:t>(In millions, except percentages)</w:t>
            </w:r>
          </w:p>
        </w:tc>
        <w:tc>
          <w:tcPr>
            <w:tcW w:w="7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Q1 FY27</w:t>
            </w:r>
          </w:p>
        </w:tc>
        <w:tc>
          <w:tcPr>
            <w:tcW w:w="146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740" w:type="dxa"/>
            <w:vAlign w:val="bottom"/>
          </w:tcPr>
          <w:p>
            <w:pPr>
              <w:jc w:val="right"/>
              <w:ind w:right="79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AECO</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AutoCAD and AutoCAD LT</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MFG</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M&amp;E</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color w:val="auto"/>
              </w:rPr>
              <w:t>Total Net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Remaining Performance Obligations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 except percentages)</w:t>
            </w: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Q1 FY27</w:t>
            </w:r>
          </w:p>
        </w:tc>
        <w:tc>
          <w:tcPr>
            <w:tcW w:w="13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YoY Change</w:t>
            </w:r>
          </w:p>
        </w:tc>
      </w:tr>
      <w:tr>
        <w:trPr>
          <w:trHeight w:val="224"/>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   4,457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Unbilled deferred revenue</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3,351</w:t>
            </w:r>
          </w:p>
        </w:tc>
        <w:tc>
          <w:tcPr>
            <w:tcW w:w="130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performance obligations (“RPO”)</w:t>
            </w: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7,808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39"/>
        </w:trPr>
        <w:tc>
          <w:tcPr>
            <w:tcW w:w="8960" w:type="dxa"/>
            <w:vAlign w:val="bottom"/>
          </w:tcPr>
          <w:p>
            <w:pPr>
              <w:ind w:left="20"/>
              <w:spacing w:after="0"/>
              <w:rPr>
                <w:sz w:val="20"/>
                <w:szCs w:val="20"/>
                <w:color w:val="auto"/>
              </w:rPr>
            </w:pPr>
            <w:r>
              <w:rPr>
                <w:rFonts w:ascii="Arial" w:cs="Arial" w:eastAsia="Arial" w:hAnsi="Arial"/>
                <w:sz w:val="18"/>
                <w:szCs w:val="18"/>
                <w:color w:val="auto"/>
              </w:rPr>
              <w:t>Current RPO</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5,383</w:t>
            </w:r>
          </w:p>
        </w:tc>
        <w:tc>
          <w:tcPr>
            <w:tcW w:w="1300" w:type="dxa"/>
            <w:vAlign w:val="bottom"/>
          </w:tcPr>
          <w:p>
            <w:pPr>
              <w:jc w:val="right"/>
              <w:spacing w:after="0"/>
              <w:rPr>
                <w:sz w:val="20"/>
                <w:szCs w:val="20"/>
                <w:color w:val="auto"/>
              </w:rPr>
            </w:pPr>
            <w:r>
              <w:rPr>
                <w:rFonts w:ascii="Arial" w:cs="Arial" w:eastAsia="Arial" w:hAnsi="Arial"/>
                <w:sz w:val="18"/>
                <w:szCs w:val="18"/>
                <w:color w:val="auto"/>
              </w:rPr>
              <w:t>18 %</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growth rates are compared to the first quarter of fiscal 2026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95"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Business Outlook</w:t>
      </w:r>
    </w:p>
    <w:p>
      <w:pPr>
        <w:spacing w:after="0" w:line="231" w:lineRule="exact"/>
        <w:rPr>
          <w:sz w:val="20"/>
          <w:szCs w:val="20"/>
          <w:color w:val="auto"/>
        </w:rPr>
      </w:pPr>
    </w:p>
    <w:p>
      <w:pPr>
        <w:ind w:right="320"/>
        <w:spacing w:after="0" w:line="248" w:lineRule="auto"/>
        <w:rPr>
          <w:sz w:val="20"/>
          <w:szCs w:val="20"/>
          <w:color w:val="auto"/>
        </w:rPr>
      </w:pPr>
      <w:r>
        <w:rPr>
          <w:rFonts w:ascii="Arial" w:cs="Arial" w:eastAsia="Arial" w:hAnsi="Arial"/>
          <w:sz w:val="20"/>
          <w:szCs w:val="20"/>
          <w:color w:val="auto"/>
        </w:rPr>
        <w:t>The following are forward-looking statements based on current expectations and assumptions, and involve risks and uncertainties, some of which are set forth below under "Safe Harbor Statement.” A reconciliation between the second quarter and full-year fiscal 2027 GAAP and non-GAAP estimates is provided below or in the tables later in this document.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Second Quarter Fiscal 2027 </w:t>
      </w:r>
      <w:r>
        <w:rPr>
          <w:rFonts w:ascii="Arial" w:cs="Arial" w:eastAsia="Arial" w:hAnsi="Arial"/>
          <w:sz w:val="25"/>
          <w:szCs w:val="25"/>
          <w:i w:val="1"/>
          <w:iCs w:val="1"/>
          <w:color w:val="auto"/>
          <w:vertAlign w:val="superscript"/>
        </w:rPr>
        <w:t>(1)</w:t>
      </w:r>
    </w:p>
    <w:tbl>
      <w:tblPr>
        <w:tblLayout w:type="fixed"/>
        <w:tblInd w:w="0" w:type="dxa"/>
        <w:tblCellMar>
          <w:top w:w="0" w:type="dxa"/>
          <w:left w:w="0" w:type="dxa"/>
          <w:bottom w:w="0" w:type="dxa"/>
          <w:right w:w="0" w:type="dxa"/>
        </w:tblCellMar>
      </w:tblPr>
      <w:tr>
        <w:trPr>
          <w:trHeight w:val="143"/>
        </w:trPr>
        <w:tc>
          <w:tcPr>
            <w:tcW w:w="6940" w:type="dxa"/>
            <w:vAlign w:val="bottom"/>
            <w:vMerge w:val="restart"/>
          </w:tcPr>
          <w:p>
            <w:pPr>
              <w:ind w:left="3140"/>
              <w:spacing w:after="0"/>
              <w:rPr>
                <w:sz w:val="20"/>
                <w:szCs w:val="20"/>
                <w:color w:val="auto"/>
              </w:rPr>
            </w:pPr>
            <w:r>
              <w:rPr>
                <w:rFonts w:ascii="Arial" w:cs="Arial" w:eastAsia="Arial" w:hAnsi="Arial"/>
                <w:sz w:val="14"/>
                <w:szCs w:val="14"/>
                <w:b w:val="1"/>
                <w:bCs w:val="1"/>
                <w:color w:val="auto"/>
              </w:rPr>
              <w:t>Q2 FY27 Guidance Metrics</w:t>
            </w:r>
          </w:p>
        </w:tc>
        <w:tc>
          <w:tcPr>
            <w:tcW w:w="4300" w:type="dxa"/>
            <w:vAlign w:val="bottom"/>
            <w:gridSpan w:val="2"/>
          </w:tcPr>
          <w:p>
            <w:pPr>
              <w:jc w:val="center"/>
              <w:ind w:left="1077"/>
              <w:spacing w:after="0" w:line="143" w:lineRule="exact"/>
              <w:rPr>
                <w:sz w:val="20"/>
                <w:szCs w:val="20"/>
                <w:color w:val="auto"/>
              </w:rPr>
            </w:pPr>
            <w:r>
              <w:rPr>
                <w:rFonts w:ascii="Arial" w:cs="Arial" w:eastAsia="Arial" w:hAnsi="Arial"/>
                <w:sz w:val="14"/>
                <w:szCs w:val="14"/>
                <w:b w:val="1"/>
                <w:bCs w:val="1"/>
                <w:color w:val="auto"/>
              </w:rPr>
              <w:t>Q2 FY27</w:t>
            </w:r>
          </w:p>
        </w:tc>
        <w:tc>
          <w:tcPr>
            <w:tcW w:w="0" w:type="dxa"/>
            <w:vAlign w:val="bottom"/>
          </w:tcPr>
          <w:p>
            <w:pPr>
              <w:spacing w:after="0"/>
              <w:rPr>
                <w:sz w:val="1"/>
                <w:szCs w:val="1"/>
                <w:color w:val="auto"/>
              </w:rPr>
            </w:pPr>
          </w:p>
        </w:tc>
      </w:tr>
      <w:tr>
        <w:trPr>
          <w:trHeight w:val="185"/>
        </w:trPr>
        <w:tc>
          <w:tcPr>
            <w:tcW w:w="6940" w:type="dxa"/>
            <w:vAlign w:val="bottom"/>
            <w:tcBorders>
              <w:bottom w:val="single" w:sz="8" w:color="auto"/>
            </w:tcBorders>
            <w:vMerge w:val="continue"/>
          </w:tcPr>
          <w:p>
            <w:pPr>
              <w:spacing w:after="0"/>
              <w:rPr>
                <w:sz w:val="16"/>
                <w:szCs w:val="16"/>
                <w:color w:val="auto"/>
              </w:rPr>
            </w:pPr>
          </w:p>
        </w:tc>
        <w:tc>
          <w:tcPr>
            <w:tcW w:w="4300" w:type="dxa"/>
            <w:vAlign w:val="bottom"/>
            <w:tcBorders>
              <w:bottom w:val="single" w:sz="8" w:color="auto"/>
            </w:tcBorders>
            <w:gridSpan w:val="2"/>
          </w:tcPr>
          <w:p>
            <w:pPr>
              <w:jc w:val="center"/>
              <w:ind w:left="1077"/>
              <w:spacing w:after="0"/>
              <w:rPr>
                <w:sz w:val="20"/>
                <w:szCs w:val="20"/>
                <w:color w:val="auto"/>
              </w:rPr>
            </w:pPr>
            <w:r>
              <w:rPr>
                <w:rFonts w:ascii="Arial" w:cs="Arial" w:eastAsia="Arial" w:hAnsi="Arial"/>
                <w:sz w:val="14"/>
                <w:szCs w:val="14"/>
                <w:b w:val="1"/>
                <w:bCs w:val="1"/>
                <w:color w:val="auto"/>
              </w:rPr>
              <w:t>(ending July 31, 2026)</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(in millions)</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$2,015</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EPS GAAP</w:t>
            </w:r>
          </w:p>
        </w:tc>
        <w:tc>
          <w:tcPr>
            <w:tcW w:w="2680" w:type="dxa"/>
            <w:vAlign w:val="bottom"/>
          </w:tcPr>
          <w:p>
            <w:pPr>
              <w:jc w:val="right"/>
              <w:spacing w:after="0"/>
              <w:rPr>
                <w:sz w:val="20"/>
                <w:szCs w:val="20"/>
                <w:color w:val="auto"/>
              </w:rPr>
            </w:pPr>
            <w:r>
              <w:rPr>
                <w:rFonts w:ascii="Arial" w:cs="Arial" w:eastAsia="Arial" w:hAnsi="Arial"/>
                <w:sz w:val="18"/>
                <w:szCs w:val="18"/>
                <w:color w:val="auto"/>
              </w:rPr>
              <w:t>$1.84</w:t>
            </w:r>
          </w:p>
        </w:tc>
        <w:tc>
          <w:tcPr>
            <w:tcW w:w="1620" w:type="dxa"/>
            <w:vAlign w:val="bottom"/>
          </w:tcPr>
          <w:p>
            <w:pPr>
              <w:ind w:left="20"/>
              <w:spacing w:after="0"/>
              <w:rPr>
                <w:sz w:val="20"/>
                <w:szCs w:val="20"/>
                <w:color w:val="auto"/>
              </w:rPr>
            </w:pPr>
            <w:r>
              <w:rPr>
                <w:rFonts w:ascii="Arial" w:cs="Arial" w:eastAsia="Arial" w:hAnsi="Arial"/>
                <w:sz w:val="18"/>
                <w:szCs w:val="18"/>
                <w:color w:val="auto"/>
              </w:rPr>
              <w:t>- $1.97</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EPS non-GAAP</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Full Year Fiscal 2027 </w:t>
      </w:r>
      <w:r>
        <w:rPr>
          <w:rFonts w:ascii="Arial" w:cs="Arial" w:eastAsia="Arial" w:hAnsi="Arial"/>
          <w:sz w:val="25"/>
          <w:szCs w:val="25"/>
          <w:i w:val="1"/>
          <w:iCs w:val="1"/>
          <w:color w:val="auto"/>
          <w:vertAlign w:val="superscript"/>
        </w:rPr>
        <w:t>(1)</w:t>
      </w:r>
    </w:p>
    <w:tbl>
      <w:tblPr>
        <w:tblLayout w:type="fixed"/>
        <w:tblInd w:w="0" w:type="dxa"/>
        <w:tblCellMar>
          <w:top w:w="0" w:type="dxa"/>
          <w:left w:w="0" w:type="dxa"/>
          <w:bottom w:w="0" w:type="dxa"/>
          <w:right w:w="0" w:type="dxa"/>
        </w:tblCellMar>
      </w:tblPr>
      <w:tr>
        <w:trPr>
          <w:trHeight w:val="153"/>
        </w:trPr>
        <w:tc>
          <w:tcPr>
            <w:tcW w:w="6820" w:type="dxa"/>
            <w:vAlign w:val="bottom"/>
            <w:vMerge w:val="restart"/>
          </w:tcPr>
          <w:p>
            <w:pPr>
              <w:ind w:left="3260"/>
              <w:spacing w:after="0"/>
              <w:rPr>
                <w:sz w:val="20"/>
                <w:szCs w:val="20"/>
                <w:color w:val="auto"/>
              </w:rPr>
            </w:pPr>
            <w:r>
              <w:rPr>
                <w:rFonts w:ascii="Arial" w:cs="Arial" w:eastAsia="Arial" w:hAnsi="Arial"/>
                <w:sz w:val="14"/>
                <w:szCs w:val="14"/>
                <w:b w:val="1"/>
                <w:bCs w:val="1"/>
                <w:color w:val="auto"/>
              </w:rPr>
              <w:t>FY27 Guidance Metrics</w:t>
            </w:r>
          </w:p>
        </w:tc>
        <w:tc>
          <w:tcPr>
            <w:tcW w:w="4420" w:type="dxa"/>
            <w:vAlign w:val="bottom"/>
            <w:gridSpan w:val="2"/>
          </w:tcPr>
          <w:p>
            <w:pPr>
              <w:jc w:val="center"/>
              <w:ind w:left="1194"/>
              <w:spacing w:after="0" w:line="153" w:lineRule="exact"/>
              <w:rPr>
                <w:sz w:val="20"/>
                <w:szCs w:val="20"/>
                <w:color w:val="auto"/>
              </w:rPr>
            </w:pPr>
            <w:r>
              <w:rPr>
                <w:rFonts w:ascii="Arial" w:cs="Arial" w:eastAsia="Arial" w:hAnsi="Arial"/>
                <w:sz w:val="14"/>
                <w:szCs w:val="14"/>
                <w:b w:val="1"/>
                <w:bCs w:val="1"/>
                <w:color w:val="auto"/>
              </w:rPr>
              <w:t>FY27</w:t>
            </w:r>
          </w:p>
        </w:tc>
        <w:tc>
          <w:tcPr>
            <w:tcW w:w="0" w:type="dxa"/>
            <w:vAlign w:val="bottom"/>
          </w:tcPr>
          <w:p>
            <w:pPr>
              <w:spacing w:after="0"/>
              <w:rPr>
                <w:sz w:val="1"/>
                <w:szCs w:val="1"/>
                <w:color w:val="auto"/>
              </w:rPr>
            </w:pPr>
          </w:p>
        </w:tc>
      </w:tr>
      <w:tr>
        <w:trPr>
          <w:trHeight w:val="189"/>
        </w:trPr>
        <w:tc>
          <w:tcPr>
            <w:tcW w:w="6820" w:type="dxa"/>
            <w:vAlign w:val="bottom"/>
            <w:tcBorders>
              <w:bottom w:val="single" w:sz="8" w:color="auto"/>
            </w:tcBorders>
            <w:vMerge w:val="continue"/>
          </w:tcPr>
          <w:p>
            <w:pPr>
              <w:spacing w:after="0"/>
              <w:rPr>
                <w:sz w:val="16"/>
                <w:szCs w:val="16"/>
                <w:color w:val="auto"/>
              </w:rPr>
            </w:pPr>
          </w:p>
        </w:tc>
        <w:tc>
          <w:tcPr>
            <w:tcW w:w="4420" w:type="dxa"/>
            <w:vAlign w:val="bottom"/>
            <w:tcBorders>
              <w:bottom w:val="single" w:sz="8" w:color="auto"/>
            </w:tcBorders>
            <w:gridSpan w:val="2"/>
          </w:tcPr>
          <w:p>
            <w:pPr>
              <w:ind w:left="1960"/>
              <w:spacing w:after="0"/>
              <w:rPr>
                <w:sz w:val="20"/>
                <w:szCs w:val="20"/>
                <w:color w:val="auto"/>
              </w:rPr>
            </w:pPr>
            <w:r>
              <w:rPr>
                <w:rFonts w:ascii="Arial" w:cs="Arial" w:eastAsia="Arial" w:hAnsi="Arial"/>
                <w:sz w:val="14"/>
                <w:szCs w:val="14"/>
                <w:b w:val="1"/>
                <w:bCs w:val="1"/>
                <w:color w:val="auto"/>
              </w:rPr>
              <w:t>(ending January 31, 2027)</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Billings (in millions)</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w:t>
            </w:r>
          </w:p>
        </w:tc>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$8,580</w:t>
            </w: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Revenue (in millions)</w:t>
            </w:r>
          </w:p>
        </w:tc>
        <w:tc>
          <w:tcPr>
            <w:tcW w:w="2800" w:type="dxa"/>
            <w:vAlign w:val="bottom"/>
          </w:tcPr>
          <w:p>
            <w:pPr>
              <w:jc w:val="right"/>
              <w:spacing w:after="0"/>
              <w:rPr>
                <w:sz w:val="20"/>
                <w:szCs w:val="20"/>
                <w:color w:val="auto"/>
              </w:rPr>
            </w:pPr>
            <w:r>
              <w:rPr>
                <w:rFonts w:ascii="Arial" w:cs="Arial" w:eastAsia="Arial" w:hAnsi="Arial"/>
                <w:sz w:val="18"/>
                <w:szCs w:val="18"/>
                <w:color w:val="auto"/>
              </w:rPr>
              <w:t>$8,155</w:t>
            </w:r>
          </w:p>
        </w:tc>
        <w:tc>
          <w:tcPr>
            <w:tcW w:w="1620" w:type="dxa"/>
            <w:vAlign w:val="bottom"/>
          </w:tcPr>
          <w:p>
            <w:pPr>
              <w:ind w:left="20"/>
              <w:spacing w:after="0"/>
              <w:rPr>
                <w:sz w:val="20"/>
                <w:szCs w:val="20"/>
                <w:color w:val="auto"/>
              </w:rPr>
            </w:pPr>
            <w:r>
              <w:rPr>
                <w:rFonts w:ascii="Arial" w:cs="Arial" w:eastAsia="Arial" w:hAnsi="Arial"/>
                <w:sz w:val="18"/>
                <w:szCs w:val="18"/>
                <w:color w:val="auto"/>
              </w:rPr>
              <w:t>- $8,215</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operating margin</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- 28%</w:t>
            </w: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Non-GAAP operating margin</w:t>
            </w:r>
          </w:p>
        </w:tc>
        <w:tc>
          <w:tcPr>
            <w:tcW w:w="4420" w:type="dxa"/>
            <w:vAlign w:val="bottom"/>
            <w:gridSpan w:val="2"/>
          </w:tcPr>
          <w:p>
            <w:pPr>
              <w:jc w:val="right"/>
              <w:ind w:right="125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EPS GAAP</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$8.63</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EPS non-GAAP</w:t>
            </w:r>
          </w:p>
        </w:tc>
        <w:tc>
          <w:tcPr>
            <w:tcW w:w="2800" w:type="dxa"/>
            <w:vAlign w:val="bottom"/>
          </w:tcPr>
          <w:p>
            <w:pPr>
              <w:jc w:val="right"/>
              <w:spacing w:after="0"/>
              <w:rPr>
                <w:sz w:val="20"/>
                <w:szCs w:val="20"/>
                <w:color w:val="auto"/>
              </w:rPr>
            </w:pPr>
            <w:r>
              <w:rPr>
                <w:rFonts w:ascii="Arial" w:cs="Arial" w:eastAsia="Arial" w:hAnsi="Arial"/>
                <w:sz w:val="18"/>
                <w:szCs w:val="18"/>
                <w:color w:val="auto"/>
              </w:rPr>
              <w:t>$12.40</w:t>
            </w:r>
          </w:p>
        </w:tc>
        <w:tc>
          <w:tcPr>
            <w:tcW w:w="1620" w:type="dxa"/>
            <w:vAlign w:val="bottom"/>
          </w:tcPr>
          <w:p>
            <w:pPr>
              <w:ind w:left="20"/>
              <w:spacing w:after="0"/>
              <w:rPr>
                <w:sz w:val="20"/>
                <w:szCs w:val="20"/>
                <w:color w:val="auto"/>
              </w:rPr>
            </w:pPr>
            <w:r>
              <w:rPr>
                <w:rFonts w:ascii="Arial" w:cs="Arial" w:eastAsia="Arial" w:hAnsi="Arial"/>
                <w:sz w:val="18"/>
                <w:szCs w:val="18"/>
                <w:color w:val="auto"/>
              </w:rPr>
              <w:t>- $12.65</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Free cash flow (in millions) </w:t>
            </w:r>
            <w:r>
              <w:rPr>
                <w:rFonts w:ascii="Arial" w:cs="Arial" w:eastAsia="Arial" w:hAnsi="Arial"/>
                <w:sz w:val="23"/>
                <w:szCs w:val="23"/>
                <w:color w:val="auto"/>
                <w:vertAlign w:val="superscript"/>
              </w:rPr>
              <w:t>(2)</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$2,800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Does not include MaintainX.</w:t>
      </w:r>
    </w:p>
    <w:p>
      <w:pPr>
        <w:spacing w:after="0" w:line="30"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Free cash flow is cash flow from operating activities less approximately $70 million of capital expenditures.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Conference Call and Webcast</w:t>
      </w:r>
    </w:p>
    <w:p>
      <w:pPr>
        <w:spacing w:after="0" w:line="258" w:lineRule="exact"/>
        <w:rPr>
          <w:sz w:val="20"/>
          <w:szCs w:val="20"/>
          <w:color w:val="auto"/>
        </w:rPr>
      </w:pPr>
    </w:p>
    <w:p>
      <w:pPr>
        <w:ind w:right="1240"/>
        <w:spacing w:after="0" w:line="298" w:lineRule="auto"/>
        <w:rPr>
          <w:sz w:val="20"/>
          <w:szCs w:val="20"/>
          <w:color w:val="auto"/>
        </w:rPr>
      </w:pPr>
      <w:r>
        <w:rPr>
          <w:rFonts w:ascii="Arial" w:cs="Arial" w:eastAsia="Arial" w:hAnsi="Arial"/>
          <w:sz w:val="19"/>
          <w:szCs w:val="19"/>
          <w:color w:val="auto"/>
        </w:rPr>
        <w:t xml:space="preserve">Autodesk will host its first quarter conference call today at 5 p.m. ET. The live broadcast can be accessed at </w:t>
      </w:r>
      <w:r>
        <w:rPr>
          <w:rFonts w:ascii="Arial" w:cs="Arial" w:eastAsia="Arial" w:hAnsi="Arial"/>
          <w:sz w:val="19"/>
          <w:szCs w:val="19"/>
          <w:u w:val="single" w:color="auto"/>
          <w:color w:val="0000FF"/>
        </w:rPr>
        <w:t>autodesk.com/investor</w:t>
      </w:r>
      <w:r>
        <w:rPr>
          <w:rFonts w:ascii="Arial" w:cs="Arial" w:eastAsia="Arial" w:hAnsi="Arial"/>
          <w:sz w:val="19"/>
          <w:szCs w:val="19"/>
          <w:color w:val="000000"/>
        </w:rPr>
        <w:t>. A transcript of the opening commentary will also be available following the conference call.</w:t>
      </w:r>
    </w:p>
    <w:p>
      <w:pPr>
        <w:spacing w:after="0" w:line="173" w:lineRule="exact"/>
        <w:rPr>
          <w:sz w:val="20"/>
          <w:szCs w:val="20"/>
          <w:color w:val="auto"/>
        </w:rPr>
      </w:pPr>
    </w:p>
    <w:p>
      <w:pPr>
        <w:ind w:right="200"/>
        <w:spacing w:after="0" w:line="271" w:lineRule="auto"/>
        <w:rPr>
          <w:sz w:val="20"/>
          <w:szCs w:val="20"/>
          <w:color w:val="auto"/>
        </w:rPr>
      </w:pPr>
      <w:r>
        <w:rPr>
          <w:rFonts w:ascii="Arial" w:cs="Arial" w:eastAsia="Arial" w:hAnsi="Arial"/>
          <w:sz w:val="20"/>
          <w:szCs w:val="20"/>
          <w:color w:val="auto"/>
        </w:rPr>
        <w:t xml:space="preserve">A replay of the broadcast will be available at 7 p.m. ET at </w:t>
      </w:r>
      <w:r>
        <w:rPr>
          <w:rFonts w:ascii="Arial" w:cs="Arial" w:eastAsia="Arial" w:hAnsi="Arial"/>
          <w:sz w:val="20"/>
          <w:szCs w:val="20"/>
          <w:u w:val="single" w:color="auto"/>
          <w:color w:val="0000FF"/>
        </w:rPr>
        <w:t>autodesk.com/investor</w:t>
      </w:r>
      <w:r>
        <w:rPr>
          <w:rFonts w:ascii="Arial" w:cs="Arial" w:eastAsia="Arial" w:hAnsi="Arial"/>
          <w:sz w:val="20"/>
          <w:szCs w:val="20"/>
          <w:color w:val="auto"/>
        </w:rPr>
        <w:t>. This replay will be maintained on Autodesk's website for at least 12 months.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Presentation Details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An investor presentation, Excel financials and other supplemental materials providing additional information can be found at</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autodesk.com/investor</w:t>
      </w:r>
      <w:r>
        <w:rPr>
          <w:rFonts w:ascii="Arial" w:cs="Arial" w:eastAsia="Arial" w:hAnsi="Arial"/>
          <w:sz w:val="20"/>
          <w:szCs w:val="20"/>
          <w:color w:val="000000"/>
        </w:rPr>
        <w:t>.</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Investors: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Simon Mays-Smith</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415-746-0137</w:t>
      </w:r>
    </w:p>
    <w:p>
      <w:pPr>
        <w:spacing w:after="0"/>
        <w:rPr>
          <w:sz w:val="20"/>
          <w:szCs w:val="20"/>
          <w:color w:val="auto"/>
        </w:rPr>
      </w:pPr>
      <w:r>
        <w:rPr>
          <w:rFonts w:ascii="Arial" w:cs="Arial" w:eastAsia="Arial" w:hAnsi="Arial"/>
          <w:sz w:val="20"/>
          <w:szCs w:val="20"/>
          <w:u w:val="single" w:color="auto"/>
          <w:color w:val="0000FF"/>
        </w:rPr>
        <w:t>simon.mays-smith@autodesk.com</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Press: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Renée Francis</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628-888-4599</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26"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u w:val="single" w:color="auto"/>
          <w:color w:val="0000FF"/>
        </w:rPr>
        <w:t>renee.francis@autodesk.com</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245"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This press release contains forward-looking statements that involve risks and uncertainties, including quotations from management, statements in the paragraphs under “Business Outlook” above, statements about our pending transaction with MaintainX, statements about our utilization of and strategy regarding artificial intelligence, statements about our new transaction model and sales and marketing optimization, statements about the momentum of our business, statements about our short-term and long-term goals, statements regarding our strategies, market and product positions, performance and results, and all statements that are not historical facts. There are a significant number of factors that could cause actual results to differ materially from statements made in this press release, including: a variety of risks regarding our pending transaction with MaintainX described in our press release regarding the transaction, our strategy to develop and introduce new products and services and to move to platforms and capabilities, exposing us to risks such as limited customer acceptance (both new and existing customers), costs related to product defects, and large expenditures; global economic and political conditions, including changes in monetary and fiscal policy, foreign exchange headwinds, recessionary fears, supply chain disruptions, resulting inflationary pressures and hiring conditions; geopolitical tension and armed conflicts, economic and regulatory uncertainty including tariffs and trade wars, and extreme weather events; costs and challenges associated with strategic acquisitions and investments; our ability to successfully implement and expand our transaction model and our sales and marketing optimization; dependency on international revenue and operations, exposing us to significant international regulatory, economic, intellectual property, collections, currency exchange rate, taxation, political, and other risks, including risks related to the war against Ukraine launched by Russia and the current military conflict in the Middle East; inability to predict subscription renewal rates and their impact on our future revenue and operating results; existing and increased competition and rapidly evolving technological changes; fluctuation of our financial results, key metrics and other operating metrics; our transition from up front to annual billings for multi-year contracts; deriving a substantial portion of our net revenue from a small number of solutions, including our AutoCAD-based software products and collections; any failure to successfully execute and manage initiatives to realign or introduce new business and sales initiatives, including our new transaction model for Flex; net revenue, billings, earnings, cash flow, or new or existing subscriptions shortfalls; social and ethical issues relating to the use of artificial intelligence in our offerings as well as market reaction to disruption from artificial intelligence; our ability to maintain security levels and service performance meeting the expectations of our customers, and the resources and costs required to avoid unanticipated downtime and prevent, detect and remediate performance degradation and security breaches; security incidents or other incidents compromising the integrity of our or our customers’ offerings, services, data, or intellectual property; reliance on third parties to provide us with a number of operational and technical services as well as software; our highly complex software, which may contain undetected errors, defects, or vulnerabilities; increasing regulatory focus on privacy issues and expanding laws; governmental export and import controls that could impair our ability to compete in international markets or subject us to liability if we violate the controls; protection of our intellectual property rights and intellectual property infringement claims from others; the government procurement process; fluctuations in currency exchange rates; our debt service obligations; and our investment portfolio consisting of a variety of investment vehicles that are subject to interest rate trends, market volatility, and other economic factors. Our estimates as to tax rate are based on current expectations and our interpretations of existing tax law and could be affected by a variety of factors, including but not limited to the projected geographic mix of earnings, changing interpretations of current tax law, further guidance, and additional tax legislation. Adjustments for the impact of the New Transaction Model are based on management’s estimate giving effect to current period results or projections as if under the prior model.</w:t>
      </w:r>
    </w:p>
    <w:p>
      <w:pPr>
        <w:spacing w:after="0" w:line="219" w:lineRule="exact"/>
        <w:rPr>
          <w:sz w:val="20"/>
          <w:szCs w:val="20"/>
          <w:color w:val="auto"/>
        </w:rPr>
      </w:pPr>
    </w:p>
    <w:p>
      <w:pPr>
        <w:ind w:right="180"/>
        <w:spacing w:after="0" w:line="259" w:lineRule="auto"/>
        <w:rPr>
          <w:sz w:val="20"/>
          <w:szCs w:val="20"/>
          <w:color w:val="auto"/>
        </w:rPr>
      </w:pPr>
      <w:r>
        <w:rPr>
          <w:rFonts w:ascii="Arial" w:cs="Arial" w:eastAsia="Arial" w:hAnsi="Arial"/>
          <w:sz w:val="20"/>
          <w:szCs w:val="20"/>
          <w:color w:val="auto"/>
        </w:rPr>
        <w:t>Further information on potential factors that could affect the financial results of Autodesk are included in Autodesk's Form 10-K and subsequent Forms 10-Q, which are on file with the U.S. Securities and Exchange Commission. Autodesk disclaims any obligation to update the forward-looking statements provided to reflect events that occur or circumstances that exist after the date on which they were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28"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About Autodesk</w:t>
      </w:r>
    </w:p>
    <w:p>
      <w:pPr>
        <w:spacing w:after="0" w:line="258"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The world’s designers, engineers, builders, and creators trust Autodesk to help them design and make anything. From the buildings we live and work in, to the cars we drive and the bridges we drive over. From the products we use and rely on, to the movies and games that inspire us. Autodesk’s Design and Make Platform unlocks the power of data to accelerate insights and automate processes, empowering our customers with the technology to create the world around us and deliver better outcomes for their business and the planet. For more information, visit autodesk.com or follow @autodesk. #MakeAnything</w:t>
      </w:r>
    </w:p>
    <w:p>
      <w:pPr>
        <w:spacing w:after="0" w:line="214"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Autodesk uses its investors.autodesk.com website as a means of disclosing material non-public information, announcing upcoming investor conferences and for complying with its disclosure obligations under Regulation FD. Accordingly, you should monitor our investor relations website in addition to following our press releases, SEC filings and public conference calls and webcasts.</w:t>
      </w:r>
    </w:p>
    <w:p>
      <w:pPr>
        <w:spacing w:after="0" w:line="211" w:lineRule="exact"/>
        <w:rPr>
          <w:sz w:val="20"/>
          <w:szCs w:val="20"/>
          <w:color w:val="auto"/>
        </w:rPr>
      </w:pPr>
    </w:p>
    <w:p>
      <w:pPr>
        <w:ind w:right="300"/>
        <w:spacing w:after="0" w:line="251" w:lineRule="auto"/>
        <w:rPr>
          <w:sz w:val="20"/>
          <w:szCs w:val="20"/>
          <w:color w:val="auto"/>
        </w:rPr>
      </w:pPr>
      <w:r>
        <w:rPr>
          <w:rFonts w:ascii="Arial" w:cs="Arial" w:eastAsia="Arial" w:hAnsi="Arial"/>
          <w:sz w:val="20"/>
          <w:szCs w:val="20"/>
          <w:color w:val="auto"/>
        </w:rPr>
        <w:t>Autodesk, AutoCAD, AutoCAD LT, BIM 360 and Fusion 360 are trademarks of Autodesk, Inc., and/or its subsidiaries and/or affiliates in the USA and/or other countries. All other brand names, product names or trademarks belong to their respective holders. Autodesk reserves the right to alter product and service offerings, and specifications and pricing at any time without notice, and is not responsible for typographical or graphical errors that may appear in this document.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2026 Autodesk, Inc. All rights reserved.</w:t>
      </w: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926" w:right="439" w:bottom="1440" w:gutter="0" w:footer="0" w:header="0"/>
        </w:sectPr>
      </w:pPr>
    </w:p>
    <w:bookmarkStart w:id="9" w:name="page10"/>
    <w:bookmarkEnd w:id="9"/>
    <w:p>
      <w:pPr>
        <w:ind w:left="720"/>
        <w:spacing w:after="0"/>
        <w:rPr>
          <w:sz w:val="20"/>
          <w:szCs w:val="20"/>
          <w:color w:val="auto"/>
        </w:rPr>
      </w:pPr>
      <w:r>
        <w:rPr>
          <w:rFonts w:ascii="Arial" w:cs="Arial" w:eastAsia="Arial" w:hAnsi="Arial"/>
          <w:sz w:val="22"/>
          <w:szCs w:val="22"/>
          <w:b w:val="1"/>
          <w:bCs w:val="1"/>
          <w:color w:val="auto"/>
        </w:rPr>
        <w:t>Autodesk, Inc.</w:t>
      </w:r>
    </w:p>
    <w:p>
      <w:pPr>
        <w:spacing w:after="0" w:line="39"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i w:val="1"/>
          <w:iCs w:val="1"/>
          <w:color w:val="auto"/>
        </w:rPr>
        <w:t>(In millions, except per share data)</w:t>
      </w:r>
    </w:p>
    <w:p>
      <w:pPr>
        <w:spacing w:after="0" w:line="105" w:lineRule="exact"/>
        <w:rPr>
          <w:sz w:val="20"/>
          <w:szCs w:val="20"/>
          <w:color w:val="auto"/>
        </w:rPr>
      </w:pPr>
    </w:p>
    <w:tbl>
      <w:tblPr>
        <w:tblLayout w:type="fixed"/>
        <w:tblInd w:w="700" w:type="dxa"/>
        <w:tblCellMar>
          <w:top w:w="0" w:type="dxa"/>
          <w:left w:w="0" w:type="dxa"/>
          <w:bottom w:w="0" w:type="dxa"/>
          <w:right w:w="0" w:type="dxa"/>
        </w:tblCellMar>
      </w:tblPr>
      <w:tr>
        <w:trPr>
          <w:trHeight w:val="197"/>
        </w:trPr>
        <w:tc>
          <w:tcPr>
            <w:tcW w:w="78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210"/>
        </w:trPr>
        <w:tc>
          <w:tcPr>
            <w:tcW w:w="7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7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Subscription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7860" w:type="dxa"/>
            <w:vAlign w:val="bottom"/>
          </w:tcPr>
          <w:p>
            <w:pPr>
              <w:ind w:left="680"/>
              <w:spacing w:after="0"/>
              <w:rPr>
                <w:sz w:val="20"/>
                <w:szCs w:val="20"/>
                <w:color w:val="auto"/>
              </w:rPr>
            </w:pPr>
            <w:r>
              <w:rPr>
                <w:rFonts w:ascii="Arial" w:cs="Arial" w:eastAsia="Arial" w:hAnsi="Arial"/>
                <w:sz w:val="18"/>
                <w:szCs w:val="18"/>
                <w:color w:val="auto"/>
              </w:rPr>
              <w:t>Total net revenue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Cost of subscription revenue (1)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other revenue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Amortization of developed technologies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Marketing and sales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purchased intangibles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Restructuring, other exit costs, and facility reductions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(loss) income, net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net income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6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2.32</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used in computing basic net income per share</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used in computing diluted net income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212</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firstLine="8"/>
        <w:spacing w:after="0" w:line="268" w:lineRule="auto"/>
        <w:tabs>
          <w:tab w:leader="none" w:pos="243"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fiscal quarter ended April 30, 2026, the Company began classifying maintenance revenue within “Subscription revenue”. Prior period amounts have been reclassified to conform to the current period presentation. The reclassification did not impact total net revenue.</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320" w:top="1299" w:right="399" w:bottom="1440" w:gutter="0" w:footer="0" w:header="0"/>
        </w:sectPr>
      </w:pPr>
    </w:p>
    <w:bookmarkStart w:id="10" w:name="page11"/>
    <w:bookmarkEnd w:id="10"/>
    <w:p>
      <w:pPr>
        <w:ind w:left="20"/>
        <w:spacing w:after="0"/>
        <w:rPr>
          <w:sz w:val="20"/>
          <w:szCs w:val="20"/>
          <w:color w:val="auto"/>
        </w:rPr>
      </w:pPr>
      <w:r>
        <w:rPr>
          <w:rFonts w:ascii="Arial" w:cs="Arial" w:eastAsia="Arial" w:hAnsi="Arial"/>
          <w:sz w:val="22"/>
          <w:szCs w:val="22"/>
          <w:b w:val="1"/>
          <w:bCs w:val="1"/>
          <w:color w:val="auto"/>
        </w:rPr>
        <w:t>Autodesk, Inc.</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April 30, 2026</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January 31, 2026</w:t>
            </w:r>
          </w:p>
        </w:tc>
        <w:tc>
          <w:tcPr>
            <w:tcW w:w="0" w:type="dxa"/>
            <w:vAlign w:val="bottom"/>
          </w:tcPr>
          <w:p>
            <w:pPr>
              <w:spacing w:after="0"/>
              <w:rPr>
                <w:sz w:val="1"/>
                <w:szCs w:val="1"/>
                <w:color w:val="auto"/>
              </w:rPr>
            </w:pPr>
          </w:p>
        </w:tc>
      </w:tr>
      <w:tr>
        <w:trPr>
          <w:trHeight w:val="196"/>
        </w:trPr>
        <w:tc>
          <w:tcPr>
            <w:tcW w:w="7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gridSpan w:val="4"/>
          </w:tcPr>
          <w:p>
            <w:pPr>
              <w:jc w:val="right"/>
              <w:ind w:right="1211"/>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31"/>
        </w:trPr>
        <w:tc>
          <w:tcPr>
            <w:tcW w:w="7860" w:type="dxa"/>
            <w:vAlign w:val="bottom"/>
            <w:shd w:val="clear" w:color="auto" w:fill="CCEEFF"/>
          </w:tcPr>
          <w:p>
            <w:pPr>
              <w:ind w:left="356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Long-term marketable securities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software, furniture and leasehold improvements, net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4,295</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net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other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Accrued income taxes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accrued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5,808</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deferred revenue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income taxes payable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Long-term deferred income taxes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notes payable, net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Long-term other liabilities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Common stock and additional paid-in capital</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4,709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12,467</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56"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22"/>
          <w:szCs w:val="22"/>
          <w:b w:val="1"/>
          <w:bCs w:val="1"/>
          <w:color w:val="auto"/>
        </w:rPr>
        <w:t>Autodesk, Inc.</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rPr>
              <w:t>Three Months Ended April 30,</w:t>
            </w:r>
          </w:p>
        </w:tc>
      </w:tr>
      <w:tr>
        <w:trPr>
          <w:trHeight w:val="196"/>
        </w:trPr>
        <w:tc>
          <w:tcPr>
            <w:tcW w:w="8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2026</w:t>
            </w: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2025</w:t>
            </w:r>
          </w:p>
        </w:tc>
      </w:tr>
      <w:tr>
        <w:trPr>
          <w:trHeight w:val="196"/>
        </w:trPr>
        <w:tc>
          <w:tcPr>
            <w:tcW w:w="8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7"/>
                <w:szCs w:val="17"/>
                <w:color w:val="auto"/>
              </w:rPr>
            </w:pPr>
          </w:p>
        </w:tc>
      </w:tr>
      <w:tr>
        <w:trPr>
          <w:trHeight w:val="231"/>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85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491</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520" w:type="dxa"/>
            <w:vAlign w:val="bottom"/>
          </w:tcPr>
          <w:p>
            <w:pPr>
              <w:ind w:left="680"/>
              <w:spacing w:after="0"/>
              <w:rPr>
                <w:sz w:val="20"/>
                <w:szCs w:val="20"/>
                <w:color w:val="auto"/>
              </w:rPr>
            </w:pPr>
            <w:r>
              <w:rPr>
                <w:rFonts w:ascii="Arial" w:cs="Arial" w:eastAsia="Arial" w:hAnsi="Arial"/>
                <w:sz w:val="18"/>
                <w:szCs w:val="18"/>
                <w:color w:val="auto"/>
              </w:rPr>
              <w:t>Depreciation, amortization and accretion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9"/>
        </w:trPr>
        <w:tc>
          <w:tcPr>
            <w:tcW w:w="8520" w:type="dxa"/>
            <w:vAlign w:val="bottom"/>
          </w:tcPr>
          <w:p>
            <w:pPr>
              <w:ind w:left="680"/>
              <w:spacing w:after="0"/>
              <w:rPr>
                <w:sz w:val="20"/>
                <w:szCs w:val="20"/>
                <w:color w:val="auto"/>
              </w:rPr>
            </w:pPr>
            <w:r>
              <w:rPr>
                <w:rFonts w:ascii="Arial" w:cs="Arial" w:eastAsia="Arial" w:hAnsi="Arial"/>
                <w:sz w:val="18"/>
                <w:szCs w:val="18"/>
                <w:color w:val="auto"/>
              </w:rPr>
              <w:t>Amortization of costs to obtain a contract with a customer</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8520" w:type="dxa"/>
            <w:vAlign w:val="bottom"/>
          </w:tcPr>
          <w:p>
            <w:pPr>
              <w:ind w:left="680"/>
              <w:spacing w:after="0"/>
              <w:rPr>
                <w:sz w:val="20"/>
                <w:szCs w:val="20"/>
                <w:color w:val="auto"/>
              </w:rPr>
            </w:pPr>
            <w:r>
              <w:rPr>
                <w:rFonts w:ascii="Arial" w:cs="Arial" w:eastAsia="Arial" w:hAnsi="Arial"/>
                <w:sz w:val="18"/>
                <w:szCs w:val="18"/>
                <w:color w:val="auto"/>
              </w:rPr>
              <w:t>Restructuring-related asset impairments</w:t>
            </w: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operating activities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85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 net of business combinations: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30"/>
        </w:trPr>
        <w:tc>
          <w:tcPr>
            <w:tcW w:w="8520" w:type="dxa"/>
            <w:vAlign w:val="bottom"/>
          </w:tcPr>
          <w:p>
            <w:pPr>
              <w:ind w:left="68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29"/>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 and other liabilities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8520" w:type="dxa"/>
            <w:vAlign w:val="bottom"/>
          </w:tcPr>
          <w:p>
            <w:pPr>
              <w:ind w:left="68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r>
      <w:tr>
        <w:trPr>
          <w:trHeight w:val="21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8520" w:type="dxa"/>
            <w:vAlign w:val="bottom"/>
          </w:tcPr>
          <w:p>
            <w:pPr>
              <w:ind w:left="360"/>
              <w:spacing w:after="0"/>
              <w:rPr>
                <w:sz w:val="20"/>
                <w:szCs w:val="20"/>
                <w:color w:val="auto"/>
              </w:rPr>
            </w:pPr>
            <w:r>
              <w:rPr>
                <w:rFonts w:ascii="Arial" w:cs="Arial" w:eastAsia="Arial" w:hAnsi="Arial"/>
                <w:sz w:val="18"/>
                <w:szCs w:val="18"/>
                <w:color w:val="auto"/>
              </w:rPr>
              <w:t>Purchases of marketable securities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maturities of marketable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852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intangible assets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8520" w:type="dxa"/>
            <w:vAlign w:val="bottom"/>
          </w:tcPr>
          <w:p>
            <w:pPr>
              <w:ind w:left="360"/>
              <w:spacing w:after="0"/>
              <w:rPr>
                <w:sz w:val="20"/>
                <w:szCs w:val="20"/>
                <w:color w:val="auto"/>
              </w:rPr>
            </w:pPr>
            <w:r>
              <w:rPr>
                <w:rFonts w:ascii="Arial" w:cs="Arial" w:eastAsia="Arial" w:hAnsi="Arial"/>
                <w:sz w:val="18"/>
                <w:szCs w:val="18"/>
                <w:color w:val="auto"/>
              </w:rPr>
              <w:t>Business combinations, net of cash acquired</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strategic investments (1)</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investing activities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0"/>
        </w:trPr>
        <w:tc>
          <w:tcPr>
            <w:tcW w:w="852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common stock, net of issuance costs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8520" w:type="dxa"/>
            <w:vAlign w:val="bottom"/>
          </w:tcPr>
          <w:p>
            <w:pPr>
              <w:ind w:left="360"/>
              <w:spacing w:after="0"/>
              <w:rPr>
                <w:sz w:val="20"/>
                <w:szCs w:val="20"/>
                <w:color w:val="auto"/>
              </w:rPr>
            </w:pPr>
            <w:r>
              <w:rPr>
                <w:rFonts w:ascii="Arial" w:cs="Arial" w:eastAsia="Arial" w:hAnsi="Arial"/>
                <w:sz w:val="18"/>
                <w:szCs w:val="18"/>
                <w:color w:val="auto"/>
              </w:rPr>
              <w:t>Taxes paid related to net share settlement of equity awards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Repurchases of common stock</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30"/>
        </w:trPr>
        <w:tc>
          <w:tcPr>
            <w:tcW w:w="8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financing activities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5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w:t>
            </w: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4"/>
          <w:szCs w:val="14"/>
          <w:color w:val="auto"/>
        </w:rPr>
        <w:t>1) “Purchases of strategic investments” were previously presented in “Other investing activities”. Prior period amounts have been reclassified to conform to the current period</w:t>
      </w:r>
      <w:r>
        <w:rPr>
          <w:rFonts w:ascii="Times New Roman" w:cs="Times New Roman" w:eastAsia="Times New Roman" w:hAnsi="Times New Roman"/>
          <w:sz w:val="16"/>
          <w:szCs w:val="16"/>
          <w:color w:val="auto"/>
        </w:rPr>
        <w:t xml:space="preserve"> </w:t>
      </w:r>
      <w:r>
        <w:rPr>
          <w:rFonts w:ascii="Arial" w:cs="Arial" w:eastAsia="Arial" w:hAnsi="Arial"/>
          <w:sz w:val="14"/>
          <w:szCs w:val="14"/>
          <w:color w:val="auto"/>
        </w:rPr>
        <w:t>presentation. This presentation change did not have any impact to “Net cash provided by investing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62" w:right="339" w:bottom="1440" w:gutter="0" w:footer="0" w:header="0"/>
        </w:sectPr>
      </w:pPr>
    </w:p>
    <w:bookmarkStart w:id="12" w:name="page13"/>
    <w:bookmarkEnd w:id="12"/>
    <w:p>
      <w:pPr>
        <w:ind w:left="140"/>
        <w:spacing w:after="0"/>
        <w:rPr>
          <w:sz w:val="20"/>
          <w:szCs w:val="20"/>
          <w:color w:val="auto"/>
        </w:rPr>
      </w:pPr>
      <w:r>
        <w:rPr>
          <w:rFonts w:ascii="Arial" w:cs="Arial" w:eastAsia="Arial" w:hAnsi="Arial"/>
          <w:sz w:val="20"/>
          <w:szCs w:val="20"/>
          <w:b w:val="1"/>
          <w:bCs w:val="1"/>
          <w:color w:val="auto"/>
        </w:rPr>
        <w:t>Autodesk, Inc.</w:t>
      </w:r>
    </w:p>
    <w:p>
      <w:pPr>
        <w:spacing w:after="0" w:line="43" w:lineRule="exact"/>
        <w:rPr>
          <w:sz w:val="20"/>
          <w:szCs w:val="20"/>
          <w:color w:val="auto"/>
        </w:rPr>
      </w:pPr>
    </w:p>
    <w:p>
      <w:pPr>
        <w:ind w:left="140" w:right="3900"/>
        <w:spacing w:after="0" w:line="242" w:lineRule="auto"/>
        <w:rPr>
          <w:sz w:val="20"/>
          <w:szCs w:val="20"/>
          <w:color w:val="auto"/>
        </w:rPr>
      </w:pPr>
      <w:r>
        <w:rPr>
          <w:rFonts w:ascii="Arial" w:cs="Arial" w:eastAsia="Arial" w:hAnsi="Arial"/>
          <w:sz w:val="20"/>
          <w:szCs w:val="20"/>
          <w:b w:val="1"/>
          <w:bCs w:val="1"/>
          <w:color w:val="auto"/>
        </w:rPr>
        <w:t xml:space="preserve">Reconciliation of GAAP financial measures to non-GAAP financial measures </w:t>
      </w:r>
      <w:r>
        <w:rPr>
          <w:rFonts w:ascii="Arial" w:cs="Arial" w:eastAsia="Arial" w:hAnsi="Arial"/>
          <w:sz w:val="16"/>
          <w:szCs w:val="16"/>
          <w:i w:val="1"/>
          <w:iCs w:val="1"/>
          <w:color w:val="auto"/>
        </w:rPr>
        <w:t>(In millions, except per share data)</w:t>
      </w:r>
    </w:p>
    <w:p>
      <w:pPr>
        <w:ind w:left="140"/>
        <w:spacing w:after="0"/>
        <w:rPr>
          <w:sz w:val="20"/>
          <w:szCs w:val="20"/>
          <w:color w:val="auto"/>
        </w:rPr>
      </w:pPr>
      <w:r>
        <w:rPr>
          <w:rFonts w:ascii="Arial" w:cs="Arial" w:eastAsia="Arial" w:hAnsi="Arial"/>
          <w:sz w:val="18"/>
          <w:szCs w:val="18"/>
          <w:color w:val="auto"/>
        </w:rPr>
        <w:t>The following table shows Autodesk's GAAP results reconciled to non-GAAP results included in this release.</w:t>
      </w:r>
    </w:p>
    <w:p>
      <w:pPr>
        <w:spacing w:after="0" w:line="29"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8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rPr>
              <w:t>Three Months Ended April 30,</w:t>
            </w:r>
          </w:p>
        </w:tc>
      </w:tr>
      <w:tr>
        <w:trPr>
          <w:trHeight w:val="196"/>
        </w:trPr>
        <w:tc>
          <w:tcPr>
            <w:tcW w:w="8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rPr>
              <w:t>2026</w:t>
            </w:r>
          </w:p>
        </w:tc>
      </w:tr>
      <w:tr>
        <w:trPr>
          <w:trHeight w:val="195"/>
        </w:trPr>
        <w:tc>
          <w:tcPr>
            <w:tcW w:w="8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tcPr>
          <w:p>
            <w:pPr>
              <w:jc w:val="center"/>
              <w:ind w:right="213"/>
              <w:spacing w:after="0"/>
              <w:rPr>
                <w:sz w:val="20"/>
                <w:szCs w:val="20"/>
                <w:color w:val="auto"/>
              </w:rPr>
            </w:pPr>
            <w:r>
              <w:rPr>
                <w:rFonts w:ascii="Arial" w:cs="Arial" w:eastAsia="Arial" w:hAnsi="Arial"/>
                <w:sz w:val="14"/>
                <w:szCs w:val="14"/>
                <w:b w:val="1"/>
                <w:bCs w:val="1"/>
                <w:color w:val="auto"/>
              </w:rPr>
              <w:t>(Unaudited)</w:t>
            </w:r>
          </w:p>
        </w:tc>
      </w:tr>
      <w:tr>
        <w:trPr>
          <w:trHeight w:val="502"/>
        </w:trPr>
        <w:tc>
          <w:tcPr>
            <w:tcW w:w="8000" w:type="dxa"/>
            <w:vAlign w:val="bottom"/>
          </w:tcPr>
          <w:p>
            <w:pPr>
              <w:ind w:left="20"/>
              <w:spacing w:after="0"/>
              <w:rPr>
                <w:sz w:val="20"/>
                <w:szCs w:val="20"/>
                <w:color w:val="auto"/>
              </w:rPr>
            </w:pPr>
            <w:r>
              <w:rPr>
                <w:rFonts w:ascii="Arial" w:cs="Arial" w:eastAsia="Arial" w:hAnsi="Arial"/>
                <w:sz w:val="18"/>
                <w:szCs w:val="18"/>
                <w:color w:val="auto"/>
              </w:rPr>
              <w:t>GAAP operating margin</w:t>
            </w:r>
          </w:p>
        </w:tc>
        <w:tc>
          <w:tcPr>
            <w:tcW w:w="30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Amortization of purchased intangibles and developed technologies</w:t>
            </w:r>
          </w:p>
        </w:tc>
        <w:tc>
          <w:tcPr>
            <w:tcW w:w="30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facility-related asset impairments and other (gains) losses</w:t>
            </w:r>
          </w:p>
        </w:tc>
        <w:tc>
          <w:tcPr>
            <w:tcW w:w="300" w:type="dxa"/>
            <w:vAlign w:val="bottom"/>
            <w:tcBorders>
              <w:bottom w:val="single" w:sz="8" w:color="auto"/>
            </w:tcBorders>
            <w:shd w:val="clear" w:color="auto" w:fill="CCEEFF"/>
          </w:tcPr>
          <w:p>
            <w:pPr>
              <w:spacing w:after="0"/>
              <w:rPr>
                <w:sz w:val="19"/>
                <w:szCs w:val="19"/>
                <w:color w:val="auto"/>
              </w:rPr>
            </w:pP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color w:val="auto"/>
              </w:rPr>
              <w:t>Non-GAAP operating margin (1)</w:t>
            </w:r>
          </w:p>
        </w:tc>
        <w:tc>
          <w:tcPr>
            <w:tcW w:w="3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39 %</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r>
        <w:trPr>
          <w:trHeight w:val="237"/>
        </w:trPr>
        <w:tc>
          <w:tcPr>
            <w:tcW w:w="8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GAAP diluted net income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700" w:type="dxa"/>
            <w:vAlign w:val="bottom"/>
          </w:tcPr>
          <w:p>
            <w:pPr>
              <w:jc w:val="right"/>
              <w:ind w:right="153"/>
              <w:spacing w:after="0"/>
              <w:rPr>
                <w:sz w:val="20"/>
                <w:szCs w:val="20"/>
                <w:color w:val="auto"/>
              </w:rPr>
            </w:pPr>
            <w:r>
              <w:rPr>
                <w:rFonts w:ascii="Arial" w:cs="Arial" w:eastAsia="Arial" w:hAnsi="Arial"/>
                <w:sz w:val="18"/>
                <w:szCs w:val="18"/>
                <w:color w:val="auto"/>
              </w:rPr>
              <w:t>2.32</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2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0.73</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Amortization of purchased intangibles and developed technologies</w:t>
            </w:r>
          </w:p>
        </w:tc>
        <w:tc>
          <w:tcPr>
            <w:tcW w:w="300" w:type="dxa"/>
            <w:vAlign w:val="bottom"/>
          </w:tcPr>
          <w:p>
            <w:pPr>
              <w:spacing w:after="0"/>
              <w:rPr>
                <w:sz w:val="19"/>
                <w:szCs w:val="19"/>
                <w:color w:val="auto"/>
              </w:rPr>
            </w:pPr>
          </w:p>
        </w:tc>
        <w:tc>
          <w:tcPr>
            <w:tcW w:w="2700" w:type="dxa"/>
            <w:vAlign w:val="bottom"/>
          </w:tcPr>
          <w:p>
            <w:pPr>
              <w:jc w:val="right"/>
              <w:ind w:right="153"/>
              <w:spacing w:after="0"/>
              <w:rPr>
                <w:sz w:val="20"/>
                <w:szCs w:val="20"/>
                <w:color w:val="auto"/>
              </w:rPr>
            </w:pPr>
            <w:r>
              <w:rPr>
                <w:rFonts w:ascii="Arial" w:cs="Arial" w:eastAsia="Arial" w:hAnsi="Arial"/>
                <w:sz w:val="18"/>
                <w:szCs w:val="18"/>
                <w:color w:val="auto"/>
              </w:rPr>
              <w:t>0.16</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costs</w:t>
            </w:r>
          </w:p>
        </w:tc>
        <w:tc>
          <w:tcPr>
            <w:tcW w:w="300" w:type="dxa"/>
            <w:vAlign w:val="bottom"/>
            <w:shd w:val="clear" w:color="auto" w:fill="CCEEFF"/>
          </w:tcPr>
          <w:p>
            <w:pPr>
              <w:spacing w:after="0"/>
              <w:rPr>
                <w:sz w:val="19"/>
                <w:szCs w:val="19"/>
                <w:color w:val="auto"/>
              </w:rPr>
            </w:pPr>
          </w:p>
        </w:tc>
        <w:tc>
          <w:tcPr>
            <w:tcW w:w="2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0.03</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Restructuring and facility-related asset impairments and other (gains) losses</w:t>
            </w:r>
          </w:p>
        </w:tc>
        <w:tc>
          <w:tcPr>
            <w:tcW w:w="300" w:type="dxa"/>
            <w:vAlign w:val="bottom"/>
          </w:tcPr>
          <w:p>
            <w:pPr>
              <w:spacing w:after="0"/>
              <w:rPr>
                <w:sz w:val="19"/>
                <w:szCs w:val="19"/>
                <w:color w:val="auto"/>
              </w:rPr>
            </w:pPr>
          </w:p>
        </w:tc>
        <w:tc>
          <w:tcPr>
            <w:tcW w:w="2700" w:type="dxa"/>
            <w:vAlign w:val="bottom"/>
          </w:tcPr>
          <w:p>
            <w:pPr>
              <w:jc w:val="right"/>
              <w:ind w:right="153"/>
              <w:spacing w:after="0"/>
              <w:rPr>
                <w:sz w:val="20"/>
                <w:szCs w:val="20"/>
                <w:color w:val="auto"/>
              </w:rPr>
            </w:pPr>
            <w:r>
              <w:rPr>
                <w:rFonts w:ascii="Arial" w:cs="Arial" w:eastAsia="Arial" w:hAnsi="Arial"/>
                <w:sz w:val="18"/>
                <w:szCs w:val="18"/>
                <w:color w:val="auto"/>
              </w:rPr>
              <w:t>0.12</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losses on strategic investments and dispositions, net</w:t>
            </w:r>
          </w:p>
        </w:tc>
        <w:tc>
          <w:tcPr>
            <w:tcW w:w="300" w:type="dxa"/>
            <w:vAlign w:val="bottom"/>
            <w:shd w:val="clear" w:color="auto" w:fill="CCEEFF"/>
          </w:tcPr>
          <w:p>
            <w:pPr>
              <w:spacing w:after="0"/>
              <w:rPr>
                <w:sz w:val="19"/>
                <w:szCs w:val="19"/>
                <w:color w:val="auto"/>
              </w:rPr>
            </w:pPr>
          </w:p>
        </w:tc>
        <w:tc>
          <w:tcPr>
            <w:tcW w:w="2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(0.27)</w:t>
            </w:r>
          </w:p>
        </w:tc>
      </w:tr>
      <w:tr>
        <w:trPr>
          <w:trHeight w:val="22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adjustments</w:t>
            </w:r>
          </w:p>
        </w:tc>
        <w:tc>
          <w:tcPr>
            <w:tcW w:w="3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(0.10)</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diluted net income per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7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2.99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893</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(17)</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7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876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(1) Total may not sum due to rounding.</w:t>
      </w:r>
    </w:p>
    <w:p>
      <w:pPr>
        <w:spacing w:after="0" w:line="200" w:lineRule="exact"/>
        <w:rPr>
          <w:sz w:val="20"/>
          <w:szCs w:val="20"/>
          <w:color w:val="auto"/>
        </w:rPr>
      </w:pPr>
    </w:p>
    <w:p>
      <w:pPr>
        <w:spacing w:after="0" w:line="274" w:lineRule="exact"/>
        <w:rPr>
          <w:sz w:val="20"/>
          <w:szCs w:val="20"/>
          <w:color w:val="auto"/>
        </w:rPr>
      </w:pPr>
    </w:p>
    <w:p>
      <w:pPr>
        <w:ind w:right="740"/>
        <w:spacing w:after="0" w:line="255" w:lineRule="auto"/>
        <w:rPr>
          <w:sz w:val="20"/>
          <w:szCs w:val="20"/>
          <w:color w:val="auto"/>
        </w:rPr>
      </w:pPr>
      <w:r>
        <w:rPr>
          <w:rFonts w:ascii="Arial" w:cs="Arial" w:eastAsia="Arial" w:hAnsi="Arial"/>
          <w:sz w:val="20"/>
          <w:szCs w:val="20"/>
          <w:color w:val="auto"/>
        </w:rPr>
        <w:t>The following tables show Autodesk's GAAP business outlook reconciled to non-GAAP business outlook included in this release.</w:t>
      </w:r>
    </w:p>
    <w:tbl>
      <w:tblPr>
        <w:tblLayout w:type="fixed"/>
        <w:tblInd w:w="0" w:type="dxa"/>
        <w:tblCellMar>
          <w:top w:w="0" w:type="dxa"/>
          <w:left w:w="0" w:type="dxa"/>
          <w:bottom w:w="0" w:type="dxa"/>
          <w:right w:w="0" w:type="dxa"/>
        </w:tblCellMar>
      </w:tblPr>
      <w:tr>
        <w:trPr>
          <w:trHeight w:val="181"/>
        </w:trPr>
        <w:tc>
          <w:tcPr>
            <w:tcW w:w="7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GAAP to non-GAAP diluted earnings per share reconciliation</w:t>
            </w:r>
          </w:p>
        </w:tc>
        <w:tc>
          <w:tcPr>
            <w:tcW w:w="338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Q2 FY27</w:t>
            </w: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vMerge w:val="continue"/>
          </w:tcPr>
          <w:p>
            <w:pPr>
              <w:spacing w:after="0"/>
              <w:rPr>
                <w:sz w:val="21"/>
                <w:szCs w:val="21"/>
                <w:color w:val="auto"/>
              </w:rPr>
            </w:pPr>
          </w:p>
        </w:tc>
        <w:tc>
          <w:tcPr>
            <w:tcW w:w="3380" w:type="dxa"/>
            <w:vAlign w:val="bottom"/>
            <w:tcBorders>
              <w:bottom w:val="single" w:sz="8" w:color="auto"/>
            </w:tcBorders>
            <w:gridSpan w:val="2"/>
          </w:tcPr>
          <w:p>
            <w:pPr>
              <w:jc w:val="right"/>
              <w:ind w:right="670"/>
              <w:spacing w:after="0"/>
              <w:rPr>
                <w:sz w:val="20"/>
                <w:szCs w:val="20"/>
                <w:color w:val="auto"/>
              </w:rPr>
            </w:pPr>
            <w:r>
              <w:rPr>
                <w:rFonts w:ascii="Arial" w:cs="Arial" w:eastAsia="Arial" w:hAnsi="Arial"/>
                <w:sz w:val="18"/>
                <w:szCs w:val="18"/>
                <w:b w:val="1"/>
                <w:bCs w:val="1"/>
                <w:color w:val="auto"/>
              </w:rPr>
              <w:t>(ending July 31, 2026)</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GAAP earnings per share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$1.97</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640" w:type="dxa"/>
            <w:vAlign w:val="bottom"/>
          </w:tcPr>
          <w:p>
            <w:pPr>
              <w:jc w:val="right"/>
              <w:spacing w:after="0"/>
              <w:rPr>
                <w:sz w:val="20"/>
                <w:szCs w:val="20"/>
                <w:color w:val="auto"/>
              </w:rPr>
            </w:pPr>
            <w:r>
              <w:rPr>
                <w:rFonts w:ascii="Arial" w:cs="Arial" w:eastAsia="Arial" w:hAnsi="Arial"/>
                <w:sz w:val="18"/>
                <w:szCs w:val="18"/>
                <w:color w:val="auto"/>
              </w:rPr>
              <w:t>0.97</w:t>
            </w:r>
          </w:p>
        </w:tc>
        <w:tc>
          <w:tcPr>
            <w:tcW w:w="1740" w:type="dxa"/>
            <w:vAlign w:val="bottom"/>
          </w:tcPr>
          <w:p>
            <w:pPr>
              <w:ind w:left="20"/>
              <w:spacing w:after="0"/>
              <w:rPr>
                <w:sz w:val="20"/>
                <w:szCs w:val="20"/>
                <w:color w:val="auto"/>
              </w:rPr>
            </w:pPr>
            <w:r>
              <w:rPr>
                <w:rFonts w:ascii="Arial" w:cs="Arial" w:eastAsia="Arial" w:hAnsi="Arial"/>
                <w:sz w:val="18"/>
                <w:szCs w:val="18"/>
                <w:color w:val="auto"/>
              </w:rPr>
              <w:t>- 0.92</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facility-related asset impairments and other (gains) losses</w:t>
            </w:r>
          </w:p>
        </w:tc>
        <w:tc>
          <w:tcPr>
            <w:tcW w:w="3380" w:type="dxa"/>
            <w:vAlign w:val="bottom"/>
            <w:gridSpan w:val="2"/>
            <w:shd w:val="clear" w:color="auto" w:fill="CCEEFF"/>
          </w:tcPr>
          <w:p>
            <w:pPr>
              <w:jc w:val="right"/>
              <w:ind w:right="143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Amortization of purchased intangibles and developed technologies</w:t>
            </w:r>
          </w:p>
        </w:tc>
        <w:tc>
          <w:tcPr>
            <w:tcW w:w="1640" w:type="dxa"/>
            <w:vAlign w:val="bottom"/>
          </w:tcPr>
          <w:p>
            <w:pPr>
              <w:jc w:val="right"/>
              <w:spacing w:after="0"/>
              <w:rPr>
                <w:sz w:val="20"/>
                <w:szCs w:val="20"/>
                <w:color w:val="auto"/>
              </w:rPr>
            </w:pPr>
            <w:r>
              <w:rPr>
                <w:rFonts w:ascii="Arial" w:cs="Arial" w:eastAsia="Arial" w:hAnsi="Arial"/>
                <w:sz w:val="18"/>
                <w:szCs w:val="18"/>
                <w:color w:val="auto"/>
              </w:rPr>
              <w:t>0.18</w:t>
            </w:r>
          </w:p>
        </w:tc>
        <w:tc>
          <w:tcPr>
            <w:tcW w:w="1740" w:type="dxa"/>
            <w:vAlign w:val="bottom"/>
          </w:tcPr>
          <w:p>
            <w:pPr>
              <w:ind w:left="20"/>
              <w:spacing w:after="0"/>
              <w:rPr>
                <w:sz w:val="20"/>
                <w:szCs w:val="20"/>
                <w:color w:val="auto"/>
              </w:rPr>
            </w:pPr>
            <w:r>
              <w:rPr>
                <w:rFonts w:ascii="Arial" w:cs="Arial" w:eastAsia="Arial" w:hAnsi="Arial"/>
                <w:sz w:val="18"/>
                <w:szCs w:val="18"/>
                <w:color w:val="auto"/>
              </w:rPr>
              <w:t>- 0.15</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costs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- 0.05</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adjustments</w:t>
            </w:r>
          </w:p>
        </w:tc>
        <w:tc>
          <w:tcPr>
            <w:tcW w:w="338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color w:val="auto"/>
              </w:rPr>
              <w:t>(0.01) - 0.02</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Non-GAAP earnings per share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96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7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GAAP to non-GAAP operating margin reconciliation</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7"/>
              </w:rPr>
              <w:t>FY27</w:t>
            </w:r>
          </w:p>
        </w:tc>
        <w:tc>
          <w:tcPr>
            <w:tcW w:w="0" w:type="dxa"/>
            <w:vAlign w:val="bottom"/>
          </w:tcPr>
          <w:p>
            <w:pPr>
              <w:spacing w:after="0"/>
              <w:rPr>
                <w:sz w:val="1"/>
                <w:szCs w:val="1"/>
                <w:color w:val="auto"/>
              </w:rPr>
            </w:pPr>
          </w:p>
        </w:tc>
      </w:tr>
      <w:tr>
        <w:trPr>
          <w:trHeight w:val="243"/>
        </w:trPr>
        <w:tc>
          <w:tcPr>
            <w:tcW w:w="7980" w:type="dxa"/>
            <w:vAlign w:val="bottom"/>
            <w:vMerge w:val="continue"/>
          </w:tcPr>
          <w:p>
            <w:pPr>
              <w:spacing w:after="0"/>
              <w:rPr>
                <w:sz w:val="21"/>
                <w:szCs w:val="21"/>
                <w:color w:val="auto"/>
              </w:rPr>
            </w:pPr>
          </w:p>
        </w:tc>
        <w:tc>
          <w:tcPr>
            <w:tcW w:w="3260" w:type="dxa"/>
            <w:vAlign w:val="bottom"/>
          </w:tcPr>
          <w:p>
            <w:pPr>
              <w:ind w:left="540"/>
              <w:spacing w:after="0"/>
              <w:rPr>
                <w:sz w:val="20"/>
                <w:szCs w:val="20"/>
                <w:color w:val="auto"/>
              </w:rPr>
            </w:pPr>
            <w:r>
              <w:rPr>
                <w:rFonts w:ascii="Arial" w:cs="Arial" w:eastAsia="Arial" w:hAnsi="Arial"/>
                <w:sz w:val="18"/>
                <w:szCs w:val="18"/>
                <w:b w:val="1"/>
                <w:bCs w:val="1"/>
                <w:color w:val="auto"/>
              </w:rPr>
              <w:t>(ending January 31, 2027)</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GAAP operating margin</w:t>
            </w: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26% - 28%</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260" w:type="dxa"/>
            <w:vAlign w:val="bottom"/>
          </w:tcPr>
          <w:p>
            <w:pPr>
              <w:jc w:val="center"/>
              <w:spacing w:after="0"/>
              <w:rPr>
                <w:sz w:val="20"/>
                <w:szCs w:val="20"/>
                <w:color w:val="auto"/>
              </w:rPr>
            </w:pPr>
            <w:r>
              <w:rPr>
                <w:rFonts w:ascii="Arial" w:cs="Arial" w:eastAsia="Arial" w:hAnsi="Arial"/>
                <w:sz w:val="18"/>
                <w:szCs w:val="18"/>
                <w:color w:val="auto"/>
                <w:w w:val="99"/>
              </w:rPr>
              <w:t>10% - 9%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facility-related asset impairments and other (gains) losses</w:t>
            </w: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 - 0%</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Amortization of purchased intangibles and developed technologies</w:t>
            </w:r>
          </w:p>
        </w:tc>
        <w:tc>
          <w:tcPr>
            <w:tcW w:w="32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costs</w:t>
            </w:r>
          </w:p>
        </w:tc>
        <w:tc>
          <w:tcPr>
            <w:tcW w:w="3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5"/>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Non-GAAP operating margin (1)</w:t>
            </w:r>
          </w:p>
        </w:tc>
        <w:tc>
          <w:tcPr>
            <w:tcW w:w="3260" w:type="dxa"/>
            <w:vAlign w:val="bottom"/>
          </w:tcPr>
          <w:p>
            <w:pPr>
              <w:jc w:val="center"/>
              <w:spacing w:after="0"/>
              <w:rPr>
                <w:sz w:val="20"/>
                <w:szCs w:val="20"/>
                <w:color w:val="auto"/>
              </w:rPr>
            </w:pPr>
            <w:r>
              <w:rPr>
                <w:rFonts w:ascii="Arial" w:cs="Arial" w:eastAsia="Arial" w:hAnsi="Arial"/>
                <w:sz w:val="18"/>
                <w:szCs w:val="18"/>
                <w:color w:val="auto"/>
                <w:w w:val="99"/>
              </w:rPr>
              <w:t>39%</w:t>
            </w:r>
          </w:p>
        </w:tc>
        <w:tc>
          <w:tcPr>
            <w:tcW w:w="0" w:type="dxa"/>
            <w:vAlign w:val="bottom"/>
          </w:tcPr>
          <w:p>
            <w:pPr>
              <w:spacing w:after="0"/>
              <w:rPr>
                <w:sz w:val="1"/>
                <w:szCs w:val="1"/>
                <w:color w:val="auto"/>
              </w:rPr>
            </w:pPr>
          </w:p>
        </w:tc>
      </w:tr>
      <w:tr>
        <w:trPr>
          <w:trHeight w:val="262"/>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3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7980" w:type="dxa"/>
            <w:vAlign w:val="bottom"/>
          </w:tcPr>
          <w:p>
            <w:pPr>
              <w:spacing w:after="0"/>
              <w:rPr>
                <w:sz w:val="20"/>
                <w:szCs w:val="20"/>
                <w:color w:val="auto"/>
              </w:rPr>
            </w:pPr>
            <w:r>
              <w:rPr>
                <w:rFonts w:ascii="Arial" w:cs="Arial" w:eastAsia="Arial" w:hAnsi="Arial"/>
                <w:sz w:val="14"/>
                <w:szCs w:val="14"/>
                <w:color w:val="auto"/>
              </w:rPr>
              <w:t>(1) Total may not sum due to rounding.</w:t>
            </w: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GAAP to non-GAAP diluted earnings per share reconciliation</w:t>
            </w:r>
          </w:p>
        </w:tc>
        <w:tc>
          <w:tcPr>
            <w:tcW w:w="3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FY27</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vMerge w:val="continue"/>
          </w:tcPr>
          <w:p>
            <w:pPr>
              <w:spacing w:after="0"/>
              <w:rPr>
                <w:sz w:val="21"/>
                <w:szCs w:val="21"/>
                <w:color w:val="auto"/>
              </w:rPr>
            </w:pPr>
          </w:p>
        </w:tc>
        <w:tc>
          <w:tcPr>
            <w:tcW w:w="30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(ending January 31, 2027)</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GAAP earnings per share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$8.63</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480" w:type="dxa"/>
            <w:vAlign w:val="bottom"/>
          </w:tcPr>
          <w:p>
            <w:pPr>
              <w:jc w:val="right"/>
              <w:spacing w:after="0"/>
              <w:rPr>
                <w:sz w:val="20"/>
                <w:szCs w:val="20"/>
                <w:color w:val="auto"/>
              </w:rPr>
            </w:pPr>
            <w:r>
              <w:rPr>
                <w:rFonts w:ascii="Arial" w:cs="Arial" w:eastAsia="Arial" w:hAnsi="Arial"/>
                <w:sz w:val="18"/>
                <w:szCs w:val="18"/>
                <w:color w:val="auto"/>
              </w:rPr>
              <w:t>3.66</w:t>
            </w:r>
          </w:p>
        </w:tc>
        <w:tc>
          <w:tcPr>
            <w:tcW w:w="1580" w:type="dxa"/>
            <w:vAlign w:val="bottom"/>
          </w:tcPr>
          <w:p>
            <w:pPr>
              <w:ind w:left="20"/>
              <w:spacing w:after="0"/>
              <w:rPr>
                <w:sz w:val="20"/>
                <w:szCs w:val="20"/>
                <w:color w:val="auto"/>
              </w:rPr>
            </w:pPr>
            <w:r>
              <w:rPr>
                <w:rFonts w:ascii="Arial" w:cs="Arial" w:eastAsia="Arial" w:hAnsi="Arial"/>
                <w:sz w:val="18"/>
                <w:szCs w:val="18"/>
                <w:color w:val="auto"/>
              </w:rPr>
              <w:t>- 3.47</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facility-related asset impairments and other (gains) losses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- 0.15</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Amortization of purchased intangibles and developed technologies</w:t>
            </w:r>
          </w:p>
        </w:tc>
        <w:tc>
          <w:tcPr>
            <w:tcW w:w="1480" w:type="dxa"/>
            <w:vAlign w:val="bottom"/>
          </w:tcPr>
          <w:p>
            <w:pPr>
              <w:jc w:val="right"/>
              <w:spacing w:after="0"/>
              <w:rPr>
                <w:sz w:val="20"/>
                <w:szCs w:val="20"/>
                <w:color w:val="auto"/>
              </w:rPr>
            </w:pPr>
            <w:r>
              <w:rPr>
                <w:rFonts w:ascii="Arial" w:cs="Arial" w:eastAsia="Arial" w:hAnsi="Arial"/>
                <w:sz w:val="18"/>
                <w:szCs w:val="18"/>
                <w:color w:val="auto"/>
              </w:rPr>
              <w:t>0.70</w:t>
            </w:r>
          </w:p>
        </w:tc>
        <w:tc>
          <w:tcPr>
            <w:tcW w:w="1580" w:type="dxa"/>
            <w:vAlign w:val="bottom"/>
          </w:tcPr>
          <w:p>
            <w:pPr>
              <w:ind w:left="20"/>
              <w:spacing w:after="0"/>
              <w:rPr>
                <w:sz w:val="20"/>
                <w:szCs w:val="20"/>
                <w:color w:val="auto"/>
              </w:rPr>
            </w:pPr>
            <w:r>
              <w:rPr>
                <w:rFonts w:ascii="Arial" w:cs="Arial" w:eastAsia="Arial" w:hAnsi="Arial"/>
                <w:sz w:val="18"/>
                <w:szCs w:val="18"/>
                <w:color w:val="auto"/>
              </w:rPr>
              <w:t>- 0.61</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costs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- 0.24</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(Gains) losses on strategic investments and dispositions, net</w:t>
            </w:r>
          </w:p>
        </w:tc>
        <w:tc>
          <w:tcPr>
            <w:tcW w:w="3060" w:type="dxa"/>
            <w:vAlign w:val="bottom"/>
            <w:gridSpan w:val="2"/>
          </w:tcPr>
          <w:p>
            <w:pPr>
              <w:jc w:val="right"/>
              <w:ind w:right="121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adjustments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(0.19)</w:t>
            </w:r>
          </w:p>
        </w:tc>
        <w:tc>
          <w:tcPr>
            <w:tcW w:w="0" w:type="dxa"/>
            <w:vAlign w:val="bottom"/>
          </w:tcPr>
          <w:p>
            <w:pPr>
              <w:spacing w:after="0"/>
              <w:rPr>
                <w:sz w:val="1"/>
                <w:szCs w:val="1"/>
                <w:color w:val="auto"/>
              </w:rPr>
            </w:pPr>
          </w:p>
        </w:tc>
      </w:tr>
      <w:tr>
        <w:trPr>
          <w:trHeight w:val="235"/>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Non-GAAP earnings per share</w:t>
            </w:r>
          </w:p>
        </w:tc>
        <w:tc>
          <w:tcPr>
            <w:tcW w:w="1480" w:type="dxa"/>
            <w:vAlign w:val="bottom"/>
          </w:tcPr>
          <w:p>
            <w:pPr>
              <w:jc w:val="right"/>
              <w:spacing w:after="0"/>
              <w:rPr>
                <w:sz w:val="20"/>
                <w:szCs w:val="20"/>
                <w:color w:val="auto"/>
              </w:rPr>
            </w:pPr>
            <w:r>
              <w:rPr>
                <w:rFonts w:ascii="Arial" w:cs="Arial" w:eastAsia="Arial" w:hAnsi="Arial"/>
                <w:sz w:val="18"/>
                <w:szCs w:val="18"/>
                <w:color w:val="auto"/>
              </w:rPr>
              <w:t>$12.40</w:t>
            </w:r>
          </w:p>
        </w:tc>
        <w:tc>
          <w:tcPr>
            <w:tcW w:w="1580" w:type="dxa"/>
            <w:vAlign w:val="bottom"/>
          </w:tcPr>
          <w:p>
            <w:pPr>
              <w:ind w:left="20"/>
              <w:spacing w:after="0"/>
              <w:rPr>
                <w:sz w:val="20"/>
                <w:szCs w:val="20"/>
                <w:color w:val="auto"/>
              </w:rPr>
            </w:pPr>
            <w:r>
              <w:rPr>
                <w:rFonts w:ascii="Arial" w:cs="Arial" w:eastAsia="Arial" w:hAnsi="Arial"/>
                <w:sz w:val="18"/>
                <w:szCs w:val="18"/>
                <w:color w:val="auto"/>
              </w:rPr>
              <w:t>- $12.65</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Performance Metric</w:t>
      </w:r>
    </w:p>
    <w:p>
      <w:pPr>
        <w:spacing w:after="0" w:line="245" w:lineRule="exact"/>
        <w:rPr>
          <w:sz w:val="20"/>
          <w:szCs w:val="20"/>
          <w:color w:val="auto"/>
        </w:rPr>
      </w:pPr>
    </w:p>
    <w:p>
      <w:pPr>
        <w:ind w:right="40"/>
        <w:spacing w:after="0" w:line="235" w:lineRule="auto"/>
        <w:rPr>
          <w:sz w:val="20"/>
          <w:szCs w:val="20"/>
          <w:color w:val="auto"/>
        </w:rPr>
      </w:pPr>
      <w:r>
        <w:rPr>
          <w:rFonts w:ascii="Arial" w:cs="Arial" w:eastAsia="Arial" w:hAnsi="Arial"/>
          <w:sz w:val="20"/>
          <w:szCs w:val="20"/>
          <w:color w:val="auto"/>
        </w:rPr>
        <w:t>In order to help better understand Autodesk’s financial performance, Autodesk uses a billings key performance metric. We define billings as total revenue plus the net change in deferred revenue for the reporting period less the net change in contract assets for the reporting period. Billings exclude deferred revenue acquired from business combinations during the period and the impact of changes in foreign currency exchange rates. This metric is a key performance metric and should be viewed independently of revenue and deferred revenue as this metric is not intended to be combined with those items. Autodesk believes this metric is useful to investors because it can help in monitoring the long-term health of Autodesk’s business. Autodesk’s determination and presentation of this metric may differ from that of other companies. The presentation of this metric is meant to be considered in addition to, not as a substitute for or in isolation from, Autodesk financial measures prepared in accordance with GAAP.</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18"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To supplement our condensed consolidated financial statements presented on a GAAP basis, we provide investors with certain non-GAAP measures including non-GAAP operating margin, non-GAAP income from operations, non-GAAP diluted net income per share, and free cash flow. For our internal budgeting and resource allocation process and as a means to evaluate period-to-period comparisons, we use non-GAAP measures to supplement our condensed consolidated financial statements presented on a GAAP basis. These non-GAAP measures do not include certain items that may have a material impact upon our future reported financial results. We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945" w:right="339" w:bottom="1440" w:gutter="0" w:footer="0" w:header="0"/>
        </w:sectPr>
      </w:pPr>
    </w:p>
    <w:bookmarkStart w:id="14" w:name="page15"/>
    <w:bookmarkEnd w:id="14"/>
    <w:p>
      <w:pPr>
        <w:ind w:right="80"/>
        <w:spacing w:after="0" w:line="235" w:lineRule="auto"/>
        <w:rPr>
          <w:sz w:val="20"/>
          <w:szCs w:val="20"/>
          <w:color w:val="auto"/>
        </w:rPr>
      </w:pPr>
      <w:r>
        <w:rPr>
          <w:rFonts w:ascii="Arial" w:cs="Arial" w:eastAsia="Arial" w:hAnsi="Arial"/>
          <w:sz w:val="20"/>
          <w:szCs w:val="20"/>
          <w:color w:val="auto"/>
        </w:rPr>
        <w:t>There are limitations in using non-GAAP financial measures because non-GAAP financial measures are not prepared in accordance with GAAP and may be different from non-GAAP financial measures used by other companies. The non-GAAP financial measures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in this presentation, and not to rely on any single financial measure to evaluate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Autodesk may exclude the following items, as applicable, from its non-GAAP measures:</w:t>
      </w:r>
    </w:p>
    <w:p>
      <w:pPr>
        <w:spacing w:after="0" w:line="202" w:lineRule="exact"/>
        <w:rPr>
          <w:sz w:val="20"/>
          <w:szCs w:val="20"/>
          <w:color w:val="auto"/>
        </w:rPr>
      </w:pPr>
    </w:p>
    <w:p>
      <w:pPr>
        <w:ind w:right="80"/>
        <w:spacing w:after="0"/>
        <w:rPr>
          <w:sz w:val="20"/>
          <w:szCs w:val="20"/>
          <w:color w:val="auto"/>
        </w:rPr>
      </w:pPr>
      <w:r>
        <w:rPr>
          <w:rFonts w:ascii="Arial" w:cs="Arial" w:eastAsia="Arial" w:hAnsi="Arial"/>
          <w:sz w:val="20"/>
          <w:szCs w:val="20"/>
          <w:color w:val="auto"/>
        </w:rPr>
        <w:t>Stock-based compensation expenses. Autodesk excludes stock-based compensation expenses from its non-GAAP measures primarily because they are non-cash 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Autodesk believes that excluding stock-based compensation expenses allows investors to make meaningful comparisons between its recurring core business operating results and those of other companies.</w:t>
      </w:r>
    </w:p>
    <w:p>
      <w:pPr>
        <w:spacing w:after="0" w:line="173" w:lineRule="exact"/>
        <w:rPr>
          <w:sz w:val="20"/>
          <w:szCs w:val="20"/>
          <w:color w:val="auto"/>
        </w:rPr>
      </w:pPr>
    </w:p>
    <w:p>
      <w:pPr>
        <w:spacing w:after="0" w:line="238" w:lineRule="auto"/>
        <w:rPr>
          <w:sz w:val="20"/>
          <w:szCs w:val="20"/>
          <w:color w:val="auto"/>
        </w:rPr>
      </w:pPr>
      <w:r>
        <w:rPr>
          <w:rFonts w:ascii="Arial" w:cs="Arial" w:eastAsia="Arial" w:hAnsi="Arial"/>
          <w:sz w:val="20"/>
          <w:szCs w:val="20"/>
          <w:color w:val="auto"/>
        </w:rPr>
        <w:t>Amortization of developed technologies and purchased intangibles. Autodesk incurs amortization of acquisition-related developed technology and purchased intangibles in connection with acquisitions of certain businesses and technologies. Amortization of developed technologies and purchased intangibles is inconsistent in amount and frequency and is significantly affected by the timing and size of Autodesk's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Autodesk's future period revenues as well. Amortization of developed technologies and purchased intangible assets will recur in future periods.</w:t>
      </w:r>
    </w:p>
    <w:p>
      <w:pPr>
        <w:spacing w:after="0" w:line="199" w:lineRule="exact"/>
        <w:rPr>
          <w:sz w:val="20"/>
          <w:szCs w:val="20"/>
          <w:color w:val="auto"/>
        </w:rPr>
      </w:pPr>
    </w:p>
    <w:p>
      <w:pPr>
        <w:ind w:right="60"/>
        <w:spacing w:after="0" w:line="236" w:lineRule="auto"/>
        <w:rPr>
          <w:sz w:val="20"/>
          <w:szCs w:val="20"/>
          <w:color w:val="auto"/>
        </w:rPr>
      </w:pPr>
      <w:r>
        <w:rPr>
          <w:rFonts w:ascii="Arial" w:cs="Arial" w:eastAsia="Arial" w:hAnsi="Arial"/>
          <w:sz w:val="20"/>
          <w:szCs w:val="20"/>
          <w:color w:val="auto"/>
        </w:rPr>
        <w:t>Restructuring and facility-related asset impairments and other (gains) losses. These expenses are associated with realigning Autodesk's business strategies based on current economic conditions. In connection with these restructuring actions or other exit actions, Autodesk recognizes costs related to termination benefits for former employees whose positions were eliminated, the reduction of facilities, and cancellation of certain contracts. Autodesk excludes these charges because these expenses are not reflective of ongoing business and operating results. Autodesk believes it is useful for investors to understand the effects of these items on its total operating expenses. Also included are gains or losses associated with the optimization of our costs related to facilities that we have vacated. In connection with these facilities, we recognize costs related to the impairment or abandonment of property, facilities, operating lease right-of-use assets, computer equipment, furniture, and leasehold improvements, and other gains or losses. We exclude these gains or losses because they are not reflective of ongoing business and operating results. We believe it is useful for investors to understand the effects of these items on our total operating expenses.</w:t>
      </w:r>
    </w:p>
    <w:p>
      <w:pPr>
        <w:spacing w:after="0" w:line="199" w:lineRule="exact"/>
        <w:rPr>
          <w:sz w:val="20"/>
          <w:szCs w:val="20"/>
          <w:color w:val="auto"/>
        </w:rPr>
      </w:pPr>
    </w:p>
    <w:p>
      <w:pPr>
        <w:ind w:right="60"/>
        <w:spacing w:after="0" w:line="238" w:lineRule="auto"/>
        <w:rPr>
          <w:sz w:val="20"/>
          <w:szCs w:val="20"/>
          <w:color w:val="auto"/>
        </w:rPr>
      </w:pPr>
      <w:r>
        <w:rPr>
          <w:rFonts w:ascii="Arial" w:cs="Arial" w:eastAsia="Arial" w:hAnsi="Arial"/>
          <w:sz w:val="20"/>
          <w:szCs w:val="20"/>
          <w:color w:val="auto"/>
        </w:rPr>
        <w:t>Acquisition-related costs. Autodesk excludes certain acquisition-related costs, including due diligence costs, professional fees in connection with an acquisition, certain financing costs, and certain integration-related expenses. These expenses are unpredictable, and dependent on factors that may be outside of Autodesk's control and unrelated to the continuing operations of the acquired business or Autodesk. In addition, the size and complexity of an acquisition, which often drives the magnitude of acquisition-related costs, may not be indicative of such future costs. Autodesk believes excluding acquisition-related costs facilitates the comparison of its financial results to the Autodesk's historical operating results and to other companies in its industry.</w:t>
      </w:r>
    </w:p>
    <w:p>
      <w:pPr>
        <w:spacing w:after="0" w:line="199" w:lineRule="exact"/>
        <w:rPr>
          <w:sz w:val="20"/>
          <w:szCs w:val="20"/>
          <w:color w:val="auto"/>
        </w:rPr>
      </w:pPr>
    </w:p>
    <w:p>
      <w:pPr>
        <w:ind w:right="980"/>
        <w:spacing w:after="0" w:line="257" w:lineRule="auto"/>
        <w:rPr>
          <w:sz w:val="20"/>
          <w:szCs w:val="20"/>
          <w:color w:val="auto"/>
        </w:rPr>
      </w:pPr>
      <w:r>
        <w:rPr>
          <w:rFonts w:ascii="Arial" w:cs="Arial" w:eastAsia="Arial" w:hAnsi="Arial"/>
          <w:sz w:val="20"/>
          <w:szCs w:val="20"/>
          <w:color w:val="auto"/>
        </w:rPr>
        <w:t>Gains or losses on strategic investments and dispositions. Autodesk excludes gains and losses related to its strategic investments and dispositions of strategic investments, purchased intangibles, and businesses from its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171" w:right="339" w:bottom="1440" w:gutter="0" w:footer="0" w:header="0"/>
        </w:sectPr>
      </w:pPr>
    </w:p>
    <w:bookmarkStart w:id="15" w:name="page16"/>
    <w:bookmarkEnd w:id="15"/>
    <w:p>
      <w:pPr>
        <w:ind w:right="60"/>
        <w:spacing w:after="0" w:line="237" w:lineRule="auto"/>
        <w:rPr>
          <w:sz w:val="20"/>
          <w:szCs w:val="20"/>
          <w:color w:val="auto"/>
        </w:rPr>
      </w:pPr>
      <w:r>
        <w:rPr>
          <w:rFonts w:ascii="Arial" w:cs="Arial" w:eastAsia="Arial" w:hAnsi="Arial"/>
          <w:sz w:val="20"/>
          <w:szCs w:val="20"/>
          <w:color w:val="auto"/>
        </w:rPr>
        <w:t>non-GAAP measures primarily because management finds it useful to exclude these variable gains and losses on these investments and dispositions in assessing Autodesk's financial results. Included in these amounts are non-cash unrealized gains and losses, dividends received, realized gains and losses on the sales or losses on the impairment of these investments, and gain and loss on dispositions. Autodesk believes excluding these items is useful to investors because these excluded items do not correlate to the underlying performance of its business and these losses or gains were incurred in connection with strategic investments and dispositions which do not occur regularly.</w:t>
      </w:r>
    </w:p>
    <w:p>
      <w:pPr>
        <w:spacing w:after="0" w:line="217"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Income tax adjustments. The income tax effects that are excluded from the non-GAAP measures relate to the tax impact on the difference between GAAP and non-GAAP expenses, primarily due to stock-based compensation, amortization of purchased intangibles, and restructuring and facility-related asset impairments and other (gains) losses for GAAP and non-GAAP measures. We remove GAAP discrete tax items, including changes in valuation allowance, from the non-GAAP measure of net income (loss). The non-GAAP tax provision is based on a projected long-term annual non-GAAP effective tax rate. Management believes the income tax adjustments assist investors in understanding the tax provision and the effective tax rate related to ongoing operations. We believe the exclusion of the discrete tax items provides investors with useful supplemental information about our operational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sectPr>
      <w:pgSz w:w="11900" w:h="16838" w:orient="portrait"/>
      <w:cols w:equalWidth="0" w:num="1">
        <w:col w:w="11220"/>
      </w:cols>
      <w:pgMar w:left="320" w:top="92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0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2026-05-28T17:19:44Z</dcterms:created>
  <dcterms:modified xsi:type="dcterms:W3CDTF">2026-05-28T17:19:44Z</dcterms:modified>
</cp:coreProperties>
</file>