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8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0" w:type="dxa"/>
            <w:vAlign w:val="bottom"/>
            <w:gridSpan w:val="6"/>
          </w:tcPr>
          <w:p>
            <w:pPr>
              <w:jc w:val="center"/>
              <w:ind w:right="19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420" w:type="dxa"/>
            <w:vAlign w:val="bottom"/>
          </w:tcPr>
          <w:p>
            <w:pPr>
              <w:spacing w:after="0"/>
              <w:rPr>
                <w:sz w:val="17"/>
                <w:szCs w:val="17"/>
                <w:color w:val="auto"/>
              </w:rPr>
            </w:pPr>
          </w:p>
        </w:tc>
      </w:tr>
      <w:tr>
        <w:trPr>
          <w:trHeight w:val="20"/>
        </w:trPr>
        <w:tc>
          <w:tcPr>
            <w:tcW w:w="68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2"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20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61" w:lineRule="exact"/>
        <w:rPr>
          <w:sz w:val="24"/>
          <w:szCs w:val="24"/>
          <w:color w:val="auto"/>
        </w:rPr>
      </w:pPr>
    </w:p>
    <w:p>
      <w:pPr>
        <w:ind w:left="140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33" w:lineRule="exact"/>
        <w:rPr>
          <w:sz w:val="24"/>
          <w:szCs w:val="24"/>
          <w:color w:val="auto"/>
        </w:rPr>
      </w:pPr>
    </w:p>
    <w:p>
      <w:pPr>
        <w:sectPr>
          <w:pgSz w:w="11900" w:h="16838" w:orient="portrait"/>
          <w:cols w:equalWidth="0" w:num="4">
            <w:col w:w="2840" w:space="200"/>
            <w:col w:w="2120" w:space="720"/>
            <w:col w:w="2120" w:space="720"/>
            <w:col w:w="2700"/>
          </w:cols>
          <w:pgMar w:left="240" w:top="233" w:right="239" w:bottom="1440" w:gutter="0" w:footer="0" w:header="0"/>
          <w:type w:val="continuous"/>
        </w:sect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ectPr>
          <w:pgSz w:w="11900" w:h="16838" w:orient="portrait"/>
          <w:cols w:equalWidth="0" w:num="1">
            <w:col w:w="11420"/>
          </w:cols>
          <w:pgMar w:left="240" w:top="233" w:right="239" w:bottom="1440" w:gutter="0" w:footer="0" w:header="0"/>
          <w:type w:val="continuous"/>
        </w:sectPr>
      </w:pPr>
    </w:p>
    <w:p>
      <w:pPr>
        <w:spacing w:after="0" w:line="31" w:lineRule="exact"/>
        <w:rPr>
          <w:sz w:val="24"/>
          <w:szCs w:val="24"/>
          <w:color w:val="auto"/>
        </w:rPr>
      </w:pPr>
    </w:p>
    <w:p>
      <w:pPr>
        <w:ind w:right="100" w:firstLine="324"/>
        <w:spacing w:after="0" w:line="232" w:lineRule="auto"/>
        <w:rPr>
          <w:sz w:val="20"/>
          <w:szCs w:val="20"/>
          <w:color w:val="auto"/>
        </w:rPr>
      </w:pPr>
      <w:r>
        <w:rPr>
          <w:rFonts w:ascii="Arial" w:cs="Arial" w:eastAsia="Arial" w:hAnsi="Arial"/>
          <w:sz w:val="14"/>
          <w:szCs w:val="14"/>
          <w:color w:val="auto"/>
        </w:rPr>
        <w:t>As of July 31, 2013, the last business day of the registrant’s most recently completed second fiscal quarter, there were approximately 221.6 million shares of the registrant’s common stock outstanding that were held by non-affiliates, and the aggregate market value of such shares held by non-affiliates of the registrant (based on the closing sale price of such shares on the NASDAQ Global Select Market on July 31, 2013) was approximately $7.8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28, 2014, the registrant had outstanding 227,185,041 shares of common stock.</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[THIS PAGE INTENTIONALLY LEFT BLANK]</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AUTODESK, INC. FORM 10-K</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480" w:type="dxa"/>
            <w:vAlign w:val="bottom"/>
            <w:gridSpan w:val="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900" w:type="dxa"/>
            <w:vAlign w:val="bottom"/>
            <w:gridSpan w:val="4"/>
          </w:tcPr>
          <w:p>
            <w:pPr>
              <w:spacing w:after="0"/>
              <w:rPr>
                <w:sz w:val="24"/>
                <w:szCs w:val="24"/>
                <w:color w:val="auto"/>
              </w:rPr>
            </w:pPr>
          </w:p>
        </w:tc>
        <w:tc>
          <w:tcPr>
            <w:tcW w:w="84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7480" w:type="dxa"/>
            <w:vAlign w:val="bottom"/>
            <w:gridSpan w:val="1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gridSpan w:val="8"/>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Unresolved Staff Comments</w:t>
              </w:r>
            </w:hyperlink>
          </w:p>
        </w:tc>
        <w:tc>
          <w:tcPr>
            <w:tcW w:w="6340" w:type="dxa"/>
            <w:vAlign w:val="bottom"/>
            <w:gridSpan w:val="11"/>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Properties</w:t>
              </w:r>
            </w:hyperlink>
          </w:p>
        </w:tc>
        <w:tc>
          <w:tcPr>
            <w:tcW w:w="1320" w:type="dxa"/>
            <w:vAlign w:val="bottom"/>
            <w:gridSpan w:val="6"/>
          </w:tcPr>
          <w:p>
            <w:pPr>
              <w:spacing w:after="0"/>
              <w:rPr>
                <w:sz w:val="24"/>
                <w:szCs w:val="24"/>
                <w:color w:val="auto"/>
              </w:rPr>
            </w:pPr>
          </w:p>
        </w:tc>
        <w:tc>
          <w:tcPr>
            <w:tcW w:w="6340" w:type="dxa"/>
            <w:vAlign w:val="bottom"/>
            <w:gridSpan w:val="11"/>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4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PART II</w:t>
              </w:r>
            </w:hyperlink>
          </w:p>
        </w:tc>
        <w:tc>
          <w:tcPr>
            <w:tcW w:w="8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400" w:type="dxa"/>
            <w:vAlign w:val="bottom"/>
            <w:gridSpan w:val="19"/>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Market for Registrant’s Common Equity, Related Stockholder Matters and Issuer Purchases of Equity Securities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Financial Data</w:t>
              </w:r>
            </w:hyperlink>
          </w:p>
        </w:tc>
        <w:tc>
          <w:tcPr>
            <w:tcW w:w="63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4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1940" w:type="dxa"/>
            <w:vAlign w:val="bottom"/>
            <w:gridSpan w:val="4"/>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4"/>
                <w:szCs w:val="24"/>
                <w:color w:val="auto"/>
              </w:rPr>
            </w:pPr>
          </w:p>
        </w:tc>
        <w:tc>
          <w:tcPr>
            <w:tcW w:w="4040" w:type="dxa"/>
            <w:vAlign w:val="bottom"/>
            <w:gridSpan w:val="6"/>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gridSpan w:val="16"/>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Changes in and Disagreements With Accountants on Accounting and Financial Disclosure</w:t>
              </w:r>
            </w:hyperlink>
          </w:p>
        </w:tc>
        <w:tc>
          <w:tcPr>
            <w:tcW w:w="1880" w:type="dxa"/>
            <w:vAlign w:val="bottom"/>
            <w:gridSpan w:val="3"/>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4740" w:type="dxa"/>
            <w:vAlign w:val="bottom"/>
            <w:gridSpan w:val="10"/>
          </w:tcPr>
          <w:p>
            <w:pPr>
              <w:spacing w:after="0"/>
              <w:rPr>
                <w:sz w:val="24"/>
                <w:szCs w:val="24"/>
                <w:color w:val="auto"/>
              </w:rPr>
            </w:pPr>
          </w:p>
        </w:tc>
        <w:tc>
          <w:tcPr>
            <w:tcW w:w="1880" w:type="dxa"/>
            <w:vAlign w:val="bottom"/>
            <w:gridSpan w:val="3"/>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97</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6620" w:type="dxa"/>
            <w:vAlign w:val="bottom"/>
            <w:gridSpan w:val="13"/>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97</w:t>
              </w:r>
            </w:hyperlink>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III</w:t>
              </w:r>
            </w:hyperlink>
          </w:p>
        </w:tc>
        <w:tc>
          <w:tcPr>
            <w:tcW w:w="7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840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98">
              <w:r>
                <w:rPr>
                  <w:rFonts w:ascii="Arial" w:cs="Arial" w:eastAsia="Arial" w:hAnsi="Arial"/>
                  <w:sz w:val="18"/>
                  <w:szCs w:val="18"/>
                  <w:color w:val="0000EE"/>
                </w:rPr>
                <w:t>98</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gridSpan w:val="7"/>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Executive Compensation</w:t>
              </w:r>
            </w:hyperlink>
          </w:p>
        </w:tc>
        <w:tc>
          <w:tcPr>
            <w:tcW w:w="2280" w:type="dxa"/>
            <w:vAlign w:val="bottom"/>
            <w:gridSpan w:val="5"/>
          </w:tcPr>
          <w:p>
            <w:pPr>
              <w:spacing w:after="0"/>
              <w:rPr>
                <w:sz w:val="24"/>
                <w:szCs w:val="24"/>
                <w:color w:val="auto"/>
              </w:rPr>
            </w:pPr>
          </w:p>
        </w:tc>
        <w:tc>
          <w:tcPr>
            <w:tcW w:w="4300" w:type="dxa"/>
            <w:vAlign w:val="bottom"/>
            <w:gridSpan w:val="7"/>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840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100" w:type="dxa"/>
            <w:vAlign w:val="bottom"/>
            <w:gridSpan w:val="2"/>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2940" w:type="dxa"/>
            <w:vAlign w:val="bottom"/>
            <w:gridSpan w:val="5"/>
          </w:tcPr>
          <w:p>
            <w:pPr>
              <w:spacing w:after="0"/>
              <w:rPr>
                <w:sz w:val="24"/>
                <w:szCs w:val="24"/>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PART IV</w:t>
              </w:r>
            </w:hyperlink>
          </w:p>
        </w:tc>
        <w:tc>
          <w:tcPr>
            <w:tcW w:w="7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8400" w:type="dxa"/>
            <w:vAlign w:val="bottom"/>
            <w:gridSpan w:val="1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and Financial Statement Schedules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00">
              <w:r>
                <w:rPr>
                  <w:rFonts w:ascii="Arial" w:cs="Arial" w:eastAsia="Arial" w:hAnsi="Arial"/>
                  <w:sz w:val="18"/>
                  <w:szCs w:val="18"/>
                  <w:color w:val="0000EE"/>
                </w:rPr>
                <w:t>100</w:t>
              </w:r>
            </w:hyperlink>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Borders>
              <w:top w:val="single" w:sz="8" w:color="0000EE"/>
            </w:tcBorders>
            <w:gridSpan w:val="1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524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101</w:t>
              </w:r>
            </w:hyperlink>
          </w:p>
        </w:tc>
        <w:tc>
          <w:tcPr>
            <w:tcW w:w="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188595</wp:posOffset>
            </wp:positionV>
            <wp:extent cx="9779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financial results; the effectiveness of our efforts to successfully manage transitions to new business models and markets; the effectiveness of efforts to reduce our operating expenses; expected market trends, including the growth of cloud, mobile and social computing; our belief that the strength of our channel network, technological leadership, brand recognition, breadth of product line and large installed base are benefitting us as global economies recover; expected trends in certain financial metrics; our ability to successfully expand adoption of our products; our ability to gain market acceptance of new businesses and sales initiatives; our ability to successfully increase sales of product suites as part of our overall sales strategy; our belief that emerging economies continue to present long-term growth opportunities for us; the impact of our restructuring activities; the sufficiency of our cash to meet our working capital and operating resource expenditure requirements over the next 12 months; and our ability to generate sufficient future taxable income in appropriate tax jurisdictions to realize our net deferred tax assets. In addition, forward-looking statements also consist of statements involving expectations regarding product acceptance, activity related to our stock repurchase program,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 world leading design software and services company, offering customers productive business solutions through powerful technology products and services. We serve customers in the architecture, engineering and construction; manufacturing; and digital media, consumer and entertainment industries. Our sophisticated software products enable our customers to experience their ideas before they are real. Customers are able to imagine, design and create their ideas by visualizing, simulating and analyzing real-world performance early in the design process by creating and manipulating digital prototypes. These capabilities allow our customers to foster innovation, optimize and improve their designs, save time and money, improve quality, communicate intentions, and collaborate with others. Our professional software products are sold globally, both directly to customers and through a network of resellers and distributors. Additionally, we sell a line of consumer products for digital art, personal design and creativity, and home design. These products are sold over the Internet and in various digital storefronts, including the Apple App Store and the Google Play Store.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report based on four reportable operating segments: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Platform Solutions and Emerging Business (“PSEB”), which accounted for 35% of our net revenue in fiscal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Architecture, Engineering and Construction (“AEC”), which accounted for 32% of our net revenue in fiscal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(“MFG”), which accounted for 25% of our net revenue in fiscal 2014;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 and Entertainment (“M&amp;E”), which accounted for 8% of our net revenue in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summary of our net revenue and results of operations for our business segments is found in Note 13, “Segments,” in the Notes to our Consolidated Financial Statements.</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Our PSEB, AEC and MFG segments derive revenue from the sale of licenses and subscriptions for software products and services to customers who design, build, and own buildings, infrastructures, and manufactured products. In addition to software products, the PSEB, AEC and MFG segments offer a range of services, including consulting, support and training, largely dedicated to enhancing our ability to sell licenses and subscriptions to our software products. Our M&amp;E segment derives revenue from the sale of licenses and subscriptions for software products to creative professionals, post-production facilities, and broadcasters for a variety of applications, including feature films, television programs, commercials, music and corporate videos, interactive game production, web design and interactive web streaming. In addition, our animation products produced by our M&amp;E segment are often used by customers of products from our other segments for the visualization of their designs.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products and services of these segments include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Flagship products, which accounted for approximately 51% of our net revenue in fiscal 2014, are our core standalone horizontal, vertical and model-based design products including AutoCAD, AutoCAD LT, AutoCAD Civil 3D, AutoCAD Mechanical, AutoCAD Map, AutoCAD Architecture, Maya and 3ds Max.</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Suites, which accounted for approximately 34% of our net revenue in fiscal 2014, are a combination of products that target a specific user objective (product design, building design, etc.) and support a set of workflows for that objective, including Autodesk Product Design Suites, Autodesk Building Design Suites, Autodesk Infrastructure Design Suites and AutoCAD Design Suites.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and Adjacent products, which accounted for approximately 14% of our net revenue in fiscal 2014, are new product offerings as well as products that are not considered flagship or suites, including Autodesk Creative Finishing products, Autodesk Moldflow products and Autodesk Alias Design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product offerings from Autodesk’s different segments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PSEB</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PSEB segment includes our design product, AutoCAD. Our AutoCAD product is a platform product that underpins our design product offerings for all the industries we serve. For example, our AEC and MFG segments offer tailored versions of AutoCAD software for the industries they serve. Our AutoCAD product also provides a platform for our developer partners to build custom solutions for a range of diverse design-oriented markets. PSEB's revenue primarily includes revenue from sales of licenses of our design products, AutoCAD and AutoCAD LT, as well as the Autodesk Design Suite and many other design and consumer products. The segment’s principal product offerings included the following during fiscal 2014:</w:t>
      </w:r>
    </w:p>
    <w:p>
      <w:pPr>
        <w:spacing w:after="0" w:line="15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AutoCAD</w:t>
      </w:r>
    </w:p>
    <w:p>
      <w:pPr>
        <w:spacing w:after="0" w:line="225"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AutoCAD software, which is our largest revenue-generating product, is a customizable and extensible computer-aided design (CAD) application for professional design, drafting, detailing and visualization. AutoCAD software provides digital tools that can be used independently and in conjunction with other specific applications in fields ranging from construction to manufacturing, civil engineering and process plant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131445</wp:posOffset>
            </wp:positionV>
            <wp:extent cx="97790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AutoCAD LT</w:t>
      </w:r>
    </w:p>
    <w:p>
      <w:pPr>
        <w:spacing w:after="0" w:line="22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AutoCAD LT software is purpose built for professional drafting and detailing. AutoCAD LT includes document sharing capability without the need for software customization or certain advanced functionality found in our AutoCAD product. Users can share all design data with team members who use our AutoCAD product or other Autodesk products built on AutoCAD. AutoCAD LT software is our second largest revenue-generating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AEC</w:t>
      </w:r>
    </w:p>
    <w:p>
      <w:pPr>
        <w:spacing w:after="0" w:line="22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AEC software products help to improve the way building, civil infrastructure, process plant and construction projects are designed, built and managed. A broad portfolio of solutions enables greater efficiency, accuracy and sustainability across the entire project lifecycle. Our AEC solutions include advanced technology for building information modeling (“BIM”), AutoCAD-based design and documentation productivity software, sustainable design analysis applications, collaboration and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The segment’s principal product offerings included the following during fiscal 2014:</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Autodesk Building Design Suites</w:t>
      </w:r>
    </w:p>
    <w:p>
      <w:pPr>
        <w:spacing w:after="0" w:line="2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Autodesk Building Design Suites ("BDS") give the power of BIM or CAD, with tools for modeling, visualization, and documentation. With a comprehensive set of tools, BDS gives customers the ability to manage all phases of design and construction. Three editions of BDS are available to meet each customer's particular business needs and offers the depth and breadth of the Autodesk portfolio.</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Autodesk Revit</w:t>
      </w:r>
    </w:p>
    <w:p>
      <w:pPr>
        <w:spacing w:after="0" w:line="2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Purpose-built for BIM, the Autodesk Revit products collect information about a building project and allow this information to be coordinated across all other representations of the project, so that every drawing sheet, 2D and 3D view and schedule is based on internally consistent and complete information from the same underlying building database. The Autodesk Revit products, including AutoCAD Revit Architecture Suite, AutoCAD Revit MEP Suite and AutoCAD Revit Structure Suite, provide an intuitive, sophisticated, model-based design and documentation system for architects; mechanical, electrical and plumbing ("MEP") engineers; structural engineers; design-build teams; and other design and building industry professionals.</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Autodesk Infrastructure Design Suites</w:t>
      </w:r>
    </w:p>
    <w:p>
      <w:pPr>
        <w:spacing w:after="0" w:line="225"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The Infrastructure Design Suites are the BIM for Infrastructure design solution that combines intelligent, model-based tools to help the user to gain more accurate, accessible, and actionable insight. With unique access to the Autodesk infrastructure software portfolio, users can benefit throughout the execution and lifecycle of transportation, land, and water projects. Three editions of Infrastructure Design Suites are available to meet each customer's particular business needs and offers the depth and breadth of the Autodesk portfolio.</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AutoCAD Civil 3D</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AutoCAD Map 3D</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AutoCAD Map 3D software provides direct access to data needed for infrastructure planning, design and management activities. AutoCAD Map 3D software helps professionals working on transportation, land development, water and power projects to more easily create, manage and analyze design geographic information system and asset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MFG</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Our MFG segment provides manufacturers in automotive and transportation, industrial machinery, consumer products and building products with comprehensive digital prototyping solutions that bring together product data from all phases of the product development through production process to develop a single digital model created in Autodesk Inventor software. Our solutions for digital prototyping are scalable, attainable, cost-effective and allow for real-world simulation, enabling a broad group of manufacturers to realize benefits with minimal disruption to existing workflows. MFG’s principal product offerings included the following during fiscal 2014:</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Autodesk Product Design Suites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Product Design Suites ("PDS") is a comprehensive solution for digital prototyping, delivering 3D design, visualization and simulation tools to complete the entire engineering process. The digital prototyping capabilities of PDS can help customers design better products, reduce development costs and get to market faster. Three editions of PDS are available to meet each customer's particular business needs and offers the depth and breadth of the Autodesk portfolio.</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Autodesk Inventor</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Autodesk Inventor allows manufacturers to go beyond 3D design to digital prototyping by giving engineers a comprehensive and flexible set of tools for 3D mechanical design, simulation, analysis, tooling, visualization and documentation. With Autodesk Inventor,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AutoCAD Mechanical</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AutoCAD Mechanical software is purpose-built to accelerate the mechanical design process. AutoCAD Mechanical software offers users significant productivity gains and helps save hours of design time by including all the functionality of AutoCAD software, in addition to comprehensive libraries of standards-based parts and tools for automating common design tasks.</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Autodesk Moldflow</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Autodesk Moldflow family of injection molding simulation software provides tools that help manufacturers optimize the design of plastic parts and injection molds, and study the injection molding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M&amp;E</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M&amp;E segment is comprised of two product groups: Animation and Creative Finishing. Animation products are sold as software only and provide tools for digital sculpting, modeling, animation, effects, rendering, and compositing for design visualization, visual effects and games production. Creative Finishing products are primarily sold as turnkey solutions for editing, finishing and visual effects design and color grading. Principal product offerings in our M&amp;E segment’s Animation and Creative Finishing product groups included the following during fiscal 2014:</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Animation</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Autodesk Maya</w:t>
      </w:r>
    </w:p>
    <w:p>
      <w:pPr>
        <w:spacing w:after="0" w:line="225"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Autodesk 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Autodesk 3ds Max</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Autodesk 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Creative Finishing</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Autodesk Flame, Autodesk Smoke, and Autodesk Lustre</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Flame software is an interactive real-time design, finishing, grading and visual effects solution for supervised post-production. Autodesk Smoke software is a non-linear and non-compressed online editing, effects and finishing software application and is used in commercials, music videos, corporate video, film as well as broadcast design projects. Autodesk Lustre software is a high-performance color grading solution used by artists for creative look development and final color and lighting effects for both film and television.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To keep pace with these changes, we maintain a vigorous program of new product development to address demands in the marketplace for our products.</w:t>
      </w:r>
    </w:p>
    <w:p>
      <w:pPr>
        <w:spacing w:after="0" w:line="166"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licenses. For example, in fiscal 2014, we began offering BIM 360, Product Lifecycle Management (“PLM”) and Fusion 360, our cloud based offerings, which provide tools, including social and mobile capabilities, to help streamline design, collaboration, and data management processes. We believe that customer adoption of these new offerings will continue to grow as customers across a range of industries began to take advantage of the scalable computing power and flexibility provided through these new services.</w:t>
      </w:r>
    </w:p>
    <w:p>
      <w:pPr>
        <w:spacing w:after="0" w:line="178"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We dedicate considerable technical and financial resources to research and development to further enhance our existing products and to create new products and technologies. Research and development expenditures were $611.1 million or 27% of fiscal 2014 net revenue, $600.0 million or 26% of fiscal 2013 net revenue and $566.5 million or 26% of fiscal 2012 net revenue.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and Canada.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We plan to continue to manage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addition, our business and our customers benefit from our relationships with a network of over 4,000 third-party developers who develop and sell their own products that further enhance the range of integrated solutions available to our customers.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We license or sell our products and services globally, primarily through indirect channels consisting of distributors and resellers. To a lesser extent we also transact directly with customers who are primarily large corporations. Our indirect channel model includes both a two-tiered distribution structure, where distributors sell to resellers, and a one-tiered structure, where Autodesk sells directly to resellers. We have a network of approximately 2,500 resellers and distributors worldwide. For fiscal 2014, approximately 84% of our revenue was derived from indirect channel sales through distributors and resellers, and we expect that the majority of our revenue will continue to be derived from indirect channel sales in the future. We employ a variety of incentive programs and promotions to align our reseller channel with our business strategies. Sales through our largest distributor, Tech Data Corporation and its affiliates, accounted for 24%, 23% and 21% of our net revenue for fiscal years 2014, 2013 and 2012,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7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2014 net revenue in the EMEA, Americas and APAC was $851.8 million (37%), $818.9 million (36%) and $603.2 million (27%), respectively. We intend to continue to make our products available in foreign languages. We believe that international sales will continue to comprise the majority of our total net revenue. Adverse economic conditions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6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advertising in business and trade journals and social media. We have a worldwide user group organization and we have created online user communities dedicated to the exchange of information related to the use of our products.</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addition to sales of new perpetual use software licenses, we generate revenue through several subscription-based business models. The largest is our maintenance program, under which customers who own a perpetual use license for the most recent version of the underlying product are able to purchase maintenance that provides them with unspecified upgrades when-and-if-available and are able to download e-Learning courses and receive online support over a one year or multi-year maintenance service period.</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also offer more flexible term-based license offerings to our customers. Our subscription-based business models help our customers reduce up-front licensing costs, provide more flexibility with how they use our products and address new categories of customers such as project-based users and small businesses. Over the next few years, we expect to significantly increase our subscription base and the annual value per subscription, which will ultimately drive billings growth.</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provide technical support and training to customers through a leveraged support model, augmented by direct programs designed to address certain specific needs. Our customers rely primarily on the resellers and distributors from which they purchased licenses to our products for technical support; however, we do provide certain direct support for some of our customers. We support our resellers and distributors through technical product training, sales training classes, the Internet and telephone. We also provide online support directly to our customers through our maintenance program. There are also a number of user group forums in which customers are able to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PROGRAMS</w:t>
      </w:r>
    </w:p>
    <w:p>
      <w:pPr>
        <w:spacing w:after="0" w:line="229"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We help students and educators imagine, design, and create a better world by granting them, for little or no fees, Autodesk Software licenses, specialized learning content, education communities, and support networks.</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are committed to helping fuel a lifelong passion for design in students of all ages, and inspiring and supporting educators. As such, we partner with education institutions and work to develop programs that can facilitate a passion for design in students, and provide a good foundation for STEAM (Science, Technology, Engineering, Digital Arts, and Math) growth in the secondary school market. Within our secondary and postsecondary school markets, we are enabling future workforces to graduate industry-ready and Autodesk-literate with marketable software skills that are in high demand. Whether future professional designers or lifelong design hobbyists, our full portfolio of professional-grade and personal design products introduce students and educators at all levels to design and the power of design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marketing, sales, technical support and programming tools to developers who develop add-on applications for our products. Over 4,000 developers in the Autodesk Developer Network create interoperable products that further enhance the range of integrated solutions available to our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markets for our products are highly competitive and subject to rapid change.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competitors include large, global, publicly traded companies; small, geographically focused firms; startup firms; and solutions produced in-house by their users. Our primary global competitors in the PSEB, AEC and MFG segments include Adobe Systems Incorporated, ANSYS, Inc., AVEVA Group plc, Bentley Systems, Incorporated, Dassault Systèmes S.A. and its subsidiary Dassault Systèmes SolidWorks Corp., Environmental Systems Research Institute, Inc. (ESRI), Intergraph Corporation, a wholly owned subsidiary of Hexagon AB, MSC Software Corporation, Nemetschek AG, PTC, 3D Systems, and Trimble Navigation Limited.</w:t>
      </w:r>
    </w:p>
    <w:p>
      <w:pPr>
        <w:spacing w:after="0" w:line="18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M&amp;E segment also competes with a wide range of different companies from large, global, publicly-traded companies to small private entities. Large organizations that produce products that compete in some or all of our markets include Adobe Systems Incorporated, Apple Inc., Avid Technology, Inc., SONY Corporation and Technicolor, among others. The media and entertainment market is highly fragmented with complex interdependencies between many of the larger businesses. As a result, some of our competitors also own subsidiaries that are our customers or our partners in developing or bringing to market some of our solutions. In addition to traditional competitors in developed economies, we encounter new competitors in emerging economies.</w:t>
      </w:r>
    </w:p>
    <w:p>
      <w:pPr>
        <w:spacing w:after="0" w:line="158"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power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269240</wp:posOffset>
            </wp:positionV>
            <wp:extent cx="9779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 including each of our segments.</w:t>
      </w:r>
    </w:p>
    <w:p>
      <w:pPr>
        <w:spacing w:after="0" w:line="18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retain ownership of software we develop. All software is licensed to users and primarily provided in object code pursuant to either shrink-wrap, embedded or on-line licenses, or signed license agreements. These agreements contain restrictions on duplication, disclosure and transfer.</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maintain and enhance our competitive market position.</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w:t>
      </w:r>
    </w:p>
    <w:p>
      <w:pPr>
        <w:spacing w:after="0" w:line="18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production of our PSEB, AEC, MFG and certain M&amp;E software products involves duplication of the software media and, for certain products, the printing of user manuals. The purchase of media and the transfer of the software programs onto media for distribution to customers are performed by us and by licensed subcontractors. Media for our products such as DVDs and USB flash drives are available from multiple sources. We offer our maintenance customers an electronic software download option for selected product updates. Customers who choose electronic fulfillment receive the latest version of the software from our vendor’s secure servers. For certain products, user manuals are made available by request only as we work toward reducing our cost of shipping and production as well as the use of natural resources. User manuals and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276860</wp:posOffset>
            </wp:positionV>
            <wp:extent cx="9779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January 31, 2014, we employed approximately 7,600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that could negatively impact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ACQUISTIONS</w:t>
      </w:r>
    </w:p>
    <w:p>
      <w:pPr>
        <w:spacing w:after="0" w:line="229"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technology by purchasing businesses or certain technology related assets focused in specific markets or industries. For the three years ended January 31, 2014, 2013 and 2012, we acquired a number of companies and certain technology related assets, some of which were accounted for as business combinations. The following were key acquisitions for fiscal years 2014, 2013 and 2012:</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580" w:type="dxa"/>
            <w:vAlign w:val="bottom"/>
            <w:gridSpan w:val="3"/>
          </w:tcPr>
          <w:p>
            <w:pPr>
              <w:ind w:left="362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2013</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Graitec SA (“Graitec”)</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The acquisition of Graitec (including Graitec’s Advance Steel and Advance Concrete product lines, and associated</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employees) enhanced Autodesk’s offerings for structural engineering and expanded our portfolio of technology for</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BIM for structural fabrication and detailing. Graitec was integrated into Autodesk’s AEC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December 2012</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PI-VR GmbH ("PI-VR")</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The PI-VR acquisition brings sophisticated visualization solutions that will strengthen and enhance our expertise</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in and offerings for automotive visualization. PI-VR has been integrated into, and the related goodwill was</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assigned to, the MFG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October 2012</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Qontext ("Qontext")</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The Qontext acquisition provides us with an enterprise business and social collaboration platform which extends</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7"/>
              </w:rPr>
              <w:t>our reach into design networks via contextual workflows. This also expands our expertise in cloud and social</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7"/>
              </w:rPr>
              <w:t>networking by supplementing existing knowledge in cloud, web, and mobile development. Qontext has been</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integrated into, and the related goodwill was assigned to, the PSEB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August 2012</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Socialcam ("Socialcam")</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The Socialcam acquisition strengthens our ability to make our product line more social, and deliver more</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mobile/web oriented products. In addition, the acquisition integrated with Autodesk 360 to further provide</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2"/>
              </w:rPr>
              <w:t>collaboration features to our professional customers. Socialcam has been integrated into, and the related goodwill</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was assigned to, the PSEB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June 2012</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6"/>
              </w:rPr>
              <w:t>Vela Systems, Inc. ("Vela")</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The Vela acquisition provides a platform to deliver project information to the point of construction. Vela,</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integrated with Navisworks, augments the model-based data created in Revit, establishing a bi-direction and visual</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link between model elements and relevant information - streamlining the information management process from</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5"/>
              </w:rPr>
              <w:t>design through construction to hand-over and into operations. In addition, this acquisition delivers model-based</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5"/>
              </w:rPr>
              <w:t>construction via mobile and cloud. Vela has been integrated into, and the related goodwill was assigned to, the</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AEC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December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T-Splines, Inc. ("T-</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The T-Splines acquisition strengthens our Digital Prototyping portfolio with more flexible free-form modeling and</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Splines")</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7"/>
              </w:rPr>
              <w:t>will help achieve closer integration between industrial design and engineering workflows. T-Splines has been</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integrated into, and the related goodwill was assigned to, the MFG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October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Micro Application</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The MAP acquisition expands our portfolio for MEP contractors and fabricators by providing tools for the</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Packages Limited</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9"/>
              </w:rPr>
              <w:t>manufacturing, fabrication and installation of MEP systems. MAP has been integrated into, and the related</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("MAP")</w:t>
            </w: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goodwill was assigned to, the AEC 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August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Turbo Squid, Inc. (“Turbo</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2"/>
              </w:rPr>
              <w:t>The acquisition of certain technology assets from Turbo Squid strengthens our online marketplace platform for our</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Squid”)</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design application users.</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August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Instructables, Inc.</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The Instructables acquisition assists makers of all types by linking Instructables' vibrant online community to our</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("Instructables")</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2"/>
              </w:rPr>
              <w:t>software tools and services, such as SketchBook, 123D and Homestyler that allow anyone to explore design ideas</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3"/>
              </w:rPr>
              <w:t>and bring them to life. Instructables has been integrated into, and the related goodwill was assigned to, the PSEB</w:t>
            </w:r>
          </w:p>
        </w:tc>
      </w:tr>
      <w:tr>
        <w:trPr>
          <w:trHeight w:val="219"/>
        </w:trPr>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segment.</w:t>
            </w:r>
          </w:p>
        </w:tc>
      </w:tr>
      <w:tr>
        <w:trPr>
          <w:trHeight w:val="220"/>
        </w:trPr>
        <w:tc>
          <w:tcPr>
            <w:tcW w:w="1680" w:type="dxa"/>
            <w:vAlign w:val="bottom"/>
            <w:gridSpan w:val="3"/>
          </w:tcPr>
          <w:p>
            <w:pPr>
              <w:ind w:left="40"/>
              <w:spacing w:after="0"/>
              <w:rPr>
                <w:sz w:val="20"/>
                <w:szCs w:val="20"/>
                <w:color w:val="auto"/>
              </w:rPr>
            </w:pPr>
            <w:r>
              <w:rPr>
                <w:rFonts w:ascii="Arial" w:cs="Arial" w:eastAsia="Arial" w:hAnsi="Arial"/>
                <w:sz w:val="16"/>
                <w:szCs w:val="16"/>
                <w:color w:val="auto"/>
              </w:rPr>
              <w:t>March 2011</w:t>
            </w: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w w:val="99"/>
              </w:rPr>
              <w:t>Blue Ridge Numerics, Inc.</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4"/>
              </w:rPr>
              <w:t>The Blue Ridge acquisition broadens our solution for Digital Prototyping to provide customers with a spectrum of</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3"/>
          </w:tcPr>
          <w:p>
            <w:pPr>
              <w:ind w:left="300"/>
              <w:spacing w:after="0"/>
              <w:rPr>
                <w:sz w:val="20"/>
                <w:szCs w:val="20"/>
                <w:color w:val="auto"/>
              </w:rPr>
            </w:pPr>
            <w:r>
              <w:rPr>
                <w:rFonts w:ascii="Arial" w:cs="Arial" w:eastAsia="Arial" w:hAnsi="Arial"/>
                <w:sz w:val="16"/>
                <w:szCs w:val="16"/>
                <w:color w:val="auto"/>
              </w:rPr>
              <w:t>("Blue Ridge")</w:t>
            </w: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6"/>
              </w:rPr>
              <w:t>computational fluid dynamics (CFD) capabilities that help automate fluid flow and thermal simulation decision-</w:t>
            </w:r>
          </w:p>
        </w:tc>
      </w:tr>
      <w:tr>
        <w:trPr>
          <w:trHeight w:val="203"/>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w w:val="93"/>
              </w:rPr>
              <w:t>making for designs, while eliminating costly physical prototyping cycles. Blue Ridge has been integrated into, and</w:t>
            </w:r>
          </w:p>
        </w:tc>
      </w:tr>
      <w:tr>
        <w:trPr>
          <w:trHeight w:val="206"/>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580" w:type="dxa"/>
            <w:vAlign w:val="bottom"/>
            <w:gridSpan w:val="3"/>
          </w:tcPr>
          <w:p>
            <w:pPr>
              <w:ind w:left="100"/>
              <w:spacing w:after="0"/>
              <w:rPr>
                <w:sz w:val="20"/>
                <w:szCs w:val="20"/>
                <w:color w:val="auto"/>
              </w:rPr>
            </w:pPr>
            <w:r>
              <w:rPr>
                <w:rFonts w:ascii="Arial" w:cs="Arial" w:eastAsia="Arial" w:hAnsi="Arial"/>
                <w:sz w:val="16"/>
                <w:szCs w:val="16"/>
                <w:color w:val="auto"/>
              </w:rPr>
              <w:t>the related goodwill was assigned to, the MFG segment.</w:t>
            </w:r>
          </w:p>
        </w:tc>
      </w:tr>
      <w:tr>
        <w:trPr>
          <w:trHeight w:val="33"/>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540" w:type="dxa"/>
            <w:vAlign w:val="bottom"/>
          </w:tcPr>
          <w:p>
            <w:pPr>
              <w:spacing w:after="0"/>
              <w:rPr>
                <w:sz w:val="2"/>
                <w:szCs w:val="2"/>
                <w:color w:val="auto"/>
              </w:rPr>
            </w:pPr>
          </w:p>
        </w:tc>
      </w:tr>
      <w:tr>
        <w:trPr>
          <w:trHeight w:val="220"/>
        </w:trPr>
        <w:tc>
          <w:tcPr>
            <w:tcW w:w="1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2011</w:t>
            </w: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Scaleform Corporation</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8"/>
              </w:rPr>
              <w:t>The Scaleform acquisition furthers Autodesk's ability to provide customers with more complete workflows to</w:t>
            </w:r>
          </w:p>
        </w:tc>
      </w:tr>
      <w:tr>
        <w:trPr>
          <w:trHeight w:val="203"/>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("Scaleform")</w:t>
            </w: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4"/>
              </w:rPr>
              <w:t>more rapidly develop immersive 3D and casual game experiences. Scaleform has been integrated into, and the</w:t>
            </w:r>
          </w:p>
        </w:tc>
      </w:tr>
      <w:tr>
        <w:trPr>
          <w:trHeight w:val="206"/>
        </w:trPr>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5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related goodwill was assigned to, the M&amp;E segment.</w:t>
            </w:r>
          </w:p>
        </w:tc>
      </w:tr>
      <w:tr>
        <w:trPr>
          <w:trHeight w:val="33"/>
        </w:trPr>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typically ship products shortly after receipt of an order, which is common in the software industry. Our backlog is comprised of current software license product orders which have not yet shipped. The category of current software license product orders which we have not yet shipped consists of orders from customers with approved credit status for currently available software products and may include both orders with current ship dates and orders with ship dates beyond the current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Backlog was $19.7 million at January 31, 2014 compared to $20.0 million at January 31, 2013. The actual amount of backlog at any particular time may not be a meaningful indicator of future business prospects as this amount is impacted by a number of factors not related to future trends or events such as the order fulfillment process, the method of software delivery or the linearity of our business within the fiscal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60" w:firstLine="405"/>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120" w:firstLine="405"/>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Inventor products (standalone), Maya, Plant 3D, and Revit products (standalone).</w:t>
      </w:r>
    </w:p>
    <w:p>
      <w:pPr>
        <w:spacing w:after="0" w:line="176"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License and other revenue consists of two components: all forms of product license revenue and other revenue.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revenue includes: software license revenue from the sale of new seat licenses and upgrades and product revenue for Creative Finishing. Other revenue includes revenue from consulting, training, Autodesk Developers Network and Creative Finishing customer support, and is recognized over time, as the services are performed.</w:t>
      </w:r>
    </w:p>
    <w:p>
      <w:pPr>
        <w:spacing w:after="0" w:line="180" w:lineRule="exact"/>
        <w:rPr>
          <w:sz w:val="20"/>
          <w:szCs w:val="20"/>
          <w:color w:val="auto"/>
        </w:rPr>
      </w:pPr>
    </w:p>
    <w:p>
      <w:pPr>
        <w:ind w:right="100" w:firstLine="405"/>
        <w:spacing w:after="0" w:line="281" w:lineRule="auto"/>
        <w:rPr>
          <w:sz w:val="20"/>
          <w:szCs w:val="20"/>
          <w:color w:val="auto"/>
        </w:rPr>
      </w:pPr>
      <w:r>
        <w:rPr>
          <w:rFonts w:ascii="Arial" w:cs="Arial" w:eastAsia="Arial" w:hAnsi="Arial"/>
          <w:sz w:val="17"/>
          <w:szCs w:val="17"/>
          <w:i w:val="1"/>
          <w:iCs w:val="1"/>
          <w:color w:val="auto"/>
        </w:rPr>
        <w:t>Maintenance</w:t>
      </w:r>
      <w:r>
        <w:rPr>
          <w:rFonts w:ascii="Arial" w:cs="Arial" w:eastAsia="Arial" w:hAnsi="Arial"/>
          <w:sz w:val="17"/>
          <w:szCs w:val="17"/>
          <w:b w:val="1"/>
          <w:bCs w:val="1"/>
          <w:color w:val="auto"/>
        </w:rPr>
        <w:t>—</w:t>
      </w:r>
      <w:r>
        <w:rPr>
          <w:rFonts w:ascii="Arial" w:cs="Arial" w:eastAsia="Arial" w:hAnsi="Arial"/>
          <w:sz w:val="17"/>
          <w:szCs w:val="17"/>
          <w:color w:val="auto"/>
        </w:rPr>
        <w:t>Our maintenance program provides our commercial and educational customers with a cost effective and predictable budgetary option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over the term of the agreements, generally between one and three years.</w:t>
      </w:r>
    </w:p>
    <w:p>
      <w:pPr>
        <w:spacing w:after="0" w:line="165"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360 products, Autodesk Consulting, Autodesk Simulation, Autodesk Simulation Multiphysics, Autodesk Buzzsaw, Autodesk CF Design, Autodesk Constructware, Autodesk consumer products, Autodesk Creative Finishing products, Autodesk Moldflow products, Autodesk Navisworks, Autodesk Scaleform, Autodesk Vault products and all other products.</w:t>
      </w:r>
    </w:p>
    <w:p>
      <w:pPr>
        <w:spacing w:after="0" w:line="18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design suites are a combination of products that target a specific user objective (product design, building design, etc.) and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set of workflows for that objective. Our current design and creation suites include: AutoCAD Design Suite, Autodesk Building Design Suite, Autodesk Entertainment Creation Suite, Autodesk Factory Design Suite, Autodesk Infrastructure Design Suite, Autodesk Plant Design Suite, and Autodesk Product Design Suite.</w:t>
      </w:r>
    </w:p>
    <w:p>
      <w:pPr>
        <w:spacing w:after="0" w:line="180"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b w:val="1"/>
          <w:bCs w:val="1"/>
          <w:color w:val="auto"/>
        </w:rPr>
        <w:t>—</w:t>
      </w:r>
      <w:r>
        <w:rPr>
          <w:rFonts w:ascii="Arial" w:cs="Arial" w:eastAsia="Arial" w:hAnsi="Arial"/>
          <w:sz w:val="18"/>
          <w:szCs w:val="18"/>
          <w:color w:val="auto"/>
        </w:rPr>
        <w:t>Autodesk subscription revenue consists of two components: maintenance revenue from our software products and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cloud service offerings, including Autodesk 360.</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elsewhere in this Form 10-K and in the documents incorporated herein by reference. They could affect our actual results of operations, causing them to differ materially from those expressed in “forward-looking”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conditions may further impact our business, financial results and financial condition.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relatively high unemployment, a low level of liquidity in many financial markets, increased government deficit spending and debt levels, uncertainty about certain governments' abilities to repay such debt or to address certain fiscal issues (such as “austerity” measures in Southern Europe), and volatility in many financial instrument markets. While some recent indicators point to a slow economic recovery, on the whole indicators continue to suggest a mixed trend in economic activity among the different geographical regions and markets.</w:t>
      </w:r>
    </w:p>
    <w:p>
      <w:pPr>
        <w:spacing w:after="0" w:line="19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are causing, and over the past several years have caused, us to restructure our business and in turn we have and will incur restructuring charges. Moreover, our financial performance may be negatively impacted by:</w:t>
      </w:r>
    </w:p>
    <w:p>
      <w:pPr>
        <w:spacing w:after="0" w:line="18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jc w:val="both"/>
        <w:ind w:right="340" w:firstLine="405"/>
        <w:spacing w:after="0" w:line="312" w:lineRule="auto"/>
        <w:rPr>
          <w:sz w:val="20"/>
          <w:szCs w:val="20"/>
          <w:color w:val="auto"/>
        </w:rPr>
      </w:pPr>
      <w:r>
        <w:rPr>
          <w:rFonts w:ascii="Arial" w:cs="Arial" w:eastAsia="Arial" w:hAnsi="Arial"/>
          <w:sz w:val="16"/>
          <w:szCs w:val="16"/>
          <w:color w:val="auto"/>
        </w:rPr>
        <w:t>Even if economic conditions in the U.S. and foreign markets improve generally, a slower economic recovery in industries important to our business, such as the manufacturing and digital media and entertainment industries, may adversely affect our business, financial results and financial condition. If a macro-economic recovery does not occur as rapidly as anticipated, our ability to meet our long-term financial targets may also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132080</wp:posOffset>
            </wp:positionV>
            <wp:extent cx="9779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believe that our future results largely depend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30"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To address the industry transition from personal computer to cloud, social, and mobile computing, we have accelerated our move to the cloud and are offering more flexible product licenses. While we expect to increase our subscription base, value per subscription, billings, bookings, ratable and recurring revenue over time as a result of this business model transition, our ability to achieve these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that may not result in additional net revenue or could result in decreased net revenue.</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an increase in our portfolio of, and focus on, suites and, most recently, our introduction of flexible license and service offerings.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products or the manner in which we provide such products, or if we are not able to adapt our business model to meet our customers' requirements, our business, financial condition or results of operations may be adversely impacted.</w:t>
      </w:r>
    </w:p>
    <w:p>
      <w:pPr>
        <w:spacing w:after="0" w:line="18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and cloud-based services. Over time, we aim to migrate customers using standalone Autodesk products to expand their portfolio with our suites and cloud-based offerings. At times, sales of licenses of our AutoCAD and AutoCAD LT or standalone Autodesk flagship products have decreased without a corresponding increase in suites product or cloud-based services revenue or without purchases of customer seats to our suites. Should this continue, our results of operations will be adversely affected. Also, 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correspondingly reducing our upfront perpetual revenue stream.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277495</wp:posOffset>
            </wp:positionV>
            <wp:extent cx="97790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such as consumer products, our executive management team must act quickly, continuously and with vision. Although we have articulated a strategy that we believe will fulfill these challenges, if we fail to execute properly on that strategy, adapt that strategy as market conditions evolve or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70% and 71% of our net revenue in fiscal 2014 and 2013,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Senior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and foreign tax law changes that, if enacted, could significantly impact how multinational companies are taxed,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particular geographies, including Europe and emerging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or negative growth in one or more of the industries we serve, including architecture, engineering and construction, manufacturing, education and digital media and entertainment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internal business reorganization,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3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acquisitions of companies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have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 such as our fiscal 2015 acquisition of Delcam plc (“Delcam”).</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regularly acquire or invest in businesses, software products and technologies that are complementary to our business through acquisitions, strategic alliances or equity or debt investments. For example, we recently acquired Delcam, a leading supplier of advanced CADCAM and industrial measurement solutions for the manufacturing industry.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9980"/>
        <w:spacing w:after="0"/>
        <w:rPr>
          <w:rFonts w:ascii="Arial" w:cs="Arial" w:eastAsia="Arial" w:hAnsi="Arial"/>
          <w:sz w:val="16"/>
          <w:szCs w:val="16"/>
          <w:color w:val="auto"/>
        </w:rPr>
      </w:pPr>
      <w:r>
        <w:rPr>
          <w:rFonts w:ascii="Arial" w:cs="Arial" w:eastAsia="Arial" w:hAnsi="Arial"/>
          <w:sz w:val="16"/>
          <w:szCs w:val="16"/>
          <w:i w:val="1"/>
          <w:iCs w:val="1"/>
          <w:color w:val="auto"/>
        </w:rPr>
        <w:t>2014 Form 10-K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2014 and fiscal 2013, approximately 84% and 83%,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24% and 23% of our total net revenue for fiscal 2014 and 2013,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suites, if these products are not successful, our revenue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fiscal 2014 and 2013, combined revenue from our AutoCAD and AutoCAD LT products, not including suites having AutoCAD or AutoCAD LT as a component, represented 30% and 33% of our total net revenue, respectively.</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would negatively impact our future revenue and financial results.</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restructuring and cost reduction actions may not be as effective as anticipated.</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During fiscal years 2013 and 2014, we undertook restructuring plans. If we are unable to realize the outcomes from the restructuring efforts as planned, we may need to undertake additional restructuring efforts, and our business and operating results may be harmed. In taking any future restructuring actions, we may incur additional costs that negatively impact our operating margins. Additionally, a prolonged and slow economic recovery or a renewed recession in U.S. or foreign markets could also lead to additional restructuring actions and associated costs.</w:t>
      </w:r>
    </w:p>
    <w:p>
      <w:pPr>
        <w:spacing w:after="0" w:line="131" w:lineRule="exact"/>
        <w:rPr>
          <w:sz w:val="20"/>
          <w:szCs w:val="20"/>
          <w:color w:val="auto"/>
        </w:rPr>
      </w:pPr>
    </w:p>
    <w:p>
      <w:pPr>
        <w:jc w:val="both"/>
        <w:ind w:right="160" w:firstLine="405"/>
        <w:spacing w:after="0" w:line="302" w:lineRule="auto"/>
        <w:rPr>
          <w:sz w:val="20"/>
          <w:szCs w:val="20"/>
          <w:color w:val="auto"/>
        </w:rPr>
      </w:pPr>
      <w:r>
        <w:rPr>
          <w:rFonts w:ascii="Arial" w:cs="Arial" w:eastAsia="Arial" w:hAnsi="Arial"/>
          <w:sz w:val="16"/>
          <w:szCs w:val="16"/>
          <w:color w:val="auto"/>
        </w:rPr>
        <w:t>In the past, we have taken actions to reduce our cost structure to more closely align our costs with our revenue levels. In taking these actions, we have attempted to balance the cost of such initiatives against their longer term benefits.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we may take additional actions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fluctuations of currencies in which we conduct business can both increase and decrease our overall revenue and expenses for any given fiscal period. Although our foreign currency cash flow hedge program extends beyond the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Specifically, during fiscal 2013 we undertook organizational changes in order to address major business initiatives, including our desire to accelerate our move to the cloud, transform our customers' experience, increase industry focus to meet customer demands, and develop more effective marketing. These reorganizational efforts included changes to the structure and alignment of our product development and marketing teams and re-organization of our sales teams by industry.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432"/>
        <w:spacing w:after="0" w:line="303" w:lineRule="auto"/>
        <w:rPr>
          <w:sz w:val="20"/>
          <w:szCs w:val="20"/>
          <w:color w:val="auto"/>
        </w:rPr>
      </w:pPr>
      <w:r>
        <w:rPr>
          <w:rFonts w:ascii="Arial" w:cs="Arial" w:eastAsia="Arial" w:hAnsi="Arial"/>
          <w:sz w:val="16"/>
          <w:szCs w:val="16"/>
          <w:color w:val="auto"/>
        </w:rPr>
        <w:t xml:space="preserve">We make significant efforts to maintain the security and integrity of our product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and computer systems. Despite significant efforts to create security barriers to such programs, it is virtually impossible for us to entirely eliminate this risk. Like all software products, our software is vulnerable to cyber attacks. In the past, hackers have targeted our software, and they may do so in the future. The impact of cyber attacks could disrupt the proper functioning of our software products, cause errors in the output of our customers' work, allow unauthorized access to sensitive, proprietary or confidential information of ours or our customers, and other destructive outcomes. </w:t>
      </w:r>
      <w:r>
        <w:rPr>
          <w:rFonts w:ascii="Arial" w:cs="Arial" w:eastAsia="Arial" w:hAnsi="Arial"/>
          <w:sz w:val="17"/>
          <w:szCs w:val="17"/>
          <w:color w:val="auto"/>
        </w:rPr>
        <w:t>M</w:t>
      </w:r>
      <w:r>
        <w:rPr>
          <w:rFonts w:ascii="Arial" w:cs="Arial" w:eastAsia="Arial" w:hAnsi="Arial"/>
          <w:sz w:val="16"/>
          <w:szCs w:val="16"/>
          <w:color w:val="auto"/>
        </w:rPr>
        <w:t>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we could face lawsuits and potential liability, and our financial performance could be negatively impacted.</w:t>
      </w:r>
    </w:p>
    <w:p>
      <w:pPr>
        <w:spacing w:after="0" w:line="1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405130</wp:posOffset>
            </wp:positionV>
            <wp:extent cx="97790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and earnings per share.</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Although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Although we have determined that our internal control over financial reporting was effective as of January 31, 2014, as indicated in our Management Report on Internal Control over Financial Reporting, included in our Annual Report on Form 10-K for the fiscal year ended January 31, 2014,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Changes in laws and/or regulations related to the Internet or related to privacy and data security concerns may impact our business or expose us to increased liability.</w:t>
      </w:r>
    </w:p>
    <w:p>
      <w:pPr>
        <w:spacing w:after="0" w:line="170"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126365</wp:posOffset>
            </wp:positionV>
            <wp:extent cx="9779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Several other countries, including Canada and several Latin American and Asian countries, have constitutional protections for, or have adopted legislation protecting, individuals' personal information. Additionally, some federal, state, or foreign governmental bodies have established laws which seek to censor the transmission of certain types of content over the Internet or require that individuals be provided with the ability to permanently delete all electronic personal information, such as the German Multimedia Law of 1997.</w:t>
      </w:r>
    </w:p>
    <w:p>
      <w:pPr>
        <w:spacing w:after="0" w:line="18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implementation of additional technological safeguards.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We issued $750.0 million aggregate principal amount of senior unsecured notes in a debt offering in December 2012 and have an existing $400.0 million revolving credit facility, and may incur other debt in the future, which may adversely affect our financial condition and future financial results.</w:t>
      </w:r>
    </w:p>
    <w:p>
      <w:pPr>
        <w:spacing w:after="0" w:line="147"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As the December 2017 and December 2022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also have a $400.0 million revolving credit facility. As of January 31, 2014,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are required to comply with the covenants set forth in our senior unsecured notes and revolving credit facility. Our ability to comply with these covenants may be affected by events beyond our control. If we breach any of the covenants and do not obtain a waiver from the noteholders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lease 1,757,000 square feet of office space in 116 locations in the United States and internationally through our foreign subsidiaries. In addition, we own 25,000 square feet of office space in two locations internationally through our foreign subsidiaries. Our executive offices and corporate headquarters are located in leased office space in San Rafael, California. Our San Rafael facilities consist of 220,000 square feet under leases that have expiration dates ranging from December 2017 to December 2019. We and our foreign subsidiaries lease additional space in various locations throughout the world for local sales, product development and technical support personnel.</w:t>
      </w:r>
    </w:p>
    <w:p>
      <w:pPr>
        <w:spacing w:after="0" w:line="188"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All facilities are in good condition. Our facilities, excluding those in restructuring, are operating at capacities averaging 83% occupancy worldwide as of January 31, 2014.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high and low sales prices for each quarter in the last two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Low</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41.42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35.51</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33.01</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42.82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34.16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40.09</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Fiscal 2013</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35.55</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41.28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28.52</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27.70</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40.00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30.22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2014 or fiscal 2013.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2014, the number of common stockholders of record was 492.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In June 2012, the Board of Directors approved the current stock repurchase plan, which authorized the repurchase of 30.0 million shares; as of January 31, 2014, 8.2 million shares have been repurchased under this plan. This plan does not have a fixed expiration date. During the three and twelve months ended January 31, 2014, we repurchased 2.2 million and 10.5 million shares of our common stock, respectively. At January 31, 2014, 21.8 million shares remained available for repurchase under the existing repurchase authorization. See Note 9, “Stockholders' Equity,”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our common stock under the stock repurchase programs in open-market transactions during the quarter ended January 31,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Total Number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20" w:type="dxa"/>
            <w:vAlign w:val="bottom"/>
          </w:tcPr>
          <w:p>
            <w:pPr>
              <w:spacing w:after="0"/>
              <w:rPr>
                <w:sz w:val="14"/>
                <w:szCs w:val="14"/>
                <w:color w:val="auto"/>
              </w:rPr>
            </w:pPr>
          </w:p>
        </w:tc>
        <w:tc>
          <w:tcPr>
            <w:tcW w:w="226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Maximum Number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 Plans or</w:t>
            </w:r>
          </w:p>
        </w:tc>
        <w:tc>
          <w:tcPr>
            <w:tcW w:w="120" w:type="dxa"/>
            <w:vAlign w:val="bottom"/>
          </w:tcPr>
          <w:p>
            <w:pPr>
              <w:spacing w:after="0"/>
              <w:rPr>
                <w:sz w:val="12"/>
                <w:szCs w:val="12"/>
                <w:color w:val="auto"/>
              </w:rPr>
            </w:pPr>
          </w:p>
        </w:tc>
        <w:tc>
          <w:tcPr>
            <w:tcW w:w="22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7"/>
              </w:rPr>
              <w:t>May Yet Be Purchased Under the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(Shares in millions)</w:t>
            </w:r>
          </w:p>
        </w:tc>
        <w:tc>
          <w:tcPr>
            <w:tcW w:w="13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Plans or Programs(2)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1- November 30</w:t>
            </w:r>
          </w:p>
        </w:tc>
        <w:tc>
          <w:tcPr>
            <w:tcW w:w="13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December 1 - December 31</w:t>
            </w:r>
          </w:p>
        </w:tc>
        <w:tc>
          <w:tcPr>
            <w:tcW w:w="1360" w:type="dxa"/>
            <w:vAlign w:val="bottom"/>
          </w:tcPr>
          <w:p>
            <w:pPr>
              <w:spacing w:after="0"/>
              <w:rPr>
                <w:sz w:val="20"/>
                <w:szCs w:val="20"/>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98"/>
              </w:rPr>
              <w:t>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47.18</w:t>
            </w:r>
          </w:p>
        </w:tc>
        <w:tc>
          <w:tcPr>
            <w:tcW w:w="120" w:type="dxa"/>
            <w:vAlign w:val="bottom"/>
          </w:tcPr>
          <w:p>
            <w:pPr>
              <w:spacing w:after="0"/>
              <w:rPr>
                <w:sz w:val="20"/>
                <w:szCs w:val="20"/>
                <w:color w:val="auto"/>
              </w:rPr>
            </w:pPr>
          </w:p>
        </w:tc>
        <w:tc>
          <w:tcPr>
            <w:tcW w:w="2700" w:type="dxa"/>
            <w:vAlign w:val="bottom"/>
          </w:tcPr>
          <w:p>
            <w:pPr>
              <w:jc w:val="right"/>
              <w:ind w:right="23"/>
              <w:spacing w:after="0"/>
              <w:rPr>
                <w:sz w:val="20"/>
                <w:szCs w:val="20"/>
                <w:color w:val="auto"/>
              </w:rPr>
            </w:pPr>
            <w:r>
              <w:rPr>
                <w:rFonts w:ascii="Arial" w:cs="Arial" w:eastAsia="Arial" w:hAnsi="Arial"/>
                <w:sz w:val="16"/>
                <w:szCs w:val="16"/>
                <w:color w:val="auto"/>
              </w:rPr>
              <w:t>1.9</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49.21</w:t>
            </w:r>
          </w:p>
        </w:tc>
        <w:tc>
          <w:tcPr>
            <w:tcW w:w="12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auto"/>
              </w:rPr>
              <w:t>Total</w:t>
            </w:r>
          </w:p>
        </w:tc>
        <w:tc>
          <w:tcPr>
            <w:tcW w:w="13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2.2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47.29</w:t>
            </w:r>
          </w:p>
        </w:tc>
        <w:tc>
          <w:tcPr>
            <w:tcW w:w="120" w:type="dxa"/>
            <w:vAlign w:val="bottom"/>
          </w:tcPr>
          <w:p>
            <w:pPr>
              <w:spacing w:after="0"/>
              <w:rPr>
                <w:sz w:val="21"/>
                <w:szCs w:val="21"/>
                <w:color w:val="auto"/>
              </w:rPr>
            </w:pPr>
          </w:p>
        </w:tc>
        <w:tc>
          <w:tcPr>
            <w:tcW w:w="2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jc w:val="right"/>
              <w:ind w:right="761"/>
              <w:spacing w:after="0"/>
              <w:rPr>
                <w:sz w:val="20"/>
                <w:szCs w:val="20"/>
                <w:color w:val="auto"/>
              </w:rPr>
            </w:pPr>
            <w:r>
              <w:rPr>
                <w:rFonts w:ascii="Arial" w:cs="Arial" w:eastAsia="Arial" w:hAnsi="Arial"/>
                <w:sz w:val="18"/>
                <w:szCs w:val="18"/>
                <w:color w:val="auto"/>
                <w:w w:val="88"/>
              </w:rPr>
              <w:t>____________________</w:t>
            </w: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220" w:hanging="412"/>
        <w:spacing w:after="0" w:line="257"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authorizes the repurchase of 30.0 million shares. The plan does not have a fixed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Stockholder Return(1)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17145</wp:posOffset>
            </wp:positionV>
            <wp:extent cx="4570730" cy="3430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right="40" w:hanging="412"/>
        <w:spacing w:after="0" w:line="263"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$100 invested on January 31, 2009,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258445</wp:posOffset>
            </wp:positionV>
            <wp:extent cx="9779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years ended January 31, 2014 and 2013 are derived from, and are qualified by reference to, the audited consolidated financial statements that are included in this Form 10-K. The Consolidated Statement of Operations and the Consolidated Statement of Cash Flows for the year ended January 31, 2012 are derived from, and are qualified by reference to, the audited consolidated financial statements that are included in this Form 10-K. The Consolidated Balance Sheet for the year ended January 31, 2012 is derived from, and are qualified by reference to, the audited consolidated financial statements that are not included in this Form 10-K. The financial data for the years ended January 31, 2011 and 2010 are derived from audited, consolidated financial statements which are not included in this Form 10-K.</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Fiscal year ended January 31,</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2010</w:t>
            </w:r>
          </w:p>
        </w:tc>
      </w:tr>
      <w:tr>
        <w:trPr>
          <w:trHeight w:val="196"/>
        </w:trPr>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Fiscal Year:</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2,273.9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2,312.2</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2,215.6</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1,951.8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1,713.7</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284.8</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305.9</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355.6</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271.4</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228.8</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247.4</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285.3</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212.0</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58.0</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563.5</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559.1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573.5</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540.8</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246.8</w:t>
            </w: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Common Stock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income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0.93</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0.25</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Diluted net income per share</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0.90</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0.25</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4680" w:type="dxa"/>
            <w:vAlign w:val="bottom"/>
          </w:tcPr>
          <w:p>
            <w:pPr>
              <w:ind w:left="20"/>
              <w:spacing w:after="0"/>
              <w:rPr>
                <w:sz w:val="20"/>
                <w:szCs w:val="20"/>
                <w:color w:val="auto"/>
              </w:rPr>
            </w:pPr>
            <w:r>
              <w:rPr>
                <w:rFonts w:ascii="Arial" w:cs="Arial" w:eastAsia="Arial" w:hAnsi="Arial"/>
                <w:sz w:val="16"/>
                <w:szCs w:val="16"/>
                <w:color w:val="auto"/>
              </w:rPr>
              <w:t>At Year End: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4,595.0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4,308.4</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3,227.8</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2,787.6</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2,447.2</w:t>
            </w:r>
          </w:p>
        </w:tc>
      </w:tr>
      <w:tr>
        <w:trPr>
          <w:trHeight w:val="237"/>
        </w:trPr>
        <w:tc>
          <w:tcPr>
            <w:tcW w:w="4680" w:type="dxa"/>
            <w:vAlign w:val="bottom"/>
          </w:tcPr>
          <w:p>
            <w:pPr>
              <w:ind w:left="380"/>
              <w:spacing w:after="0"/>
              <w:rPr>
                <w:sz w:val="20"/>
                <w:szCs w:val="20"/>
                <w:color w:val="auto"/>
              </w:rPr>
            </w:pPr>
            <w:r>
              <w:rPr>
                <w:rFonts w:ascii="Arial" w:cs="Arial" w:eastAsia="Arial" w:hAnsi="Arial"/>
                <w:sz w:val="16"/>
                <w:szCs w:val="16"/>
                <w:color w:val="auto"/>
              </w:rPr>
              <w:t>Long-term liabilities</w:t>
            </w:r>
          </w:p>
        </w:tc>
        <w:tc>
          <w:tcPr>
            <w:tcW w:w="3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1,262.0</w:t>
            </w:r>
          </w:p>
        </w:tc>
        <w:tc>
          <w:tcPr>
            <w:tcW w:w="4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1,221.5</w:t>
            </w:r>
          </w:p>
        </w:tc>
        <w:tc>
          <w:tcPr>
            <w:tcW w:w="42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390.8</w:t>
            </w:r>
          </w:p>
        </w:tc>
        <w:tc>
          <w:tcPr>
            <w:tcW w:w="48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308.5</w:t>
            </w:r>
          </w:p>
        </w:tc>
        <w:tc>
          <w:tcPr>
            <w:tcW w:w="3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269.7</w:t>
            </w:r>
          </w:p>
        </w:tc>
      </w:tr>
      <w:tr>
        <w:trPr>
          <w:trHeight w:val="33"/>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6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2,261.5</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2,043.2</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1,882.9</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1,609.3</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1,473.5</w:t>
            </w:r>
          </w:p>
        </w:tc>
      </w:tr>
      <w:tr>
        <w:trPr>
          <w:trHeight w:val="33"/>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394335</wp:posOffset>
            </wp:positionV>
            <wp:extent cx="97790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"Business Outlook" below; anticipated future net revenue; future GAAP and non-GAAP earnings per share; future operating margin and other future financial results (by product type and geography) and operating expenses; the effectiveness of our efforts to successfully manage transitions to new business models and markets; the effectiveness of efforts to reduce our operating expenses; expected market trends, including the growth of cloud, mobile and social computing; the effect of unemployment and availability of credit; the effects of the U.S. credit downgrade and weak global economic conditions; the effects of revenue recognition; our backlog; expected trends in certain financial metrics; the impact of acquisitions and investment activities; the effect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the impact of economic volatility and geopolitical activities in certain countries, particularly emerging economy countries, and the resulting effect on our financial results; and the impact of our restructuring activities.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the factors set forth above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and digital artists, professionals and non-professionals alike—the people who create the world's products, buildings, infrastructure, films, and games. Autodesk serves professional customers in three primary markets: architecture, engineering and construction; manufacturing; and digital media and entertainment.</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goal is to provide our customers with the world’s most innovative, and engaging design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social, and mobile computing. To address this transition we have accelerated our move to the cloud and are offering more flexible licenses.</w:t>
      </w:r>
    </w:p>
    <w:p>
      <w:pPr>
        <w:spacing w:after="0" w:line="13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Our strategy is to lead our customers and the industries they serve to the new cloud and mobile platforms. This entails both a technological shift and a business model shift. During the early part of fiscal 2014, we announced more flexible term-based license offerings for certain products. These offerings are designed to give our customers even more flexibility with how they use our products and service offerings and address new types of customers such as project-based users and small businesses. Over the next four years, we expect to significantly increase our subscription base and the annual value of our subscriptions, which we believe will help drive billings growth. During this transition, revenue, deferred revenue, operating margin and EPS will be impacted as more revenue is recognized ratably rather than up front and as new offerings bring a wider variety of price points.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strategy is predicated upon our major business initiatives to grow, transform and expand our business:</w:t>
      </w:r>
    </w:p>
    <w:p>
      <w:pPr>
        <w:spacing w:after="0" w:line="185" w:lineRule="exact"/>
        <w:rPr>
          <w:sz w:val="20"/>
          <w:szCs w:val="20"/>
          <w:color w:val="auto"/>
        </w:rPr>
      </w:pPr>
    </w:p>
    <w:p>
      <w:pPr>
        <w:ind w:left="660" w:right="2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 We believe opportunity remains in our desktop software business, and we intend to continue to grow this business. In particular we are offering product suites with improved interoperability and usability to enhance our customers' productivity and effectiveness. We are continuing to develop new ways to deliver capability and value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right="40"/>
        <w:spacing w:after="0" w:line="311" w:lineRule="auto"/>
        <w:rPr>
          <w:sz w:val="20"/>
          <w:szCs w:val="20"/>
          <w:color w:val="auto"/>
        </w:rPr>
      </w:pPr>
      <w:r>
        <w:rPr>
          <w:rFonts w:ascii="Arial" w:cs="Arial" w:eastAsia="Arial" w:hAnsi="Arial"/>
          <w:sz w:val="18"/>
          <w:szCs w:val="18"/>
          <w:color w:val="auto"/>
        </w:rPr>
        <w:t>our customers, including flexible license and service offerings, product suites and cloud and social-based services, to better match the business needs of our customers. We will continue to emphasize developing relationships with large, global customers and pursuing opportunities in emerging economies.</w:t>
      </w:r>
    </w:p>
    <w:p>
      <w:pPr>
        <w:spacing w:after="0" w:line="154" w:lineRule="exact"/>
        <w:rPr>
          <w:sz w:val="20"/>
          <w:szCs w:val="20"/>
          <w:color w:val="auto"/>
        </w:rPr>
      </w:pPr>
    </w:p>
    <w:p>
      <w:pPr>
        <w:ind w:left="660" w:right="20" w:hanging="328"/>
        <w:spacing w:after="0" w:line="30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Transform. At the same time we grow our desktop software business, we are migrating many of our products to the cloud. This entails development of new cloud computing infrastructure and redesigning our applications to leverage the cloud. We are also developing new capabilities that are enabled by the cloud such as collaborative Product Lifecycle Management (“PLM”), Building Information Modeling (“BIM”) and online simulation. Our goal is to lead our industry in transitioning to the cloud, and use cloud services to provide more value to new and existing subscriptions.</w:t>
      </w:r>
    </w:p>
    <w:p>
      <w:pPr>
        <w:spacing w:after="0" w:line="154" w:lineRule="exact"/>
        <w:rPr>
          <w:rFonts w:ascii="Arial" w:cs="Arial" w:eastAsia="Arial" w:hAnsi="Arial"/>
          <w:sz w:val="16"/>
          <w:szCs w:val="16"/>
          <w:color w:val="auto"/>
        </w:rPr>
      </w:pPr>
    </w:p>
    <w:p>
      <w:pPr>
        <w:ind w:left="660" w:right="10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We believe that the combination of cloud, social and mobile computing affords us the opportunity to expand our business into new markets and extend the value of our customers' digital design information into visualization, analysis and simulation. We have added new customers through our products and services that are delivered and experienced through the web, cloud and mobile devices providing our advanced visualization technologies to consumers - a whole new category of Autodesk customer. We intend to continue to develop our business to both add new customers and find new capabilities to incorporate in our core business.</w:t>
      </w:r>
    </w:p>
    <w:p>
      <w:pPr>
        <w:spacing w:after="0" w:line="18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We believe suites present a meaningful growth opportunity and is an important part of our overall strategy. As our customers in all industries adopt our design suites, we believe they will experience an increase in their productivity and the value of their design data. For fiscal 2014, revenue from suites increased 15%, as compared to the prior fiscal year. As a percentage of revenue, suites increased to 34% in fiscal 2014 as compared to 29% in fiscal 2013.</w:t>
      </w:r>
    </w:p>
    <w:p>
      <w:pPr>
        <w:spacing w:after="0" w:line="14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Expanding our geographic coverage is another key element of our growth strategy. Much of the growth in the world’s construction and manufacturing is happening in emerging economies. Further, emerging economies face many of the challenges that our design technology can help address, including infrastructure build-out and innovative design and manufacturing. Although revenue from emerging countries remained flat during fiscal 2014 as compared to fiscal 2013, we believe that emerging economies continue to present long-term growth opportunities for us. Revenue from emerging countries represented 15% and 14% of fiscal 2014 and fiscal 2013 net revenue, respectively. 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software piracy and different purchase patterns as compared to the developed world.</w:t>
      </w:r>
    </w:p>
    <w:p>
      <w:pPr>
        <w:spacing w:after="0" w:line="16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6"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By innovating within existing technology categories, we bring powerful new design capabilities to volume markets. Our products are designed to be easy-to-learn and use, and to provide customers with a low cost of deployment, a low total cost of access to our software offerings,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3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committed to helping fuel a lifelong passion for design in students of all ages, and inspiring and supporting educators. As such, we offer extensive educational programs supporting our software and services including a new program, initiated in fiscal 2014, under which we grant software licenses to educational institutions in select regions and to key partners for little or no fees. Through these programs we intend to further Science, Technology, Engineering, Digital Arts, and 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(STEAM) education initiatives. With an extensive global community of students who are experienced with our software and poised to become the next generation of professional users, our goal is to reduce the cost of training and education of new talent for our customers.</w:t>
      </w:r>
    </w:p>
    <w:p>
      <w:pPr>
        <w:spacing w:after="0" w:line="147"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multiple element arrangements containing only software and software-related elements, we allocate the sales price among each of the deliverables using the residual method, under which revenue is allocated to undelivered elements based on our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8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7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assessment of likelihood of collection is also a critical factor in determining the timing of revenue recognition. If we do not believe that collection is probable, the revenue will be deferred until the earlier of when collection is deemed probable or payment is received.</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indirect channel model includes both a two-tiered distribution structure, where distributors sell to resellers, and a one-tiered structure where Autodesk sells directly to resellers. Our product license revenue from distributors and resellers are generally recognized at the time title to our product passes to the distributor, in a two-tiered structure, or reseller, in a one-tiered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structure,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Our policy also presumes that we have no significant performance obligations in connection with the sale of our product licenses by our distributors and resellers to their customers. If we were to change any of these assumptions or judgments, it could cause a material increase or decrease in the amount of revenue that we report in a particular period.</w:t>
      </w:r>
    </w:p>
    <w:p>
      <w:pPr>
        <w:spacing w:after="0" w:line="173"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maintenance transaction is billed and subsequently recognized as a reduction to maintenance revenue over the contract period. These incentive balances do not require significant assumptions or judgments. The reserves associated with the partner incentive program are treated on the balance sheet as either contra account receivable (when due to distributors and direct resellers) or accounts payable (when due to indirect resellers).</w:t>
      </w:r>
    </w:p>
    <w:p>
      <w:pPr>
        <w:spacing w:after="0" w:line="1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As described in Note 2, “Financial Instruments,” in the Notes to the Consolidated Financial Statements, our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65" w:lineRule="exact"/>
        <w:rPr>
          <w:sz w:val="20"/>
          <w:szCs w:val="20"/>
          <w:color w:val="auto"/>
        </w:rPr>
      </w:pPr>
    </w:p>
    <w:p>
      <w:pPr>
        <w:ind w:left="1300" w:hanging="239"/>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instruments in active markets;</w:t>
      </w:r>
    </w:p>
    <w:p>
      <w:pPr>
        <w:spacing w:after="0" w:line="225" w:lineRule="exact"/>
        <w:rPr>
          <w:rFonts w:ascii="Arial" w:cs="Arial" w:eastAsia="Arial" w:hAnsi="Arial"/>
          <w:sz w:val="18"/>
          <w:szCs w:val="18"/>
          <w:color w:val="auto"/>
        </w:rPr>
      </w:pPr>
    </w:p>
    <w:p>
      <w:pPr>
        <w:ind w:left="1300" w:right="200" w:hanging="239"/>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23" w:lineRule="exact"/>
        <w:rPr>
          <w:rFonts w:ascii="Arial" w:cs="Arial" w:eastAsia="Arial" w:hAnsi="Arial"/>
          <w:sz w:val="16"/>
          <w:szCs w:val="16"/>
          <w:color w:val="auto"/>
        </w:rPr>
      </w:pPr>
    </w:p>
    <w:p>
      <w:pPr>
        <w:ind w:left="1300" w:right="1040" w:hanging="239"/>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Valuations derived from valuation techniques in which one or more significant inputs or significant value drivers are unobservable.</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 However, determining the fair value of marketable securities when observable inputs are not available (Level 3) requires significant judgment. For example, we use probability weighted discounted cash flow models, in which some of the inputs are unobservable in the market, to estimate the fair value of our convertible debt securities.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of Autodesk’s marketable securities are subject to a periodic impairment review. We recognize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w:t>
      </w:r>
    </w:p>
    <w:p>
      <w:pPr>
        <w:spacing w:after="0" w:line="18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purchase price of acquired companies to the assets and liabilities acquired, as well as to in-process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based on their estimated fair values at the acquisition date. Any residual purchase price is recorded as goodwill. The allocation of the purchase price allocation requires us to make significant estimates and assumptions, especially at the acquisition date with respect to intangible assets and deferred revenue obligations.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of critical estimates used in valuing certain of the intangible assets we have acquired or may acquire in the future include but are not limited to:</w:t>
      </w:r>
    </w:p>
    <w:p>
      <w:pPr>
        <w:spacing w:after="0" w:line="225" w:lineRule="exact"/>
        <w:rPr>
          <w:sz w:val="20"/>
          <w:szCs w:val="20"/>
          <w:color w:val="auto"/>
        </w:rPr>
      </w:pPr>
    </w:p>
    <w:p>
      <w:pPr>
        <w:ind w:left="1300" w:hanging="239"/>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1300" w:right="60" w:hanging="239"/>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acquired company’s trade name and customer relationships as well as assumptions about the period of time the acquired trade name and customer relationships will continue to be used in the combined company’s product portfolio;</w:t>
      </w:r>
    </w:p>
    <w:p>
      <w:pPr>
        <w:spacing w:after="0" w:line="170" w:lineRule="exact"/>
        <w:rPr>
          <w:rFonts w:ascii="Arial" w:cs="Arial" w:eastAsia="Arial" w:hAnsi="Arial"/>
          <w:sz w:val="18"/>
          <w:szCs w:val="18"/>
          <w:color w:val="auto"/>
        </w:rPr>
      </w:pPr>
    </w:p>
    <w:p>
      <w:pPr>
        <w:ind w:left="1300" w:right="280" w:hanging="239"/>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1300" w:hanging="239"/>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9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When we acquire a business, a portion of the purchase consideration is typically allocated to acquired technology and other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such as customer relationships and developed technology. The excess of the purchase consideration over the net of the acquisition-date fair value of identifiable assets acquired and liabilities assumed is recorded as goodwill. The amounts allocated to acquired technology and other intangible assets represent our estimates of their fair values at the acquisition date. We amortize the acquired technology and other intangible assets with finite lives over their estimated useful lives. The estimation of acquisition-date fair values of intangible assets and their useful lives requires us to make assumptions and judgments, including but not limited to an evaluation of macroeconomic conditions as they relate to our business, industry and market trends, projections of future cash flows and appropriate discount rates.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test goodwill for impairment annually in our fourth fiscal quarter or sooner should events or changes in circumstances indicate potential impairment as required under Accounting Standard Update No. 2011-08, "Testing Goodwill for Impairment” (“ASU 2011-08”). ASU 2011-08 provides for an optional assessment of qualitative factors of impairment (“optional assessment”) prior to necessitating a two-step quantitative impairment test. Should the optional assessment be utilized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7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Under the two-step quantitative impairment test, we use discounted cash flow models which include assumptions regarding projected cash flows. Variances in these assumptions could have a significant impact on our conclusion as to whether goodwill is impaired, or the amount of any impairment charge. Impairment charges, if any, result from instances where the fair values of net assets associated with goodwill are less than their carrying values. As changes in business conditions and our assumptions occur, we may be required to record impairment charges.</w:t>
      </w:r>
    </w:p>
    <w:p>
      <w:pPr>
        <w:spacing w:after="0" w:line="17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our annual impairment assessment in fiscal 2014, we did not utilize the optional assessment. Rather, we used the quantitative two-step impairment test for each of our Platform Solutions and Emerging Business (“PSEB”), Manufacturing ("MFG"), Architecture, Engineering and Construction ("AEC"), and Media and Entertainment (“M&amp;E”) reporting units and used a discounted cash flow model which included assumptions regarding projected cash flows. Based on this testing, we determined that the fair value was substantially in excess of the carrying value for each of the four reporting units and that there was no impairment of goodwill during the year ended January 31, 2014.</w:t>
      </w:r>
    </w:p>
    <w:p>
      <w:pPr>
        <w:spacing w:after="0" w:line="188"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126365</wp:posOffset>
            </wp:positionV>
            <wp:extent cx="9779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$187.9 million of net deferred tax assets, primarily a result of tax credits, net operating losses, and timing</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for reserves, accrued liabilities, stock options, deferred revenue, purchased technologies and capitalized intangibles, partially offset by the establishment of U.S. deferred tax liabilities on unremitted earnings from certain foreign subsidiaries, deferred tax liabilities associated with tax method changes on advanced payments and valuation allowances against U.S.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7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measure stock-based compensation cost at the grant date fair value of the award, and recognize expense on a straight-line basis over the requisite service period, which is generally the vesting period. We estimate the fair value of certain stock-based payment awards (including grants of stock options and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8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553085</wp:posOffset>
            </wp:positionV>
            <wp:extent cx="97790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2014</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6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As a % of Net</w:t>
            </w:r>
          </w:p>
        </w:tc>
        <w:tc>
          <w:tcPr>
            <w:tcW w:w="140" w:type="dxa"/>
            <w:vAlign w:val="bottom"/>
          </w:tcPr>
          <w:p>
            <w:pPr>
              <w:spacing w:after="0"/>
              <w:rPr>
                <w:sz w:val="16"/>
                <w:szCs w:val="16"/>
                <w:color w:val="auto"/>
              </w:rPr>
            </w:pPr>
          </w:p>
        </w:tc>
        <w:tc>
          <w:tcPr>
            <w:tcW w:w="1320" w:type="dxa"/>
            <w:vAlign w:val="bottom"/>
          </w:tcPr>
          <w:p>
            <w:pPr>
              <w:jc w:val="right"/>
              <w:ind w:right="102"/>
              <w:spacing w:after="0"/>
              <w:rPr>
                <w:sz w:val="20"/>
                <w:szCs w:val="20"/>
                <w:color w:val="auto"/>
              </w:rPr>
            </w:pPr>
            <w:r>
              <w:rPr>
                <w:rFonts w:ascii="Arial" w:cs="Arial" w:eastAsia="Arial" w:hAnsi="Arial"/>
                <w:sz w:val="14"/>
                <w:szCs w:val="14"/>
                <w:b w:val="1"/>
                <w:bCs w:val="1"/>
                <w:color w:val="auto"/>
                <w:w w:val="92"/>
              </w:rPr>
              <w:t>Fiscal Year Ended</w:t>
            </w:r>
          </w:p>
        </w:tc>
        <w:tc>
          <w:tcPr>
            <w:tcW w:w="15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84"/>
        </w:trPr>
        <w:tc>
          <w:tcPr>
            <w:tcW w:w="5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January 31, 2014</w:t>
            </w:r>
          </w:p>
        </w:tc>
        <w:tc>
          <w:tcPr>
            <w:tcW w:w="1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January 31, 2013</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80" w:type="dxa"/>
            <w:vAlign w:val="bottom"/>
            <w:gridSpan w:val="3"/>
          </w:tcPr>
          <w:p>
            <w:pPr>
              <w:jc w:val="right"/>
              <w:ind w:right="1062"/>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2,273.9</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2,312.2</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274.3</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238.5</w:t>
            </w: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1,999.6</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2,073.7</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53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1,714.8</w:t>
            </w: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1,767.8</w:t>
            </w:r>
          </w:p>
        </w:tc>
        <w:tc>
          <w:tcPr>
            <w:tcW w:w="15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284.8</w:t>
            </w:r>
          </w:p>
        </w:tc>
        <w:tc>
          <w:tcPr>
            <w:tcW w:w="1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305.9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During fiscal 2014, as compared to the prior fiscal year, net revenue decreased 2%, gross profit decreased 4%, and income from operations decreased 7%. Contributing to the year over year impact to revenue during fiscal 2014 were decreases in license and other revenue partially offset by increases in subscription revenue.</w:t>
      </w:r>
    </w:p>
    <w:p>
      <w:pPr>
        <w:spacing w:after="0" w:line="18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latter part of fiscal year 2014, we announced a business model transition as we began offering more flexible license and service offerings that have ratable revenue streams. As a result, our net revenue for fiscal 2014 excluded approximately $30 million that was deferred as a result of the our transition. The $30 million related to flexible license arrangements with certain enterprise customers and had a particular impact on license revenue in the Americas geography and the Architecture, Engineering and Construction ("AEC") business segment.</w:t>
      </w:r>
    </w:p>
    <w:p>
      <w:pPr>
        <w:spacing w:after="0" w:line="21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Negatively impacting revenue, especially within the Asia Pacific ("APAC") geography, were changes in foreign currency rates for fiscal 2014 as compared to the prior fiscal year. In addition, our strategic decision related to our educational program to begin granting software licenses to educational institutions in select regions and to key partners negatively impacted revenue, especially within the Americas geography, between fiscal 2014 and the prior fiscal year.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reasons for these changes are discussed below under the heading “Results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Revenue from flagship products was 51% of total net revenue during fiscal 2014, a decrease of 11% as compared to the prior fiscal year. Revenue from suites was 34% of total net revenue for fiscal 2014, an increase of 15% as compared to the prior fiscal year. Revenue from new and adjacent products was 14% of total net revenue during the fiscal 2014, a decrease of 2% as compared to fiscal 2013. We anticipate that, as our new and existing customers migrate from our stand-alone products to suites, our revenue from suites will increase as a percentage of revenue and that our revenue from our flagship and new and adjacent products will continue to decline as a percentage of revenue.</w:t>
      </w:r>
    </w:p>
    <w:p>
      <w:pPr>
        <w:spacing w:after="0" w:line="17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24% and 23% of our consolidated net revenue during fiscal year 2014 and 2013, respectively. We believe our business is not substantially dependent on Tech Data.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Income from operations decreased 7% in fiscal 2014 due to a $38.3 million or 2% decrease in net revenue and a $35.8 million or 15% increase in cost of revenue partially offset by a $53.0 million or 3% decline in our operating expenses, in each case as compared to the prior fiscal year. Our operating margin remained flat at 13% for fiscal 2014 and 2013. The increase in cost of revenue was driven by an increase in cloud services-related expenses. Impacting the decline in operating expenses between fiscal 2014 and 2013 was the world-wide restructuring plan ("Fiscal 2013 Plan") approved by Autodesk during the third quarter of fiscal 2013 and the one-time stock-based compensation expense associated with the acquisition of Socialcam during the third quarter of fiscal 2013. Partially offsetting the decline in operating expense were restructuring charges from the world-wide restructuring plan ("Fiscal 2014 Plan") approved by Autodesk during the third quarter of 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146685</wp:posOffset>
            </wp:positionV>
            <wp:extent cx="97790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generate a significant amount of our revenue in the U.S., Japan, Germany, the United Kingdom, and France. Our revenue was negatively impacted by foreign exchange rate changes during fiscal 2014, as compared to the prior fiscal year. Had applicable exchange rates from fiscal 2013 been in effect during fiscal 2014 and had we excluded foreign exchange hedge gains and losses from fiscal 2014 (“on a constant currency basis”), net revenue would have increased 1% compared to the prior fiscal year.</w:t>
      </w:r>
    </w:p>
    <w:p>
      <w:pPr>
        <w:spacing w:after="0" w:line="187"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Our total spend, defined as cost of revenue plus operating expenses, during fiscal 2014 decreased 1% on an as reported basis as compared to the prior fiscal year. Had applicable exchange rates from fiscal 2013 been in effect during fiscal 2014 and had we excluded foreign exchange hedge gains and losses from fiscal 2014, total spend would have been minimally impacted by foreign exchange rate changes and would have remained flat on a constant currency basis compared to the prior fiscal year.</w:t>
      </w:r>
    </w:p>
    <w:p>
      <w:pPr>
        <w:spacing w:after="0" w:line="18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At January 31, 2014, we had $2,544.4 million in cash and marketable securities. We completed fiscal 2014 with a higher deferred revenue balance and a lower accounts receivable balance as compared to the prior fiscal year. Our deferred revenue balance at January 31, 2014 included $789.3 million of deferred subscription revenue primarily related to customer maintenance contracts, which will be recognized as revenue ratably over the life of the contracts. The term of our maintenance contracts is typically between one and three years. Our cash flow from operations increased 1% to $563.5 million as of January 31, 2014 from $559.1 million at January 31, 2013. We repurchased 10.5 million shares of our common stock for $423.8 million during fiscal 2014. Comparatively, we repurchased 12.5 million shares of our common stock for $431.2 million during fiscal 2013. Further discussion regarding the balance sheet and cash flow activities are discussed below under the heading “Liquidity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Autodesk's business model is evolving. We continue to assess current business offerings including introducing more flexible license and service offerings that have ratable revenue streams. The accounting impact of these offerings and other business decisions are expected to result in an increase in the percentage of our ratable revenue, making for a more predictable business over time, while correspondingly reducing our upfront perpetual revenue stream. Over time, we expect our business model transition to expand our customer base by eliminating higher up-front licensing costs and providing more flexibility with how customers use our products. However, we expect the business model transition to cause our traditional upfront perpetual license revenue to decline without a corresponding decrease in expenses. In the future, we expect this business model transition will increase our long-term revenue growth rate by increasing the annual value per subscription and increasing our subscription base over time.</w:t>
      </w:r>
    </w:p>
    <w:p>
      <w:pPr>
        <w:spacing w:after="0" w:line="137"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We expect net revenue for the first quarter of fiscal 2015 will range from $560 million to $575 million, and that GAAP diluted earnings per share will range from $0.01 to $0.04 while non-GAAP diluted earnings per share will range from $0.19 to $0.22. Non-GAAP earnings per diluted share exclude $0.11 related to stock-based compensation expense, $0.06 related to the amortization of acquisition related intangibles and $0.01 related to restructuring charges.</w:t>
      </w:r>
    </w:p>
    <w:p>
      <w:pPr>
        <w:spacing w:after="0" w:line="10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expect net billings for fiscal 2015 to increase by approximately 5% to 8% compared to fiscal 2014.We expect net revenue for fiscal 2015 to increase by approximately 3% to 5% compared to fiscal 2014. Autodesk anticipates fiscal 2015 GAAP operating margin to be approximately 5% to 8% and non-GAAP operating margin to be approximately 14% to 16%. The 14% non-GAAP operating margin excludes 6 percentage points related to stock-based compensation expense, and 3 percentage points related to the amortization of acquisition related intangibles. The 16% non-GAAP operating margin excludes 5 percentage points related to stock-based compensation expense, and 3 percentage points related to the amortization of acquisition related intangibles. Autodesk expects to add approximately 150,000-200,000 net new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250825</wp:posOffset>
            </wp:positionV>
            <wp:extent cx="9779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Included within our guidance is the expected reduction in our operating margin for our acquisition of Delcam plc (“Delcam”).</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remain diligent about managing our spend while making essential investments to drive growth. If we are unable to successfully achieve our major business initiatives we may not achieve our financial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Increase (decrease) compared to</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Increase (decrease)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31, 2014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31, 2013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License and other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(109.2)</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1,364.1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29.7</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1,334.4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66.9</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881.2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2,312.2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96.6</w:t>
            </w:r>
          </w:p>
        </w:tc>
        <w:tc>
          <w:tcPr>
            <w:tcW w:w="7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2,215.6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818.9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(17.3)</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836.2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37.7</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798.5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603.2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52.6</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Net Revenue by Operating Segment: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Business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c>
          <w:tcPr>
            <w:tcW w:w="7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ind w:left="540"/>
              <w:spacing w:after="0"/>
              <w:rPr>
                <w:sz w:val="20"/>
                <w:szCs w:val="20"/>
                <w:color w:val="auto"/>
              </w:rPr>
            </w:pPr>
            <w:r>
              <w:rPr>
                <w:rFonts w:ascii="Arial" w:cs="Arial" w:eastAsia="Arial" w:hAnsi="Arial"/>
                <w:sz w:val="16"/>
                <w:szCs w:val="16"/>
                <w:color w:val="auto"/>
              </w:rPr>
              <w:t>Construction (1)</w:t>
            </w:r>
          </w:p>
        </w:tc>
        <w:tc>
          <w:tcPr>
            <w:tcW w:w="16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29.5</w:t>
            </w:r>
          </w:p>
        </w:tc>
        <w:tc>
          <w:tcPr>
            <w:tcW w:w="12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701.1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74.7</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626.4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 (1)</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Media and Entertainment (1)</w:t>
            </w: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(21.5)</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96.6</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2,215.6</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jc w:val="right"/>
              <w:ind w:right="1159"/>
              <w:spacing w:after="0"/>
              <w:rPr>
                <w:sz w:val="20"/>
                <w:szCs w:val="20"/>
                <w:color w:val="auto"/>
              </w:rPr>
            </w:pPr>
            <w:r>
              <w:rPr>
                <w:rFonts w:ascii="Arial" w:cs="Arial" w:eastAsia="Arial" w:hAnsi="Arial"/>
                <w:sz w:val="18"/>
                <w:szCs w:val="18"/>
                <w:color w:val="auto"/>
                <w:w w:val="88"/>
              </w:rPr>
              <w:t>____________________</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comparability, the presentation of the balances at January 31, 2013 and January 31, 2012 were adjusted to align to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2014 Net Revenue Compared to Fiscal 2013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License and other revenue consists of two components: all forms of product license revenue and other revenue. Product license revenue includes: software license revenue from the sale of new seat licenses and upgrades and product revenue for Creative Finishing. Other revenue includes revenue from consulting, training, Autodesk Developers Network and Creative Finishing customer support, and is recognized over time, as the services are performed.</w:t>
      </w:r>
    </w:p>
    <w:p>
      <w:pPr>
        <w:spacing w:after="0" w:line="147"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Total License and other revenue decreased 8% during fiscal 2014 as compared to fiscal 2013. This decrease was primarily due to a 7% decrease in product license revenue as compared to the same period in the prior fiscal year. The decline in product license revenue was primarily due to a decrease of 15% in revenue from our flagship products partially offset by an increase of 10% in our suites products.</w:t>
      </w:r>
    </w:p>
    <w:p>
      <w:pPr>
        <w:spacing w:after="0" w:line="181"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During fiscal 2014, the 7% decrease in product license revenue was due to a 21% decrease in the number of seats sold partially offset by a 14% increase in the average net revenue per seat. Product license revenue, as a percentage of License and other revenue, was 84% for fiscal 2014 and 83% for fiscal 2013.</w:t>
      </w:r>
    </w:p>
    <w:p>
      <w:pPr>
        <w:spacing w:after="0" w:line="12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fiscal 2014, total other revenue represented 16% of License and other revenue. Other revenue decreased by 11% during fiscal 2014 as compared to fiscal 2013. This decrease is primarily due to a 56% decrease in our education products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result of our transition to granting no or low-cost software licenses to educational institutions in select regions and to key partners during fiscal 2014, consistent with our strategy.</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decreased by $0.3 million from $20.0 million at January 31, 2013 to $19.7 million at January 31, 2014. Backlog from current software license product orders that we have not yet shipped consists of orders from customers with approved credit status for currently available software products and may include both orders with current ship dates and orders with ship dates beyond the current fiscal period.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Subscription revenue consists of two components: maintenance revenue for our software products and revenue for our cloud service offerings, including Autodesk 360. Our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Subscription revenue increased 7% during fiscal 2014 as compared to fiscal 2013 primarily due to a 9% increase in commercial maintenance revenue. The 9% increase in commercial maintenance revenue was due to a 4% increase from commercial enrollment during the corresponding maintenance contract term and a 5% increase from net revenue per maintenance seat. Commercial maintenance revenue represented 95% and 94% of Subscription revenue for fiscal 2014 and fiscal 2013, respectively.</w:t>
      </w:r>
    </w:p>
    <w:p>
      <w:pPr>
        <w:spacing w:after="0" w:line="187"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color w:val="auto"/>
        </w:rPr>
        <w:t>Changes in Subscription revenue lag changes in net billings for subscription contracts because we recognize the revenue from those contracts ratably over their contract terms. Net subscription billings remained flat during fiscal 2014 as compared to the prior fiscal year primarily due to a decline in multi-year maintenance subscriptions partially offset by an increase in billings from suites, which have higher maintenance subscription prices.</w:t>
      </w:r>
    </w:p>
    <w:p>
      <w:pPr>
        <w:spacing w:after="0" w:line="147"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Our deferred subscription revenue balance at January 31, 2014 and January 31, 2013 was $789.3 million and $753.1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revenue in the Americas geography decreased by 2% as reported and on a constant currency basis during fiscal 2014, as compared to the prior fiscal year. This decrease was primarily due to a 13% decrease in our flagship product revenue partially offset by a 14% increase in our suites revenue in this geography during fiscal 2014 as compared to fiscal 2013. The decrease in our revenue in this geography was led by Canada and Brazil partially offset by an increase in revenue from the U.S.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revenue in the Europe, Middle East and Africa ("EMEA") geography decreased by 2%, and remained flat on a constant currency basis, during fiscal 2014 as compared to the prior fiscal year. This decrease was primarily due to a 13% decrease in our flagship products partially offset by a 21% increase in our suites products in this geography during fiscal 2014 as compared to fiscal 2013. The decrease in our revenue in this geography was led by Ireland, Sweden, and the Netherlands partially offset by an increase in revenue from Finland and the United Kingdom.</w:t>
      </w:r>
    </w:p>
    <w:p>
      <w:pPr>
        <w:spacing w:after="0" w:line="17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Net revenue in the APAC geography decreased 1% and increased by 5% on a constant currency basis, during fiscal 2014 as compared to the prior fiscal year, primarily due to a 3% decrease in our flagship products partially offset by a 10% increase in our suites products in this geography. Our revenue in this geography during fiscal 2014 was impacted by decreases in revenue from Australia, Japan, and Taiwan, partially offset by an increase in revenue from China.</w:t>
      </w:r>
    </w:p>
    <w:p>
      <w:pPr>
        <w:spacing w:after="0" w:line="14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Net revenue in emerging economies remained flat during fiscal 2014 as compared to the prior fiscal year, primarily due to increases in revenue from Lebanon and China offset by a decrease in revenue from the Russian Federation. Revenue from emerging economies represented 15% and 14% of total net revenue for fiscal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International net revenue represented 70% and 71% of our total net revenue for fiscal 2014 and 2013, respectively. We believe that international revenue will continue to comprise a majority of our total net revenue. Unfavorable economic conditions in the countries that contribute a significant portion of our net revenue, including in emerging economies,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AEC, Manufacturing ("MFG") and Media and Entertainment ("M&amp;E"). We have no material inter-segment revenue.</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Net revenue for PSEB decreased by 6% during fiscal 2014 as compared to the prior fiscal year primarily due to a 9% and 4% decrease in revenue from our flagship products, AutoCAD and AutoCAD LT, respectively.</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revenue for AEC increased by 4% during fiscal 2014 as compared to the prior fiscal year primarily due to a 31% increase in revenue from our AEC suites, which was primarily driven by Autodesk Building Design Suite and Autodesk Infrastructure Design Suite.</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Net revenue for MFG increased by 1% during fiscal 2014 as compared to the prior fiscal year primarily due to a 9% increase in revenue from our MFG suites, which was primarily driven by the Autodesk Product Design Suite. This increase was partially offset by a decrease in revenue from our flagship product, AutoCAD Mechanical.</w:t>
      </w:r>
    </w:p>
    <w:p>
      <w:pPr>
        <w:spacing w:after="0" w:line="18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Net revenue for M&amp;E decreased by 10% during fiscal 2014 as compared to the prior fiscal year, primarily due to a 7% decrease in revenue from Animation and a 17% decrease in revenue from Creative Finishing. The decrease in Animation revenue was primarily due to a 9% decrease in revenue from our flagship product, Maya, and a 16% decrease from our M&amp;E suites, which was driven by our Autodesk Entertainment Creation Suite. The decline in Creative Finishing was marked by a general decrease in M&amp;E industry end-market demand. As more of our customers move to our suites products, our revenue on stand-alone products like 3Ds Max is expected to decrease because it is included in a number of our various segments' suites. Integration of our M&amp;E offerings into our other segments' suites is part of our strategy and we believe it represents a growth opportunity for us over the long-term.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2013 Net Revenue Compared to Fiscal 2012 Net Revenue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discussion has been updated to conform with the current period's presentation.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Total license and other revenue increased 2% during fiscal 2013 as compared to fiscal 2012. This increase was primarily due to a 4% increase in product license revenue as compared to the same period in the prior fiscal year. The increase in product license revenue was primarily due to an increase of 16% in revenue from our suites products and a 3% increase in revenue from our flagship products.</w:t>
      </w:r>
    </w:p>
    <w:p>
      <w:pPr>
        <w:spacing w:after="0" w:line="18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fiscal 2013, the 4% increase in product license revenue was due to a 6% increase in the average net revenue per seat partially offset by a 2% decrease in the number of seats sold. Product license revenue, as a percentage of License and other revenue, was 83% for fiscal 2013 and 82% for fiscal 2012.</w:t>
      </w:r>
    </w:p>
    <w:p>
      <w:pPr>
        <w:spacing w:after="0" w:line="12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fiscal 2013, total other revenue represented 17% of License and other revenue. Other revenue decreased by 7% during fiscal 2013 as compared to fiscal 2012 primarily due to a 34% decrease in our education products as a result of our transition to granting no or low-cost software licenses to educational institutions in select regions and to key partners during fiscal 2013, consistent with our strategy.</w:t>
      </w:r>
    </w:p>
    <w:p>
      <w:pPr>
        <w:spacing w:after="0" w:line="1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decreased by $7.1 million during fiscal 2013 from $27.1 million at January 31, 2012 to $20.0 million at 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Subscription revenue increased 8% during fiscal 2013, as compared to fiscal 2012, primarily due to a 4% increase in commercial maintenance revenue. The 4% increase in commercial maintenance revenue was due to an 8% increase from commercial enrollment during the corresponding maintenance contract term partially offset by a 4% decrease in average net revenue per maintenance seat. Commercial maintenance revenue represented 94% and 97% of Subscription revenue for fiscal 2013 and 2012.</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Net subscription billings increased 5% during fiscal 2013 as compared to the prior fiscal year primarily due to early subscription renewals in advance of a price increase and due to new multi-year maintenance contracts.</w:t>
      </w:r>
    </w:p>
    <w:p>
      <w:pPr>
        <w:spacing w:after="0" w:line="170"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deferred subscription revenue balance at January 31, 2013 and January 31, 2012 was $753.1 million and $644.1 million, respectively, and primarily related to customer maintenance agreements, which will be recognized as revenue ratably over the term of the maintenance agreement.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 in the Americas geography increased by 5% both as reported and on a constant currency basis, during fiscal 2013, as compared to fiscal</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2012. This increase was primarily due to a 5% increase in our flagship product revenue and an 8% increase in our suites revenue during fiscal 2013 as compared to fiscal 2012. The increase in our revenue in this geography was led by the U.S. and Canada.</w:t>
      </w:r>
    </w:p>
    <w:p>
      <w:pPr>
        <w:spacing w:after="0" w:line="18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Net revenue in the EMEA geography increased by 1%, or 3% on a constant currency basis, during fiscal 2013 as compared to fiscal 2012. The increase was primarily due to a 13% increase in our suites revenue partially offset by a 4% decrease in our flagship product revenue during fiscal 2013 as compared to fiscal 2012. The increase in our revenue in this geography was led by Ireland, Finland and Germany, partially offset by a decrease in revenue from Sweden and the United Kingdom.</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Net revenue in the APAC geography increased by 9%, or 8% on a constant currency basis, during fiscal 2013, as compared to fiscal 2012, primarily due to a 28% increase in our suites revenue and an 8% increase in flagship product revenue during fiscal 2013 as compared to fiscal 2012. Net revenue expansion in the APAC geography during fiscal 2013 was led by Japan, followed by China and South Korea.</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Net revenue in emerging economies decreased by 4%, or 2% on a constant currency basis, during fiscal 2013 as compared to fiscal 2012, primarily due to a decrease in revenue from Brazil, Poland and India, partially offset by an increase in revenue from China. Revenue from emerging economies represented 14% of net revenue for fiscal 2013 and 16% for fiscal 2012.</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International net revenue represented 71% and 72% of our net revenue in fiscal 2013 and fiscal 2012, respectively.</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Net revenue for PSEB, which includes our Autodesk Design Suite, increased 1% during fiscal 2013, as compared to fiscal 2012, primarily due to a 2% increase in revenue from our flagship AutoCAD and AutoCAD LT products.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revenue for AEC increased 12% during fiscal 2013, as compared to fiscal 2012, primarily due to a 22% increase in revenue from our AEC suites, which includes our Autodesk Building Design Suite.</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revenue for MFG increased 6% during fiscal 2013, as compared to fiscal 2012, primarily due to an 8% increase in revenue from our MFG suites, which includes the Autodesk Product Design Suite.</w:t>
      </w:r>
    </w:p>
    <w:p>
      <w:pPr>
        <w:spacing w:after="0" w:line="1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Net revenue for M&amp;E decreased 10% during fiscal 2013, as compared to fiscal 2012, primarily due to an 8% decrease in revenue from our Animation product group, which includes our Autodesk Entertainment Creation Suite, and a 16% decrease in revenue from Creative Finishing. The decrease in Animation revenue was primarily due to a 22% decrease in revenue from our flagship product, 3Ds Max, partially offset by a 26% increase in revenue from our animation suites, which includes our Autodesk Entertainment Creation Suite. The overall decrease in M&amp;E revenue is related to a general decrease in the M&amp;E industry end-market demand, as well as the inclusion of our M&amp;E products in other Autodesk industry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0" w:right="380" w:firstLine="405"/>
        <w:spacing w:after="0" w:line="277" w:lineRule="auto"/>
        <w:rPr>
          <w:sz w:val="20"/>
          <w:szCs w:val="20"/>
          <w:color w:val="auto"/>
        </w:rPr>
      </w:pPr>
      <w:r>
        <w:rPr>
          <w:rFonts w:ascii="Arial" w:cs="Arial" w:eastAsia="Arial" w:hAnsi="Arial"/>
          <w:sz w:val="18"/>
          <w:szCs w:val="18"/>
          <w:color w:val="auto"/>
        </w:rPr>
        <w:t>For comparability, the balances at January 31, 2013 and January 31, 2012, including tables, were adjusted to align to current year presentation, and therefore the discussion has been updated accordingly.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Increase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Increase compared to</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prior fiscal year</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prior fiscal year</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Fiscal Year Ended</w:t>
            </w:r>
          </w:p>
        </w:tc>
        <w:tc>
          <w:tcPr>
            <w:tcW w:w="0" w:type="dxa"/>
            <w:vAlign w:val="bottom"/>
          </w:tcPr>
          <w:p>
            <w:pPr>
              <w:spacing w:after="0"/>
              <w:rPr>
                <w:sz w:val="1"/>
                <w:szCs w:val="1"/>
                <w:color w:val="auto"/>
              </w:rPr>
            </w:pPr>
          </w:p>
        </w:tc>
      </w:tr>
      <w:tr>
        <w:trPr>
          <w:trHeight w:val="58"/>
        </w:trPr>
        <w:tc>
          <w:tcPr>
            <w:tcW w:w="236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2014</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2013</w:t>
            </w:r>
          </w:p>
        </w:tc>
        <w:tc>
          <w:tcPr>
            <w:tcW w:w="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2"/>
              </w:rPr>
              <w:t>January 31, 2012</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20"/>
                <w:szCs w:val="20"/>
                <w:color w:val="auto"/>
              </w:rPr>
            </w:pPr>
          </w:p>
        </w:tc>
        <w:tc>
          <w:tcPr>
            <w:tcW w:w="5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Pr>
          <w:p>
            <w:pPr>
              <w:ind w:left="200"/>
              <w:spacing w:after="0"/>
              <w:rPr>
                <w:sz w:val="20"/>
                <w:szCs w:val="20"/>
                <w:color w:val="auto"/>
              </w:rPr>
            </w:pPr>
            <w:r>
              <w:rPr>
                <w:rFonts w:ascii="Arial" w:cs="Arial" w:eastAsia="Arial" w:hAnsi="Arial"/>
                <w:sz w:val="16"/>
                <w:szCs w:val="16"/>
                <w:color w:val="auto"/>
              </w:rPr>
              <w:t>12.7</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86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33"/>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23.1</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84"/>
        </w:trPr>
        <w:tc>
          <w:tcPr>
            <w:tcW w:w="236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35.8</w:t>
            </w: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9.4</w:t>
            </w:r>
          </w:p>
        </w:tc>
        <w:tc>
          <w:tcPr>
            <w:tcW w:w="8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physical media, packaging materials and shipping and handling costs.</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license and other revenue increased 8% during fiscal 2014, as compared to fiscal 2013, primarily due to an increase in consulting support costs. Cost of license and other revenue remained flat during fiscal 2013, as compared to fiscal 2012, primarily due to a decrease in Creative Finishing related expenses, consistent with the decline in Creative Finishing revenue, offset by an increase in stock-based compensation charges and amortization of acquisition related developed technologies.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Cost of subscription revenue includes the labor costs of providing product support to our maintenance and cloud subscription customers, including rent and occupancy, shipping and handling costs, professional services fees related to operating our network infrastructure, including depreciation expense and operating lease payments associated with computer equipment, data center costs, salaries and related expenses of network operations. Cost of subscription revenue increased 32% during fiscal 2014 as compared to fiscal 2013 primarily due to an increase in cloud services-related expenses. Cost of subscription revenue increased 16% during fiscal 2013 as compared to fiscal 2012 due to an increase in cloud services-related expenses partially offset by decrease in costs as a result of the move to more electronic fulfillment.</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and slightly increase as a percentage of net revenue during fiscal 2015, as compared to fiscal 2014, primarily due to an increase in costs associated with meeting our major business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compared to</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2"/>
              </w:rPr>
              <w:t>Increase compared to</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38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prior fiscal year</w:t>
            </w:r>
          </w:p>
        </w:tc>
        <w:tc>
          <w:tcPr>
            <w:tcW w:w="30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2014</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2013</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2012</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842.6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6"/>
                <w:szCs w:val="16"/>
                <w:color w:val="auto"/>
              </w:rPr>
              <w:t>(32.9)</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875.5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85"/>
              <w:spacing w:after="0"/>
              <w:rPr>
                <w:sz w:val="20"/>
                <w:szCs w:val="20"/>
                <w:color w:val="auto"/>
              </w:rPr>
            </w:pPr>
            <w:r>
              <w:rPr>
                <w:rFonts w:ascii="Arial" w:cs="Arial" w:eastAsia="Arial" w:hAnsi="Arial"/>
                <w:sz w:val="16"/>
                <w:szCs w:val="16"/>
                <w:color w:val="auto"/>
              </w:rPr>
              <w:t>32.9</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842.6</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7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Marketing and sales expenses decreased 4% during fiscal 2014, as compared to fiscal 2013, primarily due to lower advertising and promotional expenses and employee-related costs from salaries, bonus and commissions. Marketing and sales expenses increased 4% during fiscal 2013, as compared to fiscal 2012, primarily due to higher employee-related costs from salaries and fringe benefits and stock-based compensation primarily associated with increased headcount and merit increases in fiscal 2013. These costs were partially offset by a decrease in professional fees and advertising costs.</w:t>
      </w:r>
    </w:p>
    <w:p>
      <w:pPr>
        <w:spacing w:after="0" w:line="154"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We expect to balance our need to invest in the marketing and sales of our products with our desire to actively manage our sales and marketing operating expenses. As a result, we expect marketing and sales expense to increase in absolute dollars and slightly increase as a percentage of net revenue in fiscal 2015 as compared to fiscal 2014, primarily due to an increase in costs as we work towards meeting our major business initiatives.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Increase compared to</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right="46"/>
              <w:spacing w:after="0"/>
              <w:rPr>
                <w:sz w:val="20"/>
                <w:szCs w:val="20"/>
                <w:color w:val="auto"/>
              </w:rPr>
            </w:pPr>
            <w:r>
              <w:rPr>
                <w:rFonts w:ascii="Arial" w:cs="Arial" w:eastAsia="Arial" w:hAnsi="Arial"/>
                <w:sz w:val="14"/>
                <w:szCs w:val="14"/>
                <w:b w:val="1"/>
                <w:bCs w:val="1"/>
                <w:color w:val="auto"/>
                <w:w w:val="91"/>
              </w:rPr>
              <w:t>Increase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0"/>
              </w:rPr>
              <w:t>compared to</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prior fiscal year</w:t>
            </w:r>
          </w:p>
        </w:tc>
        <w:tc>
          <w:tcPr>
            <w:tcW w:w="42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5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2014</w:t>
            </w:r>
          </w:p>
        </w:tc>
        <w:tc>
          <w:tcPr>
            <w:tcW w:w="5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2"/>
              </w:rPr>
              <w:t>January 31, 2013</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2012</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611.1</w:t>
            </w:r>
          </w:p>
        </w:tc>
        <w:tc>
          <w:tcPr>
            <w:tcW w:w="520" w:type="dxa"/>
            <w:vAlign w:val="bottom"/>
            <w:tcBorders>
              <w:bottom w:val="single" w:sz="8" w:color="CCEEFF"/>
            </w:tcBorders>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11.1</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600.0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6"/>
                <w:szCs w:val="16"/>
                <w:color w:val="auto"/>
              </w:rPr>
              <w:t>33.5</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566.5</w:t>
            </w:r>
          </w:p>
        </w:tc>
        <w:tc>
          <w:tcPr>
            <w:tcW w:w="0" w:type="dxa"/>
            <w:vAlign w:val="bottom"/>
          </w:tcPr>
          <w:p>
            <w:pPr>
              <w:spacing w:after="0"/>
              <w:rPr>
                <w:sz w:val="1"/>
                <w:szCs w:val="1"/>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and professional services such as fees paid to software development firms and independent contractors.</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Research and development expenses increased 2% during fiscal 2014, as compared to fiscal 2013, primarily due to an increase in employee-related costs from salaries and fringe benefits and an increase in professional fees partially offset by a decline in stock-based compensation expense due to a one-time charge associated with the acquisition of Socialcam in fiscal 2013. Research and development expenses increased 6% during fiscal 2013, as compared to fiscal 2012, primarily due to an increase in stock-based compensation expense associated with the acquisition of Socialcam in the third quarter of fiscal 2013 and an increase in salaries and fringe benefits primarily due to merit increases in fiscal 2013.</w:t>
      </w:r>
    </w:p>
    <w:p>
      <w:pPr>
        <w:spacing w:after="0" w:line="17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research and development expense to increase in absolute dollars, and slightly increase as a percentage of net revenue during fiscal 2015, as compared to fiscal 2014, as we continue to invest in product development in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Decrease compared to</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Increase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compared to</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prior fiscal year</w:t>
            </w:r>
          </w:p>
        </w:tc>
        <w:tc>
          <w:tcPr>
            <w:tcW w:w="40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40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2"/>
              </w:rPr>
              <w:t>January 31, 2014</w:t>
            </w:r>
          </w:p>
        </w:tc>
        <w:tc>
          <w:tcPr>
            <w:tcW w:w="4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2013</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4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248.3</w:t>
            </w: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248.4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86"/>
              <w:spacing w:after="0"/>
              <w:rPr>
                <w:sz w:val="20"/>
                <w:szCs w:val="20"/>
                <w:color w:val="auto"/>
              </w:rPr>
            </w:pPr>
            <w:r>
              <w:rPr>
                <w:rFonts w:ascii="Arial" w:cs="Arial" w:eastAsia="Arial" w:hAnsi="Arial"/>
                <w:sz w:val="16"/>
                <w:szCs w:val="16"/>
                <w:color w:val="auto"/>
              </w:rPr>
              <w:t>25.3</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gains and losses on our operating expense cash flow hedges, expense of travel, entertainment and training, expense of communication and the cost of supplies and equipment.</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General and administrative expenses remained flat from fiscal 2013 to fiscal 2014. An increase in employee-related costs from salaries and fringe benefits were offset by a decrease in amortization of acquisition related customer relationships and trade names. General and administrative expenses increased 11% from fiscal 2012 to fiscal 2013, primarily due to an increase in amortization of acquisition related customer relationships and trade names and fluctuations in our operating expense hedge activity in fiscal 2013. Also contributing to the increase was an increase in salaries primarily due to merit increases in fiscal 2013 as compared to fiscal 2012.</w:t>
      </w:r>
    </w:p>
    <w:p>
      <w:pPr>
        <w:spacing w:after="0" w:line="188"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We expect general and administrative expense to slightly increase in absolute dollars but remain relatively consistent as a percentage of net revenue during fiscal 2015, as compared to fiscal 2014, primarily due to an increase in costs associated with supporting our major business initiatives.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Charges (Benefits), Net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w w:val="89"/>
              </w:rPr>
              <w:t>Decrease compared to</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2"/>
          </w:tcPr>
          <w:p>
            <w:pPr>
              <w:jc w:val="center"/>
              <w:ind w:right="363"/>
              <w:spacing w:after="0"/>
              <w:rPr>
                <w:sz w:val="20"/>
                <w:szCs w:val="20"/>
                <w:color w:val="auto"/>
              </w:rPr>
            </w:pPr>
            <w:r>
              <w:rPr>
                <w:rFonts w:ascii="Arial" w:cs="Arial" w:eastAsia="Arial" w:hAnsi="Arial"/>
                <w:sz w:val="14"/>
                <w:szCs w:val="14"/>
                <w:b w:val="1"/>
                <w:bCs w:val="1"/>
                <w:color w:val="auto"/>
                <w:w w:val="91"/>
              </w:rPr>
              <w:t>Increase compared to</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7"/>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43"/>
              <w:spacing w:after="0"/>
              <w:rPr>
                <w:sz w:val="20"/>
                <w:szCs w:val="20"/>
                <w:color w:val="auto"/>
              </w:rPr>
            </w:pPr>
            <w:r>
              <w:rPr>
                <w:rFonts w:ascii="Arial" w:cs="Arial" w:eastAsia="Arial" w:hAnsi="Arial"/>
                <w:sz w:val="14"/>
                <w:szCs w:val="14"/>
                <w:b w:val="1"/>
                <w:bCs w:val="1"/>
                <w:color w:val="auto"/>
                <w:w w:val="93"/>
              </w:rPr>
              <w:t>prior fiscal year</w:t>
            </w:r>
          </w:p>
        </w:tc>
        <w:tc>
          <w:tcPr>
            <w:tcW w:w="1400" w:type="dxa"/>
            <w:vAlign w:val="bottom"/>
            <w:gridSpan w:val="2"/>
            <w:vMerge w:val="restart"/>
          </w:tcPr>
          <w:p>
            <w:pPr>
              <w:jc w:val="center"/>
              <w:ind w:left="43"/>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5"/>
                <w:szCs w:val="5"/>
                <w:color w:val="auto"/>
              </w:rPr>
            </w:pPr>
          </w:p>
        </w:tc>
        <w:tc>
          <w:tcPr>
            <w:tcW w:w="102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January 31, 2014</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2"/>
              </w:rPr>
              <w:t>January 31, 2013</w:t>
            </w:r>
          </w:p>
        </w:tc>
        <w:tc>
          <w:tcPr>
            <w:tcW w:w="4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January 31, 2012</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 (benefits), net</w:t>
            </w:r>
          </w:p>
        </w:tc>
        <w:tc>
          <w:tcPr>
            <w:tcW w:w="4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12.8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(31.1)</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43.9</w:t>
            </w: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6"/>
                <w:szCs w:val="16"/>
                <w:color w:val="auto"/>
              </w:rPr>
              <w:t>45.2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During the third quarter of fiscal 2014, our Board of Directors approved a world-wide restructuring plan in order to re-balance staffing levels to better align them with the evolving needs of the business. During fiscal 2014, Autodesk recorded a restructuring charge of $12.8 million. Of this amount, $10.2 million was recorded for one-time termination benefits and other costs and $2.6 million was recorded for facilities-related costs. We expect to substantially pay the one-time termination benefits and facility related liabilities related to this plan by the end of our first quarter of fiscal 2015.</w:t>
      </w:r>
    </w:p>
    <w:p>
      <w:pPr>
        <w:spacing w:after="0" w:line="15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During the third quarter of fiscal 2013, the our Board of Directors approved a world-wide restructuring plan in line with the Company's strategy, including its continuing shift to cloud and mobile computing. The approved plan included a reduction in force and the consolidation of certain leased facilities. As of January 31, 2014, the personnel and facilities related actions included in this restructuring plan were substantially complete. See Note 15, “Restructuring Reserves,” in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379"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584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income, net (1)</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Gain (loss) on foreign currency</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gain on strategic investments (1)</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income, net</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4859"/>
              <w:spacing w:after="0"/>
              <w:rPr>
                <w:sz w:val="20"/>
                <w:szCs w:val="20"/>
                <w:color w:val="auto"/>
              </w:rPr>
            </w:pPr>
            <w:r>
              <w:rPr>
                <w:rFonts w:ascii="Arial" w:cs="Arial" w:eastAsia="Arial" w:hAnsi="Arial"/>
                <w:sz w:val="18"/>
                <w:szCs w:val="18"/>
                <w:color w:val="auto"/>
                <w:w w:val="88"/>
              </w:rPr>
              <w:t>____________________</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6"/>
          <w:szCs w:val="16"/>
          <w:color w:val="auto"/>
        </w:rPr>
        <w:t>For comparability, the presentation of the balances at January 31, 2012 was adjusted to align to current year presentation.</w:t>
      </w:r>
    </w:p>
    <w:p>
      <w:pPr>
        <w:spacing w:after="0" w:line="20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Interest and other (expense) income, net, decreased $9.0 million during fiscal 2014, as compared to fiscal 2013, primarily due to a reduction in our net interest and investment (expense) income.</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decrease in interest and investment (expense) income, net, during fiscal 2014 as compared to fiscal 2013 is primarily due to interest expense resulting from the December 2012 issuance of $400.0 million aggregate principal amount of 1.95% senior notes due December 15, 2017 and $350.0 million aggregate principal amount of 3.6% senior notes due December 15, 2022. Interest and investment income fluctuates based on average cash, marketable securities and debt balances, average maturities and interest rates.</w:t>
      </w:r>
    </w:p>
    <w:p>
      <w:pPr>
        <w:spacing w:after="0" w:line="18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Interest and other income, net, decreased $3.2 million during fiscal 2013, as compared to fiscal 2012, primarily due to a reduction in our net interest and investment income and losses incurred due to impairments of certain strategic investments. A loss on strategic investments occurs when a net reduction in valuation occurs or an impairment is recorded. Impairment results from the determination that the value of the investment is no longer recoverable.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effective tax rate was 18% and 20% during fiscal 2014 and fiscal 2013, respectively. Our effective tax rate decreased two percentage points from fiscal 2013 to fiscal 2014 due to an increase in tax benefits from foreign earnings taxed at different rates in fiscal 2014 compared to fiscal 2013, offset in part by lower tax benefits from restructuring and additional tax expense associated with uncertain tax positions and audit assessements.</w:t>
      </w:r>
    </w:p>
    <w:p>
      <w:pPr>
        <w:spacing w:after="0" w:line="166"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Our effective tax rate was 20% and 21% during fiscal 2013 and 2012, respectively. Our effective tax rate decreased one percentage point from fiscal 2012 to fiscal 2013 primarily due to an increase in tax benefits from foreign earnings taxed at lower rates in fiscal 2013 compared to fiscal 2012, partially offset by tax benefits associated with closure of audits in fiscal 2011.</w:t>
      </w:r>
    </w:p>
    <w:p>
      <w:pPr>
        <w:spacing w:after="0" w:line="18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276225</wp:posOffset>
            </wp:positionV>
            <wp:extent cx="97790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January 31, 2014, we had net deferred tax assets of $187.9 million. We believe that we will generate sufficient future taxable income in appropriate tax jurisdictions to realize these assets.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2014, 2013 and 2012, our gross profit, gross margin, income from operations, operating margin, net income and diluted earnings per share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8"/>
              </w:rPr>
              <w:t>January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January 31, 2013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8"/>
              </w:rPr>
              <w:t>January 31, 2012</w:t>
            </w:r>
          </w:p>
        </w:tc>
      </w:tr>
      <w:tr>
        <w:trPr>
          <w:trHeight w:val="250"/>
        </w:trPr>
        <w:tc>
          <w:tcPr>
            <w:tcW w:w="6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2,073.7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1,986.5</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2,049.8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2,118.6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2,028.4</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355.6</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587.9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533.4</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285.3</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net income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405.1</w:t>
            </w:r>
          </w:p>
        </w:tc>
      </w:tr>
      <w:tr>
        <w:trPr>
          <w:trHeight w:val="33"/>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Non-GAAP diluted earnings per share (1) (2)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1.74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420" w:right="300" w:hanging="412"/>
        <w:spacing w:after="0" w:line="266"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8"/>
          <w:szCs w:val="18"/>
          <w:color w:val="auto"/>
        </w:rPr>
      </w:pPr>
    </w:p>
    <w:p>
      <w:pPr>
        <w:ind w:left="420" w:right="40" w:hanging="412"/>
        <w:spacing w:after="0" w:line="270"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1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126365</wp:posOffset>
            </wp:positionV>
            <wp:extent cx="97790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163"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13335</wp:posOffset>
            </wp:positionV>
            <wp:extent cx="301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2,049.8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2,118.6</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2,028.4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Diluted net income per share (2)</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 (1)</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Non-GAAP diluted net income per share (2)</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6660" w:type="dxa"/>
            <w:vAlign w:val="bottom"/>
            <w:gridSpan w:val="2"/>
            <w:vMerge w:val="restart"/>
          </w:tcPr>
          <w:p>
            <w:pPr>
              <w:jc w:val="right"/>
              <w:ind w:right="477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48"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Effective in the second quarter of fiscal 2013, Autodesk began excluding gains and losses on strategic investments for purposes of its non-GAAP financial measures. Prior period non-GAAP interest and other income (expense), net, net income and earnings per share amounts have been revised to conform to the current period presentation.</w:t>
      </w:r>
    </w:p>
    <w:p>
      <w:pPr>
        <w:spacing w:after="0" w:line="1" w:lineRule="exact"/>
        <w:rPr>
          <w:rFonts w:ascii="Arial" w:cs="Arial" w:eastAsia="Arial" w:hAnsi="Arial"/>
          <w:sz w:val="16"/>
          <w:szCs w:val="16"/>
          <w:color w:val="auto"/>
        </w:rPr>
      </w:pPr>
    </w:p>
    <w:p>
      <w:pPr>
        <w:ind w:left="420" w:right="40" w:hanging="412"/>
        <w:spacing w:after="0" w:line="257"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Earnings per share were computed independently for each of the periods presented; therefore the sum of the earnings per share amount for the quarters may not equal the total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415925</wp:posOffset>
            </wp:positionV>
            <wp:extent cx="9779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Amortization of purchased intangibles. </w:t>
      </w:r>
      <w:r>
        <w:rPr>
          <w:rFonts w:ascii="Arial" w:cs="Arial" w:eastAsia="Arial" w:hAnsi="Arial"/>
          <w:sz w:val="16"/>
          <w:szCs w:val="16"/>
          <w:color w:val="auto"/>
        </w:rPr>
        <w:t>We incur amortization of acquisition-related purchased intangible assets in connection with acquisitions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businesses and technologies. Amortization of intangible assets is inconsistent in amount and frequency and is significantly affected by the timing and size of our acquisitions. Management finds it useful to exclude these variable charges to assess the appropriate level of various operating expenses to assist in budgeting, planning and forecasting future periods. Investors should note that the use of intangible assets contributed to our revenues earned during the periods presented and will contribute to our future period revenues as well. Amortization of purchased intangible assets will recur in future periods.</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Restructuring charges (benefits), net. </w:t>
      </w:r>
      <w:r>
        <w:rPr>
          <w:rFonts w:ascii="Arial" w:cs="Arial" w:eastAsia="Arial" w:hAnsi="Arial"/>
          <w:sz w:val="17"/>
          <w:szCs w:val="17"/>
          <w:color w:val="auto"/>
        </w:rPr>
        <w:t>These expenses are associated with realigning our business strategies based on current economic conditions.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these restructuring actions, we recognize costs related to termination benefits for former employees whose positions were eliminated, and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the Company's operational performance.</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Income tax effects on the difference between GAAP and non-GAAP costs and expenses. </w:t>
      </w:r>
      <w:r>
        <w:rPr>
          <w:rFonts w:ascii="Arial" w:cs="Arial" w:eastAsia="Arial" w:hAnsi="Arial"/>
          <w:sz w:val="18"/>
          <w:szCs w:val="18"/>
          <w:color w:val="auto"/>
        </w:rPr>
        <w:t>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expenses, primarily due to stock-based compensation, amortization of purchased intangibles and restructuring charges (benefits)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 repurchase program and invest in our growth initiatives, which include acquisitions of products, technology and businesses. See further discussion of these items below.</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At January 31, 2014, our principal sources of liquidity were cash, cash equivalents and marketable securities totaling $2,544.4 million and net accounts receivable of $423.7 million.</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fiscal 2013, we issued $400.0 million aggregate principal amount of 1.95% senior notes due December 15, 2017 and $350.0 million aggregate principal amount of 3.6% senior notes due December 15, 2022, (collectively, the "Senior Notes"). As of March 10, 2014, we have $750.0 million aggregate principal amount of Senior Notes outstanding. In addition, we have a line of credit facility that permits unsecured short-term borrowings of up to $400.0 million. As of March 10, 2014, we have no amounts outstanding under the credit facility. We amended and restated the credit facility in May 2013. The amended and restated credit facility expires in May 2018. Borrowings under the credit facility and the net proceeds from the offering of the Senior Notes are available for general corporate purposes.</w:t>
      </w:r>
    </w:p>
    <w:p>
      <w:pPr>
        <w:spacing w:after="0" w:line="19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increase in our cash, cash equivalents and marketable securities to $2,544.4 million at January 31, 2014 from $2,365.4 million at January 31, 2013 is due to cash generated by operating activities, and proceeds from the issuance of common stock following stock option exercises and employee stock plan purchases. These increases to cash, cash equivalents and marketable securities are partially offset by cash used for repurchases of common stock, acquisitions including business combination and technology purchases, capital expenditures, and other investing activities. The cash proceeds from issuance of common stock varies based on our stock price, stock option exercise activity and the volume of employee purchases under the Employee Stock Purchase Plan (“ESP Plan”).</w:t>
      </w:r>
    </w:p>
    <w:p>
      <w:pPr>
        <w:spacing w:after="0" w:line="19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primary source for net cash provided by operating activities of $563.5 million for fiscal 2014 was net income of $228.8 million increased by the effect of non-cash expenses totaling $261.1 million associated with depreciation, amortization, accretion and stock-based compensation. In addition, net cash flow provided by changes in operating assets and liabilities was $86.0 million. The primary source of working capital was a decrease in accounts receivable and an increase in deferred revenue for fiscal 2014 compared to fiscal 2013. Our days sales outstanding in trade receivables was 66 at January 31, 2014 compared to 74 at January 31, 2013. The days sales outstanding decrease relates primarily to improved billings linearity and strong cash collections resulting in a lower accounts receivable balance compared to the prior year. The primary working capital uses of cash were an increase in deferred income taxes.</w:t>
      </w:r>
    </w:p>
    <w:p>
      <w:pPr>
        <w:spacing w:after="0" w:line="16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At January 31, 2014, our short-term investment portfolio had an estimated fair value of $414.1 million and a cost basis of $410.8 million. The portfolio fair value consisted of $261.0 million invested in commercial paper and corporate securities, $42.7 million invested in agency bonds, $38.9 million invested in mutual funds, $37.1 million invested in time deposits with remaining maturities at the date of purchase greater than 90 days and less than one year, $11.7 million invested in municipal securities, $11.4 million invested in other short-term securities, and $11.3 million invested in U.S. government agency securities.</w:t>
      </w:r>
    </w:p>
    <w:p>
      <w:pPr>
        <w:spacing w:after="0" w:line="188"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At January 31, 2014, $38.9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147" w:lineRule="exact"/>
        <w:rPr>
          <w:sz w:val="20"/>
          <w:szCs w:val="20"/>
          <w:color w:val="auto"/>
        </w:rPr>
      </w:pPr>
    </w:p>
    <w:p>
      <w:pPr>
        <w:ind w:right="7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286385</wp:posOffset>
            </wp:positionV>
            <wp:extent cx="97790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On November 7, 2013, we entered into a definitive agreement with the shareholders of Delcam plc (“Delcam”) to acquire the entire issued and to be issued share capital for £20.75 per share, or approximately £174.6 million or $284.6 million. The transaction closed on February 6, 2014. Other than the Delcam acquisition, as of January 31, 2014, there have been no material changes in our contractual obligations or commercial commitments compared to those disclosed in Management’s Discussion and Analysis of Financial Condition.</w:t>
      </w:r>
    </w:p>
    <w:p>
      <w:pPr>
        <w:spacing w:after="0" w:line="18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January 31, 2014, approximately 75%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2014 and the effect such obligations are expected to have on our liquidity and cash flows in future periods.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2016-</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2018-</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Other obligations (1)</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(2)</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obligations include asset retirement obligations.</w:t>
      </w:r>
    </w:p>
    <w:p>
      <w:pPr>
        <w:spacing w:after="0" w:line="9" w:lineRule="exact"/>
        <w:rPr>
          <w:rFonts w:ascii="Arial" w:cs="Arial" w:eastAsia="Arial" w:hAnsi="Arial"/>
          <w:sz w:val="16"/>
          <w:szCs w:val="16"/>
          <w:color w:val="auto"/>
        </w:rPr>
      </w:pPr>
    </w:p>
    <w:p>
      <w:pPr>
        <w:ind w:left="420" w:right="120" w:hanging="412"/>
        <w:spacing w:after="0" w:line="252"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8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Notes consist of the Senior Notes issued in December 2012. The Senior Notes consist of of $400.0 million aggregate principal amount of 1.95% senior notes due December 15, 2017 notes and $350.0 million aggregate principal amount of 3.6% senior notes due December 15, 2022.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313690</wp:posOffset>
            </wp:positionV>
            <wp:extent cx="97790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IT infrastructure costs, hosting services agreements, and marketing costs.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During the three and twelve months ended January 31, 2014, we repurchased 2.2 million and 10.5 million shares of our common stock, respectively. At January 31, 2014, 21.8 million shares remained available for repurchase under our current repurchase program approved by the Board of Directors. This program does not have a fixed expiration date. See Note 9, “Stockholders' Equity,” in the Notes to Consolidated Financial Statements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January 31, 2014, we did not have any significant off-balance sheet arrangements other than operating leases, as defined in Item 303(a)(4)(ii) of Regulation S-K.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2014 and 2013,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139065</wp:posOffset>
            </wp:positionV>
            <wp:extent cx="97790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speculative purposes. The notional amount of our option and forward contracts was $557.2 million and $438.2 million at January 31, 2014 and 2013, respectively.</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2014 indicated that a hypothetical 10% appreciation of the U.S. dollar from its value at January 31, 2014 and 2013 would increase the fair value of our foreign currency contracts by $7.9 million and $29.6 million, respectively. A hypothetical 10% depreciation of the dollar from its value at January 31, 2014 and 2013 would increase the fair value of our foreign currency contracts by $3.7 million and $33.1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January 31, 2014, we had $1,517.4 million of cash equivalents and marketable securities, including $414.1 million classified as short-term marketable securities and $277.3 million classified as long-term marketable securities. If interest rates were to move up or down by 50 and 100 basis points over a twelve month period, the market value change of our marketable securities would have an unrealized gain or loss of $3.2 million and $6.4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The privately held companies in which we invest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410210</wp:posOffset>
            </wp:positionV>
            <wp:extent cx="97790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881.2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2,215.6</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subscription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1,999.6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2,073.7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1,986.5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842.6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842.6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1,714.8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1,767.8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and other (expense) income,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409575</wp:posOffset>
            </wp:positionV>
            <wp:extent cx="97790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r>
      <w:tr>
        <w:trPr>
          <w:trHeight w:val="243"/>
        </w:trPr>
        <w:tc>
          <w:tcPr>
            <w:tcW w:w="84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285.3</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6"/>
                <w:szCs w:val="16"/>
                <w:color w:val="auto"/>
              </w:rPr>
              <w:t>Net gain (loss) on derivative instruments (net of tax effect of $1.1, ($0.5) and $1.0)</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net unrealized (loss) gain on available-for-sale securities (net of tax effect of $0.3, ($0.6) and $0.0)</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r>
      <w:tr>
        <w:trPr>
          <w:trHeight w:val="243"/>
        </w:trPr>
        <w:tc>
          <w:tcPr>
            <w:tcW w:w="8440" w:type="dxa"/>
            <w:vAlign w:val="bottom"/>
          </w:tcPr>
          <w:p>
            <w:pPr>
              <w:ind w:left="280"/>
              <w:spacing w:after="0"/>
              <w:rPr>
                <w:sz w:val="20"/>
                <w:szCs w:val="20"/>
                <w:color w:val="auto"/>
              </w:rPr>
            </w:pPr>
            <w:r>
              <w:rPr>
                <w:rFonts w:ascii="Arial" w:cs="Arial" w:eastAsia="Arial" w:hAnsi="Arial"/>
                <w:sz w:val="16"/>
                <w:szCs w:val="16"/>
                <w:color w:val="auto"/>
              </w:rPr>
              <w:t>Change in defined benefit pension items (net of tax effect of $0.6, $0.4 and $0.0)</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gain (loss) (net of tax effect of $2.1, $2.1 and ($4.4))</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291.8</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38" w:lineRule="exact"/>
        <w:rPr>
          <w:sz w:val="20"/>
          <w:szCs w:val="20"/>
          <w:color w:val="auto"/>
        </w:rPr>
      </w:pPr>
    </w:p>
    <w:p>
      <w:pPr>
        <w:jc w:val="right"/>
        <w:ind w:right="400"/>
        <w:spacing w:after="0"/>
        <w:tabs>
          <w:tab w:leader="none" w:pos="700" w:val="left"/>
        </w:tabs>
        <w:rPr>
          <w:sz w:val="20"/>
          <w:szCs w:val="20"/>
          <w:color w:val="auto"/>
        </w:rPr>
      </w:pPr>
      <w:r>
        <w:rPr>
          <w:rFonts w:ascii="Arial" w:cs="Arial" w:eastAsia="Arial" w:hAnsi="Arial"/>
          <w:sz w:val="14"/>
          <w:szCs w:val="14"/>
          <w:b w:val="1"/>
          <w:bCs w:val="1"/>
          <w:color w:val="auto"/>
        </w:rPr>
        <w:t>January 31,</w:t>
      </w:r>
      <w:r>
        <w:rPr>
          <w:sz w:val="20"/>
          <w:szCs w:val="20"/>
          <w:color w:val="auto"/>
        </w:rPr>
        <w:tab/>
      </w:r>
      <w:r>
        <w:rPr>
          <w:rFonts w:ascii="Arial" w:cs="Arial" w:eastAsia="Arial" w:hAnsi="Arial"/>
          <w:sz w:val="13"/>
          <w:szCs w:val="13"/>
          <w:b w:val="1"/>
          <w:bCs w:val="1"/>
          <w:color w:val="auto"/>
        </w:rPr>
        <w:t>January 31,</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712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12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1280" w:type="dxa"/>
            <w:vAlign w:val="bottom"/>
          </w:tcPr>
          <w:p>
            <w:pPr>
              <w:spacing w:after="0"/>
              <w:rPr>
                <w:sz w:val="22"/>
                <w:szCs w:val="22"/>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280" w:type="dxa"/>
            <w:vAlign w:val="bottom"/>
          </w:tcPr>
          <w:p>
            <w:pPr>
              <w:spacing w:after="0"/>
              <w:rPr>
                <w:sz w:val="23"/>
                <w:szCs w:val="23"/>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280" w:type="dxa"/>
            <w:vAlign w:val="bottom"/>
          </w:tcPr>
          <w:p>
            <w:pPr>
              <w:spacing w:after="0"/>
              <w:rPr>
                <w:sz w:val="23"/>
                <w:szCs w:val="23"/>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Pr>
          <w:p>
            <w:pPr>
              <w:spacing w:after="0"/>
              <w:rPr>
                <w:sz w:val="23"/>
                <w:szCs w:val="23"/>
                <w:color w:val="auto"/>
              </w:rPr>
            </w:pPr>
          </w:p>
        </w:tc>
      </w:tr>
      <w:tr>
        <w:trPr>
          <w:trHeight w:val="270"/>
        </w:trPr>
        <w:tc>
          <w:tcPr>
            <w:tcW w:w="712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Marketable securities</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Purchased technologies, net</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Goodwill</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23"/>
                <w:szCs w:val="23"/>
                <w:color w:val="auto"/>
              </w:rPr>
            </w:pPr>
          </w:p>
        </w:tc>
      </w:tr>
      <w:tr>
        <w:trPr>
          <w:trHeight w:val="284"/>
        </w:trPr>
        <w:tc>
          <w:tcPr>
            <w:tcW w:w="7120" w:type="dxa"/>
            <w:vAlign w:val="bottom"/>
          </w:tcPr>
          <w:p>
            <w:pPr>
              <w:spacing w:after="0"/>
              <w:rPr>
                <w:sz w:val="20"/>
                <w:szCs w:val="20"/>
                <w:color w:val="auto"/>
              </w:rPr>
            </w:pPr>
            <w:r>
              <w:rPr>
                <w:rFonts w:ascii="Arial" w:cs="Arial" w:eastAsia="Arial" w:hAnsi="Arial"/>
                <w:sz w:val="16"/>
                <w:szCs w:val="16"/>
                <w:color w:val="auto"/>
              </w:rPr>
              <w:t>Total Assets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120" w:type="dxa"/>
            <w:vAlign w:val="bottom"/>
          </w:tcPr>
          <w:p>
            <w:pPr>
              <w:ind w:left="2380"/>
              <w:spacing w:after="0"/>
              <w:rPr>
                <w:sz w:val="20"/>
                <w:szCs w:val="20"/>
                <w:color w:val="auto"/>
              </w:rPr>
            </w:pPr>
            <w:r>
              <w:rPr>
                <w:rFonts w:ascii="Arial" w:cs="Arial" w:eastAsia="Arial" w:hAnsi="Arial"/>
                <w:sz w:val="16"/>
                <w:szCs w:val="16"/>
                <w:b w:val="1"/>
                <w:bCs w:val="1"/>
                <w:color w:val="auto"/>
              </w:rPr>
              <w:t>LIABILITIES AND STOCKHOLDERS’ EQUITY</w:t>
            </w:r>
          </w:p>
        </w:tc>
        <w:tc>
          <w:tcPr>
            <w:tcW w:w="1280" w:type="dxa"/>
            <w:vAlign w:val="bottom"/>
          </w:tcPr>
          <w:p>
            <w:pPr>
              <w:spacing w:after="0"/>
              <w:rPr>
                <w:sz w:val="23"/>
                <w:szCs w:val="23"/>
                <w:color w:val="auto"/>
              </w:rPr>
            </w:pPr>
          </w:p>
        </w:tc>
      </w:tr>
      <w:tr>
        <w:trPr>
          <w:trHeight w:val="297"/>
        </w:trPr>
        <w:tc>
          <w:tcPr>
            <w:tcW w:w="7120" w:type="dxa"/>
            <w:vAlign w:val="bottom"/>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tcPr>
          <w:p>
            <w:pPr>
              <w:spacing w:after="0"/>
              <w:rPr>
                <w:sz w:val="24"/>
                <w:szCs w:val="24"/>
                <w:color w:val="auto"/>
              </w:rPr>
            </w:pPr>
          </w:p>
        </w:tc>
      </w:tr>
      <w:tr>
        <w:trPr>
          <w:trHeight w:val="284"/>
        </w:trPr>
        <w:tc>
          <w:tcPr>
            <w:tcW w:w="71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12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1280" w:type="dxa"/>
            <w:vAlign w:val="bottom"/>
          </w:tcPr>
          <w:p>
            <w:pPr>
              <w:spacing w:after="0"/>
              <w:rPr>
                <w:sz w:val="22"/>
                <w:szCs w:val="22"/>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280" w:type="dxa"/>
            <w:vAlign w:val="bottom"/>
          </w:tcPr>
          <w:p>
            <w:pPr>
              <w:spacing w:after="0"/>
              <w:rPr>
                <w:sz w:val="23"/>
                <w:szCs w:val="23"/>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280" w:type="dxa"/>
            <w:vAlign w:val="bottom"/>
          </w:tcPr>
          <w:p>
            <w:pPr>
              <w:spacing w:after="0"/>
              <w:rPr>
                <w:sz w:val="23"/>
                <w:szCs w:val="23"/>
                <w:color w:val="auto"/>
              </w:rPr>
            </w:pPr>
          </w:p>
        </w:tc>
      </w:tr>
      <w:tr>
        <w:trPr>
          <w:trHeight w:val="270"/>
        </w:trPr>
        <w:tc>
          <w:tcPr>
            <w:tcW w:w="7120" w:type="dxa"/>
            <w:vAlign w:val="bottom"/>
          </w:tcPr>
          <w:p>
            <w:pPr>
              <w:ind w:left="360"/>
              <w:spacing w:after="0"/>
              <w:rPr>
                <w:sz w:val="20"/>
                <w:szCs w:val="20"/>
                <w:color w:val="auto"/>
              </w:rPr>
            </w:pPr>
            <w:r>
              <w:rPr>
                <w:rFonts w:ascii="Arial" w:cs="Arial" w:eastAsia="Arial" w:hAnsi="Arial"/>
                <w:sz w:val="16"/>
                <w:szCs w:val="16"/>
                <w:color w:val="auto"/>
              </w:rPr>
              <w:t>Other accrued liabilities</w:t>
            </w:r>
          </w:p>
        </w:tc>
        <w:tc>
          <w:tcPr>
            <w:tcW w:w="1280" w:type="dxa"/>
            <w:vAlign w:val="bottom"/>
          </w:tcPr>
          <w:p>
            <w:pPr>
              <w:spacing w:after="0"/>
              <w:rPr>
                <w:sz w:val="23"/>
                <w:szCs w:val="23"/>
                <w:color w:val="auto"/>
              </w:rPr>
            </w:pPr>
          </w:p>
        </w:tc>
      </w:tr>
      <w:tr>
        <w:trPr>
          <w:trHeight w:val="270"/>
        </w:trPr>
        <w:tc>
          <w:tcPr>
            <w:tcW w:w="712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Deferred revenue</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Long term income taxes payable</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Long term notes payable, net of discount</w:t>
            </w:r>
          </w:p>
        </w:tc>
        <w:tc>
          <w:tcPr>
            <w:tcW w:w="1280" w:type="dxa"/>
            <w:vAlign w:val="bottom"/>
          </w:tcPr>
          <w:p>
            <w:pPr>
              <w:spacing w:after="0"/>
              <w:rPr>
                <w:sz w:val="23"/>
                <w:szCs w:val="23"/>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6"/>
                <w:szCs w:val="16"/>
                <w:color w:val="auto"/>
              </w:rPr>
              <w:t>Other liabilities</w:t>
            </w:r>
          </w:p>
        </w:tc>
        <w:tc>
          <w:tcPr>
            <w:tcW w:w="1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-4111625</wp:posOffset>
            </wp:positionV>
            <wp:extent cx="72294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-3768725</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-3082925</wp:posOffset>
            </wp:positionV>
            <wp:extent cx="72294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-2740025</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-2396490</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-1685290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-1341755</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-998855</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-313055</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29845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-655955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-2045335</wp:posOffset>
            </wp:positionV>
            <wp:extent cx="722947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-3425825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2014 and 2013</w:t>
      </w:r>
    </w:p>
    <w:p>
      <w:pPr>
        <w:spacing w:after="0" w:line="98" w:lineRule="exact"/>
        <w:rPr>
          <w:sz w:val="20"/>
          <w:szCs w:val="20"/>
          <w:color w:val="auto"/>
        </w:rPr>
      </w:pPr>
    </w:p>
    <w:p>
      <w:pPr>
        <w:ind w:left="400" w:right="30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226.7 outstanding at January 31, 2014 and 223.6 outstanding at January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-3810</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1,853.0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1,612.2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414.1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342.1</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423.7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495.1</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56.8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87.4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2,835.0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2,552.4</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277.3</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411.1</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130.3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114.9</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63.1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76.0</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1,009.9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871.5</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131.1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148.3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159.7</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4,595.0</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4,308.4</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8"/>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84.5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181.2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189.6</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24.3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696.2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647.0</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85.3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99.0</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1,071.5</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1,043.7</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204.4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187.6</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211.8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194.2</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746.4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745.6</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99.4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94.1</w:t>
            </w:r>
          </w:p>
        </w:tc>
      </w:tr>
      <w:tr>
        <w:trPr>
          <w:trHeight w:val="81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1,637.3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1,449.8</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624.8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-1985010</wp:posOffset>
            </wp:positionV>
            <wp:extent cx="951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-3211195</wp:posOffset>
            </wp:positionV>
            <wp:extent cx="951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-3383280</wp:posOffset>
            </wp:positionV>
            <wp:extent cx="951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-4411980</wp:posOffset>
            </wp:positionV>
            <wp:extent cx="951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70"/>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2,043.2</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liabities and stockholders' equity</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4,595.0</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4,308.4</w:t>
            </w:r>
          </w:p>
        </w:tc>
      </w:tr>
      <w:tr>
        <w:trPr>
          <w:trHeight w:val="33"/>
        </w:trPr>
        <w:tc>
          <w:tcPr>
            <w:tcW w:w="8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581025</wp:posOffset>
            </wp:positionV>
            <wp:extent cx="97790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59</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3"/>
        </w:trPr>
        <w:tc>
          <w:tcPr>
            <w:tcW w:w="6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285.3</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Restructuring charges (benefits),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52.4</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573.5</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(614.2)</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149.5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Draws on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line of credit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1,075.1</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1,853.0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1,612.2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1,156.9</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cash flow information: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74"/>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2"/>
        </w:trPr>
        <w:tc>
          <w:tcPr>
            <w:tcW w:w="672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Net cash paid during the year for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Common stock</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12"/>
                <w:szCs w:val="12"/>
                <w:color w:val="auto"/>
              </w:rPr>
            </w:pPr>
          </w:p>
        </w:tc>
        <w:tc>
          <w:tcPr>
            <w:tcW w:w="188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and additional</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8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 capital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980" w:type="dxa"/>
            <w:vAlign w:val="bottom"/>
            <w:vMerge w:val="restart"/>
          </w:tcPr>
          <w:p>
            <w:pPr>
              <w:jc w:val="center"/>
              <w:ind w:right="4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6040" w:type="dxa"/>
            <w:vAlign w:val="bottom"/>
          </w:tcPr>
          <w:p>
            <w:pPr>
              <w:spacing w:after="0"/>
              <w:rPr>
                <w:sz w:val="5"/>
                <w:szCs w:val="5"/>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 income</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36"/>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2011</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1,609.3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Balances, January 31, 2012</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1,882.9</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2013</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2,043.2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Tax benefits from employee stock plans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Balances, January 31, 2014</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1,637.3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2,261.5</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2014</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significant intercompany accounts and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During the first quarter of fiscal 2014, Autodesk combined maintenance revenue and cloud services offering-related revenue into one category named “Subscription.” As a result, revenue and cost of revenue related to cloud service offerings previously reflected in “License and other revenue” and “Cost of license and other revenue” were reclassified to “Subscription revenue” and “Cost of subscription revenue.” These revenues and expenses have been reclassified in the Consolidated Statements of Operations for fiscal years 2013 and 2012 to conform to the current period presentation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Fiscal year ended January 31,</w:t>
            </w:r>
          </w:p>
        </w:tc>
        <w:tc>
          <w:tcPr>
            <w:tcW w:w="52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Reclassifications within revenue:</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tcPr>
          <w:p>
            <w:pPr>
              <w:ind w:left="180"/>
              <w:spacing w:after="0"/>
              <w:rPr>
                <w:sz w:val="20"/>
                <w:szCs w:val="20"/>
                <w:color w:val="auto"/>
              </w:rPr>
            </w:pPr>
            <w:r>
              <w:rPr>
                <w:rFonts w:ascii="Arial" w:cs="Arial" w:eastAsia="Arial" w:hAnsi="Arial"/>
                <w:sz w:val="16"/>
                <w:szCs w:val="16"/>
                <w:color w:val="auto"/>
              </w:rPr>
              <w:t>Decrease to License and other revenue</w:t>
            </w:r>
          </w:p>
        </w:tc>
        <w:tc>
          <w:tcPr>
            <w:tcW w:w="960" w:type="dxa"/>
            <w:vAlign w:val="bottom"/>
          </w:tcPr>
          <w:p>
            <w:pPr>
              <w:jc w:val="right"/>
              <w:ind w:right="76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6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to Subscription revenue</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7"/>
        </w:trPr>
        <w:tc>
          <w:tcPr>
            <w:tcW w:w="6120" w:type="dxa"/>
            <w:vAlign w:val="bottom"/>
          </w:tcPr>
          <w:p>
            <w:pPr>
              <w:ind w:left="40"/>
              <w:spacing w:after="0"/>
              <w:rPr>
                <w:sz w:val="20"/>
                <w:szCs w:val="20"/>
                <w:color w:val="auto"/>
              </w:rPr>
            </w:pPr>
            <w:r>
              <w:rPr>
                <w:rFonts w:ascii="Arial" w:cs="Arial" w:eastAsia="Arial" w:hAnsi="Arial"/>
                <w:sz w:val="16"/>
                <w:szCs w:val="16"/>
                <w:color w:val="auto"/>
              </w:rPr>
              <w:t>Reclassifications within cost of revenue:</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to Cost of license and other revenue</w:t>
            </w:r>
          </w:p>
        </w:tc>
        <w:tc>
          <w:tcPr>
            <w:tcW w:w="96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37"/>
        </w:trPr>
        <w:tc>
          <w:tcPr>
            <w:tcW w:w="6120" w:type="dxa"/>
            <w:vAlign w:val="bottom"/>
          </w:tcPr>
          <w:p>
            <w:pPr>
              <w:ind w:left="180"/>
              <w:spacing w:after="0"/>
              <w:rPr>
                <w:sz w:val="20"/>
                <w:szCs w:val="20"/>
                <w:color w:val="auto"/>
              </w:rPr>
            </w:pPr>
            <w:r>
              <w:rPr>
                <w:rFonts w:ascii="Arial" w:cs="Arial" w:eastAsia="Arial" w:hAnsi="Arial"/>
                <w:sz w:val="16"/>
                <w:szCs w:val="16"/>
                <w:color w:val="auto"/>
              </w:rPr>
              <w:t>Increase to Cost of subscription revenue</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Examples of significant estimates and assumptions made by management involve the determination of the fair value of acquired assets and liabilities, goodwill, financial instruments, long-lived assets and other intangible assets, the realizability of deferred tax assets and the fair value of stock awards (see “Stock-based Compensation Expense” within this Note 1 and Note 3 “Employee and Director Stock Plans” for further discussion).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144145</wp:posOffset>
            </wp:positionV>
            <wp:extent cx="97790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Translation and Transactions</w:t>
      </w:r>
    </w:p>
    <w:p>
      <w:pPr>
        <w:spacing w:after="0" w:line="22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income (loss).</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 remeasured using foreign currency exchange rates at the end of the period, and non-monetary assets are remeasured based on historical exchange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48"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w:t>
      </w:r>
    </w:p>
    <w:p>
      <w:pPr>
        <w:spacing w:after="0" w:line="187"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All of Autodesk’s marketable securities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Autodesk did not record any other-than temporary impairment charges during fiscal years ended 2014, 2013 and 2012. For additional information, see “Concentration of Credit Risk” within this Note 1 and Note 2,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130810</wp:posOffset>
            </wp:positionV>
            <wp:extent cx="97790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8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8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7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As part of the indirect channel model, Autodesk has a partner incentive program that uses quarterly attainment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maintenance transaction is billed and subsequently recognized as a reduction to maintenance revenue over the contract period. These incentive balances do not require significant assumptions or judgments. The reserves associated with the partner incentive program are treated on the balance sheet as either contra account receivable (when due to distributors and direct resellers) or accounts payable (when due to indirect resellers).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2013</w:t>
            </w:r>
          </w:p>
        </w:tc>
      </w:tr>
      <w:tr>
        <w:trPr>
          <w:trHeight w:val="236"/>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Other Americas</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and Africa (“EMEA”)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Asia Pacific (“APAC”)</w:t>
            </w: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23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1"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24%, 23% and 21% of Autodesk's net revenue for fiscal years ended 2014, 2013 and 2012, respectively. The majority of the net revenue from sales to Tech Data relates to Autodesk's Platform Solutions and Emerging Business ("PSEB") segment and is for sales made outside of the United States. In addition, Tech Data accounted for 24% and 23% of trade accounts receivable at January 31,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130810</wp:posOffset>
            </wp:positionV>
            <wp:extent cx="97790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Computer Equipment, Software, Furniture and Leasehold Improvements, Net</w:t>
      </w:r>
    </w:p>
    <w:p>
      <w:pPr>
        <w:spacing w:after="0" w:line="225"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$47.2 million in fiscal 2014, $45.6 million in fiscal 2013 and $43.7 million in fiscal 2012.</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95.1</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445.8</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(330.9)</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 During fiscal 2014, Autodesk wrote-off $48.2 million of fully depreciated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 year period, if material. Autodesk had no capitalized software development costs at January 31, 2014 and January 31, 2013.</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Intangible Assets, Net</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Other intangible assets include purchased technologies, customer relationships, trade names and the related accumulated amortization. These assets are shown as “Purchased technologies, net” and as part of “Other assets” in the Consolidated Balance Sheet. The majority of Autodesk’s other intangible assets are amortized to expense over the estimated economic life of the product, which ranges from one to ten years. Amortization expense for purchased technologies, customer relationships, trade names, patents, and user lists was $80.7 million in fiscal 2014, $82.0 million in fiscal 2013 and $71.8 million in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Purchased technologies, at cost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40" w:type="dxa"/>
            <w:vAlign w:val="bottom"/>
            <w:gridSpan w:val="2"/>
            <w:vMerge w:val="restart"/>
          </w:tcPr>
          <w:p>
            <w:pPr>
              <w:jc w:val="right"/>
              <w:ind w:right="645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as a net balance in “Other assets” in the Consolidated Balance Sheet. Customer relationships and trade names include the effects of foreign currency translation.</w:t>
      </w:r>
    </w:p>
    <w:p>
      <w:pPr>
        <w:spacing w:after="0" w:line="23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weighted average amortization period for purchased technologies, customer relationships and trade names during fiscal 2014 was 4.1 years. Expected future amortization expense for purchased technologies, customer relationships and trade names, patents and user lists for each of the fiscal years ended thereafter is as follows:</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59.1</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30.8</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1.2</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0.8</w:t>
            </w:r>
          </w:p>
        </w:tc>
      </w:tr>
      <w:tr>
        <w:trPr>
          <w:trHeight w:val="33"/>
        </w:trPr>
        <w:tc>
          <w:tcPr>
            <w:tcW w:w="9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103.5</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For purposes of the goodwill impairment test, a reporting unit is an operating segment or one level below. Autodesk's operating segments are aligned with the management principles of Autodesk's business.</w:t>
      </w:r>
    </w:p>
    <w:p>
      <w:pPr>
        <w:spacing w:after="0" w:line="18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Accounting Standard Update No. 2011-08, "Testing Goodwill for Impairment" provides Autodesk the option to perform an assessment of qualitative factors of impairment (“optional assessment”) prior to necessitating a two-step quantitative impairment test. Should the optional assessment be utilized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Therefore, the two-step quantitative impairment test is necessary when either Autodesk does not utilize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 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151130</wp:posOffset>
            </wp:positionV>
            <wp:extent cx="97790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economy or the industries Autodesk serves, or (iv) changes in Autodesk’s business strategy or internal financial results forecasts.</w:t>
      </w:r>
    </w:p>
    <w:p>
      <w:pPr>
        <w:spacing w:after="0" w:line="22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For the fiscal 2014 annual goodwill impairment testing, Autodesk had four reporting units: Platform Solutions and Emerging Business (“PSEB”), Manufacturing ("MFG"), Architecture, Engineering and Construction ("AEC") and Media and Entertainment ("M&amp;E"). For each of four reporting units, Autodesk did not utilize the optional assessment but rather performed the quantitative two-step impairment test. In performing the quantitative two-step test, Autodesk used a discounted cash flow model which included assumptions regarding projected cash flows. Based on this testing, Autodesk determined that the fair value was substantially in excess of the carrying value for each of the four reporting units and that there was no impairment of goodwill during the year ended January 31, 2014. In addition, Autodesk did not recognize any goodwill impairment losses in fiscal 2013 or 2012.</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year ended January 31, 2014 is as follows: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Platform</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Solutions and</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Engineering</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Emerging</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Construction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2013</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1,020.7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871.5</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Graitec SA</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 acquired from other acquisitions</w:t>
            </w: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Effect of foreign currency translation, purchase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accounting adjustments and other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6"/>
                <w:szCs w:val="16"/>
                <w:color w:val="auto"/>
              </w:rPr>
              <w:t>Balance as of January 31, 2014</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1,159.1</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154305</wp:posOffset>
            </wp:positionV>
            <wp:extent cx="97790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year ended January 31, 2013 is as follows: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Platform</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Solutions and</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Engineering</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Emerging</w:t>
            </w: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Construction</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2012</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Vela Systems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0"/>
        <w:spacing w:after="0"/>
        <w:rPr>
          <w:sz w:val="20"/>
          <w:szCs w:val="20"/>
          <w:color w:val="auto"/>
        </w:rPr>
      </w:pPr>
      <w:r>
        <w:rPr>
          <w:rFonts w:ascii="Arial" w:cs="Arial" w:eastAsia="Arial" w:hAnsi="Arial"/>
          <w:sz w:val="16"/>
          <w:szCs w:val="16"/>
          <w:color w:val="auto"/>
        </w:rPr>
        <w:t>Socialcam</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Qontext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PI-VR</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Goodwill acquired from other acquisitions</w:t>
      </w:r>
    </w:p>
    <w:p>
      <w:pPr>
        <w:spacing w:after="0" w:line="86" w:lineRule="exact"/>
        <w:rPr>
          <w:sz w:val="20"/>
          <w:szCs w:val="20"/>
          <w:color w:val="auto"/>
        </w:rPr>
      </w:pPr>
    </w:p>
    <w:p>
      <w:pPr>
        <w:ind w:left="560" w:hanging="161"/>
        <w:spacing w:after="0" w:line="342" w:lineRule="auto"/>
        <w:rPr>
          <w:sz w:val="20"/>
          <w:szCs w:val="20"/>
          <w:color w:val="auto"/>
        </w:rPr>
      </w:pPr>
      <w:r>
        <w:rPr>
          <w:rFonts w:ascii="Arial" w:cs="Arial" w:eastAsia="Arial" w:hAnsi="Arial"/>
          <w:sz w:val="14"/>
          <w:szCs w:val="14"/>
          <w:color w:val="auto"/>
        </w:rPr>
        <w:t>Effect of foreign currency translation, purchase accounting adjustments and other</w:t>
      </w:r>
    </w:p>
    <w:p>
      <w:pPr>
        <w:ind w:left="40"/>
        <w:spacing w:after="0"/>
        <w:rPr>
          <w:sz w:val="20"/>
          <w:szCs w:val="20"/>
          <w:color w:val="auto"/>
        </w:rPr>
      </w:pPr>
      <w:r>
        <w:rPr>
          <w:rFonts w:ascii="Arial" w:cs="Arial" w:eastAsia="Arial" w:hAnsi="Arial"/>
          <w:sz w:val="16"/>
          <w:szCs w:val="16"/>
          <w:color w:val="auto"/>
        </w:rPr>
        <w:t>Balance as of January 31, 2013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-814070</wp:posOffset>
            </wp:positionV>
            <wp:extent cx="72294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-471170</wp:posOffset>
            </wp:positionV>
            <wp:extent cx="722947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-8255</wp:posOffset>
            </wp:positionV>
            <wp:extent cx="722947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3460" w:space="100"/>
            <w:col w:w="786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2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1,020.7</w:t>
            </w:r>
          </w:p>
        </w:tc>
      </w:tr>
      <w:tr>
        <w:trPr>
          <w:trHeight w:val="33"/>
        </w:trPr>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7"/>
        </w:trPr>
        <w:tc>
          <w:tcPr>
            <w:tcW w:w="354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871.5</w:t>
            </w:r>
          </w:p>
        </w:tc>
      </w:tr>
      <w:tr>
        <w:trPr>
          <w:trHeight w:val="33"/>
        </w:trPr>
        <w:tc>
          <w:tcPr>
            <w:tcW w:w="3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Purchase accounting adjustments reflect revisions made to the Company’s preliminary purchase price allocations during fiscal 2014 and 2013.</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flows the assets are expected to generate. If the long-lived assets are considered to be impaired, the impairment to be recognized is equal to the amount by which the carrying value of the assets exceeds its fair market value. There was no impairment of long-lived assets during the year ended January 31, 2014. In addition, Autodesk did not recognize any impairment of long-lived assets during the years ended January 31, 2013 and 2012.</w:t>
      </w:r>
    </w:p>
    <w:p>
      <w:pPr>
        <w:spacing w:after="0" w:line="17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Tax Assets</w:t>
      </w:r>
    </w:p>
    <w:p>
      <w:pPr>
        <w:spacing w:after="0" w:line="22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 payments, and a valuation allowance against California and Canadian deferred tax assets. They are measured using enacted tax rates expected to apply to taxable income in the years in which those temporary differences are expected to reverse. Valuation allowances are established when necessary to reduce gross deferred tax assets to the amount “more likely than not” expected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286385</wp:posOffset>
            </wp:positionV>
            <wp:extent cx="97790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68</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17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multiple element arrangements containing only software and software-related elements, Autodesk allocates the sales price among each of the deliverables using the residual method, under which revenue is allocated to undelivered elements based on their vendor-specific objective evidence (“VSOE”) of fair value. VSOE is the price charged when an element is sold separately or a price set by management with the relevant authority. If Autodesk does not have VSOE of an undelivered element, revenue recognition is deferred on the entire sales arrangement until all elements for which Autodesk does not have VSOE are delivered. If Autodesk does not have VSOE for undelivered maintenance or services, the revenue for the arrangement is recognized over the longest contractual service period in the arrangement. Revenue recognition for significant lines of business is discussed further below.</w:t>
      </w:r>
    </w:p>
    <w:p>
      <w:pPr>
        <w:spacing w:after="0" w:line="16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 xml:space="preserve">For multiple elements arrangements involving non-software elements, including cloud subscription services, our revenue recognition policy is based upon the accounting guidance contained in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73"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the earlier of when collection is deemed probable or cash is received.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License and other revenue are comprised of two components: (1) all forms of product license revenue and (2) other revenue.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All Forms of Product License Revenue</w:t>
      </w:r>
    </w:p>
    <w:p>
      <w:pPr>
        <w:spacing w:after="0" w:line="225" w:lineRule="exact"/>
        <w:rPr>
          <w:sz w:val="20"/>
          <w:szCs w:val="20"/>
          <w:color w:val="auto"/>
        </w:rPr>
      </w:pPr>
    </w:p>
    <w:p>
      <w:pPr>
        <w:ind w:left="820" w:right="160" w:firstLine="324"/>
        <w:spacing w:after="0" w:line="277" w:lineRule="auto"/>
        <w:rPr>
          <w:sz w:val="20"/>
          <w:szCs w:val="20"/>
          <w:color w:val="auto"/>
        </w:rPr>
      </w:pPr>
      <w:r>
        <w:rPr>
          <w:rFonts w:ascii="Arial" w:cs="Arial" w:eastAsia="Arial" w:hAnsi="Arial"/>
          <w:sz w:val="18"/>
          <w:szCs w:val="18"/>
          <w:color w:val="auto"/>
        </w:rPr>
        <w:t>Product license revenue includes: software license revenue from the sale of new seat licenses and upgrades and product revenue for Creative Finishing.</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 Other Revenue</w:t>
      </w:r>
    </w:p>
    <w:p>
      <w:pPr>
        <w:spacing w:after="0" w:line="225" w:lineRule="exact"/>
        <w:rPr>
          <w:sz w:val="20"/>
          <w:szCs w:val="20"/>
          <w:color w:val="auto"/>
        </w:rPr>
      </w:pPr>
    </w:p>
    <w:p>
      <w:pPr>
        <w:ind w:left="820" w:right="340" w:firstLine="324"/>
        <w:spacing w:after="0" w:line="277" w:lineRule="auto"/>
        <w:rPr>
          <w:sz w:val="20"/>
          <w:szCs w:val="20"/>
          <w:color w:val="auto"/>
        </w:rPr>
      </w:pPr>
      <w:r>
        <w:rPr>
          <w:rFonts w:ascii="Arial" w:cs="Arial" w:eastAsia="Arial" w:hAnsi="Arial"/>
          <w:sz w:val="18"/>
          <w:szCs w:val="18"/>
          <w:color w:val="auto"/>
        </w:rPr>
        <w:t>Other revenue includes revenue from consulting, training, Autodesk Developers Network and Creative Finishing customer support, and is recognized over time, as the services are performed.</w:t>
      </w:r>
    </w:p>
    <w:p>
      <w:pPr>
        <w:spacing w:after="0" w:line="3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Subscription revenue consists of two components: maintenance revenue for our software products and revenue for our cloud service offerings, including Autodesk 360. Our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term of the maintenance agreement, which is generally between one and three years but can occasionally be as long as five years. Revenue for our cloud service offerings is recognized ratably over the contract term commencing with the date our service is made available to customers and all other revenue recognition criteria have been satisfied.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Taxes Collected from Customers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for fiscal 2014, 2013 and 2012, respectively,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subscription</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38.1</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132.2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108.8</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 Plan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81.7</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Black-Scholes Merton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3080" w:type="dxa"/>
            <w:vAlign w:val="bottom"/>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2014</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2013</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2012</w:t>
            </w: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5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Stock Option (2)</w:t>
            </w:r>
          </w:p>
        </w:tc>
        <w:tc>
          <w:tcPr>
            <w:tcW w:w="12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ESP Plan</w:t>
            </w: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 Option (2)</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Unit (1)</w:t>
            </w:r>
          </w:p>
        </w:tc>
        <w:tc>
          <w:tcPr>
            <w:tcW w:w="1260" w:type="dxa"/>
            <w:vAlign w:val="bottom"/>
            <w:gridSpan w:val="3"/>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Range of expected volatilities</w:t>
            </w:r>
          </w:p>
        </w:tc>
        <w:tc>
          <w:tcPr>
            <w:tcW w:w="1380" w:type="dxa"/>
            <w:vAlign w:val="bottom"/>
            <w:tcBorders>
              <w:top w:val="single" w:sz="8" w:color="auto"/>
            </w:tcBorders>
          </w:tcPr>
          <w:p>
            <w:pPr>
              <w:jc w:val="center"/>
              <w:ind w:left="43"/>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- 36%</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- 45%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- 44%</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40 - 49%</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34 - 44%</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expected lives (in years)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11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0.5 - 2.0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83"/>
              <w:spacing w:after="0"/>
              <w:rPr>
                <w:sz w:val="20"/>
                <w:szCs w:val="20"/>
                <w:color w:val="auto"/>
              </w:rPr>
            </w:pPr>
            <w:r>
              <w:rPr>
                <w:rFonts w:ascii="Arial" w:cs="Arial" w:eastAsia="Arial" w:hAnsi="Arial"/>
                <w:sz w:val="16"/>
                <w:szCs w:val="16"/>
                <w:color w:val="auto"/>
              </w:rPr>
              <w:t>3.6 - 4.6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0.5 - 2.0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2.6 - 4.8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Expected dividends</w:t>
            </w:r>
          </w:p>
        </w:tc>
        <w:tc>
          <w:tcPr>
            <w:tcW w:w="15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color w:val="auto"/>
                <w:w w:val="99"/>
              </w:rPr>
              <w:t>—%</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risk-free interest rates</w:t>
            </w:r>
          </w:p>
        </w:tc>
        <w:tc>
          <w:tcPr>
            <w:tcW w:w="138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6"/>
                <w:szCs w:val="16"/>
                <w:color w:val="auto"/>
                <w:w w:val="93"/>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0.5 - 1.9%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0.1 - 0.8%</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6"/>
                <w:szCs w:val="16"/>
                <w:color w:val="auto"/>
              </w:rPr>
              <w:t>Expected forfeitures</w:t>
            </w:r>
          </w:p>
        </w:tc>
        <w:tc>
          <w:tcPr>
            <w:tcW w:w="1380" w:type="dxa"/>
            <w:vAlign w:val="bottom"/>
          </w:tcPr>
          <w:p>
            <w:pPr>
              <w:jc w:val="center"/>
              <w:ind w:left="43"/>
              <w:spacing w:after="0"/>
              <w:rPr>
                <w:sz w:val="20"/>
                <w:szCs w:val="20"/>
                <w:color w:val="auto"/>
              </w:rPr>
            </w:pPr>
            <w:r>
              <w:rPr>
                <w:rFonts w:ascii="Arial" w:cs="Arial" w:eastAsia="Arial" w:hAnsi="Arial"/>
                <w:sz w:val="16"/>
                <w:szCs w:val="16"/>
                <w:color w:val="auto"/>
                <w:w w:val="90"/>
              </w:rPr>
              <w:t>7.2 - 7.7%</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7.2</w:t>
            </w:r>
          </w:p>
        </w:tc>
        <w:tc>
          <w:tcPr>
            <w:tcW w:w="680" w:type="dxa"/>
            <w:vAlign w:val="bottom"/>
          </w:tcPr>
          <w:p>
            <w:pPr>
              <w:ind w:left="20"/>
              <w:spacing w:after="0"/>
              <w:rPr>
                <w:sz w:val="20"/>
                <w:szCs w:val="20"/>
                <w:color w:val="auto"/>
              </w:rPr>
            </w:pPr>
            <w:r>
              <w:rPr>
                <w:rFonts w:ascii="Arial" w:cs="Arial" w:eastAsia="Arial" w:hAnsi="Arial"/>
                <w:sz w:val="16"/>
                <w:szCs w:val="16"/>
                <w:color w:val="auto"/>
              </w:rPr>
              <w:t>- 7.7%</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840" w:type="dxa"/>
            <w:vAlign w:val="bottom"/>
          </w:tcPr>
          <w:p>
            <w:pPr>
              <w:ind w:left="20"/>
              <w:spacing w:after="0"/>
              <w:rPr>
                <w:sz w:val="20"/>
                <w:szCs w:val="20"/>
                <w:color w:val="auto"/>
              </w:rPr>
            </w:pPr>
            <w:r>
              <w:rPr>
                <w:rFonts w:ascii="Arial" w:cs="Arial" w:eastAsia="Arial" w:hAnsi="Arial"/>
                <w:sz w:val="16"/>
                <w:szCs w:val="16"/>
                <w:color w:val="auto"/>
              </w:rPr>
              <w:t>- 7.8%</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680" w:type="dxa"/>
            <w:vAlign w:val="bottom"/>
          </w:tcPr>
          <w:p>
            <w:pPr>
              <w:ind w:left="20"/>
              <w:spacing w:after="0"/>
              <w:rPr>
                <w:sz w:val="20"/>
                <w:szCs w:val="20"/>
                <w:color w:val="auto"/>
              </w:rPr>
            </w:pPr>
            <w:r>
              <w:rPr>
                <w:rFonts w:ascii="Arial" w:cs="Arial" w:eastAsia="Arial" w:hAnsi="Arial"/>
                <w:sz w:val="16"/>
                <w:szCs w:val="16"/>
                <w:color w:val="auto"/>
              </w:rPr>
              <w:t>- 7.8%</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7.8 - 10.5%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7.8 - 10.5%</w:t>
            </w:r>
          </w:p>
        </w:tc>
        <w:tc>
          <w:tcPr>
            <w:tcW w:w="0" w:type="dxa"/>
            <w:vAlign w:val="bottom"/>
          </w:tcPr>
          <w:p>
            <w:pPr>
              <w:spacing w:after="0"/>
              <w:rPr>
                <w:sz w:val="1"/>
                <w:szCs w:val="1"/>
                <w:color w:val="auto"/>
              </w:rPr>
            </w:pPr>
          </w:p>
        </w:tc>
      </w:tr>
      <w:tr>
        <w:trPr>
          <w:trHeight w:val="226"/>
        </w:trPr>
        <w:tc>
          <w:tcPr>
            <w:tcW w:w="3080" w:type="dxa"/>
            <w:vAlign w:val="bottom"/>
          </w:tcPr>
          <w:p>
            <w:pPr>
              <w:ind w:left="20"/>
              <w:spacing w:after="0"/>
              <w:rPr>
                <w:sz w:val="20"/>
                <w:szCs w:val="20"/>
                <w:color w:val="auto"/>
              </w:rPr>
            </w:pPr>
            <w:r>
              <w:rPr>
                <w:rFonts w:ascii="Arial" w:cs="Arial" w:eastAsia="Arial" w:hAnsi="Arial"/>
                <w:sz w:val="16"/>
                <w:szCs w:val="16"/>
                <w:color w:val="auto"/>
              </w:rPr>
              <w:t>_______________</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Autodesk did not grant PSUs in fiscal 2013 and 2012 that were subject to market conditions.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Autodesk did not grant stock options in fiscal 2014.</w:t>
      </w:r>
    </w:p>
    <w:p>
      <w:pPr>
        <w:spacing w:after="0" w:line="20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2014, 2013 or 2012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Consequently, an expected dividend yield of zero is used in the Black-Scholes-Merton option pricing model and the Monte Carlo simulation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167640</wp:posOffset>
            </wp:positionV>
            <wp:extent cx="97790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$15.6 million in fiscal 2014, $15.6 million in fiscal 2013 and $21.3 million in fiscal 2012.</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 Per Share</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Basic net income per share is computed based on the weighted average number of shares of common stock outstanding for the period, excluding stock options and restricted stock units. Diluted net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in Fiscal 2014</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the FASB or adopted by the Company during the fiscal year ended January 31, 2014, that are of significance, or potential significance, to the Company.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Effective February 1, 2013, Autodesk adopted FASB's Accounting Standards Update (“ASU”) 2013-02, Comprehensive Income (Topic 220) - Reporting of Amounts Reclassified Out of Accumulated Other Comprehensive Income. This ASU requires additional disclosure about the changes in the components of accumulated other comprehensive income, including amounts reclassified and amounts due to current period other comprehensive income. The adoption of this standard did not impact the Company's financial condition, results of operations or cash flows.</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Effective February 1, 2013, Autodesk adopted FASB's ASU 2011-11 and ASU 2013-01 regarding ASC Topic 210 “Balance Sheet: Disclosure about Offsetting Assets and Liabilities.” This ASU requires that entities disclose additional information about offsetting and related arrangements to enable users of the financial statements to understand the effect of those arrangements on the financial position. The adoption of this standard did not impact the Company's financial condition, results of operations or cash flows.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July 2013, the FASB issued ASU 2013-11 regarding ASC Topic 740 “Income Tax.” This ASU clarifies the guidance on the presentation of an unrecognized tax benefit, or a portion of an unrecognized tax benefit, in the financial statements as a reduction to a deferred tax asset for a net operating loss carryforward, a similar tax loss, or a tax credit carryforward. This ASU will be effective for Autodesk's fiscal year beginning February 1, 2014. Early adoption is permitted. At this time, Autodesk expects that the adoption of this ASU will impact the presentation of tax assets and liabilities on the statement of financial position, but will not impact its consolidated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410210</wp:posOffset>
            </wp:positionV>
            <wp:extent cx="97790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Financial Instruments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tables summarizes the Company's financial instruments' amortized cost, gross unrealized gains, gross unrealized losses, and fair value by significant investment category as of January 31, 2014 and 2013.</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2014</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4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4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Short-term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20"/>
              <w:spacing w:after="0"/>
              <w:rPr>
                <w:sz w:val="20"/>
                <w:szCs w:val="20"/>
                <w:color w:val="auto"/>
              </w:rPr>
            </w:pPr>
            <w:r>
              <w:rPr>
                <w:rFonts w:ascii="Arial" w:cs="Arial" w:eastAsia="Arial" w:hAnsi="Arial"/>
                <w:sz w:val="16"/>
                <w:szCs w:val="16"/>
                <w:color w:val="auto"/>
                <w:w w:val="98"/>
              </w:rPr>
              <w:t>Commercial paper and corporate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580"/>
              <w:spacing w:after="0"/>
              <w:rPr>
                <w:sz w:val="20"/>
                <w:szCs w:val="20"/>
                <w:color w:val="auto"/>
              </w:rPr>
            </w:pPr>
            <w:r>
              <w:rPr>
                <w:rFonts w:ascii="Arial" w:cs="Arial" w:eastAsia="Arial" w:hAnsi="Arial"/>
                <w:sz w:val="16"/>
                <w:szCs w:val="16"/>
                <w:color w:val="auto"/>
              </w:rPr>
              <w:t>debt securities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Time deposits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Agency bond</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40"/>
              <w:spacing w:after="0"/>
              <w:rPr>
                <w:sz w:val="20"/>
                <w:szCs w:val="20"/>
                <w:color w:val="auto"/>
              </w:rPr>
            </w:pPr>
            <w:r>
              <w:rPr>
                <w:rFonts w:ascii="Arial" w:cs="Arial" w:eastAsia="Arial" w:hAnsi="Arial"/>
                <w:sz w:val="16"/>
                <w:szCs w:val="16"/>
                <w:color w:val="auto"/>
              </w:rPr>
              <w:t>Short-term trading securities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40"/>
              <w:spacing w:after="0"/>
              <w:rPr>
                <w:sz w:val="20"/>
                <w:szCs w:val="20"/>
                <w:color w:val="auto"/>
              </w:rPr>
            </w:pPr>
            <w:r>
              <w:rPr>
                <w:rFonts w:ascii="Arial" w:cs="Arial" w:eastAsia="Arial" w:hAnsi="Arial"/>
                <w:sz w:val="16"/>
                <w:szCs w:val="16"/>
                <w:color w:val="auto"/>
              </w:rPr>
              <w:t>Long-term available for sale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Agency bond</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debt securities (3)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Derivative contracts (4)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1,557.2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agency discount notes, U.S. treasury bills, and other short-term securities.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274955</wp:posOffset>
            </wp:positionV>
            <wp:extent cx="97790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January 31, 2013</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16"/>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3"/>
        </w:trPr>
        <w:tc>
          <w:tcPr>
            <w:tcW w:w="268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unrealized</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Cost</w:t>
            </w: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gains</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6"/>
              </w:rPr>
              <w:t>losses</w:t>
            </w:r>
          </w:p>
        </w:tc>
        <w:tc>
          <w:tcPr>
            <w:tcW w:w="14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Level 3</w:t>
            </w:r>
          </w:p>
        </w:tc>
      </w:tr>
      <w:tr>
        <w:trPr>
          <w:trHeight w:val="40"/>
        </w:trPr>
        <w:tc>
          <w:tcPr>
            <w:tcW w:w="26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50"/>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0"/>
        </w:trPr>
        <w:tc>
          <w:tcPr>
            <w:tcW w:w="2680" w:type="dxa"/>
            <w:vAlign w:val="bottom"/>
          </w:tcPr>
          <w:p>
            <w:pPr>
              <w:ind w:left="26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80" w:type="dxa"/>
            <w:vAlign w:val="bottom"/>
          </w:tcPr>
          <w:p>
            <w:pPr>
              <w:ind w:left="260"/>
              <w:spacing w:after="0"/>
              <w:rPr>
                <w:sz w:val="20"/>
                <w:szCs w:val="20"/>
                <w:color w:val="auto"/>
              </w:rPr>
            </w:pPr>
            <w:r>
              <w:rPr>
                <w:rFonts w:ascii="Arial" w:cs="Arial" w:eastAsia="Arial" w:hAnsi="Arial"/>
                <w:sz w:val="16"/>
                <w:szCs w:val="16"/>
                <w:color w:val="auto"/>
              </w:rPr>
              <w:t>deposits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392.4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Bond</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0"/>
        </w:trPr>
        <w:tc>
          <w:tcPr>
            <w:tcW w:w="2680" w:type="dxa"/>
            <w:vAlign w:val="bottom"/>
          </w:tcPr>
          <w:p>
            <w:pPr>
              <w:ind w:left="420"/>
              <w:spacing w:after="0"/>
              <w:rPr>
                <w:sz w:val="20"/>
                <w:szCs w:val="20"/>
                <w:color w:val="auto"/>
              </w:rPr>
            </w:pPr>
            <w:r>
              <w:rPr>
                <w:rFonts w:ascii="Arial" w:cs="Arial" w:eastAsia="Arial" w:hAnsi="Arial"/>
                <w:sz w:val="16"/>
                <w:szCs w:val="16"/>
                <w:color w:val="auto"/>
                <w:w w:val="95"/>
              </w:rPr>
              <w:t>Commercial paper and corporate</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80" w:type="dxa"/>
            <w:vAlign w:val="bottom"/>
          </w:tcPr>
          <w:p>
            <w:pPr>
              <w:ind w:left="5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0"/>
        </w:trPr>
        <w:tc>
          <w:tcPr>
            <w:tcW w:w="26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Certificates of deposit and time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9"/>
        </w:trPr>
        <w:tc>
          <w:tcPr>
            <w:tcW w:w="26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deposits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0"/>
        </w:trPr>
        <w:tc>
          <w:tcPr>
            <w:tcW w:w="26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9"/>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Sovereign debt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trading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8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6"/>
        </w:trPr>
        <w:tc>
          <w:tcPr>
            <w:tcW w:w="268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680" w:type="dxa"/>
            <w:vAlign w:val="bottom"/>
          </w:tcPr>
          <w:p>
            <w:pPr>
              <w:ind w:left="420"/>
              <w:spacing w:after="0"/>
              <w:rPr>
                <w:sz w:val="20"/>
                <w:szCs w:val="20"/>
                <w:color w:val="auto"/>
              </w:rPr>
            </w:pPr>
            <w:r>
              <w:rPr>
                <w:rFonts w:ascii="Arial" w:cs="Arial" w:eastAsia="Arial" w:hAnsi="Arial"/>
                <w:sz w:val="16"/>
                <w:szCs w:val="16"/>
                <w:color w:val="auto"/>
              </w:rPr>
              <w:t>Sovereign debt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Taxable auction-rate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2680" w:type="dxa"/>
            <w:vAlign w:val="bottom"/>
          </w:tcPr>
          <w:p>
            <w:pPr>
              <w:ind w:left="140"/>
              <w:spacing w:after="0"/>
              <w:rPr>
                <w:sz w:val="20"/>
                <w:szCs w:val="20"/>
                <w:color w:val="auto"/>
              </w:rPr>
            </w:pPr>
            <w:r>
              <w:rPr>
                <w:rFonts w:ascii="Arial" w:cs="Arial" w:eastAsia="Arial" w:hAnsi="Arial"/>
                <w:sz w:val="16"/>
                <w:szCs w:val="16"/>
                <w:color w:val="auto"/>
              </w:rPr>
              <w:t>Convertible Debt Securities (2)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3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Derivative contracts (3)</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1"/>
        </w:trPr>
        <w:tc>
          <w:tcPr>
            <w:tcW w:w="2680" w:type="dxa"/>
            <w:vAlign w:val="bottom"/>
          </w:tcPr>
          <w:p>
            <w:pPr>
              <w:ind w:left="4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2,038.0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1,327.3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12700</wp:posOffset>
            </wp:positionV>
            <wp:extent cx="41592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-130175</wp:posOffset>
            </wp:positionV>
            <wp:extent cx="41592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data and relies on unobservable inputs only when observable market data is not available. There have been no transfers between fair value measurement levels during the year ended January 31, 2014.</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years ended January 31, 2014 and 2013 was as follows:</w:t>
      </w:r>
    </w:p>
    <w:p>
      <w:pPr>
        <w:spacing w:after="0" w:line="37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13335</wp:posOffset>
            </wp:positionV>
            <wp:extent cx="31045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8"/>
              </w:rPr>
              <w:t>(Level 3)</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Taxable</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Auction-Rate</w:t>
            </w:r>
          </w:p>
        </w:tc>
        <w:tc>
          <w:tcPr>
            <w:tcW w:w="180" w:type="dxa"/>
            <w:vAlign w:val="bottom"/>
          </w:tcPr>
          <w:p>
            <w:pPr>
              <w:spacing w:after="0"/>
              <w:rPr>
                <w:sz w:val="12"/>
                <w:szCs w:val="12"/>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2012</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662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6620" w:type="dxa"/>
            <w:vAlign w:val="bottom"/>
            <w:gridSpan w:val="2"/>
          </w:tcPr>
          <w:p>
            <w:pPr>
              <w:ind w:left="380"/>
              <w:spacing w:after="0"/>
              <w:rPr>
                <w:sz w:val="20"/>
                <w:szCs w:val="20"/>
                <w:color w:val="auto"/>
              </w:rPr>
            </w:pPr>
            <w:r>
              <w:rPr>
                <w:rFonts w:ascii="Arial" w:cs="Arial" w:eastAsia="Arial" w:hAnsi="Arial"/>
                <w:sz w:val="16"/>
                <w:szCs w:val="16"/>
                <w:color w:val="auto"/>
              </w:rPr>
              <w:t>Total unrealized gains (losses)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2013</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37"/>
        </w:trPr>
        <w:tc>
          <w:tcPr>
            <w:tcW w:w="662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6620" w:type="dxa"/>
            <w:vAlign w:val="bottom"/>
            <w:gridSpan w:val="2"/>
          </w:tcPr>
          <w:p>
            <w:pPr>
              <w:ind w:left="380"/>
              <w:spacing w:after="0"/>
              <w:rPr>
                <w:sz w:val="20"/>
                <w:szCs w:val="20"/>
                <w:color w:val="auto"/>
              </w:rPr>
            </w:pPr>
            <w:r>
              <w:rPr>
                <w:rFonts w:ascii="Arial" w:cs="Arial" w:eastAsia="Arial" w:hAnsi="Arial"/>
                <w:sz w:val="16"/>
                <w:szCs w:val="16"/>
                <w:color w:val="auto"/>
              </w:rPr>
              <w:t>Net realized losses</w:t>
            </w: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unrealized (losses)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Balance at January 31, 2014</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6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8"/>
              </w:rPr>
              <w:t>January 31, 2014</w:t>
            </w: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375.2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297.7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297.5</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31, 2014 and 2013, Autodesk did not have any securities in a continuous unrealized loss position for greater than twelve months.</w:t>
      </w:r>
    </w:p>
    <w:p>
      <w:pPr>
        <w:spacing w:after="0" w:line="23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Autodesk also has direct investments in privately held companies accounted for under the cost method, which are periodically assessed for other-than-temporary impairment. If Autodesk determines that an other-than-temporary impairment has occurred, Autodesk writes down the investment to its fair value. Autodesk estimates fair value of its cost method investments considering available information such as pricing in recent rounds of financing, current cash positions, earnings and cash flow forecasts, recent operational performance and any other readily available market data. During fiscal 2014, Autodesk recorded no other-than-temporary impairment on its privately held equity investments. During fiscal 2013, Autodesk recorded a $10.5 million other-than-temporary impairment on its privately held equity investments.The impairment expense was recorded in “Interest and other (expense) income, net” on the Company's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146685</wp:posOffset>
            </wp:positionV>
            <wp:extent cx="97790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right="260" w:firstLine="405"/>
        <w:spacing w:after="0" w:line="286" w:lineRule="auto"/>
        <w:rPr>
          <w:sz w:val="20"/>
          <w:szCs w:val="20"/>
          <w:color w:val="auto"/>
        </w:rPr>
      </w:pPr>
      <w:r>
        <w:rPr>
          <w:rFonts w:ascii="Arial" w:cs="Arial" w:eastAsia="Arial" w:hAnsi="Arial"/>
          <w:sz w:val="17"/>
          <w:szCs w:val="17"/>
          <w:color w:val="auto"/>
        </w:rPr>
        <w:t>The sales or settlement of “available-for-sale securities” in fiscal 2014 and fiscal 2013 resulted in a loss of $0.2 million and a gain of $5.0 million, respectively. The sales or redemptions of “available-for-sale securities” in fiscal 2012 resulted in no gains or losses. The losses and gains were recorded in "Interest and other (expense) income, net" on the Company's Condensed Consolidated Statement of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from the sale and maturity of marketable securities for fiscal 2014 and fiscal 2013 were $1,279.1 million and $1,097.7 million, respectively.</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Consolidated Financial Statements at that time.</w:t>
      </w:r>
    </w:p>
    <w:p>
      <w:pPr>
        <w:spacing w:after="0" w:line="179"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$351.7 million at January 31, 2014 and $359.8 million at January 31, 2013. Outstanding contracts are recognized as either assets or liabilities on the balance sheet at fair value. The majority of the net gain of $3.5 million remaining in “Accumulated other comprehensive (loss)” as of January 31, 2014 is expected to be recognized into earnings within the next twelve months.</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$205.5 million at January 31, 2014 and $78.4 million at January 31, 2013.</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and consistent with its risk management policy, Autodesk also uses derivative instruments to hedge its economic exposure related to committed, in-process acquisitions priced in foreign currency. Such derivatives do not qualify for hedge accounting and are marked-to-market through earnings, with any gain or loss reflected immediately in “Interest and other (expense) income, net,” in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2014 and January 31, 2013:</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January 31, 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Assets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5700" w:type="dxa"/>
            <w:vAlign w:val="bottom"/>
            <w:shd w:val="clear" w:color="auto" w:fill="CCEEFF"/>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0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assets (1)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6"/>
                <w:szCs w:val="16"/>
                <w:color w:val="auto"/>
              </w:rPr>
              <w:t>Total derivative assets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700" w:type="dxa"/>
            <w:vAlign w:val="bottom"/>
            <w:tcBorders>
              <w:bottom w:val="single" w:sz="8" w:color="CCEEFF"/>
            </w:tcBorders>
          </w:tcPr>
          <w:p>
            <w:pPr>
              <w:spacing w:after="0"/>
              <w:rPr>
                <w:sz w:val="6"/>
                <w:szCs w:val="6"/>
                <w:color w:val="auto"/>
              </w:rPr>
            </w:pPr>
          </w:p>
        </w:tc>
        <w:tc>
          <w:tcPr>
            <w:tcW w:w="25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i w:val="1"/>
                <w:iCs w:val="1"/>
                <w:color w:val="auto"/>
              </w:rPr>
              <w:t>Derivative Liabilities</w:t>
            </w: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70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 (2)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jc w:val="right"/>
              <w:ind w:right="3839"/>
              <w:spacing w:after="0"/>
              <w:rPr>
                <w:sz w:val="20"/>
                <w:szCs w:val="20"/>
                <w:color w:val="auto"/>
              </w:rPr>
            </w:pPr>
            <w:r>
              <w:rPr>
                <w:rFonts w:ascii="Arial" w:cs="Arial" w:eastAsia="Arial" w:hAnsi="Arial"/>
                <w:sz w:val="18"/>
                <w:szCs w:val="18"/>
                <w:color w:val="auto"/>
                <w:w w:val="88"/>
              </w:rPr>
              <w:t>____________________</w:t>
            </w: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0" w:hanging="412"/>
        <w:spacing w:after="0" w:line="251"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Considering Autodesk's master netting arrangements, these contracts are presented net settled. The gross balance is $5.9 million and $8.2 million at January 31, 2014 and January 31, 2013, respectively.</w:t>
      </w:r>
    </w:p>
    <w:p>
      <w:pPr>
        <w:ind w:left="420" w:right="20" w:hanging="412"/>
        <w:spacing w:after="0" w:line="276"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6"/>
          <w:szCs w:val="16"/>
          <w:color w:val="auto"/>
        </w:rPr>
        <w:t>Considering Autodesk's master netting arrangements, these contracts are presented net settled. The gross balance is $3.2 million and $5.4 million at January 31, 2014 and January 31, 2013, respectively.</w:t>
      </w:r>
    </w:p>
    <w:p>
      <w:pPr>
        <w:spacing w:after="0" w:line="39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2014 and 2013, respectively (amounts presented include any income tax effects):</w:t>
      </w:r>
    </w:p>
    <w:p>
      <w:pPr>
        <w:spacing w:after="0" w:line="324"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469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5"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 of gain recognized in Accumulated other comprehensive income on derivatives (effective portion)</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w w:val="97"/>
              </w:rPr>
              <w:t>Amount and Location of Gain (Loss) Reclassified from Accumulated other comprehensive income into Income (Effective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200"/>
              <w:spacing w:after="0"/>
              <w:rPr>
                <w:sz w:val="20"/>
                <w:szCs w:val="20"/>
                <w:color w:val="auto"/>
              </w:rPr>
            </w:pPr>
            <w:r>
              <w:rPr>
                <w:rFonts w:ascii="Arial" w:cs="Arial" w:eastAsia="Arial" w:hAnsi="Arial"/>
                <w:sz w:val="16"/>
                <w:szCs w:val="16"/>
                <w:i w:val="1"/>
                <w:iCs w:val="1"/>
                <w:color w:val="auto"/>
              </w:rPr>
              <w:t>Portion)</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Amount and Location of (Loss) Recognized in Income on Derivatives (Ineffective Portion and Amount Excluded from</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and other (expense) income, net</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2014 and 2013, respectively (amounts presented include any income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Foreign Exchange</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469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Gain Recognized in Income on Derivative</w:t>
      </w:r>
    </w:p>
    <w:p>
      <w:pPr>
        <w:spacing w:after="0" w:line="100" w:lineRule="exact"/>
        <w:rPr>
          <w:sz w:val="20"/>
          <w:szCs w:val="20"/>
          <w:color w:val="auto"/>
        </w:rPr>
      </w:pPr>
    </w:p>
    <w:p>
      <w:pPr>
        <w:ind w:left="400"/>
        <w:spacing w:after="0"/>
        <w:tabs>
          <w:tab w:leader="none" w:pos="8340" w:val="left"/>
          <w:tab w:leader="none" w:pos="9420" w:val="left"/>
          <w:tab w:leader="none" w:pos="9960" w:val="left"/>
          <w:tab w:leader="none" w:pos="11080" w:val="left"/>
        </w:tabs>
        <w:rPr>
          <w:sz w:val="20"/>
          <w:szCs w:val="20"/>
          <w:color w:val="auto"/>
        </w:rPr>
      </w:pPr>
      <w:r>
        <w:rPr>
          <w:rFonts w:ascii="Arial" w:cs="Arial" w:eastAsia="Arial" w:hAnsi="Arial"/>
          <w:sz w:val="16"/>
          <w:szCs w:val="16"/>
          <w:color w:val="auto"/>
        </w:rPr>
        <w:t>Interest and other (expense) income,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1.5</w:t>
      </w:r>
    </w:p>
    <w:p>
      <w:pPr>
        <w:spacing w:after="0" w:line="2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Plans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of January 31, 2014,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Stock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January 14, 2014, Autodesk's stockholders approved amendments to the 2012 Employee Plan, which increased the number of shares reserved for issuance under the plan by 11.4 million shares and added additional performance goals to the plan. The 2012 Employee Plan replaced the 2008 Employee Stock Plan, as amended ("2008 Plan") and no further equity awards may be granted under the 2008 Plan. The 2012 Employee Plan reserves up to 32.6 million shares which includes 26.6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2014, 14.1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2014, 19.4 million shares were available for future issuance under the 2012 Employee Plan.</w:t>
      </w:r>
    </w:p>
    <w:p>
      <w:pPr>
        <w:spacing w:after="0" w:line="16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2014, 0.4 million shares subject to restricted stock unit awards have been granted under the 2012 Directors' Plan. Restricted stock units that were granted under the 2012 Outside Directors' Plan vest over one to three years from the date of grant. The 2012 Directors' Plan reserved 2.6 million shares of Autodesk common stock. The 2012 Directors' Plan will expire on June 30, 2022. At January 31, 2014, 2.2 million shares were available for future issuance under the 2012 Director's Plan.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4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5"/>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Intrinsic Value (3)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22"/>
                <w:szCs w:val="22"/>
                <w:color w:val="auto"/>
              </w:rPr>
            </w:pPr>
          </w:p>
        </w:tc>
        <w:tc>
          <w:tcPr>
            <w:tcW w:w="1040" w:type="dxa"/>
            <w:vAlign w:val="bottom"/>
          </w:tcPr>
          <w:p>
            <w:pPr>
              <w:jc w:val="center"/>
              <w:ind w:right="10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2013</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32.69</w:t>
            </w:r>
          </w:p>
        </w:tc>
        <w:tc>
          <w:tcPr>
            <w:tcW w:w="1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6"/>
                <w:szCs w:val="16"/>
                <w:color w:val="auto"/>
              </w:rPr>
              <w:t>Granted (1)</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27.08</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44.67</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2014</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33.54</w:t>
            </w:r>
          </w:p>
        </w:tc>
        <w:tc>
          <w:tcPr>
            <w:tcW w:w="1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Options vested and exercisable at January 31, 2014</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30.98</w:t>
            </w:r>
          </w:p>
        </w:tc>
        <w:tc>
          <w:tcPr>
            <w:tcW w:w="16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w w:val="93"/>
              </w:rPr>
              <w:t>Options vested and exercisable as of January 31, 2014 and expected to vest thereafter</w:t>
            </w:r>
          </w:p>
        </w:tc>
        <w:tc>
          <w:tcPr>
            <w:tcW w:w="10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33.52</w:t>
            </w:r>
          </w:p>
        </w:tc>
        <w:tc>
          <w:tcPr>
            <w:tcW w:w="16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Options available for grant at January 31, 2014</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gridSpan w:val="2"/>
            <w:vMerge w:val="restart"/>
          </w:tcPr>
          <w:p>
            <w:pPr>
              <w:jc w:val="right"/>
              <w:ind w:right="4379"/>
              <w:spacing w:after="0"/>
              <w:rPr>
                <w:sz w:val="20"/>
                <w:szCs w:val="20"/>
                <w:color w:val="auto"/>
              </w:rPr>
            </w:pPr>
            <w:r>
              <w:rPr>
                <w:rFonts w:ascii="Arial" w:cs="Arial" w:eastAsia="Arial" w:hAnsi="Arial"/>
                <w:sz w:val="18"/>
                <w:szCs w:val="18"/>
                <w:color w:val="auto"/>
                <w:w w:val="89"/>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Autodesk did not grant stock options in the twelve months ended January 31, 2014.</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Options expected to vest reflect an estimated forfeiture rate.</w:t>
      </w:r>
    </w:p>
    <w:p>
      <w:pPr>
        <w:spacing w:after="0" w:line="5"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$51.25 per share as of January 31, 2014, which would have been received by the option holders had all option holders exercised their options as of that date.</w:t>
      </w:r>
    </w:p>
    <w:p>
      <w:pPr>
        <w:spacing w:after="0" w:line="18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January 31, 2014, compensation cost of $8.2 million related to non-vested options is expected to be recognized over a weighted average period of 0.5 year.</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fiscal years ended January 31, 2014, 2013 and 2012:</w:t>
      </w:r>
    </w:p>
    <w:p>
      <w:pPr>
        <w:spacing w:after="0" w:line="32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584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Intrinsic value of options exercised (1)</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149.0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14.04</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420" w:hanging="412"/>
        <w:spacing w:after="0" w:line="257"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weighted average grant date fair value per share of stock options granted is calculated, as of the stock option grant date, using the BSM option pricing model. For the twelve months ended January 31, 2014, Autodesk did not grant stock options.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289560</wp:posOffset>
            </wp:positionV>
            <wp:extent cx="97790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Options Vested and Exercisable</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life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89"/>
              </w:rPr>
              <w:t>price per share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price per share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Range of per-share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$2.28 - $29.49</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1.8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$29.50 - $38.08</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$38.55 - $38.55</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$41.62 - $41.62</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00" w:type="dxa"/>
            <w:vAlign w:val="bottom"/>
            <w:gridSpan w:val="2"/>
          </w:tcPr>
          <w:p>
            <w:pPr>
              <w:ind w:left="40"/>
              <w:spacing w:after="0"/>
              <w:rPr>
                <w:sz w:val="20"/>
                <w:szCs w:val="20"/>
                <w:color w:val="auto"/>
              </w:rPr>
            </w:pPr>
            <w:r>
              <w:rPr>
                <w:rFonts w:ascii="Arial" w:cs="Arial" w:eastAsia="Arial" w:hAnsi="Arial"/>
                <w:sz w:val="16"/>
                <w:szCs w:val="16"/>
                <w:color w:val="auto"/>
              </w:rPr>
              <w:t>$42.39 - $43.81</w:t>
            </w:r>
          </w:p>
        </w:tc>
        <w:tc>
          <w:tcPr>
            <w:tcW w:w="80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0.3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43.80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w w:val="73"/>
              </w:rPr>
              <w:t>____________________</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40" w:hanging="412"/>
        <w:spacing w:after="0" w:line="263" w:lineRule="auto"/>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$51.25 per share as of January 31, 2014, which would have been received by the option holders had all option holders exercised their options as of that date.</w:t>
      </w: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options will expire if not exercised at specific dates ranging through September 2022.</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restricted stock unit activity for the fiscal year ended January 31, 2014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741045</wp:posOffset>
            </wp:positionV>
            <wp:extent cx="722947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January 31, 2013</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Unreleased restricted stock units at January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Unreleased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1"/>
              </w:rPr>
              <w:t>average grant</w:t>
            </w: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date fair value</w:t>
            </w: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5,020.8</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33.89</w:t>
            </w: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4,077.1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42.37</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(2,146.1)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34.37</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35.58</w:t>
            </w:r>
          </w:p>
        </w:tc>
      </w:tr>
      <w:tr>
        <w:trPr>
          <w:trHeight w:val="28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35.95</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6,515.6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20" w:space="720"/>
            <w:col w:w="3080"/>
          </w:cols>
          <w:pgMar w:left="240" w:top="125" w:right="2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220" w:hanging="412"/>
        <w:spacing w:after="0" w:line="263"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Autodesk's financial results for the performance period, the fiscal 2013 performance stock units were earned at 92.3% of the target award. The vesting of the performance stock units is subject to the holders satisfying the remaining service condition of the awards.</w:t>
      </w:r>
    </w:p>
    <w:p>
      <w:pPr>
        <w:spacing w:after="0" w:line="17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For the restricted stock units granted during fiscal years ended January 31, 2014, 2013 and 2012, the weighted average grant date fair value was $42.37, $33.32 and $37.07, respectively. The grant date fair value of the shares vested during fiscal years ended January 31, 2014, 2013 and 2012 was $73.8 million, $33.6 million and $18.4 million, respectively.</w:t>
      </w:r>
    </w:p>
    <w:p>
      <w:pPr>
        <w:spacing w:after="0" w:line="15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During the fiscal year ended January 31, 2014, Autodesk granted 3.5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$74.9 million, $70.5 million and $29.1 million during fiscal years ended January 31, 2014, 2013 and 2012, respectively. Included in the $70.5 million incurred in fiscal 2013, Autodesk incurred $16.6 million relating to the acceleration of vesting of equity awards held in Socialcam for Socialcam employees immediately prior to the acquisition. As of January 31, 2014, total compensation cost not yet recognized of $152.4 million related to non-vested awards, is expected to be recognized over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148590</wp:posOffset>
            </wp:positionV>
            <wp:extent cx="97790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79</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period of 1.9 years. At January 31, 2014, the number of restricted stock units granted but unreleased was 5.7 million.</w:t>
      </w:r>
    </w:p>
    <w:p>
      <w:pPr>
        <w:spacing w:after="0" w:line="22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During the fiscal year ended January 31, 2014, Autodesk granted 0.5 million performance stock units ("PSUs") for which the ultimate number of shares earned is determined based on the achievement of performance criteria at the end of the stated performance period. The performance criteria is based upon annual revenue and non-GAAP operating margin goals adopted by the Compensation and Human Resource Committee (the “Annual Financial Results”), as well as total stockholder return compared against the S&amp;P Computer Software Select Index (“Relative TSR”). Each PSU covers a three year period:</w:t>
      </w:r>
    </w:p>
    <w:p>
      <w:pPr>
        <w:spacing w:after="0" w:line="154" w:lineRule="exact"/>
        <w:rPr>
          <w:sz w:val="20"/>
          <w:szCs w:val="20"/>
          <w:color w:val="auto"/>
        </w:rPr>
      </w:pPr>
    </w:p>
    <w:p>
      <w:pPr>
        <w:ind w:left="660" w:right="1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one depending upon the achievement of Annual Financial Results for year one as well as 1 year Relative TSR (covering year one).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two depending upon the achievement of Annual Financial Results for year two as well as 2 year Relative TSR (covering years one and two).</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 to one third of the PSU may vest following year three depending upon the achievement of Annual Financial Results for year three as well as 3 year Relative TSR (covering years one, two and three).</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performance restricted stock units is expensed using the accelerated attribution method over the vesting period. Autodesk recorded stock-based compensation expense related to PSUs of $8.7 million and $8.1 million during fiscal year ended January 31, 2014 and 2013, respectively. Autodesk did not grant PSUs during the fiscal year ended January 31, 2012. As of January 31, 2014, total compensation cost not yet recognized of $2.3 million related to non-vested PSUs, is expected to be recognized over a weighted average period of 0.9 years. At January 31, 2014, the number of PSUs granted but unreleased was 0.8 million.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January 31, 2014, a total of 38.1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issued 2.9 million shares under the ESP Plan at an average price of $22.61 per share in fiscal 2014, 2.9 million shares at an average price of $21.79 per share in fiscal 2013, and 2.8 million shares at an average price of $18.26 per share in fiscal 2012. The weighted average grant date fair value of awards granted under the ESP Plan during fiscal 2014, 2013 and 2012, calculated as of the award grant date using the BSM option-pricing model, was $11.80, $12.21 and $9.95 per share, respectively. Autodesk recorded $22.9 million, $34.0 million and $23.8 million of compensation expense associated with the ESP Plan in fiscal 2014,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Compensation Plan Information</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Plan category</w:t>
      </w:r>
    </w:p>
    <w:p>
      <w:pPr>
        <w:spacing w:after="0" w:line="54" w:lineRule="exact"/>
        <w:rPr>
          <w:sz w:val="20"/>
          <w:szCs w:val="20"/>
          <w:color w:val="auto"/>
        </w:rPr>
      </w:pPr>
    </w:p>
    <w:p>
      <w:pPr>
        <w:ind w:left="40"/>
        <w:spacing w:after="0" w:line="356"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 (2) Total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2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Weighted-average</w:t>
            </w:r>
          </w:p>
        </w:tc>
        <w:tc>
          <w:tcPr>
            <w:tcW w:w="2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40" w:type="dxa"/>
            <w:vAlign w:val="bottom"/>
          </w:tcPr>
          <w:p>
            <w:pPr>
              <w:jc w:val="right"/>
              <w:ind w:right="45"/>
              <w:spacing w:after="0"/>
              <w:rPr>
                <w:sz w:val="20"/>
                <w:szCs w:val="20"/>
                <w:color w:val="auto"/>
              </w:rPr>
            </w:pPr>
            <w:r>
              <w:rPr>
                <w:rFonts w:ascii="Arial" w:cs="Arial" w:eastAsia="Arial" w:hAnsi="Arial"/>
                <w:sz w:val="16"/>
                <w:szCs w:val="16"/>
                <w:color w:val="auto"/>
              </w:rPr>
              <w:t>12.4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33.56</w:t>
            </w:r>
          </w:p>
        </w:tc>
        <w:tc>
          <w:tcPr>
            <w:tcW w:w="120" w:type="dxa"/>
            <w:vAlign w:val="bottom"/>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59.7  (1)</w:t>
            </w:r>
          </w:p>
        </w:tc>
        <w:tc>
          <w:tcPr>
            <w:tcW w:w="0" w:type="dxa"/>
            <w:vAlign w:val="bottom"/>
          </w:tcPr>
          <w:p>
            <w:pPr>
              <w:spacing w:after="0"/>
              <w:rPr>
                <w:sz w:val="1"/>
                <w:szCs w:val="1"/>
                <w:color w:val="auto"/>
              </w:rPr>
            </w:pPr>
          </w:p>
        </w:tc>
      </w:tr>
      <w:tr>
        <w:trPr>
          <w:trHeight w:val="270"/>
        </w:trPr>
        <w:tc>
          <w:tcPr>
            <w:tcW w:w="1940" w:type="dxa"/>
            <w:vAlign w:val="bottom"/>
          </w:tcPr>
          <w:p>
            <w:pPr>
              <w:jc w:val="right"/>
              <w:ind w:right="45"/>
              <w:spacing w:after="0"/>
              <w:rPr>
                <w:sz w:val="20"/>
                <w:szCs w:val="20"/>
                <w:color w:val="auto"/>
              </w:rPr>
            </w:pPr>
            <w:r>
              <w:rPr>
                <w:rFonts w:ascii="Arial" w:cs="Arial" w:eastAsia="Arial" w:hAnsi="Arial"/>
                <w:sz w:val="16"/>
                <w:szCs w:val="16"/>
                <w:color w:val="auto"/>
              </w:rPr>
              <w:t>0.1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24.20</w:t>
            </w:r>
          </w:p>
        </w:tc>
        <w:tc>
          <w:tcPr>
            <w:tcW w:w="120" w:type="dxa"/>
            <w:vAlign w:val="bottom"/>
          </w:tcPr>
          <w:p>
            <w:pPr>
              <w:spacing w:after="0"/>
              <w:rPr>
                <w:sz w:val="23"/>
                <w:szCs w:val="23"/>
                <w:color w:val="auto"/>
              </w:rPr>
            </w:pPr>
          </w:p>
        </w:tc>
        <w:tc>
          <w:tcPr>
            <w:tcW w:w="2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12.5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5"/>
              <w:spacing w:after="0"/>
              <w:rPr>
                <w:sz w:val="20"/>
                <w:szCs w:val="20"/>
                <w:color w:val="auto"/>
              </w:rPr>
            </w:pPr>
            <w:r>
              <w:rPr>
                <w:rFonts w:ascii="Arial" w:cs="Arial" w:eastAsia="Arial" w:hAnsi="Arial"/>
                <w:sz w:val="16"/>
                <w:szCs w:val="16"/>
                <w:color w:val="auto"/>
              </w:rPr>
              <w:t>33.54</w:t>
            </w:r>
          </w:p>
        </w:tc>
        <w:tc>
          <w:tcPr>
            <w:tcW w:w="120" w:type="dxa"/>
            <w:vAlign w:val="bottom"/>
          </w:tcPr>
          <w:p>
            <w:pPr>
              <w:spacing w:after="0"/>
              <w:rPr>
                <w:sz w:val="21"/>
                <w:szCs w:val="21"/>
                <w:color w:val="auto"/>
              </w:rPr>
            </w:pPr>
          </w:p>
        </w:tc>
        <w:tc>
          <w:tcPr>
            <w:tcW w:w="26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59.7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-539750</wp:posOffset>
            </wp:positionV>
            <wp:extent cx="722947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-196850</wp:posOffset>
            </wp:positionV>
            <wp:extent cx="722947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200" w:space="40"/>
            <w:col w:w="7180"/>
          </w:cols>
          <w:pgMar w:left="240" w:top="125" w:right="239" w:bottom="1440" w:gutter="0" w:footer="0" w:header="0"/>
          <w:type w:val="continuous"/>
        </w:sect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this amount are 38.1 million securities available for future issuance under Autodesk’s ESP Plan.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correspond to Autodesk’s Nonstatutory Stock Option Plan, which was terminated by the Board of Directors in December 2004.</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379"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54.3</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55.9</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672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77.6</w:t>
            </w:r>
          </w:p>
        </w:tc>
      </w:tr>
      <w:tr>
        <w:trPr>
          <w:trHeight w:val="33"/>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fiscal year 2014, the Company reduced its current federal and state taxes payable by $0.9 million related to excess tax benefits from non-qualified stock options, offsetting additional paid-in capital. Pursuant to accounting standards related to stock-based compensation, the Company has unrecorded excess stock option tax benefits of $191.6 million as of January 31, 2014. These amounts will be credited to additional paid-in-capital when such amounts reduce cash taxes payable. Foreign pretax income was $380.5 million in fiscal 2014, $383.3 million in fiscal 2013, and $383.7 million in 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261620</wp:posOffset>
            </wp:positionV>
            <wp:extent cx="97790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81</w:t>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4"/>
                <w:szCs w:val="14"/>
                <w:b w:val="1"/>
                <w:bCs w:val="1"/>
                <w:color w:val="auto"/>
              </w:rPr>
              <w:t>Fiscal year ended January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at U.S. Federal statutory rate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expense, net of the U.S. Federal benefit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stock-based compensation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Tax expense (benefit) from closure of income tax audits and changes in uncertain tax positions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Officer compensation in excess of $1.0 million</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Manufacturer's deduction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1"/>
              </w:rPr>
              <w:t>Significant components of Autodesk’s deferred tax assets and liabilities are as follows: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Nonqualified stock options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Tax method change on advanced payments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Total deferred tax liability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valuation allowance increased by $15.9 million, $3.8 million and $4.6 million in fiscal 2014, 2013 and 2012, respectively. The fiscal 2014, fiscal 2013, and fiscal 2012 changes in valuation allowance were related to U.S. and Canadian deferred taxes.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provides U.S. income taxes on the earnings of foreign subsidiaries, except to the extent subsidiaries' earnings are considered permanently reinvested outside the U.S. As of January 31, 2014, the cumulative amount of earnings upon which U.S. income taxes have not been provided was $1,690.0 million. The unrecognized deferred tax liability for these earnings was approximately $491.4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Realization of the Company's net deferred tax assets of $187.9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w:t>
      </w:r>
    </w:p>
    <w:p>
      <w:pPr>
        <w:spacing w:after="0" w:line="16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January 31, 2014, Autodesk had $17.0 million of cumulative federal tax loss carryforwards and $322.9 million of cumulative state tax loss carryforwards, which may be available to reduce future income tax liabilities in certain jurisdictions. These federal and state tax loss carryforwards will expire beginning fiscal 2015 through fiscal 2033 and fiscal 2015 through fiscal 2033, respectively. Autodesk also had $9.8 million of cumulative federal and state capital loss carryforwards as of January 31, 2014 which are available to offset future capital gains through fiscal 2018.</w:t>
      </w:r>
    </w:p>
    <w:p>
      <w:pPr>
        <w:spacing w:after="0" w:line="171" w:lineRule="exact"/>
        <w:rPr>
          <w:sz w:val="20"/>
          <w:szCs w:val="20"/>
          <w:color w:val="auto"/>
        </w:rPr>
      </w:pPr>
    </w:p>
    <w:p>
      <w:pPr>
        <w:ind w:right="280" w:firstLine="432"/>
        <w:spacing w:after="0" w:line="273" w:lineRule="auto"/>
        <w:rPr>
          <w:sz w:val="20"/>
          <w:szCs w:val="20"/>
          <w:color w:val="auto"/>
        </w:rPr>
      </w:pPr>
      <w:r>
        <w:rPr>
          <w:rFonts w:ascii="Arial" w:cs="Arial" w:eastAsia="Arial" w:hAnsi="Arial"/>
          <w:sz w:val="17"/>
          <w:szCs w:val="17"/>
          <w:color w:val="auto"/>
        </w:rPr>
        <w:t>As of January 31, 2014, Autodesk had $96.1 million of cumulative federal research tax credit carryforwards, $49.8 million of cumulative California state research tax credit carryforwards and $63.4 million of cumulative Canadian federal tax credit carryforwards, which may be available to reduce future income tax liabilities in the respective jurisdictions. The federal credit carryforwards will expire beginning fiscal 2020 through fiscal 2034, the state credit carryforwards may reduce future California income tax liabilities indefinitely, and the Canadian tax credit carryforwards will expire beginning fiscal 2024 through fiscal 2034. Autodesk also has $107.6 million of cumulative foreign tax credit carryforwards, which may be available to reduce future U. S. tax liabilities. The foreign tax credit will expire beginning fiscal 2019 through fiscal 2025.</w:t>
      </w:r>
    </w:p>
    <w:p>
      <w:pPr>
        <w:spacing w:after="0" w:line="178"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w:t>
      </w:r>
    </w:p>
    <w:p>
      <w:pPr>
        <w:spacing w:after="0" w:line="1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Europe and Asia Pacific countries is subject to reduced tax rates through fiscal and 2016 and 2019, respectively with extensions available with incremental business and employment actions. The net income tax benefits attributable to the tax status of these business arrangements are estimated to be $9.7 million ($0.04 basic net income per share) in fiscal 2014, $6.6 million ($0.03 basic net income per share) in fiscal 2013 and $10.4 million ($0.05 basic net income per share) in fiscal 2012. The income tax benefits were offset partially by accruals of U.S. income taxes on undistributed earnings, among other factors.</w:t>
      </w:r>
    </w:p>
    <w:p>
      <w:pPr>
        <w:spacing w:after="0" w:line="15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January 31, 2014, the Company had $222.1 million of gross unrecognized tax benefits, of which $214.5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0.4</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14.3</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lapse of statute of limitations/audit settlements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9"/>
              </w:rPr>
              <w:t>222.1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201.1</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It is the Company's continuing practice to recognize interest and/or penalties related to income tax matters in income tax expense. The Company had $2.8 million, $1.9 million and $2.4 million, net of tax benefit, accrued for interest and zero accrued for penalties related to unrecognized tax benefits as of January 31, 2014, 2013 and 2012, respectively.</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Autodesk and its subsidiaries are subject to income tax in the United States as well as numerous state and foreign jurisdictions. The Company's U.S. and state income tax returns for fiscal year 2003 through fiscal year 2014 remain open to examination. In addition, the Company files tax returns in multiple foreign taxing jurisdictions with open tax years ranging from fiscal year 2003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fiscal years ended January 31, 2014 and January 31, 2013, Autodesk completed the business combinations and technology purchases described below. The results of operations for the following acquisitions are included in the accompanying Consolidated Statement of Operations since their respective acquisition dates. Pro forma results of operations have not been presented because the effects of the following acquisitions, individually and in the aggregate, were not material to Autodesk's Consolidated Financial Statements.</w:t>
      </w:r>
    </w:p>
    <w:p>
      <w:pPr>
        <w:spacing w:after="0" w:line="18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2014 Acquisitions</w:t>
      </w:r>
    </w:p>
    <w:p>
      <w:pPr>
        <w:spacing w:after="0" w:line="22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On November 21, 2013, Autodesk acquired all of the outstanding shares of Graitec SA (“Graitec”) for total cash consideration of $87.0 million. The acquisition will enhance Autodesk’s current offerings for structural engineering and expand its portfolio of technology for Building Information Modeling ("BIM") for structural fabrication and detailing. Graitec will be integrated into Autodesk’s AEC segment. The amount of goodwill that is expected to be deductible for tax purposes is $73.4 million.</w:t>
      </w:r>
    </w:p>
    <w:p>
      <w:pPr>
        <w:spacing w:after="0" w:line="16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During the fiscal year ended January 31, 2014, Autodesk also completed 14 other business combination and technology acquisitions for total cash consideration of approximately $89.7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Graitec</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Other</w:t>
            </w:r>
          </w:p>
        </w:tc>
      </w:tr>
      <w:tr>
        <w:trPr>
          <w:trHeight w:val="23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20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20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2.8</w:t>
            </w:r>
          </w:p>
        </w:tc>
      </w:tr>
      <w:tr>
        <w:trPr>
          <w:trHeight w:val="33"/>
        </w:trPr>
        <w:tc>
          <w:tcPr>
            <w:tcW w:w="7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User List</w:t>
            </w:r>
          </w:p>
        </w:tc>
        <w:tc>
          <w:tcPr>
            <w:tcW w:w="12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2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asset</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Net tangible assets (liabilities)</w:t>
            </w:r>
          </w:p>
        </w:tc>
        <w:tc>
          <w:tcPr>
            <w:tcW w:w="1200" w:type="dxa"/>
            <w:vAlign w:val="bottom"/>
          </w:tcPr>
          <w:p>
            <w:pPr>
              <w:spacing w:after="0"/>
              <w:rPr>
                <w:sz w:val="20"/>
                <w:szCs w:val="20"/>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w:t>
            </w:r>
          </w:p>
        </w:tc>
      </w:tr>
      <w:tr>
        <w:trPr>
          <w:trHeight w:val="33"/>
        </w:trPr>
        <w:tc>
          <w:tcPr>
            <w:tcW w:w="7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7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For Graitec, the allocation of purchase price consideration to the assets and liabilities is not yet finalized. The allocation of the purchase price consideration was based upon a preliminary valuation and Autodesk's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Fiscal 2013 Acquisitions</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June 7, 2012, Autodesk acquired Vela Systems, Inc. (“Vela”) for total cash consideration of $76.0 million. Vela was a privately owned company that provides a cloud-based mobile platform that delivers critical information to the construction and capital projects market. Prior to acquiring Vela, Autodesk had an equity investment with the company that had an acquisition-date fair value of $6.8 million using a market approach to value the investment. Valuations using the market approach reflect relevant observable information generated by market transactions involving comparable businesses. As a result of the acquisition, Autodesk recorded a $3.3 million gain on the sale of the investment. Vela has been integrated into, and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127000</wp:posOffset>
            </wp:positionV>
            <wp:extent cx="97790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goodwill was assigned to, Autodesk's AEC segment. The amount of goodwill that is expected to be deductible for tax purposes is zero.</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August 1, 2012, Autodesk acquired Socialcam, Inc, (“Socialcam”) for total cash consideration of $59.5 million. Socialcam was a privately held web-based company offering a smartphone application and web-based service that allows users to capture, edit, and share video. Of the $59.5 million, Autodesk incurred $16.6 million relating to the acceleration of vesting of equity awards held in Socialcam for Socialcam employees immediately prior to the acquisition. The $16.6 million stock based compensation charge is included in "Research and development" in the Consolidated Statement of Operations. Socialcam has been integrated into, and the related goodwill was assigned to, Autodesk’s PSEB segment. The amount of goodwill that is expected to be deductible for tax purposes is zero.</w:t>
      </w:r>
    </w:p>
    <w:p>
      <w:pPr>
        <w:spacing w:after="0" w:line="193"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October 4, 2012, Autodesk acquired Qontext, an enterprise business and social collaboration software solution, from India-based Pramati Technologies for $26.0 million and hired the Qontext development team. This acquisition is expected to accelerate Autodesk’s ongoing move to the cloud and expansion of social capabilities in the Autodesk 360 cloud-based service. Treated as a business combination, Qontext has been integrated into, and the related goodwill was assigned to, Autodesk’s PSEB segment. The amount of goodwill that is expected to be deductible for tax purposes is $24.0 million.</w:t>
      </w:r>
    </w:p>
    <w:p>
      <w:pPr>
        <w:spacing w:after="0" w:line="154"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On December 21, 2012, Autodesk acquired PI-VR GmbH (“PI-VR”) for approximately $48.6 million. PI-VR was a privately held company based in Berlin, Germany that specializes in sophisticated real time visualization technology used primarily in the automotive industry. PI-VR has been integrated, and the related goodwill was assigned to, Autodesk's MFG segment. The amount of goodwill that is expected to be deductible for tax purposes is zero.</w:t>
      </w:r>
    </w:p>
    <w:p>
      <w:pPr>
        <w:spacing w:after="0" w:line="147"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During the fiscal year ended January 31, 2013, Autodesk also completed nine other business combination and technology acquisitions for total cash consideration of approximately $63.2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2013:</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Vela</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Socialcam</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Qontext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PI-VR</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223"/>
        </w:trPr>
        <w:tc>
          <w:tcPr>
            <w:tcW w:w="514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7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r>
      <w:tr>
        <w:trPr>
          <w:trHeight w:val="33"/>
        </w:trPr>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2.0</w:t>
            </w:r>
          </w:p>
        </w:tc>
      </w:tr>
      <w:tr>
        <w:trPr>
          <w:trHeight w:val="33"/>
        </w:trPr>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User List</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color w:val="auto"/>
              </w:rPr>
              <w:t>Goodwill</w:t>
            </w: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57.5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46.1</w:t>
            </w:r>
          </w:p>
        </w:tc>
      </w:tr>
      <w:tr>
        <w:trPr>
          <w:trHeight w:val="33"/>
        </w:trPr>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Pr>
          <w:p>
            <w:pPr>
              <w:ind w:left="20"/>
              <w:spacing w:after="0"/>
              <w:rPr>
                <w:sz w:val="20"/>
                <w:szCs w:val="20"/>
                <w:color w:val="auto"/>
              </w:rPr>
            </w:pPr>
            <w:r>
              <w:rPr>
                <w:rFonts w:ascii="Arial" w:cs="Arial" w:eastAsia="Arial" w:hAnsi="Arial"/>
                <w:sz w:val="16"/>
                <w:szCs w:val="16"/>
                <w:color w:val="auto"/>
              </w:rPr>
              <w:t>Deferred tax asset (liability)</w:t>
            </w:r>
          </w:p>
        </w:tc>
        <w:tc>
          <w:tcPr>
            <w:tcW w:w="72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tangible assets (liabilities)</w:t>
            </w: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5140" w:type="dxa"/>
            <w:vAlign w:val="bottom"/>
          </w:tcPr>
          <w:p>
            <w:pPr>
              <w:ind w:left="280"/>
              <w:spacing w:after="0"/>
              <w:rPr>
                <w:sz w:val="20"/>
                <w:szCs w:val="20"/>
                <w:color w:val="auto"/>
              </w:rPr>
            </w:pPr>
            <w:r>
              <w:rPr>
                <w:rFonts w:ascii="Arial" w:cs="Arial" w:eastAsia="Arial" w:hAnsi="Arial"/>
                <w:sz w:val="16"/>
                <w:szCs w:val="16"/>
                <w:color w:val="auto"/>
              </w:rPr>
              <w:t>Total</w:t>
            </w:r>
          </w:p>
        </w:tc>
        <w:tc>
          <w:tcPr>
            <w:tcW w:w="7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76.0</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42.9</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26.0</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63.2</w:t>
            </w:r>
          </w:p>
        </w:tc>
      </w:tr>
      <w:tr>
        <w:trPr>
          <w:trHeight w:val="20"/>
        </w:trPr>
        <w:tc>
          <w:tcPr>
            <w:tcW w:w="5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Deferred Compensation</w:t>
      </w:r>
    </w:p>
    <w:p>
      <w:pPr>
        <w:spacing w:after="0" w:line="22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At January 31, 2014, Autodesk had marketable securities totaling $691.4 million, of which $38.9 million related to investments in debt and equity securities that are held in a rabbi trust under non-qualified deferred compensation plans. The total related deferred compensation liability was $38.9 million at January 31, 2014, of which $1.9 million was classified as current and $37.0 million was classified as non-current liabilities. The value of debt and equity securities held in the rabbi trust at January 31, 2013 was $35.3 million. The total related deferred compensation liability at January 31, 2013 was $35.3 million, of which $3.9 million was classified as current and $31.4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276225</wp:posOffset>
            </wp:positionV>
            <wp:extent cx="97790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Borrowing Arrangements</w:t>
      </w:r>
    </w:p>
    <w:p>
      <w:pPr>
        <w:spacing w:after="0" w:line="229"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December 2012, Autodesk issued $400.0 million aggregate principal amount of 1.95% senior notes due December 15, 2017 and $350.0 million aggregate principal amount of 3.6% senior notes due December 15, 2022, (collectively, the "Senior Notes"). Autodesk received net proceeds of $739.3 million from issuance of the Senior Notes, net of a discount of $4.5 million and issuance costs of $6.1 million. Both the discount and issuance costs are being amortized to interest expense over the respective terms of the Senior Notes using the effective interest method. In the fourth quarter of fiscal 2013, Autodesk used a portion of the proceeds to re-pay the outstanding balance of the credit facility. The remaining proceeds from the Senior Notes are available for general corporate purposes. Autodesk may redeem the Senior Notes at any time, subject to a make whole premium. In addition, upon the occurrence of certain change of control triggering events, Autodesk may be required to repurchase the Senior Notes, at a price equal to 101% of their principal amount, plus accrued and unpaid interest to the date of repurchase. The Senior Notes contain restrictive covenants that limit our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Senior Notes was approximately $738.0 million as of January 31, 2014.</w:t>
      </w:r>
    </w:p>
    <w:p>
      <w:pPr>
        <w:spacing w:after="0" w:line="16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Citibank, N.A., an affiliate of Citigroup, which is one of the lead lenders and an agent. In May 2013, Autodesk amended and restated the credit agreement extending the facility's maturity date from May 2016 to May 2018 and reducing facility fees and lowering borrowing costs by aligning margins with our recent public investment grade credit ratings. At January 31, 2014 and January 31, 2013, Autodesk had no outstanding borrowings on this line of credit.</w:t>
      </w:r>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fiscal 2024. The leases generally provide that Autodesk pay taxes, insurance and maintenance expenses related to the leased assets. Certain of these lease arrangements contain escalation clauses whereby monthly rent increases over time. At January 31, 2014, the aggregate future minimum lease payments required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47.0</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38.5</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2012</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53.0</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291465</wp:posOffset>
            </wp:positionV>
            <wp:extent cx="97790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2014 were approximately $65.3 million for periods through fiscal 2017 These purchase commitments primarily result from contracts for the acquisition of IT infrastructure, marketing and software development services.</w:t>
      </w:r>
    </w:p>
    <w:p>
      <w:pPr>
        <w:spacing w:after="0" w:line="18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Autodesk has certain royalty commitments associated with the shipment and licensing of certain products. Royalty expense is generally based on a dollar amount per unit shipped or a percentage of the underlying revenue. Royalty expense, which was recorded under cost of license and other revenue on Autodesk’s Consolidated Statements of Operations, was $18.0 million in fiscal 2014, $16.4 million in fiscal 2013 and $16.5 million in fiscal 2012.</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2014,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Stock Repurchase Programs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 of returning excess cash generated from the Company’s business to stockholders. Autodesk repurchased and retired 10.5 million shares in fiscal 2014 at an average repurchase price of $40.43 per share, 12.5 million shares in fiscal 2013 at an average repurchase price of $34.50 per share and 9.7 million shares in fiscal 2012 at an average repurchase price of $33.71.</w:t>
      </w:r>
    </w:p>
    <w:p>
      <w:pPr>
        <w:spacing w:after="0" w:line="181"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At January 31, 2014, 21.8 million shares remained available for repurchase under the repurchase program approved by the Board of Directors.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and Other (Expense) Income,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other income, net, consists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income, net (1)</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(1)</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income, net</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6"/>
          <w:szCs w:val="16"/>
          <w:color w:val="auto"/>
        </w:rPr>
        <w:t>For comparability, the presentation of the balances at January 31, 2012 was adjusted to align to current year presentation.</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Accumulated Other Comprehensive (Loss)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income, net of taxes, was comprised of the following at January 31:</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24"/>
        </w:trPr>
        <w:tc>
          <w:tcPr>
            <w:tcW w:w="6720" w:type="dxa"/>
            <w:vAlign w:val="bottom"/>
            <w:gridSpan w:val="3"/>
          </w:tcPr>
          <w:p>
            <w:pPr>
              <w:ind w:left="20"/>
              <w:spacing w:after="0"/>
              <w:rPr>
                <w:sz w:val="20"/>
                <w:szCs w:val="20"/>
                <w:color w:val="auto"/>
              </w:rPr>
            </w:pPr>
            <w:r>
              <w:rPr>
                <w:rFonts w:ascii="Arial" w:cs="Arial" w:eastAsia="Arial" w:hAnsi="Arial"/>
                <w:sz w:val="16"/>
                <w:szCs w:val="16"/>
                <w:color w:val="auto"/>
              </w:rPr>
              <w:t>Net gain on derivative instruments</w:t>
            </w:r>
          </w:p>
        </w:tc>
        <w:tc>
          <w:tcPr>
            <w:tcW w:w="102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33"/>
        </w:trPr>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Net unrealized</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5"/>
                <w:shd w:val="clear" w:color="auto" w:fill="CCEEFF"/>
              </w:rPr>
              <w:t>gain</w:t>
            </w:r>
          </w:p>
        </w:tc>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 available-for-sale securities (1)</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6720" w:type="dxa"/>
            <w:vAlign w:val="bottom"/>
            <w:gridSpan w:val="3"/>
          </w:tcPr>
          <w:p>
            <w:pPr>
              <w:ind w:left="20"/>
              <w:spacing w:after="0"/>
              <w:rPr>
                <w:sz w:val="20"/>
                <w:szCs w:val="20"/>
                <w:color w:val="auto"/>
              </w:rPr>
            </w:pPr>
            <w:r>
              <w:rPr>
                <w:rFonts w:ascii="Arial" w:cs="Arial" w:eastAsia="Arial" w:hAnsi="Arial"/>
                <w:sz w:val="16"/>
                <w:szCs w:val="16"/>
                <w:color w:val="auto"/>
              </w:rPr>
              <w:t>Defined benefit pension items (1)</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 (1)</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17"/>
        </w:trPr>
        <w:tc>
          <w:tcPr>
            <w:tcW w:w="6720" w:type="dxa"/>
            <w:vAlign w:val="bottom"/>
            <w:gridSpan w:val="3"/>
          </w:tcPr>
          <w:p>
            <w:pPr>
              <w:ind w:left="380"/>
              <w:spacing w:after="0"/>
              <w:rPr>
                <w:sz w:val="20"/>
                <w:szCs w:val="20"/>
                <w:color w:val="auto"/>
              </w:rPr>
            </w:pPr>
            <w:r>
              <w:rPr>
                <w:rFonts w:ascii="Arial" w:cs="Arial" w:eastAsia="Arial" w:hAnsi="Arial"/>
                <w:sz w:val="16"/>
                <w:szCs w:val="16"/>
                <w:color w:val="auto"/>
              </w:rPr>
              <w:t>Accumulated other comprehensive (loss)</w:t>
            </w:r>
          </w:p>
        </w:tc>
        <w:tc>
          <w:tcPr>
            <w:tcW w:w="1020" w:type="dxa"/>
            <w:vAlign w:val="bottom"/>
            <w:tcBorders>
              <w:top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r>
      <w:tr>
        <w:trPr>
          <w:trHeight w:val="33"/>
        </w:trPr>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715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(1) For comparability, the presentation of the balances at January 31, 2013 and January 31, 2012 were adjusted to align with current year presentation.</w:t>
      </w:r>
    </w:p>
    <w:p>
      <w:pPr>
        <w:spacing w:after="0" w:line="19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Pre-tax reclassifications from “Accumulated other comprehensive (loss)” to the Company's Consolidated Statement of Operations for the twelve months ended January 2014 were $12.9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228.8</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229.6</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income per share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1.00</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fiscal year. For the fiscal years ended January 31, 2014, 2013 and 2012, 5.4 million, 9.6 million and 12.9 million potentially anti-dilutive shares, respectively, were excluded from the computation of net income per share.</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Segments</w:t>
      </w:r>
    </w:p>
    <w:p>
      <w:pPr>
        <w:spacing w:after="0" w:line="229"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PSEB, AEC, MFG and M&amp;E. Autodesk has no material inter-segment revenue.</w:t>
      </w:r>
    </w:p>
    <w:p>
      <w:pPr>
        <w:spacing w:after="0" w:line="18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60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20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Autodesk Design Suite and many other design products, including consumer design products, as well as from sales of licenses of other Autodesk's design products.</w:t>
      </w:r>
    </w:p>
    <w:p>
      <w:pPr>
        <w:spacing w:after="0" w:line="173"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AutoCAD Civil 3D, AutoCAD Map, and Autodesk Infrastructure Design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269875</wp:posOffset>
            </wp:positionV>
            <wp:extent cx="97790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AutoCAD Mechanical, and Autodesk Moldflow products.</w:t>
      </w:r>
    </w:p>
    <w:p>
      <w:pPr>
        <w:spacing w:after="0" w:line="18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M&amp;E consists of two product groups: Animation, including design visualization, and Creative Finishing. Animation products, such as Autodesk Maya, Autodesk 3ds Max, and the Autodesk Entertainment Creation Suites, provide tools for digital sculpting, modeling, animation, effects, rendering and compositing, for design visualization, visual effects and games production. M&amp;E products are also included in a number of PSEB, AEC, and MFG focused suites. Creative Finishing products provide editing, finishing and visual effects design and color grading.</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The accounting policies of the reportable segments are the same as those described in Note 1, “Business and Summary of Significant Accounting Policies.” Autodesk evaluates each segment’s performance on the basis of gross profit. Autodesk currently does not separately accumulate and report asset information by segment, except for goodwill, which is disclosed in Note 1, “Business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530860</wp:posOffset>
            </wp:positionV>
            <wp:extent cx="97790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789.2</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843.0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833.1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626.4</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540.3</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 (1)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2,273.9</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2,215.6</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716.8</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788.8</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788.0</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 (1)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569.7</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496.1</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Unallocated (2)</w:t>
            </w:r>
          </w:p>
        </w:tc>
        <w:tc>
          <w:tcPr>
            <w:tcW w:w="3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1,999.6</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Unallocated</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33"/>
        </w:trPr>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_______________</w:t>
            </w: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Prior period segment revenue amounts have been updated to conform with the current period's presentation.</w:t>
      </w:r>
    </w:p>
    <w:p>
      <w:pPr>
        <w:spacing w:after="0" w:line="9" w:lineRule="exact"/>
        <w:rPr>
          <w:rFonts w:ascii="Arial" w:cs="Arial" w:eastAsia="Arial" w:hAnsi="Arial"/>
          <w:sz w:val="16"/>
          <w:szCs w:val="16"/>
          <w:color w:val="auto"/>
        </w:rPr>
      </w:pPr>
    </w:p>
    <w:p>
      <w:pPr>
        <w:ind w:left="420" w:right="500" w:hanging="412"/>
        <w:spacing w:after="0" w:line="257" w:lineRule="auto"/>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370"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Information regarding Autodesk’s operations by geographic area is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672.3</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631.0</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167.5</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798.5</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851.8</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868.5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862.2</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Japan</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240.5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314.4</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554.9</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2,273.9</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257175</wp:posOffset>
            </wp:positionV>
            <wp:extent cx="97790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2014 Form 10-K 91</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assets (1):</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3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U.S.</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6"/>
              </w:rPr>
              <w:t>1,041.9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Other Americas</w:t>
            </w:r>
          </w:p>
        </w:tc>
        <w:tc>
          <w:tcPr>
            <w:tcW w:w="9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6"/>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90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6"/>
              </w:rPr>
              <w:t>1,351.6</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1,222.1</w:t>
            </w:r>
          </w:p>
        </w:tc>
        <w:tc>
          <w:tcPr>
            <w:tcW w:w="0" w:type="dxa"/>
            <w:vAlign w:val="bottom"/>
          </w:tcPr>
          <w:p>
            <w:pPr>
              <w:spacing w:after="0"/>
              <w:rPr>
                <w:sz w:val="1"/>
                <w:szCs w:val="1"/>
                <w:color w:val="auto"/>
              </w:rPr>
            </w:pPr>
          </w:p>
        </w:tc>
      </w:tr>
      <w:tr>
        <w:trPr>
          <w:trHeight w:val="33"/>
        </w:trPr>
        <w:tc>
          <w:tcPr>
            <w:tcW w:w="8340" w:type="dxa"/>
            <w:vAlign w:val="bottom"/>
            <w:gridSpan w:val="2"/>
            <w:vMerge w:val="restart"/>
          </w:tcPr>
          <w:p>
            <w:pPr>
              <w:jc w:val="right"/>
              <w:ind w:right="6459"/>
              <w:spacing w:after="0"/>
              <w:rPr>
                <w:sz w:val="20"/>
                <w:szCs w:val="20"/>
                <w:color w:val="auto"/>
              </w:rPr>
            </w:pPr>
            <w:r>
              <w:rPr>
                <w:rFonts w:ascii="Arial" w:cs="Arial" w:eastAsia="Arial" w:hAnsi="Arial"/>
                <w:sz w:val="18"/>
                <w:szCs w:val="18"/>
                <w:color w:val="auto"/>
                <w:w w:val="88"/>
              </w:rPr>
              <w:t>____________________</w:t>
            </w: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Long-lived assets exclude deferred tax assets and marketable securities.</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Retirement Benefit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$8.1 million in fiscal 2014, $7.9 million in fiscal 2013 and $7.3 million in fiscal 2012. Autodesk does not allow participants to invest in Autodesk common stock through the 401(k) plan.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Plans</w:t>
      </w:r>
    </w:p>
    <w:p>
      <w:pPr>
        <w:spacing w:after="0" w:line="22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Autodesk provides certain defined benefit pension plans to employees primarily located in countries outside of the U.S. The Company deposits funds for specific plans, consistent with the requirements of local law, with insurance companies or third-party trustees, and accrues for the unfunded portion of the obligation, where material. The assumptions used in calculating the obligation for these plans depend on the local economic environment. The net liability related to the funded status of the plans was approximately $21.5 million and $24.0 million as of January 31, 2014 and 2013, respectively. The projected benefit obligation was $62.2 million and $61.5 million as of January 31, 2014 and 2013, respectively. The related fair value of plan assets was $40.7 million and $37.5 million as of January 31, 2014 and 2013, respectively. Autodesk's practice is to fund the pension plans in amounts at least sufficient to meet the minimum requirements of local laws and regulations. The assets of the plans are primarily invested in high quality fixed income investments. Autodesk's contributions were approximately $6.0 million, $5.4 million and $4.2 million in fiscal 2014, 2013 and 2012, respectively. As of January 31, 2014, Autodesk's estimated future benefit payments are an aggregate $11.4 million for fiscal 2015 through fiscal 2019 and an aggregate of $9.8 million for fiscal 2020 through fiscal 2024. Autodesk recorded $7.7 million and $13.1 million of unrealized changes in the unfunded portion of Autodesk’s defined benefit plans in fiscal 2014 and fiscal 2013, respectively.</w:t>
      </w:r>
    </w:p>
    <w:p>
      <w:pPr>
        <w:spacing w:after="0" w:line="18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$22.3 million in fiscal 2014, $21.5 million in fiscal 2013 and $20.4 million in fiscal 2012.</w:t>
      </w:r>
    </w:p>
    <w:p>
      <w:pPr>
        <w:spacing w:after="0" w:line="181"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Restructuring Reserves</w:t>
      </w:r>
    </w:p>
    <w:p>
      <w:pPr>
        <w:spacing w:after="0" w:line="22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During the third quarter of fiscal 2014, the Board of Directors of the Company approved a world-wide restructuring plan in order to re-balance staffing levels to better align them with the evolving needs of the business. The Company authorized plan included a reduction of approximately 85 positions and the consolidation of four leased facilities, with a total cost of approximately $15.0 million ("Fiscal 2014 Plan"). The Company expects to substantially pay the one-time termination benefits and facility related liabilities related to the Fiscal 2014 Plan by the end of its first quarter of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261620</wp:posOffset>
            </wp:positionV>
            <wp:extent cx="97790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During the third quarter of fiscal 2013, the Board of Directors of the Company approved a world-wide restructuring plan in line with the Company's strategy, including its continuing shift to cloud and mobile computing ("Fiscal 2013 Plan"). The approved plan resulted in a reduction of approximately 500 positions and the consolidation of eight leased facilities, with an aggregate charge of $46.2 million to date. As of January 31, 2014, the personnel and facilities related actions included in this restructuring plan were substantially complete.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for the fiscal years ended January 31, 2014 and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termination costs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9.4</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Lease termination and asset costs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1.1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Current portion (2)</w:t>
            </w: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4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Payments</w:t>
            </w: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Adjustments (1)</w:t>
            </w:r>
          </w:p>
        </w:tc>
        <w:tc>
          <w:tcPr>
            <w:tcW w:w="200" w:type="dxa"/>
            <w:vAlign w:val="bottom"/>
          </w:tcPr>
          <w:p>
            <w:pPr>
              <w:spacing w:after="0"/>
              <w:rPr>
                <w:sz w:val="13"/>
                <w:szCs w:val="13"/>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w w:val="97"/>
              </w:rPr>
              <w:t>Balances,</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2013</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2013 Plan</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9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asset costs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4"/>
        </w:trPr>
        <w:tc>
          <w:tcPr>
            <w:tcW w:w="29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 (2)</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289560</wp:posOffset>
            </wp:positionV>
            <wp:extent cx="97790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2014 and 2013 is as follows:</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2,273.9</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1,999.6</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132.2</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80.7</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Restructuring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2013</w:t>
            </w:r>
          </w:p>
        </w:tc>
        <w:tc>
          <w:tcPr>
            <w:tcW w:w="3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7"/>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588.6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548.0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2,312.2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2,073.7</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305.9</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247.4</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Basic net income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Diluted net income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1.07</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Income from operations includes the following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156.3</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Restructuring benefits, net</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w:t>
            </w:r>
          </w:p>
        </w:tc>
      </w:tr>
    </w:tbl>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On February 6, 2014, Autodesk acquired the entire issued and to be issued share capital of Delcam plc (“Delcam”), for £20.75 per share, or approximately £174.6 million or $284.6 million. Delcam was previously listed as a public company (LON: DLC) and is a leading supplier of advanced CADCAM and industrial measurement solutions for the manufacturing industry. With this transaction Autodesk gains Delcam’s range of design, manufacturing and inspection software that provide automated CADCAM solutions for a variety of industries, ranging from aerospace to toys and sports equipment. The transaction was structured as a cash offer for all the outstanding shares of Delcam, and Delcam will be integrated into Autodesk's Manufacturing reportable segment. The initial accounting for this acquisition was not complete as of March 10, 2014, due to the timing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267970</wp:posOffset>
            </wp:positionV>
            <wp:extent cx="97790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2014 and 2013, and the related consolidated statements of operations, comprehensive income, stockholders’ equity, and cash flows for each of the three years in the period ended January 31, 2014.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2014 and 2013, and the consolidated results of its operations and its cash flows for each of the three years in the period ended January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Autodesk, Inc.’s internal control over financial reporting as of January 31, 2014,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(1992 framework) and our report dated March 10, 2014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400050</wp:posOffset>
            </wp:positionV>
            <wp:extent cx="97790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We have audited Autodesk, Inc.’s internal control over financial reporting as of January 31, 2014,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(1992 framework) (the COSO criteria). Autodesk,</w:t>
      </w:r>
      <w:r>
        <w:rPr>
          <w:rFonts w:ascii="Arial" w:cs="Arial" w:eastAsia="Arial" w:hAnsi="Arial"/>
          <w:sz w:val="17"/>
          <w:szCs w:val="17"/>
          <w:i w:val="1"/>
          <w:iCs w:val="1"/>
          <w:color w:val="auto"/>
        </w:rPr>
        <w:t xml:space="preserve"> </w:t>
      </w:r>
      <w:r>
        <w:rPr>
          <w:rFonts w:ascii="Arial" w:cs="Arial" w:eastAsia="Arial" w:hAnsi="Arial"/>
          <w:sz w:val="17"/>
          <w:szCs w:val="17"/>
          <w:color w:val="auto"/>
        </w:rPr>
        <w:t>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our opinion, Autodesk, Inc. maintained, in all material respects, effective internal control over financial reporting as of January 31, 2014, based on the COSO criteria.</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Autodesk, Inc. as of January 31, 2014 and 2013, and the related consolidated statements of operations, comprehensive income, stockholders’ equity, and cash flows for each of the three years in the period ended January 31, 2014 of Autodesk, Inc. and our report dated March 10,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297180</wp:posOffset>
            </wp:positionV>
            <wp:extent cx="97790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management evaluated, with the participation of our Chief Executive Officer and Chief Financial Officer, the effectiveness of our disclosure controls and procedures as of the end of the period covered by this Annual Report on Form 10-K.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as amended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January 31, 2014 that have materially affected, or are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2014. In making this assessment, our management used the criteria set forth by the Committee of Sponsoring Organizations of the Treadway Commission (“COSO”) in the 1992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has concluded that, as of January 31, 2014, our internal control over financial reporting is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6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a result of the recent internal realignment and changes in responsibilities, our Board has re-evaluated our executive officers. The following sets forth certain information as of March 10, 2014 regarding our executive officers.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58"/>
        </w:trPr>
        <w:tc>
          <w:tcPr>
            <w:tcW w:w="2580" w:type="dxa"/>
            <w:vAlign w:val="bottom"/>
            <w:gridSpan w:val="2"/>
          </w:tcPr>
          <w:p>
            <w:pPr>
              <w:spacing w:after="0"/>
              <w:rPr>
                <w:sz w:val="20"/>
                <w:szCs w:val="20"/>
                <w:color w:val="auto"/>
              </w:rPr>
            </w:pPr>
            <w:r>
              <w:rPr>
                <w:rFonts w:ascii="Arial" w:cs="Arial" w:eastAsia="Arial" w:hAnsi="Arial"/>
                <w:sz w:val="16"/>
                <w:szCs w:val="16"/>
                <w:color w:val="auto"/>
              </w:rPr>
              <w:t>Carl Bass</w:t>
            </w:r>
          </w:p>
        </w:tc>
        <w:tc>
          <w:tcPr>
            <w:tcW w:w="146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56</w:t>
            </w:r>
          </w:p>
        </w:tc>
        <w:tc>
          <w:tcPr>
            <w:tcW w:w="76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2580" w:type="dxa"/>
            <w:vAlign w:val="bottom"/>
            <w:gridSpan w:val="2"/>
          </w:tcPr>
          <w:p>
            <w:pPr>
              <w:spacing w:after="0"/>
              <w:rPr>
                <w:sz w:val="20"/>
                <w:szCs w:val="20"/>
                <w:color w:val="auto"/>
              </w:rPr>
            </w:pPr>
            <w:r>
              <w:rPr>
                <w:rFonts w:ascii="Arial" w:cs="Arial" w:eastAsia="Arial" w:hAnsi="Arial"/>
                <w:sz w:val="16"/>
                <w:szCs w:val="16"/>
                <w:color w:val="auto"/>
              </w:rPr>
              <w:t>Mark J. Hawkins</w:t>
            </w:r>
          </w:p>
        </w:tc>
        <w:tc>
          <w:tcPr>
            <w:tcW w:w="146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54</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70"/>
        </w:trPr>
        <w:tc>
          <w:tcPr>
            <w:tcW w:w="2580" w:type="dxa"/>
            <w:vAlign w:val="bottom"/>
            <w:gridSpan w:val="2"/>
          </w:tcPr>
          <w:p>
            <w:pPr>
              <w:spacing w:after="0"/>
              <w:rPr>
                <w:sz w:val="20"/>
                <w:szCs w:val="20"/>
                <w:color w:val="auto"/>
              </w:rPr>
            </w:pPr>
            <w:r>
              <w:rPr>
                <w:rFonts w:ascii="Arial" w:cs="Arial" w:eastAsia="Arial" w:hAnsi="Arial"/>
                <w:sz w:val="16"/>
                <w:szCs w:val="16"/>
                <w:color w:val="auto"/>
              </w:rPr>
              <w:t>Jan Becker</w:t>
            </w:r>
          </w:p>
        </w:tc>
        <w:tc>
          <w:tcPr>
            <w:tcW w:w="146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61</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w w:val="89"/>
              </w:rPr>
              <w:t>Senior Vice President, Human Resources and Corporate Real Estate</w:t>
            </w:r>
          </w:p>
        </w:tc>
      </w:tr>
      <w:tr>
        <w:trPr>
          <w:trHeight w:val="270"/>
        </w:trPr>
        <w:tc>
          <w:tcPr>
            <w:tcW w:w="258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6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49</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Worldwide Sales and Services</w:t>
            </w:r>
          </w:p>
        </w:tc>
      </w:tr>
      <w:tr>
        <w:trPr>
          <w:trHeight w:val="270"/>
        </w:trPr>
        <w:tc>
          <w:tcPr>
            <w:tcW w:w="258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6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49</w:t>
            </w:r>
          </w:p>
        </w:tc>
        <w:tc>
          <w:tcPr>
            <w:tcW w:w="7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Senior Vice President, General Counsel and Secretary</w:t>
            </w:r>
          </w:p>
        </w:tc>
      </w:tr>
    </w:tbl>
    <w:p>
      <w:pPr>
        <w:spacing w:after="0" w:line="231" w:lineRule="exact"/>
        <w:rPr>
          <w:sz w:val="20"/>
          <w:szCs w:val="20"/>
          <w:color w:val="auto"/>
        </w:rPr>
      </w:pPr>
    </w:p>
    <w:p>
      <w:pPr>
        <w:ind w:right="100" w:firstLine="405"/>
        <w:spacing w:after="0" w:line="295" w:lineRule="auto"/>
        <w:rPr>
          <w:sz w:val="20"/>
          <w:szCs w:val="20"/>
          <w:color w:val="auto"/>
        </w:rPr>
      </w:pPr>
      <w:r>
        <w:rPr>
          <w:rFonts w:ascii="Arial" w:cs="Arial" w:eastAsia="Arial" w:hAnsi="Arial"/>
          <w:sz w:val="16"/>
          <w:szCs w:val="16"/>
          <w:b w:val="1"/>
          <w:bCs w:val="1"/>
          <w:color w:val="auto"/>
        </w:rPr>
        <w:t xml:space="preserve">Carl Bass </w:t>
      </w:r>
      <w:r>
        <w:rPr>
          <w:rFonts w:ascii="Arial" w:cs="Arial" w:eastAsia="Arial" w:hAnsi="Arial"/>
          <w:sz w:val="16"/>
          <w:szCs w:val="16"/>
          <w:color w:val="auto"/>
        </w:rPr>
        <w:t>joined Autodesk in September 1993 and has served as President and Chief Executive Officer since May 2006. Mr. Bass served as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from August 2008 to April 2009. From June 2004 to April 2006, Mr. Bass served as Chief Operating Officer. From February 2002 to June 2004, Mr. Bass served as Senior Executive Vice President, Design Solutions Group. From August 2001 to February 2002, Mr. Bass served as Executive Vice President, Emerging Business and Chief Strategy Officer. From June 1999 to July 2001, he served as President and Chief Executive Officer of Buzzsaw.com, Inc., a spin-off from Autodesk. Mr. Bass has also held other executive positions within Autodesk. Mr. Bass was a director of McAfee, Inc. from January 2008 until its acquisition by Intel Corporation in February 2011. Mr. Bass has served on the board of directors of E2open since July 2011.</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 xml:space="preserve">Mark J. Hawkins </w:t>
      </w:r>
      <w:r>
        <w:rPr>
          <w:rFonts w:ascii="Arial" w:cs="Arial" w:eastAsia="Arial" w:hAnsi="Arial"/>
          <w:sz w:val="17"/>
          <w:szCs w:val="17"/>
          <w:color w:val="auto"/>
        </w:rPr>
        <w:t>joined Autodesk in April 2009 and serves as Executive Vice President and Chief Financial Officer. Prior to joining Autodesk,</w:t>
      </w:r>
      <w:r>
        <w:rPr>
          <w:rFonts w:ascii="Arial" w:cs="Arial" w:eastAsia="Arial" w:hAnsi="Arial"/>
          <w:sz w:val="17"/>
          <w:szCs w:val="17"/>
          <w:b w:val="1"/>
          <w:bCs w:val="1"/>
          <w:color w:val="auto"/>
        </w:rPr>
        <w:t xml:space="preserve"> </w:t>
      </w:r>
      <w:r>
        <w:rPr>
          <w:rFonts w:ascii="Arial" w:cs="Arial" w:eastAsia="Arial" w:hAnsi="Arial"/>
          <w:sz w:val="17"/>
          <w:szCs w:val="17"/>
          <w:color w:val="auto"/>
        </w:rPr>
        <w:t>Mr. Hawkins was Chief Financial Officer and Senior Vice President of Finance and Information Technology at Logitech International S.A. from April 2006 to April 2009. Previously, he was with Dell Inc. for six years, most recently serving as Vice President of Finance for worldwide procurement and logistics. Prior to joining Dell, Mr. Hawkins was employed by Hewlett-Packard Company for 18 years in finance and business-management roles. Mr. Hawkins served on the Board of BMC Software, Inc. from May 2010 through September 2013 at which time BMC was taken private.</w:t>
      </w:r>
    </w:p>
    <w:p>
      <w:pPr>
        <w:spacing w:after="0" w:line="168" w:lineRule="exact"/>
        <w:rPr>
          <w:sz w:val="20"/>
          <w:szCs w:val="20"/>
          <w:color w:val="auto"/>
        </w:rPr>
      </w:pPr>
    </w:p>
    <w:p>
      <w:pPr>
        <w:ind w:right="40" w:firstLine="405"/>
        <w:spacing w:after="0" w:line="281" w:lineRule="auto"/>
        <w:rPr>
          <w:sz w:val="20"/>
          <w:szCs w:val="20"/>
          <w:color w:val="auto"/>
        </w:rPr>
      </w:pPr>
      <w:r>
        <w:rPr>
          <w:rFonts w:ascii="Arial" w:cs="Arial" w:eastAsia="Arial" w:hAnsi="Arial"/>
          <w:sz w:val="17"/>
          <w:szCs w:val="17"/>
          <w:b w:val="1"/>
          <w:bCs w:val="1"/>
          <w:color w:val="auto"/>
        </w:rPr>
        <w:t xml:space="preserve">Jan Becker </w:t>
      </w:r>
      <w:r>
        <w:rPr>
          <w:rFonts w:ascii="Arial" w:cs="Arial" w:eastAsia="Arial" w:hAnsi="Arial"/>
          <w:sz w:val="17"/>
          <w:szCs w:val="17"/>
          <w:color w:val="auto"/>
        </w:rPr>
        <w:t>joined Autodesk in September 1992 and has served as Senior Vice President, Human Resources and Corporate Real Estate since June 2000.</w:t>
      </w:r>
      <w:r>
        <w:rPr>
          <w:rFonts w:ascii="Arial" w:cs="Arial" w:eastAsia="Arial" w:hAnsi="Arial"/>
          <w:sz w:val="17"/>
          <w:szCs w:val="17"/>
          <w:b w:val="1"/>
          <w:bCs w:val="1"/>
          <w:color w:val="auto"/>
        </w:rPr>
        <w:t xml:space="preserve"> </w:t>
      </w:r>
      <w:r>
        <w:rPr>
          <w:rFonts w:ascii="Arial" w:cs="Arial" w:eastAsia="Arial" w:hAnsi="Arial"/>
          <w:sz w:val="17"/>
          <w:szCs w:val="17"/>
          <w:color w:val="auto"/>
        </w:rPr>
        <w:t>Ms. Becker previously served in other capacities in the Human Resources Department at Autodesk. Prior to joining Autodesk, Ms. Becker held a variety of senior management positions at Sun Microsystems. Prior to Sun Microsystems, Ms. Becker worked both domestically and internationally at a number of high-tech organizations, including Activision, Digital Equipment Corporation and Hewlett-Packard Company.</w:t>
      </w:r>
    </w:p>
    <w:p>
      <w:pPr>
        <w:spacing w:after="0" w:line="165" w:lineRule="exact"/>
        <w:rPr>
          <w:sz w:val="20"/>
          <w:szCs w:val="20"/>
          <w:color w:val="auto"/>
        </w:rPr>
      </w:pPr>
    </w:p>
    <w:p>
      <w:pPr>
        <w:ind w:right="160" w:firstLine="405"/>
        <w:spacing w:after="0" w:line="281"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Sales and Services since February 2011.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5" w:lineRule="exact"/>
        <w:rPr>
          <w:sz w:val="20"/>
          <w:szCs w:val="20"/>
          <w:color w:val="auto"/>
        </w:rPr>
      </w:pPr>
    </w:p>
    <w:p>
      <w:pPr>
        <w:ind w:right="200" w:firstLine="405"/>
        <w:spacing w:after="0" w:line="282"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General Counsel and Secretary since March 2007.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2006 to March 2007, Mr. Di Fronzo served as Vice President, General Counsel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131445</wp:posOffset>
            </wp:positionV>
            <wp:extent cx="97790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Secretary, and served as Vice President, Assistant General Counsel and Assistant Secretary from March 2005 through March 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1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700" w:hanging="368"/>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jc w:val="both"/>
        <w:ind w:right="600" w:firstLine="818"/>
        <w:spacing w:after="0" w:line="264" w:lineRule="auto"/>
        <w:tabs>
          <w:tab w:leader="none" w:pos="1125"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color w:val="auto"/>
        </w:rPr>
      </w:pPr>
    </w:p>
    <w:p>
      <w:pPr>
        <w:ind w:right="280" w:firstLine="818"/>
        <w:spacing w:after="0" w:line="308" w:lineRule="auto"/>
        <w:tabs>
          <w:tab w:leader="none" w:pos="1125"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Financial Statement Schedule</w:t>
      </w:r>
      <w:r>
        <w:rPr>
          <w:rFonts w:ascii="Arial" w:cs="Arial" w:eastAsia="Arial" w:hAnsi="Arial"/>
          <w:sz w:val="17"/>
          <w:szCs w:val="17"/>
          <w:color w:val="auto"/>
        </w:rPr>
        <w:t>: The following financial statement schedule of Autodesk, Inc., for the fiscal years ended January 31, 2014,</w:t>
      </w:r>
      <w:r>
        <w:rPr>
          <w:rFonts w:ascii="Arial" w:cs="Arial" w:eastAsia="Arial" w:hAnsi="Arial"/>
          <w:sz w:val="17"/>
          <w:szCs w:val="17"/>
          <w:i w:val="1"/>
          <w:iCs w:val="1"/>
          <w:color w:val="auto"/>
        </w:rPr>
        <w:t xml:space="preserve"> </w:t>
      </w:r>
      <w:r>
        <w:rPr>
          <w:rFonts w:ascii="Arial" w:cs="Arial" w:eastAsia="Arial" w:hAnsi="Arial"/>
          <w:sz w:val="17"/>
          <w:szCs w:val="17"/>
          <w:color w:val="auto"/>
        </w:rPr>
        <w:t>2013 and 2012, is filed as part of this Report and should be read in conjunction with the Consolidated Financial Statements of Autodesk, Inc.</w:t>
      </w:r>
    </w:p>
    <w:p>
      <w:pPr>
        <w:spacing w:after="0" w:line="14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right="140" w:firstLine="818"/>
        <w:spacing w:after="0" w:line="277" w:lineRule="auto"/>
        <w:tabs>
          <w:tab w:leader="none" w:pos="112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w:t>
      </w:r>
      <w:r>
        <w:rPr>
          <w:rFonts w:ascii="Arial" w:cs="Arial" w:eastAsia="Arial" w:hAnsi="Arial"/>
          <w:sz w:val="18"/>
          <w:szCs w:val="18"/>
          <w:i w:val="1"/>
          <w:iCs w:val="1"/>
          <w:color w:val="auto"/>
        </w:rPr>
        <w:t xml:space="preserve"> </w:t>
      </w:r>
      <w:r>
        <w:rPr>
          <w:rFonts w:ascii="Arial" w:cs="Arial" w:eastAsia="Arial" w:hAnsi="Arial"/>
          <w:sz w:val="18"/>
          <w:szCs w:val="18"/>
          <w:color w:val="auto"/>
        </w:rPr>
        <w:t>to Exhibits immediately following the signature page of this Form 10-K.</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70"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color w:val="auto"/>
        </w:rPr>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4"/>
              </w:rPr>
              <w:t>Charged to</w:t>
            </w:r>
          </w:p>
        </w:tc>
        <w:tc>
          <w:tcPr>
            <w:tcW w:w="460" w:type="dxa"/>
            <w:vAlign w:val="bottom"/>
          </w:tcPr>
          <w:p>
            <w:pPr>
              <w:spacing w:after="0"/>
              <w:rPr>
                <w:sz w:val="12"/>
                <w:szCs w:val="12"/>
                <w:color w:val="auto"/>
              </w:rPr>
            </w:pPr>
          </w:p>
        </w:tc>
        <w:tc>
          <w:tcPr>
            <w:tcW w:w="1240" w:type="dxa"/>
            <w:vAlign w:val="bottom"/>
            <w:vMerge w:val="restart"/>
          </w:tcPr>
          <w:p>
            <w:pPr>
              <w:jc w:val="center"/>
              <w:ind w:right="301"/>
              <w:spacing w:after="0"/>
              <w:rPr>
                <w:sz w:val="20"/>
                <w:szCs w:val="20"/>
                <w:color w:val="auto"/>
              </w:rPr>
            </w:pPr>
            <w:r>
              <w:rPr>
                <w:rFonts w:ascii="Arial" w:cs="Arial" w:eastAsia="Arial" w:hAnsi="Arial"/>
                <w:sz w:val="14"/>
                <w:szCs w:val="14"/>
                <w:b w:val="1"/>
                <w:bCs w:val="1"/>
                <w:color w:val="auto"/>
                <w:w w:val="91"/>
              </w:rPr>
              <w:t>Deductions</w:t>
            </w: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34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60" w:type="dxa"/>
            <w:vAlign w:val="bottom"/>
          </w:tcPr>
          <w:p>
            <w:pPr>
              <w:spacing w:after="0"/>
              <w:rPr>
                <w:sz w:val="12"/>
                <w:szCs w:val="12"/>
                <w:color w:val="auto"/>
              </w:rPr>
            </w:pPr>
          </w:p>
        </w:tc>
        <w:tc>
          <w:tcPr>
            <w:tcW w:w="124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380" w:type="dxa"/>
            <w:vAlign w:val="bottom"/>
          </w:tcPr>
          <w:p>
            <w:pPr>
              <w:spacing w:after="0"/>
              <w:rPr>
                <w:sz w:val="13"/>
                <w:szCs w:val="13"/>
                <w:color w:val="auto"/>
              </w:rPr>
            </w:pPr>
          </w:p>
        </w:tc>
        <w:tc>
          <w:tcPr>
            <w:tcW w:w="1340" w:type="dxa"/>
            <w:vAlign w:val="bottom"/>
          </w:tcPr>
          <w:p>
            <w:pPr>
              <w:jc w:val="center"/>
              <w:ind w:right="202"/>
              <w:spacing w:after="0" w:line="158" w:lineRule="exact"/>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3"/>
                <w:szCs w:val="13"/>
                <w:color w:val="auto"/>
              </w:rPr>
            </w:pPr>
          </w:p>
        </w:tc>
        <w:tc>
          <w:tcPr>
            <w:tcW w:w="124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7"/>
              </w:rPr>
              <w:t>Write-Offs</w:t>
            </w:r>
          </w:p>
        </w:tc>
        <w:tc>
          <w:tcPr>
            <w:tcW w:w="260" w:type="dxa"/>
            <w:vAlign w:val="bottom"/>
          </w:tcPr>
          <w:p>
            <w:pPr>
              <w:spacing w:after="0"/>
              <w:rPr>
                <w:sz w:val="13"/>
                <w:szCs w:val="13"/>
                <w:color w:val="auto"/>
              </w:rPr>
            </w:pPr>
          </w:p>
        </w:tc>
        <w:tc>
          <w:tcPr>
            <w:tcW w:w="1400" w:type="dxa"/>
            <w:vAlign w:val="bottom"/>
          </w:tcPr>
          <w:p>
            <w:pPr>
              <w:jc w:val="right"/>
              <w:ind w:right="140"/>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2014</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23.1</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48.3</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278.6</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288.5</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January 31, 2013</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25.8</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286.9</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275.1</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45.1</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38.6</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32.7</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37.9</w:t>
            </w:r>
          </w:p>
        </w:tc>
        <w:tc>
          <w:tcPr>
            <w:tcW w:w="38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214.0</w:t>
            </w:r>
          </w:p>
        </w:tc>
        <w:tc>
          <w:tcPr>
            <w:tcW w:w="4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215.4</w:t>
            </w:r>
          </w:p>
        </w:tc>
        <w:tc>
          <w:tcPr>
            <w:tcW w:w="26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or "Accounts payable" on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156845</wp:posOffset>
            </wp:positionV>
            <wp:extent cx="97790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2014 Form 10-K 100</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760"/>
        <w:spacing w:after="0"/>
        <w:tabs>
          <w:tab w:leader="none" w:pos="8120" w:val="left"/>
          <w:tab w:leader="none" w:pos="8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CARL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43815</wp:posOffset>
            </wp:positionV>
            <wp:extent cx="31730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7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Carl Bass</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335280</wp:posOffset>
            </wp:positionV>
            <wp:extent cx="97790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Carl Bass and Mark J.</w:t>
      </w:r>
      <w:r>
        <w:rPr>
          <w:rFonts w:ascii="Arial" w:cs="Arial" w:eastAsia="Arial" w:hAnsi="Arial"/>
          <w:sz w:val="18"/>
          <w:szCs w:val="18"/>
          <w:b w:val="1"/>
          <w:bCs w:val="1"/>
          <w:color w:val="auto"/>
        </w:rPr>
        <w:t xml:space="preserve"> </w:t>
      </w:r>
      <w:r>
        <w:rPr>
          <w:rFonts w:ascii="Arial" w:cs="Arial" w:eastAsia="Arial" w:hAnsi="Arial"/>
          <w:sz w:val="18"/>
          <w:szCs w:val="18"/>
          <w:color w:val="auto"/>
        </w:rPr>
        <w:t>Hawkins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18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10, 2014.</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2"/>
              </w:rPr>
              <w:t>Signature</w:t>
            </w:r>
          </w:p>
        </w:tc>
        <w:tc>
          <w:tcPr>
            <w:tcW w:w="28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40"/>
        </w:trPr>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8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r>
      <w:tr>
        <w:trPr>
          <w:trHeight w:val="206"/>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auto"/>
                <w:w w:val="82"/>
              </w:rPr>
              <w:t>/s/</w:t>
            </w: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7"/>
              </w:rPr>
              <w:t>CARL BASS</w:t>
            </w:r>
          </w:p>
        </w:tc>
        <w:tc>
          <w:tcPr>
            <w:tcW w:w="3620" w:type="dxa"/>
            <w:vAlign w:val="bottom"/>
            <w:gridSpan w:val="3"/>
          </w:tcPr>
          <w:p>
            <w:pPr>
              <w:ind w:left="320"/>
              <w:spacing w:after="0"/>
              <w:rPr>
                <w:sz w:val="20"/>
                <w:szCs w:val="20"/>
                <w:color w:val="auto"/>
              </w:rPr>
            </w:pPr>
            <w:r>
              <w:rPr>
                <w:rFonts w:ascii="Arial" w:cs="Arial" w:eastAsia="Arial" w:hAnsi="Arial"/>
                <w:sz w:val="16"/>
                <w:szCs w:val="16"/>
                <w:color w:val="auto"/>
              </w:rPr>
              <w:t>(Principal Executive Officer)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60"/>
              <w:spacing w:after="0"/>
              <w:rPr>
                <w:sz w:val="20"/>
                <w:szCs w:val="20"/>
                <w:color w:val="auto"/>
              </w:rPr>
            </w:pPr>
            <w:r>
              <w:rPr>
                <w:rFonts w:ascii="Arial" w:cs="Arial" w:eastAsia="Arial" w:hAnsi="Arial"/>
                <w:sz w:val="16"/>
                <w:szCs w:val="16"/>
                <w:color w:val="auto"/>
                <w:w w:val="89"/>
              </w:rPr>
              <w:t>Carl Bass</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8"/>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w w:val="92"/>
              </w:rPr>
              <w:t>Executive Vice President and Chief Financial Officer</w:t>
            </w:r>
          </w:p>
        </w:tc>
      </w:tr>
      <w:tr>
        <w:trPr>
          <w:trHeight w:val="206"/>
        </w:trPr>
        <w:tc>
          <w:tcPr>
            <w:tcW w:w="166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rPr>
              <w:t>MARK J. HAWKINS</w:t>
            </w:r>
          </w:p>
        </w:tc>
        <w:tc>
          <w:tcPr>
            <w:tcW w:w="3620" w:type="dxa"/>
            <w:vAlign w:val="bottom"/>
            <w:gridSpan w:val="3"/>
          </w:tcPr>
          <w:p>
            <w:pPr>
              <w:ind w:left="320"/>
              <w:spacing w:after="0"/>
              <w:rPr>
                <w:sz w:val="20"/>
                <w:szCs w:val="20"/>
                <w:color w:val="auto"/>
              </w:rPr>
            </w:pPr>
            <w:r>
              <w:rPr>
                <w:rFonts w:ascii="Arial" w:cs="Arial" w:eastAsia="Arial" w:hAnsi="Arial"/>
                <w:sz w:val="16"/>
                <w:szCs w:val="16"/>
                <w:color w:val="auto"/>
              </w:rPr>
              <w:t>(Principal Financial Officer)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5"/>
              </w:rPr>
              <w:t>Mark J. Hawkins</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8"/>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Vice President and Controller</w:t>
            </w:r>
          </w:p>
        </w:tc>
      </w:tr>
      <w:tr>
        <w:trPr>
          <w:trHeight w:val="206"/>
        </w:trPr>
        <w:tc>
          <w:tcPr>
            <w:tcW w:w="166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/s/</w:t>
            </w:r>
          </w:p>
        </w:tc>
        <w:tc>
          <w:tcPr>
            <w:tcW w:w="3600" w:type="dxa"/>
            <w:vAlign w:val="bottom"/>
            <w:gridSpan w:val="4"/>
          </w:tcPr>
          <w:p>
            <w:pPr>
              <w:ind w:left="100"/>
              <w:spacing w:after="0"/>
              <w:rPr>
                <w:sz w:val="20"/>
                <w:szCs w:val="20"/>
                <w:color w:val="auto"/>
              </w:rPr>
            </w:pPr>
            <w:r>
              <w:rPr>
                <w:rFonts w:ascii="Arial" w:cs="Arial" w:eastAsia="Arial" w:hAnsi="Arial"/>
                <w:sz w:val="16"/>
                <w:szCs w:val="16"/>
                <w:color w:val="auto"/>
              </w:rPr>
              <w:t>PAUL UNDERWOOD</w:t>
            </w:r>
          </w:p>
        </w:tc>
        <w:tc>
          <w:tcPr>
            <w:tcW w:w="3620" w:type="dxa"/>
            <w:vAlign w:val="bottom"/>
            <w:gridSpan w:val="3"/>
          </w:tcPr>
          <w:p>
            <w:pPr>
              <w:ind w:left="380"/>
              <w:spacing w:after="0"/>
              <w:rPr>
                <w:sz w:val="20"/>
                <w:szCs w:val="20"/>
                <w:color w:val="auto"/>
              </w:rPr>
            </w:pPr>
            <w:r>
              <w:rPr>
                <w:rFonts w:ascii="Arial" w:cs="Arial" w:eastAsia="Arial" w:hAnsi="Arial"/>
                <w:sz w:val="16"/>
                <w:szCs w:val="16"/>
                <w:color w:val="auto"/>
              </w:rPr>
              <w:t>(Principal Accounting Officer)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60"/>
              <w:spacing w:after="0"/>
              <w:rPr>
                <w:sz w:val="20"/>
                <w:szCs w:val="20"/>
                <w:color w:val="auto"/>
              </w:rPr>
            </w:pPr>
            <w:r>
              <w:rPr>
                <w:rFonts w:ascii="Arial" w:cs="Arial" w:eastAsia="Arial" w:hAnsi="Arial"/>
                <w:sz w:val="16"/>
                <w:szCs w:val="16"/>
                <w:color w:val="auto"/>
                <w:w w:val="92"/>
              </w:rPr>
              <w:t>Paul Underwood</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8"/>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06"/>
        </w:trPr>
        <w:tc>
          <w:tcPr>
            <w:tcW w:w="1660" w:type="dxa"/>
            <w:vAlign w:val="bottom"/>
          </w:tcPr>
          <w:p>
            <w:pPr>
              <w:ind w:left="1420"/>
              <w:spacing w:after="0"/>
              <w:rPr>
                <w:sz w:val="20"/>
                <w:szCs w:val="20"/>
                <w:color w:val="auto"/>
              </w:rPr>
            </w:pPr>
            <w:r>
              <w:rPr>
                <w:rFonts w:ascii="Arial" w:cs="Arial" w:eastAsia="Arial" w:hAnsi="Arial"/>
                <w:sz w:val="16"/>
                <w:szCs w:val="16"/>
                <w:color w:val="auto"/>
              </w:rPr>
              <w:t>/s/</w:t>
            </w:r>
          </w:p>
        </w:tc>
        <w:tc>
          <w:tcPr>
            <w:tcW w:w="3900" w:type="dxa"/>
            <w:vAlign w:val="bottom"/>
            <w:gridSpan w:val="5"/>
          </w:tcPr>
          <w:p>
            <w:pPr>
              <w:jc w:val="center"/>
              <w:ind w:right="1660"/>
              <w:spacing w:after="0"/>
              <w:rPr>
                <w:sz w:val="20"/>
                <w:szCs w:val="20"/>
                <w:color w:val="auto"/>
              </w:rPr>
            </w:pPr>
            <w:r>
              <w:rPr>
                <w:rFonts w:ascii="Arial" w:cs="Arial" w:eastAsia="Arial" w:hAnsi="Arial"/>
                <w:sz w:val="16"/>
                <w:szCs w:val="16"/>
                <w:color w:val="auto"/>
                <w:w w:val="96"/>
              </w:rPr>
              <w:t>CRAWFORD W. BEVERIDGE</w:t>
            </w:r>
          </w:p>
        </w:tc>
        <w:tc>
          <w:tcPr>
            <w:tcW w:w="3620" w:type="dxa"/>
            <w:vAlign w:val="bottom"/>
            <w:gridSpan w:val="3"/>
          </w:tcPr>
          <w:p>
            <w:pPr>
              <w:ind w:left="320"/>
              <w:spacing w:after="0"/>
              <w:rPr>
                <w:sz w:val="20"/>
                <w:szCs w:val="20"/>
                <w:color w:val="auto"/>
              </w:rPr>
            </w:pPr>
            <w:r>
              <w:rPr>
                <w:rFonts w:ascii="Arial" w:cs="Arial" w:eastAsia="Arial" w:hAnsi="Arial"/>
                <w:sz w:val="16"/>
                <w:szCs w:val="16"/>
                <w:color w:val="auto"/>
              </w:rPr>
              <w:t>(Non-executive Chairman of the Board)</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40"/>
              <w:spacing w:after="0"/>
              <w:rPr>
                <w:sz w:val="20"/>
                <w:szCs w:val="20"/>
                <w:color w:val="auto"/>
              </w:rPr>
            </w:pPr>
            <w:r>
              <w:rPr>
                <w:rFonts w:ascii="Arial" w:cs="Arial" w:eastAsia="Arial" w:hAnsi="Arial"/>
                <w:sz w:val="16"/>
                <w:szCs w:val="16"/>
                <w:color w:val="auto"/>
                <w:w w:val="93"/>
              </w:rPr>
              <w:t>Crawford W. Beveridge</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9"/>
              </w:rPr>
              <w:t>J. HALLAM DAWSON</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3"/>
              </w:rPr>
              <w:t>J. Hallam Dawson</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05"/>
        </w:trPr>
        <w:tc>
          <w:tcPr>
            <w:tcW w:w="16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6"/>
              </w:rPr>
              <w:t>THOMAS GEORGENS</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60"/>
              <w:spacing w:after="0"/>
              <w:rPr>
                <w:sz w:val="20"/>
                <w:szCs w:val="20"/>
                <w:color w:val="auto"/>
              </w:rPr>
            </w:pPr>
            <w:r>
              <w:rPr>
                <w:rFonts w:ascii="Arial" w:cs="Arial" w:eastAsia="Arial" w:hAnsi="Arial"/>
                <w:sz w:val="16"/>
                <w:szCs w:val="16"/>
                <w:color w:val="auto"/>
                <w:w w:val="89"/>
              </w:rPr>
              <w:t>Thomas Georgens</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ind w:left="1400"/>
              <w:spacing w:after="0"/>
              <w:rPr>
                <w:sz w:val="20"/>
                <w:szCs w:val="20"/>
                <w:color w:val="auto"/>
              </w:rPr>
            </w:pPr>
            <w:r>
              <w:rPr>
                <w:rFonts w:ascii="Arial" w:cs="Arial" w:eastAsia="Arial" w:hAnsi="Arial"/>
                <w:sz w:val="16"/>
                <w:szCs w:val="16"/>
                <w:color w:val="auto"/>
              </w:rPr>
              <w:t>/s/</w:t>
            </w:r>
          </w:p>
        </w:tc>
        <w:tc>
          <w:tcPr>
            <w:tcW w:w="3900" w:type="dxa"/>
            <w:vAlign w:val="bottom"/>
            <w:gridSpan w:val="5"/>
          </w:tcPr>
          <w:p>
            <w:pPr>
              <w:jc w:val="center"/>
              <w:ind w:right="1660"/>
              <w:spacing w:after="0"/>
              <w:rPr>
                <w:sz w:val="20"/>
                <w:szCs w:val="20"/>
                <w:color w:val="auto"/>
              </w:rPr>
            </w:pPr>
            <w:r>
              <w:rPr>
                <w:rFonts w:ascii="Arial" w:cs="Arial" w:eastAsia="Arial" w:hAnsi="Arial"/>
                <w:sz w:val="16"/>
                <w:szCs w:val="16"/>
                <w:color w:val="auto"/>
                <w:w w:val="98"/>
              </w:rPr>
              <w:t>PER-KRISTIAN HALVORSEN</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40"/>
              <w:spacing w:after="0"/>
              <w:rPr>
                <w:sz w:val="20"/>
                <w:szCs w:val="20"/>
                <w:color w:val="auto"/>
              </w:rPr>
            </w:pPr>
            <w:r>
              <w:rPr>
                <w:rFonts w:ascii="Arial" w:cs="Arial" w:eastAsia="Arial" w:hAnsi="Arial"/>
                <w:sz w:val="16"/>
                <w:szCs w:val="16"/>
                <w:color w:val="auto"/>
                <w:w w:val="93"/>
              </w:rPr>
              <w:t>Per-Kristian Halvorsen</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/s/</w:t>
            </w:r>
          </w:p>
        </w:tc>
        <w:tc>
          <w:tcPr>
            <w:tcW w:w="3600" w:type="dxa"/>
            <w:vAlign w:val="bottom"/>
            <w:gridSpan w:val="4"/>
          </w:tcPr>
          <w:p>
            <w:pPr>
              <w:jc w:val="center"/>
              <w:ind w:right="1940"/>
              <w:spacing w:after="0"/>
              <w:rPr>
                <w:sz w:val="20"/>
                <w:szCs w:val="20"/>
                <w:color w:val="auto"/>
              </w:rPr>
            </w:pPr>
            <w:r>
              <w:rPr>
                <w:rFonts w:ascii="Arial" w:cs="Arial" w:eastAsia="Arial" w:hAnsi="Arial"/>
                <w:sz w:val="16"/>
                <w:szCs w:val="16"/>
                <w:color w:val="auto"/>
              </w:rPr>
              <w:t>MARY T. MCDOWELL</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40"/>
              <w:spacing w:after="0"/>
              <w:rPr>
                <w:sz w:val="20"/>
                <w:szCs w:val="20"/>
                <w:color w:val="auto"/>
              </w:rPr>
            </w:pPr>
            <w:r>
              <w:rPr>
                <w:rFonts w:ascii="Arial" w:cs="Arial" w:eastAsia="Arial" w:hAnsi="Arial"/>
                <w:sz w:val="16"/>
                <w:szCs w:val="16"/>
                <w:color w:val="auto"/>
                <w:w w:val="98"/>
              </w:rPr>
              <w:t>Mary T. McDowell</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ind w:left="1500"/>
              <w:spacing w:after="0"/>
              <w:rPr>
                <w:sz w:val="20"/>
                <w:szCs w:val="20"/>
                <w:color w:val="auto"/>
              </w:rPr>
            </w:pPr>
            <w:r>
              <w:rPr>
                <w:rFonts w:ascii="Arial" w:cs="Arial" w:eastAsia="Arial" w:hAnsi="Arial"/>
                <w:sz w:val="16"/>
                <w:szCs w:val="16"/>
                <w:color w:val="auto"/>
                <w:w w:val="82"/>
              </w:rPr>
              <w:t>/s/</w:t>
            </w:r>
          </w:p>
        </w:tc>
        <w:tc>
          <w:tcPr>
            <w:tcW w:w="3900" w:type="dxa"/>
            <w:vAlign w:val="bottom"/>
            <w:gridSpan w:val="5"/>
          </w:tcPr>
          <w:p>
            <w:pPr>
              <w:jc w:val="center"/>
              <w:ind w:right="1660"/>
              <w:spacing w:after="0"/>
              <w:rPr>
                <w:sz w:val="20"/>
                <w:szCs w:val="20"/>
                <w:color w:val="auto"/>
              </w:rPr>
            </w:pPr>
            <w:r>
              <w:rPr>
                <w:rFonts w:ascii="Arial" w:cs="Arial" w:eastAsia="Arial" w:hAnsi="Arial"/>
                <w:sz w:val="16"/>
                <w:szCs w:val="16"/>
                <w:color w:val="auto"/>
                <w:w w:val="98"/>
              </w:rPr>
              <w:t>LORRIE M. NORRINGTON</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8"/>
              </w:rPr>
              <w:t>Lorrie M. Norrington</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w w:val="94"/>
              </w:rPr>
              <w:t>/s/</w:t>
            </w:r>
          </w:p>
        </w:tc>
        <w:tc>
          <w:tcPr>
            <w:tcW w:w="3600" w:type="dxa"/>
            <w:vAlign w:val="bottom"/>
            <w:gridSpan w:val="4"/>
          </w:tcPr>
          <w:p>
            <w:pPr>
              <w:ind w:left="120"/>
              <w:spacing w:after="0"/>
              <w:rPr>
                <w:sz w:val="20"/>
                <w:szCs w:val="20"/>
                <w:color w:val="auto"/>
              </w:rPr>
            </w:pPr>
            <w:r>
              <w:rPr>
                <w:rFonts w:ascii="Arial" w:cs="Arial" w:eastAsia="Arial" w:hAnsi="Arial"/>
                <w:sz w:val="16"/>
                <w:szCs w:val="16"/>
                <w:color w:val="auto"/>
              </w:rPr>
              <w:t>ELIZABETH RAFAEL</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92"/>
              </w:rPr>
              <w:t>Elizabeth Rafael</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spacing w:after="0"/>
              <w:rPr>
                <w:sz w:val="24"/>
                <w:szCs w:val="24"/>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/s/</w:t>
            </w:r>
          </w:p>
        </w:tc>
        <w:tc>
          <w:tcPr>
            <w:tcW w:w="3380" w:type="dxa"/>
            <w:vAlign w:val="bottom"/>
            <w:gridSpan w:val="3"/>
          </w:tcPr>
          <w:p>
            <w:pPr>
              <w:jc w:val="center"/>
              <w:ind w:right="2140"/>
              <w:spacing w:after="0"/>
              <w:rPr>
                <w:sz w:val="20"/>
                <w:szCs w:val="20"/>
                <w:color w:val="auto"/>
              </w:rPr>
            </w:pPr>
            <w:r>
              <w:rPr>
                <w:rFonts w:ascii="Arial" w:cs="Arial" w:eastAsia="Arial" w:hAnsi="Arial"/>
                <w:sz w:val="16"/>
                <w:szCs w:val="16"/>
                <w:color w:val="auto"/>
                <w:w w:val="96"/>
              </w:rPr>
              <w:t>STACY J. SMITH</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80"/>
              <w:spacing w:after="0"/>
              <w:rPr>
                <w:sz w:val="20"/>
                <w:szCs w:val="20"/>
                <w:color w:val="auto"/>
              </w:rPr>
            </w:pPr>
            <w:r>
              <w:rPr>
                <w:rFonts w:ascii="Arial" w:cs="Arial" w:eastAsia="Arial" w:hAnsi="Arial"/>
                <w:sz w:val="16"/>
                <w:szCs w:val="16"/>
                <w:color w:val="auto"/>
                <w:w w:val="89"/>
              </w:rPr>
              <w:t>Stacy J. Smith</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2"/>
        </w:trPr>
        <w:tc>
          <w:tcPr>
            <w:tcW w:w="1660" w:type="dxa"/>
            <w:vAlign w:val="bottom"/>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2"/>
              </w:rPr>
              <w:t>/s/</w:t>
            </w:r>
          </w:p>
        </w:tc>
        <w:tc>
          <w:tcPr>
            <w:tcW w:w="3600" w:type="dxa"/>
            <w:vAlign w:val="bottom"/>
            <w:gridSpan w:val="4"/>
          </w:tcPr>
          <w:p>
            <w:pPr>
              <w:jc w:val="center"/>
              <w:ind w:right="1960"/>
              <w:spacing w:after="0"/>
              <w:rPr>
                <w:sz w:val="20"/>
                <w:szCs w:val="20"/>
                <w:color w:val="auto"/>
              </w:rPr>
            </w:pPr>
            <w:r>
              <w:rPr>
                <w:rFonts w:ascii="Arial" w:cs="Arial" w:eastAsia="Arial" w:hAnsi="Arial"/>
                <w:sz w:val="16"/>
                <w:szCs w:val="16"/>
                <w:color w:val="auto"/>
                <w:w w:val="96"/>
              </w:rPr>
              <w:t>STEVEN M. WEST</w:t>
            </w: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33"/>
        </w:trPr>
        <w:tc>
          <w:tcPr>
            <w:tcW w:w="1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3"/>
          </w:tcPr>
          <w:p>
            <w:pPr>
              <w:jc w:val="center"/>
              <w:ind w:right="2160"/>
              <w:spacing w:after="0"/>
              <w:rPr>
                <w:sz w:val="20"/>
                <w:szCs w:val="20"/>
                <w:color w:val="auto"/>
              </w:rPr>
            </w:pPr>
            <w:r>
              <w:rPr>
                <w:rFonts w:ascii="Arial" w:cs="Arial" w:eastAsia="Arial" w:hAnsi="Arial"/>
                <w:sz w:val="16"/>
                <w:szCs w:val="16"/>
                <w:color w:val="auto"/>
                <w:w w:val="90"/>
              </w:rPr>
              <w:t>Steven M. West</w:t>
            </w:r>
          </w:p>
        </w:tc>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415290</wp:posOffset>
            </wp:positionV>
            <wp:extent cx="97790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0" w:type="dxa"/>
            <w:vAlign w:val="bottom"/>
            <w:gridSpan w:val="3"/>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78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62"/>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 xml:space="preserve">Amended and Restated Certificate of Incorporation of Registrant </w:t>
            </w:r>
            <w:r>
              <w:rPr>
                <w:rFonts w:ascii="Arial" w:cs="Arial" w:eastAsia="Arial" w:hAnsi="Arial"/>
                <w:sz w:val="16"/>
                <w:szCs w:val="16"/>
                <w:i w:val="1"/>
                <w:iCs w:val="1"/>
                <w:color w:val="auto"/>
                <w:w w:val="93"/>
              </w:rPr>
              <w:t>(incorporated by reference to Exhibit 3.1 filed with the Registrant’s Annual Report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Form 10-K for the fiscal year ended January 31, 2006, file no. 000-14338)</w:t>
            </w:r>
          </w:p>
        </w:tc>
      </w:tr>
      <w:tr>
        <w:trPr>
          <w:trHeight w:val="374"/>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Amended and Restated Bylaws of Registrant (</w:t>
            </w:r>
            <w:r>
              <w:rPr>
                <w:rFonts w:ascii="Arial" w:cs="Arial" w:eastAsia="Arial" w:hAnsi="Arial"/>
                <w:sz w:val="16"/>
                <w:szCs w:val="16"/>
                <w:i w:val="1"/>
                <w:iCs w:val="1"/>
                <w:color w:val="auto"/>
                <w:w w:val="94"/>
              </w:rPr>
              <w:t>incorporated by reference to Exhibit 3.1 filed with the Registrant’s Current Report on Form 8-K filed</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September 23,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Indenture dated December 13, 2012, by and between Autodesk, Inc. and U.S. Bank National Association (</w:t>
            </w:r>
            <w:r>
              <w:rPr>
                <w:rFonts w:ascii="Arial" w:cs="Arial" w:eastAsia="Arial" w:hAnsi="Arial"/>
                <w:sz w:val="16"/>
                <w:szCs w:val="16"/>
                <w:i w:val="1"/>
                <w:iCs w:val="1"/>
                <w:color w:val="auto"/>
                <w:w w:val="94"/>
              </w:rPr>
              <w:t>incorporated by reference to Exhibit 4.1</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filed 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9"/>
              </w:rPr>
              <w:t>First Supplemental Indenture (including Form of Notes) dated December 13, 2012, by and between Autodesk, Inc. and U.S. Bank National</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Association. (</w:t>
            </w:r>
            <w:r>
              <w:rPr>
                <w:rFonts w:ascii="Arial" w:cs="Arial" w:eastAsia="Arial" w:hAnsi="Arial"/>
                <w:sz w:val="16"/>
                <w:szCs w:val="16"/>
                <w:i w:val="1"/>
                <w:iCs w:val="1"/>
                <w:color w:val="auto"/>
              </w:rPr>
              <w:t>incorporated by reference to Exhibit 4.2 filed with the Registrant's Current Report on Form 8-K filed on December 13, 2012</w:t>
            </w:r>
            <w:r>
              <w:rPr>
                <w:rFonts w:ascii="Arial" w:cs="Arial" w:eastAsia="Arial" w:hAnsi="Arial"/>
                <w:sz w:val="16"/>
                <w:szCs w:val="16"/>
                <w:color w:val="auto"/>
              </w:rPr>
              <w:t>)</w:t>
            </w:r>
          </w:p>
        </w:tc>
      </w:tr>
      <w:tr>
        <w:trPr>
          <w:trHeight w:val="442"/>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6"/>
              </w:rPr>
              <w:t>Registrant’s 1996 Stock Plan (</w:t>
            </w:r>
            <w:r>
              <w:rPr>
                <w:rFonts w:ascii="Arial" w:cs="Arial" w:eastAsia="Arial" w:hAnsi="Arial"/>
                <w:sz w:val="16"/>
                <w:szCs w:val="16"/>
                <w:i w:val="1"/>
                <w:iCs w:val="1"/>
                <w:color w:val="auto"/>
                <w:w w:val="96"/>
              </w:rPr>
              <w:t>incorporated by reference to Exhibit 10.1 filed with the Registrant’s Quarterly Report on Form 10-Q for the fiscal</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quarter ended October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Registrant’s 1996 Stock Plan Forms of Agreement (</w:t>
            </w:r>
            <w:r>
              <w:rPr>
                <w:rFonts w:ascii="Arial" w:cs="Arial" w:eastAsia="Arial" w:hAnsi="Arial"/>
                <w:sz w:val="16"/>
                <w:szCs w:val="16"/>
                <w:i w:val="1"/>
                <w:iCs w:val="1"/>
                <w:color w:val="auto"/>
                <w:w w:val="92"/>
              </w:rPr>
              <w:t>incorporated by reference to Exhibit 10.5 filed with the Registrant’s Annual Report on Form 10-K</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 xml:space="preserve">Registrant’s 1998 Employee Qualified Stock Purchase Plan, as amended on June 10, 2010 </w:t>
            </w:r>
            <w:r>
              <w:rPr>
                <w:rFonts w:ascii="Arial" w:cs="Arial" w:eastAsia="Arial" w:hAnsi="Arial"/>
                <w:sz w:val="16"/>
                <w:szCs w:val="16"/>
                <w:i w:val="1"/>
                <w:iCs w:val="1"/>
                <w:color w:val="auto"/>
                <w:w w:val="93"/>
              </w:rPr>
              <w:t>(incorporated by reference to Exhibit 10.3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2013)</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Registrant’s 1998 Employee Qualified Stock Purchase Plan Forms of Agreement (</w:t>
            </w:r>
            <w:r>
              <w:rPr>
                <w:rFonts w:ascii="Arial" w:cs="Arial" w:eastAsia="Arial" w:hAnsi="Arial"/>
                <w:sz w:val="16"/>
                <w:szCs w:val="16"/>
                <w:i w:val="1"/>
                <w:iCs w:val="1"/>
                <w:color w:val="auto"/>
                <w:w w:val="92"/>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Registrant’s 1998 Employee Qualified Stock Purchase Plan Form of Agreement (non-U.S. Employees) (</w:t>
            </w:r>
            <w:r>
              <w:rPr>
                <w:rFonts w:ascii="Arial" w:cs="Arial" w:eastAsia="Arial" w:hAnsi="Arial"/>
                <w:sz w:val="16"/>
                <w:szCs w:val="16"/>
                <w:i w:val="1"/>
                <w:iCs w:val="1"/>
                <w:color w:val="auto"/>
                <w:w w:val="94"/>
              </w:rPr>
              <w:t>incorporated by reference to Exhibit 10.5</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filed with the Registrant’s Annual Report on Form 10-K 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Registrant’s 2000 Directors’ Option Plan, as amended (</w:t>
            </w:r>
            <w:r>
              <w:rPr>
                <w:rFonts w:ascii="Arial" w:cs="Arial" w:eastAsia="Arial" w:hAnsi="Arial"/>
                <w:sz w:val="16"/>
                <w:szCs w:val="16"/>
                <w:i w:val="1"/>
                <w:iCs w:val="1"/>
                <w:color w:val="auto"/>
                <w:w w:val="93"/>
              </w:rPr>
              <w:t>incorporated by reference to Exhibit 10.3 filed with the Registrant’s Current Report on Form</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8-K filed on June 18,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7"/>
              </w:rPr>
              <w:t>Registrant’s 2000 Directors’ Option Plan Forms of Agreements (</w:t>
            </w:r>
            <w:r>
              <w:rPr>
                <w:rFonts w:ascii="Arial" w:cs="Arial" w:eastAsia="Arial" w:hAnsi="Arial"/>
                <w:sz w:val="16"/>
                <w:szCs w:val="16"/>
                <w:i w:val="1"/>
                <w:iCs w:val="1"/>
                <w:color w:val="auto"/>
                <w:w w:val="97"/>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Report 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5"/>
              </w:rPr>
              <w:t>Registrant’s 2006 Employee Stock Plan (</w:t>
            </w:r>
            <w:r>
              <w:rPr>
                <w:rFonts w:ascii="Arial" w:cs="Arial" w:eastAsia="Arial" w:hAnsi="Arial"/>
                <w:sz w:val="16"/>
                <w:szCs w:val="16"/>
                <w:i w:val="1"/>
                <w:iCs w:val="1"/>
                <w:color w:val="auto"/>
                <w:w w:val="95"/>
              </w:rPr>
              <w:t>incorporated by reference to Exhibit 10.2 filed with the Registrant’s Current Report on Form 8-K filed on</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November 15, 2005</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Registrant’s 2006 Employee Stock Plan Forms of Agreement (</w:t>
            </w:r>
            <w:r>
              <w:rPr>
                <w:rFonts w:ascii="Arial" w:cs="Arial" w:eastAsia="Arial" w:hAnsi="Arial"/>
                <w:sz w:val="16"/>
                <w:szCs w:val="16"/>
                <w:i w:val="1"/>
                <w:iCs w:val="1"/>
                <w:color w:val="auto"/>
                <w:w w:val="93"/>
              </w:rPr>
              <w:t>incorporated by reference to Exhibit 10.8 filed with the Registrant’s Annual Report on</w:t>
            </w:r>
          </w:p>
        </w:tc>
      </w:tr>
      <w:tr>
        <w:trPr>
          <w:trHeight w:val="203"/>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w w:val="96"/>
              </w:rPr>
              <w:t>Form 10-K for the fiscal year ended January 31, 2006 and Exhibit 10.1 filed with the Registrant’s Current Report on Form 8-K filed on June 20,</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80" w:type="dxa"/>
            <w:vAlign w:val="bottom"/>
          </w:tcPr>
          <w:p>
            <w:pPr>
              <w:ind w:left="280"/>
              <w:spacing w:after="0"/>
              <w:rPr>
                <w:sz w:val="20"/>
                <w:szCs w:val="20"/>
                <w:color w:val="auto"/>
              </w:rPr>
            </w:pPr>
            <w:r>
              <w:rPr>
                <w:rFonts w:ascii="Arial" w:cs="Arial" w:eastAsia="Arial" w:hAnsi="Arial"/>
                <w:sz w:val="16"/>
                <w:szCs w:val="16"/>
                <w:i w:val="1"/>
                <w:iCs w:val="1"/>
                <w:color w:val="auto"/>
              </w:rPr>
              <w:t>2007</w:t>
            </w: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Registrant’s 2008 Employee Stock Plan, as amended and restated (</w:t>
            </w:r>
            <w:r>
              <w:rPr>
                <w:rFonts w:ascii="Arial" w:cs="Arial" w:eastAsia="Arial" w:hAnsi="Arial"/>
                <w:sz w:val="16"/>
                <w:szCs w:val="16"/>
                <w:i w:val="1"/>
                <w:iCs w:val="1"/>
                <w:color w:val="auto"/>
                <w:w w:val="94"/>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Report on Form 10-Q for the fiscal quarter ended July 31, 2010)</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Registrant’s 2008 Employee Stock Plan Forms of Agreement (</w:t>
            </w:r>
            <w:r>
              <w:rPr>
                <w:rFonts w:ascii="Arial" w:cs="Arial" w:eastAsia="Arial" w:hAnsi="Arial"/>
                <w:sz w:val="16"/>
                <w:szCs w:val="16"/>
                <w:i w:val="1"/>
                <w:iCs w:val="1"/>
                <w:color w:val="auto"/>
                <w:w w:val="93"/>
              </w:rPr>
              <w:t>incorporated by reference to Exhibit 10.1 filed with the Registrant’s Quarterly Report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Registrant’s 2008 Employee Stock Plan Form of Agreement (</w:t>
            </w:r>
            <w:r>
              <w:rPr>
                <w:rFonts w:ascii="Arial" w:cs="Arial" w:eastAsia="Arial" w:hAnsi="Arial"/>
                <w:sz w:val="16"/>
                <w:szCs w:val="16"/>
                <w:i w:val="1"/>
                <w:iCs w:val="1"/>
                <w:color w:val="auto"/>
                <w:w w:val="93"/>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Form 8-K filed on February 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8"/>
              </w:rPr>
              <w:t>Registrant’s 2008 Employee Stock Plan Forms of Restricted Stock Unit Agreements (</w:t>
            </w:r>
            <w:r>
              <w:rPr>
                <w:rFonts w:ascii="Arial" w:cs="Arial" w:eastAsia="Arial" w:hAnsi="Arial"/>
                <w:sz w:val="16"/>
                <w:szCs w:val="16"/>
                <w:i w:val="1"/>
                <w:iCs w:val="1"/>
                <w:color w:val="auto"/>
                <w:w w:val="98"/>
              </w:rPr>
              <w:t>incorporated by reference to Exhibit 10.2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June 18, 2008</w:t>
            </w:r>
            <w:r>
              <w:rPr>
                <w:rFonts w:ascii="Arial" w:cs="Arial" w:eastAsia="Arial" w:hAnsi="Arial"/>
                <w:sz w:val="16"/>
                <w:szCs w:val="16"/>
                <w:color w:val="auto"/>
              </w:rPr>
              <w:t>)</w:t>
            </w:r>
          </w:p>
        </w:tc>
      </w:tr>
      <w:tr>
        <w:trPr>
          <w:trHeight w:val="38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7"/>
              </w:rPr>
              <w:t>Registrant’s 2008 Employee Stock Plan Forms of Agreement (non-U.S. Employees) (</w:t>
            </w:r>
            <w:r>
              <w:rPr>
                <w:rFonts w:ascii="Arial" w:cs="Arial" w:eastAsia="Arial" w:hAnsi="Arial"/>
                <w:sz w:val="16"/>
                <w:szCs w:val="16"/>
                <w:i w:val="1"/>
                <w:iCs w:val="1"/>
                <w:color w:val="auto"/>
                <w:w w:val="97"/>
              </w:rPr>
              <w:t>incorporated by reference to Exhibit 10.14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2009</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1136015</wp:posOffset>
            </wp:positionV>
            <wp:extent cx="97790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2014 Form 10-K 103</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Exhibit No.</w:t>
            </w:r>
          </w:p>
        </w:tc>
        <w:tc>
          <w:tcPr>
            <w:tcW w:w="478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40"/>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280" w:type="dxa"/>
            <w:vAlign w:val="bottom"/>
          </w:tcPr>
          <w:p>
            <w:pPr>
              <w:spacing w:after="0"/>
              <w:rPr>
                <w:sz w:val="20"/>
                <w:szCs w:val="20"/>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1"/>
              </w:rPr>
              <w:t>Registrant's 2012 Employee Stock Plan, as amended and restated (</w:t>
            </w:r>
            <w:r>
              <w:rPr>
                <w:rFonts w:ascii="Arial" w:cs="Arial" w:eastAsia="Arial" w:hAnsi="Arial"/>
                <w:sz w:val="16"/>
                <w:szCs w:val="16"/>
                <w:i w:val="1"/>
                <w:iCs w:val="1"/>
                <w:color w:val="auto"/>
                <w:w w:val="91"/>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Form 8-K filed on January 15, 2014</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Registrant's 2012 Employee Stock Plan Form of Restricted Stock Unit Agreement (</w:t>
            </w:r>
            <w:r>
              <w:rPr>
                <w:rFonts w:ascii="Arial" w:cs="Arial" w:eastAsia="Arial" w:hAnsi="Arial"/>
                <w:sz w:val="16"/>
                <w:szCs w:val="16"/>
                <w:i w:val="1"/>
                <w:iCs w:val="1"/>
                <w:color w:val="auto"/>
              </w:rPr>
              <w:t>incorporated by reference to Exhibit 10.3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7"/>
              </w:rPr>
              <w:t>Registrant's 2012 Employee Stock Plan Form of Stock Option Agreement (</w:t>
            </w:r>
            <w:r>
              <w:rPr>
                <w:rFonts w:ascii="Arial" w:cs="Arial" w:eastAsia="Arial" w:hAnsi="Arial"/>
                <w:sz w:val="16"/>
                <w:szCs w:val="16"/>
                <w:i w:val="1"/>
                <w:iCs w:val="1"/>
                <w:color w:val="auto"/>
                <w:w w:val="97"/>
              </w:rPr>
              <w:t>incorporated by reference to Exhibit 10.2 filed with the Registrant's</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 xml:space="preserve">Registrant's 2012 Employee Stock Plan Form of Stock Option Agreement (non-U.S. Employees) </w:t>
            </w:r>
            <w:r>
              <w:rPr>
                <w:rFonts w:ascii="Arial" w:cs="Arial" w:eastAsia="Arial" w:hAnsi="Arial"/>
                <w:sz w:val="16"/>
                <w:szCs w:val="16"/>
                <w:i w:val="1"/>
                <w:iCs w:val="1"/>
                <w:color w:val="auto"/>
                <w:w w:val="92"/>
              </w:rPr>
              <w:t>(incorporated by reference to Exhibit 10.4 filed with</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the 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Text of amendment to certain stock option agreements (</w:t>
            </w:r>
            <w:r>
              <w:rPr>
                <w:rFonts w:ascii="Arial" w:cs="Arial" w:eastAsia="Arial" w:hAnsi="Arial"/>
                <w:sz w:val="16"/>
                <w:szCs w:val="16"/>
                <w:i w:val="1"/>
                <w:iCs w:val="1"/>
                <w:color w:val="auto"/>
                <w:w w:val="93"/>
              </w:rPr>
              <w:t>incorporated by reference to Exhibit 10.1 filed with the Registrant’s Current Report on Form</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8-K filed on September 22, 2006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Amendments to certain stock option agreements (</w:t>
            </w:r>
            <w:r>
              <w:rPr>
                <w:rFonts w:ascii="Arial" w:cs="Arial" w:eastAsia="Arial" w:hAnsi="Arial"/>
                <w:sz w:val="16"/>
                <w:szCs w:val="16"/>
                <w:i w:val="1"/>
                <w:iCs w:val="1"/>
                <w:color w:val="auto"/>
                <w:w w:val="93"/>
              </w:rPr>
              <w:t>incorporated by reference to Exhibit 10.16 filed with the Registrant’s Annual Report on Form 10-K</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5"/>
              </w:rPr>
              <w:t>Registrant’s 2010 Outside Directors’ Stock Plan (</w:t>
            </w:r>
            <w:r>
              <w:rPr>
                <w:rFonts w:ascii="Arial" w:cs="Arial" w:eastAsia="Arial" w:hAnsi="Arial"/>
                <w:sz w:val="16"/>
                <w:szCs w:val="16"/>
                <w:i w:val="1"/>
                <w:iCs w:val="1"/>
                <w:color w:val="auto"/>
                <w:w w:val="95"/>
              </w:rPr>
              <w:t>incorporated by reference to Exhibit 10.1 filed with the Registrant’s Current Report on Form 8-K</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filed on June 16,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8"/>
              </w:rPr>
              <w:t>Autodesk, Inc. 2010 Outside Directors’ Stock Plan Form of Stock Option Agreement (</w:t>
            </w:r>
            <w:r>
              <w:rPr>
                <w:rFonts w:ascii="Arial" w:cs="Arial" w:eastAsia="Arial" w:hAnsi="Arial"/>
                <w:sz w:val="16"/>
                <w:szCs w:val="16"/>
                <w:i w:val="1"/>
                <w:iCs w:val="1"/>
                <w:color w:val="auto"/>
                <w:w w:val="98"/>
              </w:rPr>
              <w:t>incorporated by reference to Exhibit 10.1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Autodesk, Inc. 2010 Outside Directors’ Stock Plan Form of Restricted Stock Award Agreement (</w:t>
            </w:r>
            <w:r>
              <w:rPr>
                <w:rFonts w:ascii="Arial" w:cs="Arial" w:eastAsia="Arial" w:hAnsi="Arial"/>
                <w:sz w:val="16"/>
                <w:szCs w:val="16"/>
                <w:i w:val="1"/>
                <w:iCs w:val="1"/>
                <w:color w:val="auto"/>
                <w:w w:val="94"/>
              </w:rPr>
              <w:t>incorporated by reference to Exhibit 10.2 filed with</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the Registrant’s 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5"/>
              </w:rPr>
              <w:t>Registrant's 2012 Outside Directors' Stock Plan (</w:t>
            </w:r>
            <w:r>
              <w:rPr>
                <w:rFonts w:ascii="Arial" w:cs="Arial" w:eastAsia="Arial" w:hAnsi="Arial"/>
                <w:sz w:val="16"/>
                <w:szCs w:val="16"/>
                <w:i w:val="1"/>
                <w:iCs w:val="1"/>
                <w:color w:val="auto"/>
                <w:w w:val="95"/>
              </w:rPr>
              <w:t>incorporated by reference to Exhibit 10.2 filed with the Registrant's Current Report on Form 8-K</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filed on January 6, 2012</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 xml:space="preserve">Registrant's 2012 Outside Directors' Stock Plan Form of Restricted Stock Unit Agreement </w:t>
            </w:r>
            <w:r>
              <w:rPr>
                <w:rFonts w:ascii="Arial" w:cs="Arial" w:eastAsia="Arial" w:hAnsi="Arial"/>
                <w:sz w:val="16"/>
                <w:szCs w:val="16"/>
                <w:i w:val="1"/>
                <w:iCs w:val="1"/>
                <w:color w:val="auto"/>
                <w:w w:val="94"/>
              </w:rPr>
              <w:t>(incorporated by reference to Exhibit 10.5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8"/>
              </w:rPr>
              <w:t>Form of Promise to Make Cash Payment and Option Amendment (U.S. Employees) (</w:t>
            </w:r>
            <w:r>
              <w:rPr>
                <w:rFonts w:ascii="Arial" w:cs="Arial" w:eastAsia="Arial" w:hAnsi="Arial"/>
                <w:sz w:val="16"/>
                <w:szCs w:val="16"/>
                <w:i w:val="1"/>
                <w:iCs w:val="1"/>
                <w:color w:val="auto"/>
                <w:w w:val="98"/>
              </w:rPr>
              <w:t>incorporated by reference to Exhibit 99.1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5"/>
              </w:rPr>
              <w:t>Form of Promise to Make Cash Payment and Option Amendment (Canadian Employees) (</w:t>
            </w:r>
            <w:r>
              <w:rPr>
                <w:rFonts w:ascii="Arial" w:cs="Arial" w:eastAsia="Arial" w:hAnsi="Arial"/>
                <w:sz w:val="16"/>
                <w:szCs w:val="16"/>
                <w:i w:val="1"/>
                <w:iCs w:val="1"/>
                <w:color w:val="auto"/>
                <w:w w:val="95"/>
              </w:rPr>
              <w:t>incorporated by reference to Exhibit 99.2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Registrant’s Current Report on Form 8-K filed on July 27, 2007</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Registrant’s Executive Incentive Plan,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Form 8-K filed on June 14,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Registrant’s 2005 Non-Qualified Deferred Compensation Plan, as amended and restated, effective as of January 1, 2008, as further amended and</w:t>
            </w:r>
          </w:p>
        </w:tc>
      </w:tr>
      <w:tr>
        <w:trPr>
          <w:trHeight w:val="203"/>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8"/>
              </w:rPr>
              <w:t xml:space="preserve">restated, effective as of December 31, 2008, as further amended and restated, effective as of January 1, 2010 </w:t>
            </w:r>
            <w:r>
              <w:rPr>
                <w:rFonts w:ascii="Arial" w:cs="Arial" w:eastAsia="Arial" w:hAnsi="Arial"/>
                <w:sz w:val="16"/>
                <w:szCs w:val="16"/>
                <w:i w:val="1"/>
                <w:iCs w:val="1"/>
                <w:color w:val="auto"/>
                <w:w w:val="98"/>
              </w:rPr>
              <w:t>(incorporated by reference to</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Exhibit 10.1 filed with the Registrant’s Quarterly Report on Form 10-Q for the fiscal quarter ended October 31, 2009)</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Participants, target awards and payout formulas for fiscal year 2014 under the Registrant’s Executive Incentive Plan (</w:t>
            </w:r>
            <w:r>
              <w:rPr>
                <w:rFonts w:ascii="Arial" w:cs="Arial" w:eastAsia="Arial" w:hAnsi="Arial"/>
                <w:sz w:val="16"/>
                <w:szCs w:val="16"/>
                <w:i w:val="1"/>
                <w:iCs w:val="1"/>
                <w:color w:val="auto"/>
                <w:w w:val="94"/>
              </w:rPr>
              <w:t>incorporated by reference to</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Item 5.02 of the Registrant’s Current Report on Form 8-K filed on March 25,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Executive Change in Control Program, as amended and restated (</w:t>
            </w:r>
            <w:r>
              <w:rPr>
                <w:rFonts w:ascii="Arial" w:cs="Arial" w:eastAsia="Arial" w:hAnsi="Arial"/>
                <w:sz w:val="16"/>
                <w:szCs w:val="16"/>
                <w:i w:val="1"/>
                <w:iCs w:val="1"/>
                <w:color w:val="auto"/>
                <w:w w:val="92"/>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Form 8-K filed on September 23, 2013</w:t>
            </w:r>
            <w:r>
              <w:rPr>
                <w:rFonts w:ascii="Arial" w:cs="Arial" w:eastAsia="Arial" w:hAnsi="Arial"/>
                <w:sz w:val="16"/>
                <w:szCs w:val="16"/>
                <w:color w:val="auto"/>
              </w:rPr>
              <w:t>)</w:t>
            </w:r>
          </w:p>
        </w:tc>
      </w:tr>
      <w:tr>
        <w:trPr>
          <w:trHeight w:val="37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Sub-Plan of the Autodesk, Inc. 1998 Employee Qualified Stock Purchase Plan, as amended and restated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10.33*</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Form of Indemnification Agreement executed by Autodesk and each of its officers and directors (</w:t>
            </w:r>
            <w:r>
              <w:rPr>
                <w:rFonts w:ascii="Arial" w:cs="Arial" w:eastAsia="Arial" w:hAnsi="Arial"/>
                <w:sz w:val="16"/>
                <w:szCs w:val="16"/>
                <w:i w:val="1"/>
                <w:iCs w:val="1"/>
                <w:color w:val="auto"/>
                <w:w w:val="93"/>
              </w:rPr>
              <w:t>incorporated by reference to Exhibit 10.8 filed with</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the Registrant’s 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10.34*</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1"/>
              </w:rPr>
              <w:t>Third Amended and Restated Employment Agreement between Registrant and Carl Bass dated March 21, 2013 (</w:t>
            </w:r>
            <w:r>
              <w:rPr>
                <w:rFonts w:ascii="Arial" w:cs="Arial" w:eastAsia="Arial" w:hAnsi="Arial"/>
                <w:sz w:val="16"/>
                <w:szCs w:val="16"/>
                <w:i w:val="1"/>
                <w:iCs w:val="1"/>
                <w:color w:val="auto"/>
                <w:w w:val="91"/>
              </w:rPr>
              <w:t>incorporated by reference to Exhibit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10.1 filed with the Registrant’s Current Report on Form 8-K filed on March 25,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10.35*</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Relocation Policy Addendum for Mark Hawkins (</w:t>
            </w:r>
            <w:r>
              <w:rPr>
                <w:rFonts w:ascii="Arial" w:cs="Arial" w:eastAsia="Arial" w:hAnsi="Arial"/>
                <w:sz w:val="16"/>
                <w:szCs w:val="16"/>
                <w:i w:val="1"/>
                <w:iCs w:val="1"/>
                <w:color w:val="auto"/>
                <w:w w:val="94"/>
              </w:rPr>
              <w:t>incorporated by reference to Exhibit 10.1 filed with the Registrant's Quarterly Report on Form 10-</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Q for the fiscal quarter ended October 21, 2011</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175260</wp:posOffset>
            </wp:positionV>
            <wp:extent cx="97790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2014 Form 10-K 104</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78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62"/>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95"/>
              </w:rPr>
              <w:t>10.36*</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Registrant’s Equity Incentive Deferral Plan as amended and restated effective as of June 12, 2008 (</w:t>
            </w:r>
            <w:r>
              <w:rPr>
                <w:rFonts w:ascii="Arial" w:cs="Arial" w:eastAsia="Arial" w:hAnsi="Arial"/>
                <w:sz w:val="16"/>
                <w:szCs w:val="16"/>
                <w:i w:val="1"/>
                <w:iCs w:val="1"/>
                <w:color w:val="auto"/>
                <w:w w:val="94"/>
              </w:rPr>
              <w:t>incorporated by reference to Exhibit 10.4 filed</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with the Registrant’s Quarterly Report on Form 10-Q for the fiscal quarter ended July 31, 2008</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10.37*</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2"/>
              </w:rPr>
              <w:t xml:space="preserve">Amendment to Registrant's Equity Incentive Deferral Plan effective as of February 17, 2012 </w:t>
            </w:r>
            <w:r>
              <w:rPr>
                <w:rFonts w:ascii="Arial" w:cs="Arial" w:eastAsia="Arial" w:hAnsi="Arial"/>
                <w:sz w:val="16"/>
                <w:szCs w:val="16"/>
                <w:i w:val="1"/>
                <w:iCs w:val="1"/>
                <w:color w:val="auto"/>
                <w:w w:val="92"/>
              </w:rPr>
              <w:t>(incorporated by reference to Exhibit 10.37 filed with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line="184" w:lineRule="exact"/>
              <w:rPr>
                <w:sz w:val="20"/>
                <w:szCs w:val="20"/>
                <w:color w:val="auto"/>
              </w:rPr>
            </w:pPr>
            <w:r>
              <w:rPr>
                <w:rFonts w:ascii="Arial" w:cs="Arial" w:eastAsia="Arial" w:hAnsi="Arial"/>
                <w:sz w:val="16"/>
                <w:szCs w:val="16"/>
                <w:i w:val="1"/>
                <w:iCs w:val="1"/>
                <w:color w:val="auto"/>
              </w:rPr>
              <w:t>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10.38*</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Description of Sales Commission Plan (</w:t>
            </w:r>
            <w:r>
              <w:rPr>
                <w:rFonts w:ascii="Arial" w:cs="Arial" w:eastAsia="Arial" w:hAnsi="Arial"/>
                <w:sz w:val="16"/>
                <w:szCs w:val="16"/>
                <w:i w:val="1"/>
                <w:iCs w:val="1"/>
                <w:color w:val="auto"/>
              </w:rPr>
              <w:t>incorporated by reference to Item 5.02 of the Registrant’s Current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Report on Form 8-K filed on March 25, 2013</w:t>
            </w:r>
            <w:r>
              <w:rPr>
                <w:rFonts w:ascii="Arial" w:cs="Arial" w:eastAsia="Arial" w:hAnsi="Arial"/>
                <w:sz w:val="16"/>
                <w:szCs w:val="16"/>
                <w:color w:val="auto"/>
              </w:rPr>
              <w:t>)</w:t>
            </w:r>
          </w:p>
        </w:tc>
      </w:tr>
      <w:tr>
        <w:trPr>
          <w:trHeight w:val="42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10.39*</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Description of amendments to Sales Commission Plan (</w:t>
            </w:r>
            <w:r>
              <w:rPr>
                <w:rFonts w:ascii="Arial" w:cs="Arial" w:eastAsia="Arial" w:hAnsi="Arial"/>
                <w:sz w:val="16"/>
                <w:szCs w:val="16"/>
                <w:i w:val="1"/>
                <w:iCs w:val="1"/>
                <w:color w:val="auto"/>
                <w:w w:val="93"/>
              </w:rPr>
              <w:t>incorporated by reference to Item 5.02 of the Registrant’s Current Report on Form 8-K filed</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on June 14, 2013</w:t>
            </w:r>
            <w:r>
              <w:rPr>
                <w:rFonts w:ascii="Arial" w:cs="Arial" w:eastAsia="Arial" w:hAnsi="Arial"/>
                <w:sz w:val="16"/>
                <w:szCs w:val="16"/>
                <w:color w:val="auto"/>
              </w:rPr>
              <w:t>)</w:t>
            </w:r>
          </w:p>
        </w:tc>
      </w:tr>
      <w:tr>
        <w:trPr>
          <w:trHeight w:val="42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10.40</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 xml:space="preserve">Office Lease between Registrant and the J.H.S. Trust for 111 McInnis Parkway, San Rafael, CA, as amended </w:t>
            </w:r>
            <w:r>
              <w:rPr>
                <w:rFonts w:ascii="Arial" w:cs="Arial" w:eastAsia="Arial" w:hAnsi="Arial"/>
                <w:sz w:val="16"/>
                <w:szCs w:val="16"/>
                <w:i w:val="1"/>
                <w:iCs w:val="1"/>
                <w:color w:val="auto"/>
                <w:w w:val="93"/>
              </w:rPr>
              <w:t>(incorporated by reference to Exhibit</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i w:val="1"/>
                <w:iCs w:val="1"/>
                <w:color w:val="auto"/>
              </w:rPr>
              <w:t>10.1 filed with the Registrant’s Quarterly Report on Form 10-Q for the fiscal quarter ended October 31, 2004)</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10.41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 xml:space="preserve">Fourth Amendment to Lease between Registrant and the J.H.S. Holdings L.P. for 111 McInnis Parkway, San Rafael, CA </w:t>
            </w:r>
            <w:r>
              <w:rPr>
                <w:rFonts w:ascii="Arial" w:cs="Arial" w:eastAsia="Arial" w:hAnsi="Arial"/>
                <w:sz w:val="16"/>
                <w:szCs w:val="16"/>
                <w:i w:val="1"/>
                <w:iCs w:val="1"/>
                <w:color w:val="auto"/>
                <w:w w:val="93"/>
              </w:rPr>
              <w:t>(incorporated by reference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line="184" w:lineRule="exact"/>
              <w:rPr>
                <w:sz w:val="20"/>
                <w:szCs w:val="20"/>
                <w:color w:val="auto"/>
              </w:rPr>
            </w:pPr>
            <w:r>
              <w:rPr>
                <w:rFonts w:ascii="Arial" w:cs="Arial" w:eastAsia="Arial" w:hAnsi="Arial"/>
                <w:sz w:val="16"/>
                <w:szCs w:val="16"/>
                <w:i w:val="1"/>
                <w:iCs w:val="1"/>
                <w:color w:val="auto"/>
              </w:rPr>
              <w:t>to Exhibit 10.30 filed with the Registrant’s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for the fiscal year ended January 31, 2010)</w:t>
            </w:r>
          </w:p>
        </w:tc>
      </w:tr>
      <w:tr>
        <w:trPr>
          <w:trHeight w:val="374"/>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10.42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3"/>
              </w:rPr>
              <w:t>Amended and Restated Credit Agreement, dated as of May 23, 2013, by and among the Registrant, the lenders from time to time party thereto and</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5"/>
              </w:rPr>
              <w:t xml:space="preserve">Citibank, N.A., as agent </w:t>
            </w:r>
            <w:r>
              <w:rPr>
                <w:rFonts w:ascii="Arial" w:cs="Arial" w:eastAsia="Arial" w:hAnsi="Arial"/>
                <w:sz w:val="16"/>
                <w:szCs w:val="16"/>
                <w:i w:val="1"/>
                <w:iCs w:val="1"/>
                <w:color w:val="auto"/>
                <w:w w:val="95"/>
              </w:rPr>
              <w:t>(incorporated by reference to Exhibit 10.1 filed with the Registrant's Current Report on Form 8-K filed on May 24, 2013)</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21.1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 xml:space="preserve">List of Subsidiaries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23.1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 xml:space="preserve">Consent of Independent Registered Public Accounting Firm (Ernst &amp; Young LLP)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24.1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Power of Attorney (contained in the signature page to this Annual Report)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31.1</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8"/>
        </w:trPr>
        <w:tc>
          <w:tcPr>
            <w:tcW w:w="700" w:type="dxa"/>
            <w:vAlign w:val="bottom"/>
          </w:tcPr>
          <w:p>
            <w:pPr>
              <w:jc w:val="center"/>
              <w:ind w:left="60"/>
              <w:spacing w:after="0"/>
              <w:rPr>
                <w:sz w:val="20"/>
                <w:szCs w:val="20"/>
                <w:color w:val="auto"/>
              </w:rPr>
            </w:pPr>
            <w:r>
              <w:rPr>
                <w:rFonts w:ascii="Arial" w:cs="Arial" w:eastAsia="Arial" w:hAnsi="Arial"/>
                <w:sz w:val="16"/>
                <w:szCs w:val="16"/>
                <w:color w:val="auto"/>
                <w:w w:val="89"/>
              </w:rPr>
              <w:t>31.2</w:t>
            </w:r>
          </w:p>
        </w:tc>
        <w:tc>
          <w:tcPr>
            <w:tcW w:w="280" w:type="dxa"/>
            <w:vAlign w:val="bottom"/>
          </w:tcPr>
          <w:p>
            <w:pPr>
              <w:spacing w:after="0"/>
              <w:rPr>
                <w:sz w:val="24"/>
                <w:szCs w:val="24"/>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32.1†</w:t>
            </w: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w w:val="94"/>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0" w:type="dxa"/>
            <w:vAlign w:val="bottom"/>
            <w:gridSpan w:val="3"/>
          </w:tcPr>
          <w:p>
            <w:pPr>
              <w:ind w:left="280"/>
              <w:spacing w:after="0"/>
              <w:rPr>
                <w:sz w:val="20"/>
                <w:szCs w:val="20"/>
                <w:color w:val="auto"/>
              </w:rPr>
            </w:pPr>
            <w:r>
              <w:rPr>
                <w:rFonts w:ascii="Arial" w:cs="Arial" w:eastAsia="Arial" w:hAnsi="Arial"/>
                <w:sz w:val="16"/>
                <w:szCs w:val="16"/>
                <w:color w:val="auto"/>
              </w:rPr>
              <w:t xml:space="preserve">Sarbanes-Oxley Act of 2002 </w:t>
            </w:r>
            <w:r>
              <w:rPr>
                <w:rFonts w:ascii="Arial" w:cs="Arial" w:eastAsia="Arial" w:hAnsi="Arial"/>
                <w:sz w:val="16"/>
                <w:szCs w:val="16"/>
                <w:i w:val="1"/>
                <w:iCs w:val="1"/>
                <w:color w:val="auto"/>
              </w:rPr>
              <w:t>(filed herewith)</w:t>
            </w:r>
          </w:p>
        </w:tc>
      </w:tr>
    </w:tbl>
    <w:p>
      <w:pPr>
        <w:spacing w:after="0" w:line="172" w:lineRule="exact"/>
        <w:rPr>
          <w:sz w:val="20"/>
          <w:szCs w:val="20"/>
          <w:color w:val="auto"/>
        </w:rPr>
      </w:pPr>
    </w:p>
    <w:p>
      <w:pPr>
        <w:ind w:left="380"/>
        <w:spacing w:after="0"/>
        <w:tabs>
          <w:tab w:leader="none" w:pos="164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5"/>
          <w:szCs w:val="15"/>
          <w:color w:val="auto"/>
        </w:rPr>
        <w:t>XBRL Taxonomy Extension Calculation Linkbase</w:t>
      </w:r>
    </w:p>
    <w:p>
      <w:pPr>
        <w:spacing w:after="0" w:line="194"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9" w:lineRule="exact"/>
        <w:rPr>
          <w:sz w:val="20"/>
          <w:szCs w:val="20"/>
          <w:color w:val="auto"/>
        </w:rPr>
      </w:pPr>
    </w:p>
    <w:p>
      <w:pPr>
        <w:ind w:left="420" w:right="220" w:hanging="412"/>
        <w:spacing w:after="0" w:line="281"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amended, whether made before or after the date of this Form 10-K, irrespective of any general incorporation language contained in such filing.</w:t>
      </w:r>
    </w:p>
    <w:p>
      <w:pPr>
        <w:spacing w:after="0" w:line="5"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429260</wp:posOffset>
            </wp:positionV>
            <wp:extent cx="97790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7790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2014 Form 10-K 105</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10.32</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September 21, 2011)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(Sub-Plan of the Autodesk, Inc. 1998 Employee Qualified Stock Purchase Plan, as amended and restated)</w:t>
      </w:r>
    </w:p>
    <w:p>
      <w:pPr>
        <w:spacing w:after="0" w:line="200" w:lineRule="exact"/>
        <w:rPr>
          <w:sz w:val="20"/>
          <w:szCs w:val="20"/>
          <w:color w:val="auto"/>
        </w:rPr>
      </w:pPr>
    </w:p>
    <w:p>
      <w:pPr>
        <w:spacing w:after="0" w:line="2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following constitute the provisions of the International Employee Stock Purchase Plan, as amended and restated (herein called the “Sub-Plan”) of Autodesk, Inc. (herein called the “Company”), a sub-plan of the Autodesk, Inc. 1998 Employee Qualified Stock Purchase Plan, as amended and restated (herein called the “US Plan”).</w:t>
      </w:r>
    </w:p>
    <w:p>
      <w:pPr>
        <w:spacing w:after="0" w:line="186" w:lineRule="exact"/>
        <w:rPr>
          <w:sz w:val="20"/>
          <w:szCs w:val="20"/>
          <w:color w:val="auto"/>
        </w:rPr>
      </w:pPr>
    </w:p>
    <w:p>
      <w:pPr>
        <w:ind w:left="660" w:firstLine="645"/>
        <w:spacing w:after="0" w:line="251" w:lineRule="auto"/>
        <w:tabs>
          <w:tab w:leader="none" w:pos="2091" w:val="left"/>
        </w:tabs>
        <w:numPr>
          <w:ilvl w:val="0"/>
          <w:numId w:val="60"/>
        </w:numPr>
        <w:rPr>
          <w:rFonts w:ascii="Arial" w:cs="Arial" w:eastAsia="Arial" w:hAnsi="Arial"/>
          <w:sz w:val="18"/>
          <w:szCs w:val="18"/>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Sub-Plan is intended to provide eligible Employees of the Company’s Affiliates the opportunity to acquire a proprietary interest in the Company through the purchase of shares of the Company’s common stock at periodic intervals with their accumulated payroll deductions or other approved contributions. The Sub-Plan is not intended to qualify as an employee stock purchase plan under Section 423 (b) of the U.S. Internal Revenue Code of 1986, as amended.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provisions of this Sub-Plan shall be governed by the U.S. Plan, except as otherwise provided herein.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Sub-Plan became effective on the designated Effective Date.</w:t>
      </w:r>
    </w:p>
    <w:p>
      <w:pPr>
        <w:spacing w:after="0" w:line="220" w:lineRule="exact"/>
        <w:rPr>
          <w:sz w:val="20"/>
          <w:szCs w:val="20"/>
          <w:color w:val="auto"/>
        </w:rPr>
      </w:pPr>
    </w:p>
    <w:p>
      <w:pPr>
        <w:ind w:left="2080" w:hanging="775"/>
        <w:spacing w:after="0"/>
        <w:tabs>
          <w:tab w:leader="none" w:pos="2080" w:val="left"/>
        </w:tabs>
        <w:numPr>
          <w:ilvl w:val="0"/>
          <w:numId w:val="61"/>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All definitions in the Sub-Plan shall be interpreted in accordance with the U.S. Plan except as otherwise provided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2" w:lineRule="exact"/>
        <w:rPr>
          <w:sz w:val="20"/>
          <w:szCs w:val="20"/>
          <w:color w:val="auto"/>
        </w:rPr>
      </w:pPr>
    </w:p>
    <w:p>
      <w:pPr>
        <w:ind w:left="660" w:right="20" w:firstLine="1293"/>
        <w:spacing w:after="0" w:line="293" w:lineRule="auto"/>
        <w:tabs>
          <w:tab w:leader="none" w:pos="2804" w:val="left"/>
        </w:tabs>
        <w:numPr>
          <w:ilvl w:val="2"/>
          <w:numId w:val="62"/>
        </w:numPr>
        <w:rPr>
          <w:rFonts w:ascii="Arial" w:cs="Arial" w:eastAsia="Arial" w:hAnsi="Arial"/>
          <w:sz w:val="16"/>
          <w:szCs w:val="16"/>
          <w:color w:val="auto"/>
        </w:rPr>
      </w:pPr>
      <w:r>
        <w:rPr>
          <w:rFonts w:ascii="Arial" w:cs="Arial" w:eastAsia="Arial" w:hAnsi="Arial"/>
          <w:sz w:val="19"/>
          <w:szCs w:val="19"/>
          <w:color w:val="auto"/>
        </w:rPr>
        <w:t>“Affiliate” shall mean a corporation, partnership, joint venture or other business entity, or branch of such business entity, domestic or foreign, of which not less than 50% of the voting shares are held by the Company or a Subsidiary, whether or not such corporation now exists or is hereafter organized or acquired by the Company or an Affiliate.</w:t>
      </w:r>
    </w:p>
    <w:p>
      <w:pPr>
        <w:spacing w:after="0" w:line="1" w:lineRule="exact"/>
        <w:rPr>
          <w:rFonts w:ascii="Arial" w:cs="Arial" w:eastAsia="Arial" w:hAnsi="Arial"/>
          <w:sz w:val="16"/>
          <w:szCs w:val="16"/>
          <w:color w:val="auto"/>
        </w:rPr>
      </w:pPr>
    </w:p>
    <w:p>
      <w:pPr>
        <w:jc w:val="both"/>
        <w:ind w:right="260" w:firstLine="1305"/>
        <w:spacing w:after="0" w:line="247"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22"/>
          <w:szCs w:val="22"/>
          <w:color w:val="auto"/>
        </w:rPr>
        <w:t>“Effective Date” shall mean December 6, 2007; provided, however, that any Affiliate which extends the benefits of this Sub-Plan to its Employees after December 6, 2007, shall designate a subsequent Effective Date with respect to its employee-Participants.</w:t>
      </w:r>
    </w:p>
    <w:p>
      <w:pPr>
        <w:spacing w:after="0" w:line="2" w:lineRule="exact"/>
        <w:rPr>
          <w:rFonts w:ascii="Arial" w:cs="Arial" w:eastAsia="Arial" w:hAnsi="Arial"/>
          <w:sz w:val="18"/>
          <w:szCs w:val="18"/>
          <w:color w:val="auto"/>
        </w:rPr>
      </w:pPr>
    </w:p>
    <w:p>
      <w:pPr>
        <w:ind w:left="2160" w:hanging="855"/>
        <w:spacing w:after="0"/>
        <w:tabs>
          <w:tab w:leader="none" w:pos="2160" w:val="left"/>
        </w:tabs>
        <w:numPr>
          <w:ilvl w:val="1"/>
          <w:numId w:val="63"/>
        </w:numPr>
        <w:rPr>
          <w:rFonts w:ascii="Arial" w:cs="Arial" w:eastAsia="Arial" w:hAnsi="Arial"/>
          <w:sz w:val="18"/>
          <w:szCs w:val="18"/>
          <w:color w:val="auto"/>
        </w:rPr>
      </w:pPr>
      <w:r>
        <w:rPr>
          <w:rFonts w:ascii="Arial" w:cs="Arial" w:eastAsia="Arial" w:hAnsi="Arial"/>
          <w:sz w:val="22"/>
          <w:szCs w:val="22"/>
          <w:color w:val="auto"/>
        </w:rPr>
        <w:t>“Employee” shall mean any person employed by an Affiliate.</w:t>
      </w:r>
    </w:p>
    <w:p>
      <w:pPr>
        <w:spacing w:after="0" w:line="3" w:lineRule="exact"/>
        <w:rPr>
          <w:rFonts w:ascii="Arial" w:cs="Arial" w:eastAsia="Arial" w:hAnsi="Arial"/>
          <w:sz w:val="18"/>
          <w:szCs w:val="18"/>
          <w:color w:val="auto"/>
        </w:rPr>
      </w:pPr>
    </w:p>
    <w:p>
      <w:pPr>
        <w:ind w:left="2220" w:hanging="915"/>
        <w:spacing w:after="0"/>
        <w:tabs>
          <w:tab w:leader="none" w:pos="2220" w:val="left"/>
        </w:tabs>
        <w:numPr>
          <w:ilvl w:val="1"/>
          <w:numId w:val="63"/>
        </w:numPr>
        <w:rPr>
          <w:rFonts w:ascii="Arial" w:cs="Arial" w:eastAsia="Arial" w:hAnsi="Arial"/>
          <w:sz w:val="16"/>
          <w:szCs w:val="16"/>
          <w:color w:val="auto"/>
        </w:rPr>
      </w:pPr>
      <w:r>
        <w:rPr>
          <w:rFonts w:ascii="Arial" w:cs="Arial" w:eastAsia="Arial" w:hAnsi="Arial"/>
          <w:sz w:val="19"/>
          <w:szCs w:val="19"/>
          <w:color w:val="auto"/>
        </w:rPr>
        <w:t>“Participant” means any Employee who meets the eligibility and participation requirements set forth in</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Sections 3 and 4, below.</w:t>
      </w:r>
    </w:p>
    <w:p>
      <w:pPr>
        <w:spacing w:after="0" w:line="17" w:lineRule="exact"/>
        <w:rPr>
          <w:rFonts w:ascii="Arial" w:cs="Arial" w:eastAsia="Arial" w:hAnsi="Arial"/>
          <w:sz w:val="16"/>
          <w:szCs w:val="16"/>
          <w:color w:val="auto"/>
        </w:rPr>
      </w:pPr>
    </w:p>
    <w:p>
      <w:pPr>
        <w:ind w:right="260" w:firstLine="656"/>
        <w:spacing w:after="0" w:line="259" w:lineRule="auto"/>
        <w:tabs>
          <w:tab w:leader="none" w:pos="1431" w:val="left"/>
        </w:tabs>
        <w:numPr>
          <w:ilvl w:val="0"/>
          <w:numId w:val="64"/>
        </w:numPr>
        <w:rPr>
          <w:rFonts w:ascii="Arial" w:cs="Arial" w:eastAsia="Arial" w:hAnsi="Arial"/>
          <w:sz w:val="18"/>
          <w:szCs w:val="18"/>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individual who is (a) an Employee as of the last day of the Enrollment Period for the applicable Offering Period, and (b) employed by an Affiliate (or legal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06" w:name="page107"/>
    <w:bookmarkEnd w:id="106"/>
    <w:p>
      <w:pPr>
        <w:spacing w:after="0" w:line="249" w:lineRule="auto"/>
        <w:rPr>
          <w:sz w:val="20"/>
          <w:szCs w:val="20"/>
          <w:color w:val="auto"/>
        </w:rPr>
      </w:pPr>
      <w:r>
        <w:rPr>
          <w:rFonts w:ascii="Arial" w:cs="Arial" w:eastAsia="Arial" w:hAnsi="Arial"/>
          <w:sz w:val="22"/>
          <w:szCs w:val="22"/>
          <w:color w:val="auto"/>
        </w:rPr>
        <w:t>extension of an Affiliate, such as a branch office) operating in one of the countries listed on the attached Schedule A (which Schedule A may be amended form time to time by the Board or a committee thereof), shall be eligible to participate in the Sub-Plan for that Offering Period.</w:t>
      </w: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300" w:firstLine="1305"/>
        <w:spacing w:after="0" w:line="289" w:lineRule="auto"/>
        <w:tabs>
          <w:tab w:leader="none" w:pos="2144" w:val="left"/>
        </w:tabs>
        <w:numPr>
          <w:ilvl w:val="1"/>
          <w:numId w:val="65"/>
        </w:numPr>
        <w:rPr>
          <w:rFonts w:ascii="Arial" w:cs="Arial" w:eastAsia="Arial" w:hAnsi="Arial"/>
          <w:sz w:val="16"/>
          <w:szCs w:val="16"/>
          <w:color w:val="auto"/>
        </w:rPr>
      </w:pPr>
      <w:r>
        <w:rPr>
          <w:rFonts w:ascii="Arial" w:cs="Arial" w:eastAsia="Arial" w:hAnsi="Arial"/>
          <w:sz w:val="19"/>
          <w:szCs w:val="19"/>
          <w:color w:val="auto"/>
        </w:rPr>
        <w:t>An eligible Employee may become a Participant in the Plan by completing a subscription agreement authorizing payroll deductions or other approved contributions on the form provided by the Company and filing it with the Company’s payroll office during the Enrollment Period for the applicable Offering Period, unless a later or earlier time for filing the subscription agreement is set by the Board for all eligible Employees with respect to a given offering.</w:t>
      </w:r>
    </w:p>
    <w:p>
      <w:pPr>
        <w:spacing w:after="0" w:line="1" w:lineRule="exact"/>
        <w:rPr>
          <w:rFonts w:ascii="Arial" w:cs="Arial" w:eastAsia="Arial" w:hAnsi="Arial"/>
          <w:sz w:val="16"/>
          <w:szCs w:val="16"/>
          <w:color w:val="auto"/>
        </w:rPr>
      </w:pPr>
    </w:p>
    <w:p>
      <w:pPr>
        <w:ind w:right="200" w:firstLine="1305"/>
        <w:spacing w:after="0" w:line="285" w:lineRule="auto"/>
        <w:tabs>
          <w:tab w:leader="none" w:pos="2155" w:val="left"/>
        </w:tabs>
        <w:numPr>
          <w:ilvl w:val="1"/>
          <w:numId w:val="65"/>
        </w:numPr>
        <w:rPr>
          <w:rFonts w:ascii="Arial" w:cs="Arial" w:eastAsia="Arial" w:hAnsi="Arial"/>
          <w:sz w:val="16"/>
          <w:szCs w:val="16"/>
          <w:color w:val="auto"/>
        </w:rPr>
      </w:pPr>
      <w:r>
        <w:rPr>
          <w:rFonts w:ascii="Arial" w:cs="Arial" w:eastAsia="Arial" w:hAnsi="Arial"/>
          <w:sz w:val="19"/>
          <w:szCs w:val="19"/>
          <w:color w:val="auto"/>
        </w:rPr>
        <w:t>Payroll deductions for a Participant shall continue at the rate specified in the subscription agreement throughout the Offering Period with automatic re-enrollment for the Offering Period which commences the day after the Exercise Date at the same rate specified in the original subscription agreement, subject to any change in subscription rate made pursuant to Section 6(c) of the U.S. Plan, unless sooner terminated by the participant as provided in Section 11 of the U.S. Plan.</w:t>
      </w:r>
    </w:p>
    <w:p>
      <w:pPr>
        <w:spacing w:after="0" w:line="2" w:lineRule="exact"/>
        <w:rPr>
          <w:rFonts w:ascii="Arial" w:cs="Arial" w:eastAsia="Arial" w:hAnsi="Arial"/>
          <w:sz w:val="16"/>
          <w:szCs w:val="16"/>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Payroll Deductions and Other Approved Contributions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260" w:firstLine="1305"/>
        <w:spacing w:after="0" w:line="263" w:lineRule="auto"/>
        <w:tabs>
          <w:tab w:leader="none" w:pos="2144" w:val="left"/>
        </w:tabs>
        <w:numPr>
          <w:ilvl w:val="1"/>
          <w:numId w:val="65"/>
        </w:numPr>
        <w:rPr>
          <w:rFonts w:ascii="Arial" w:cs="Arial" w:eastAsia="Arial" w:hAnsi="Arial"/>
          <w:sz w:val="17"/>
          <w:szCs w:val="17"/>
          <w:color w:val="auto"/>
        </w:rPr>
      </w:pPr>
      <w:r>
        <w:rPr>
          <w:rFonts w:ascii="Arial" w:cs="Arial" w:eastAsia="Arial" w:hAnsi="Arial"/>
          <w:sz w:val="21"/>
          <w:szCs w:val="21"/>
          <w:color w:val="auto"/>
        </w:rPr>
        <w:t>Except to the extent otherwise determined by the Board, payroll deductions shall be made in accordance with Section 6 of the U.S. Plan. The Board may, at its discretion, approve other methods of contributions including, without limitation, check, cash or standing order of the Participant’s individual bank account.</w:t>
      </w:r>
    </w:p>
    <w:p>
      <w:pPr>
        <w:spacing w:after="0" w:line="2" w:lineRule="exact"/>
        <w:rPr>
          <w:rFonts w:ascii="Arial" w:cs="Arial" w:eastAsia="Arial" w:hAnsi="Arial"/>
          <w:sz w:val="17"/>
          <w:szCs w:val="17"/>
          <w:color w:val="auto"/>
        </w:rPr>
      </w:pPr>
    </w:p>
    <w:p>
      <w:pPr>
        <w:ind w:right="20" w:firstLine="1305"/>
        <w:spacing w:after="0" w:line="284" w:lineRule="auto"/>
        <w:tabs>
          <w:tab w:leader="none" w:pos="2155" w:val="left"/>
        </w:tabs>
        <w:numPr>
          <w:ilvl w:val="1"/>
          <w:numId w:val="65"/>
        </w:numPr>
        <w:rPr>
          <w:rFonts w:ascii="Arial" w:cs="Arial" w:eastAsia="Arial" w:hAnsi="Arial"/>
          <w:sz w:val="16"/>
          <w:szCs w:val="16"/>
          <w:color w:val="auto"/>
        </w:rPr>
      </w:pPr>
      <w:r>
        <w:rPr>
          <w:rFonts w:ascii="Arial" w:cs="Arial" w:eastAsia="Arial" w:hAnsi="Arial"/>
          <w:sz w:val="19"/>
          <w:szCs w:val="19"/>
          <w:color w:val="auto"/>
        </w:rPr>
        <w:t>The amounts so collected shall be credited to the participant’s individual book account under the Sub-Plan, initially in the currency in which paid by the Affiliate until converted into U.S. Dollars. Accordingly, all purchases of Common Stock under the Sub-Plan are to be made with the U.S. Dollars into which the payroll deductions for the Offering Period or other approved contributions have been converted. The amounts collected from a participant may be commingled with the general assets of the Company or the Affiliate and may be used for general corporate purposes, except as otherwise required by local law.</w:t>
      </w:r>
    </w:p>
    <w:p>
      <w:pPr>
        <w:spacing w:after="0" w:line="3" w:lineRule="exact"/>
        <w:rPr>
          <w:rFonts w:ascii="Arial" w:cs="Arial" w:eastAsia="Arial" w:hAnsi="Arial"/>
          <w:sz w:val="16"/>
          <w:szCs w:val="16"/>
          <w:color w:val="auto"/>
        </w:rPr>
      </w:pPr>
    </w:p>
    <w:p>
      <w:pPr>
        <w:ind w:right="100" w:firstLine="1305"/>
        <w:spacing w:after="0" w:line="245" w:lineRule="auto"/>
        <w:tabs>
          <w:tab w:leader="none" w:pos="2144" w:val="left"/>
        </w:tabs>
        <w:numPr>
          <w:ilvl w:val="1"/>
          <w:numId w:val="65"/>
        </w:numPr>
        <w:rPr>
          <w:rFonts w:ascii="Arial" w:cs="Arial" w:eastAsia="Arial" w:hAnsi="Arial"/>
          <w:sz w:val="18"/>
          <w:szCs w:val="18"/>
          <w:color w:val="auto"/>
        </w:rPr>
      </w:pPr>
      <w:r>
        <w:rPr>
          <w:rFonts w:ascii="Arial" w:cs="Arial" w:eastAsia="Arial" w:hAnsi="Arial"/>
          <w:sz w:val="22"/>
          <w:szCs w:val="22"/>
          <w:color w:val="auto"/>
        </w:rPr>
        <w:t>For purposes of determining the number of shares purchasable by a participant, the payroll deductions or other approved contributions credited to each participant’s book account during each Exercise Period shall be converted into U.S. Dollars on the Exercise Date for that Exercise Period on the basis of the exchange rate in effect on such date. The Board shall have the absolute discretion to determine the applicable exchange rate to be in effect for each Exercise Date by any reasonable method (including, without limitation, the exchange rate actually used by the Company for its intra-Company financial transactions for the month of such transfer). Any changes or fluctuations in the exchange rate at which the payroll deductions or other approved contributions collected on the participant’s behalf are converted into U.S. Dollars on each Exercise Date shall be borne solely by the participant.</w:t>
      </w:r>
    </w:p>
    <w:p>
      <w:pPr>
        <w:ind w:left="1440" w:hanging="784"/>
        <w:spacing w:after="0"/>
        <w:tabs>
          <w:tab w:leader="none" w:pos="1440" w:val="left"/>
        </w:tabs>
        <w:numPr>
          <w:ilvl w:val="0"/>
          <w:numId w:val="65"/>
        </w:numPr>
        <w:rPr>
          <w:rFonts w:ascii="Arial" w:cs="Arial" w:eastAsia="Arial" w:hAnsi="Arial"/>
          <w:sz w:val="16"/>
          <w:szCs w:val="16"/>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The grant of the option and the purchase price of the option shall be in accordance with Section 7</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of the U.S. Plan.</w:t>
      </w:r>
    </w:p>
    <w:p>
      <w:pPr>
        <w:spacing w:after="0" w:line="17" w:lineRule="exact"/>
        <w:rPr>
          <w:rFonts w:ascii="Arial" w:cs="Arial" w:eastAsia="Arial" w:hAnsi="Arial"/>
          <w:sz w:val="16"/>
          <w:szCs w:val="16"/>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The exercise of the option shall be in accordance with Section 8 of the U.S. Plan.</w:t>
      </w:r>
    </w:p>
    <w:p>
      <w:pPr>
        <w:spacing w:after="0" w:line="3" w:lineRule="exact"/>
        <w:rPr>
          <w:rFonts w:ascii="Arial" w:cs="Arial" w:eastAsia="Arial" w:hAnsi="Arial"/>
          <w:sz w:val="18"/>
          <w:szCs w:val="18"/>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2"/>
          <w:szCs w:val="22"/>
          <w:u w:val="single" w:color="auto"/>
          <w:color w:val="auto"/>
        </w:rPr>
        <w:t>Withdrawal; Termination of Employment</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right="60" w:firstLine="1305"/>
        <w:spacing w:after="0" w:line="272" w:lineRule="auto"/>
        <w:tabs>
          <w:tab w:leader="none" w:pos="2144" w:val="left"/>
        </w:tabs>
        <w:numPr>
          <w:ilvl w:val="1"/>
          <w:numId w:val="65"/>
        </w:numPr>
        <w:rPr>
          <w:rFonts w:ascii="Arial" w:cs="Arial" w:eastAsia="Arial" w:hAnsi="Arial"/>
          <w:sz w:val="18"/>
          <w:szCs w:val="18"/>
          <w:color w:val="auto"/>
        </w:rPr>
      </w:pPr>
      <w:r>
        <w:rPr>
          <w:rFonts w:ascii="Arial" w:cs="Arial" w:eastAsia="Arial" w:hAnsi="Arial"/>
          <w:sz w:val="22"/>
          <w:szCs w:val="22"/>
          <w:color w:val="auto"/>
        </w:rPr>
        <w:t>A Participant may withdraw all but not less than all the payroll deductions or other approved contributions credited to his or her account under the Sub-Plan at any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07" w:name="page108"/>
    <w:bookmarkEnd w:id="107"/>
    <w:p>
      <w:pPr>
        <w:ind w:right="40"/>
        <w:spacing w:after="0" w:line="259" w:lineRule="auto"/>
        <w:rPr>
          <w:sz w:val="20"/>
          <w:szCs w:val="20"/>
          <w:color w:val="auto"/>
        </w:rPr>
      </w:pPr>
      <w:r>
        <w:rPr>
          <w:rFonts w:ascii="Arial" w:cs="Arial" w:eastAsia="Arial" w:hAnsi="Arial"/>
          <w:sz w:val="21"/>
          <w:szCs w:val="21"/>
          <w:color w:val="auto"/>
        </w:rPr>
        <w:t>prior to the Exercise Date of the Offering Period by giving written notice to the Company. All of the Participant’s payroll deductions or other approved contributions credited to his or her account will be paid to him or her at the next pay date after receipt of his or her notice of withdrawal and his or her option for the current period will be automatically terminated, and no further payroll deductions for the purchase of shares will be made during the Offering Period.</w:t>
      </w:r>
    </w:p>
    <w:p>
      <w:pPr>
        <w:spacing w:after="0" w:line="2" w:lineRule="exact"/>
        <w:rPr>
          <w:sz w:val="20"/>
          <w:szCs w:val="20"/>
          <w:color w:val="auto"/>
        </w:rPr>
      </w:pPr>
    </w:p>
    <w:p>
      <w:pPr>
        <w:ind w:right="60" w:firstLine="1305"/>
        <w:spacing w:after="0" w:line="246" w:lineRule="auto"/>
        <w:tabs>
          <w:tab w:leader="none" w:pos="2155" w:val="left"/>
        </w:tabs>
        <w:numPr>
          <w:ilvl w:val="1"/>
          <w:numId w:val="66"/>
        </w:numPr>
        <w:rPr>
          <w:rFonts w:ascii="Arial" w:cs="Arial" w:eastAsia="Arial" w:hAnsi="Arial"/>
          <w:sz w:val="18"/>
          <w:szCs w:val="18"/>
          <w:color w:val="auto"/>
        </w:rPr>
      </w:pPr>
      <w:r>
        <w:rPr>
          <w:rFonts w:ascii="Arial" w:cs="Arial" w:eastAsia="Arial" w:hAnsi="Arial"/>
          <w:sz w:val="22"/>
          <w:szCs w:val="22"/>
          <w:color w:val="auto"/>
        </w:rPr>
        <w:t>Upon termination of the participant’s Continuous Status as an Employee prior to the Exercise Date for any reason, including retirement or death, the payroll deductions or other approved contributions credited to his or her account will be returned to the participant’s or, in the case the of Participant’s death, to the person or persons entitled thereto under Section 15 of the U.S. Plan, and his or her option will be automatically terminated.</w:t>
      </w:r>
    </w:p>
    <w:p>
      <w:pPr>
        <w:spacing w:after="0" w:line="2" w:lineRule="exact"/>
        <w:rPr>
          <w:rFonts w:ascii="Arial" w:cs="Arial" w:eastAsia="Arial" w:hAnsi="Arial"/>
          <w:sz w:val="18"/>
          <w:szCs w:val="18"/>
          <w:color w:val="auto"/>
        </w:rPr>
      </w:pPr>
    </w:p>
    <w:p>
      <w:pPr>
        <w:ind w:right="900" w:firstLine="1305"/>
        <w:spacing w:after="0" w:line="289" w:lineRule="auto"/>
        <w:tabs>
          <w:tab w:leader="none" w:pos="2144" w:val="left"/>
        </w:tabs>
        <w:numPr>
          <w:ilvl w:val="1"/>
          <w:numId w:val="66"/>
        </w:numPr>
        <w:rPr>
          <w:rFonts w:ascii="Arial" w:cs="Arial" w:eastAsia="Arial" w:hAnsi="Arial"/>
          <w:sz w:val="16"/>
          <w:szCs w:val="16"/>
          <w:color w:val="auto"/>
        </w:rPr>
      </w:pPr>
      <w:r>
        <w:rPr>
          <w:rFonts w:ascii="Arial" w:cs="Arial" w:eastAsia="Arial" w:hAnsi="Arial"/>
          <w:sz w:val="19"/>
          <w:szCs w:val="19"/>
          <w:color w:val="auto"/>
        </w:rPr>
        <w:t>A Participant’s withdrawal from an offering will not have any effect upon his or her eligibility to participate in a succeeding offering or in any similar plan which may hereafter be adopted by the Company.</w:t>
      </w:r>
    </w:p>
    <w:p>
      <w:pPr>
        <w:ind w:left="1440" w:hanging="784"/>
        <w:spacing w:after="0"/>
        <w:tabs>
          <w:tab w:leader="none" w:pos="1440"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Transfer of Employment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120" w:firstLine="1305"/>
        <w:spacing w:after="0" w:line="258" w:lineRule="auto"/>
        <w:tabs>
          <w:tab w:leader="none" w:pos="2144" w:val="left"/>
        </w:tabs>
        <w:numPr>
          <w:ilvl w:val="1"/>
          <w:numId w:val="67"/>
        </w:numPr>
        <w:rPr>
          <w:rFonts w:ascii="Arial" w:cs="Arial" w:eastAsia="Arial" w:hAnsi="Arial"/>
          <w:sz w:val="17"/>
          <w:szCs w:val="17"/>
          <w:color w:val="auto"/>
        </w:rPr>
      </w:pPr>
      <w:r>
        <w:rPr>
          <w:rFonts w:ascii="Arial" w:cs="Arial" w:eastAsia="Arial" w:hAnsi="Arial"/>
          <w:sz w:val="21"/>
          <w:szCs w:val="21"/>
          <w:color w:val="auto"/>
        </w:rPr>
        <w:t>In the event that a Participant who is an Employee of an Affiliate is transferred and becomes an employee of the Company during an Offering Period under the Sub-Plan, such individual may, subject to the terms and eligibility of the U.S. Plan, become a participant under the U.S. Plan for the duration of the Offering Period in effect at that time. Unless otherwise required under local law, any payroll deductions or other approved contributions may continue to be held by the Affiliate former employer of the Participant for the remainder of the Offering Period. At the next Exercise date, all payroll deductions and other approved contributions made by or to the Company or the Affiliate shall be aggregated for the purchase of shares subject to the terms and limitations of the U.S. Plan.</w:t>
      </w:r>
    </w:p>
    <w:p>
      <w:pPr>
        <w:spacing w:after="0" w:line="6" w:lineRule="exact"/>
        <w:rPr>
          <w:rFonts w:ascii="Arial" w:cs="Arial" w:eastAsia="Arial" w:hAnsi="Arial"/>
          <w:sz w:val="17"/>
          <w:szCs w:val="17"/>
          <w:color w:val="auto"/>
        </w:rPr>
      </w:pPr>
    </w:p>
    <w:p>
      <w:pPr>
        <w:ind w:right="40" w:firstLine="1305"/>
        <w:spacing w:after="0" w:line="257" w:lineRule="auto"/>
        <w:tabs>
          <w:tab w:leader="none" w:pos="2155" w:val="left"/>
        </w:tabs>
        <w:numPr>
          <w:ilvl w:val="1"/>
          <w:numId w:val="67"/>
        </w:numPr>
        <w:rPr>
          <w:rFonts w:ascii="Arial" w:cs="Arial" w:eastAsia="Arial" w:hAnsi="Arial"/>
          <w:sz w:val="17"/>
          <w:szCs w:val="17"/>
          <w:color w:val="auto"/>
        </w:rPr>
      </w:pPr>
      <w:r>
        <w:rPr>
          <w:rFonts w:ascii="Arial" w:cs="Arial" w:eastAsia="Arial" w:hAnsi="Arial"/>
          <w:sz w:val="21"/>
          <w:szCs w:val="21"/>
          <w:color w:val="auto"/>
        </w:rPr>
        <w:t>In the event that an employee of the Company who is a participant in the U.S. Plan is transferred and becomes an Employee of an Affiliate during an Offering Period in effect under the U.S. Plan, such individual may become a participant under the Sub-Plan for the duration of the Offering Period in effect at that time. Unless otherwise required under local law, any payroll deductions may continue to be held by the Company for the remainder of the Offering Period. At the next Exercise date, all payroll deductions and other approved contributions made by or to the Company or Affiliate may be aggregated for the purchase of shares subject to the terms and limitations of the Sub-Plan.</w:t>
      </w:r>
    </w:p>
    <w:p>
      <w:pPr>
        <w:spacing w:after="0" w:line="1" w:lineRule="exact"/>
        <w:rPr>
          <w:rFonts w:ascii="Arial" w:cs="Arial" w:eastAsia="Arial" w:hAnsi="Arial"/>
          <w:sz w:val="17"/>
          <w:szCs w:val="17"/>
          <w:color w:val="auto"/>
        </w:rPr>
      </w:pPr>
    </w:p>
    <w:p>
      <w:pPr>
        <w:ind w:right="160" w:firstLine="656"/>
        <w:spacing w:after="0" w:line="249"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No interest shall accrue on the payroll deductions or other approved contributions of a Participant in the Sub-Plan unless required by local law.</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40" w:firstLine="1305"/>
        <w:spacing w:after="0" w:line="263" w:lineRule="auto"/>
        <w:tabs>
          <w:tab w:leader="none" w:pos="2144" w:val="left"/>
        </w:tabs>
        <w:numPr>
          <w:ilvl w:val="1"/>
          <w:numId w:val="67"/>
        </w:numPr>
        <w:rPr>
          <w:rFonts w:ascii="Arial" w:cs="Arial" w:eastAsia="Arial" w:hAnsi="Arial"/>
          <w:sz w:val="17"/>
          <w:szCs w:val="17"/>
          <w:color w:val="auto"/>
        </w:rPr>
      </w:pPr>
      <w:r>
        <w:rPr>
          <w:rFonts w:ascii="Arial" w:cs="Arial" w:eastAsia="Arial" w:hAnsi="Arial"/>
          <w:sz w:val="21"/>
          <w:szCs w:val="21"/>
          <w:color w:val="auto"/>
        </w:rPr>
        <w:t>The shares of the Company’s Common Stock purchasable by Participants under the Sub-Plan shall be made available from shares reserved under the U.S. Plan and any shares issued under the Sub-Plan will reduce, on a share-for-share basis, the number of shares of Stock available for subsequent issuance under the U.S. Plan.</w:t>
      </w:r>
    </w:p>
    <w:p>
      <w:pPr>
        <w:spacing w:after="0" w:line="2" w:lineRule="exact"/>
        <w:rPr>
          <w:rFonts w:ascii="Arial" w:cs="Arial" w:eastAsia="Arial" w:hAnsi="Arial"/>
          <w:sz w:val="17"/>
          <w:szCs w:val="17"/>
          <w:color w:val="auto"/>
        </w:rPr>
      </w:pPr>
    </w:p>
    <w:p>
      <w:pPr>
        <w:ind w:left="2160" w:hanging="855"/>
        <w:spacing w:after="0"/>
        <w:tabs>
          <w:tab w:leader="none" w:pos="2160" w:val="left"/>
        </w:tabs>
        <w:numPr>
          <w:ilvl w:val="1"/>
          <w:numId w:val="67"/>
        </w:numPr>
        <w:rPr>
          <w:rFonts w:ascii="Arial" w:cs="Arial" w:eastAsia="Arial" w:hAnsi="Arial"/>
          <w:sz w:val="16"/>
          <w:szCs w:val="16"/>
          <w:color w:val="auto"/>
        </w:rPr>
      </w:pPr>
      <w:r>
        <w:rPr>
          <w:rFonts w:ascii="Arial" w:cs="Arial" w:eastAsia="Arial" w:hAnsi="Arial"/>
          <w:sz w:val="19"/>
          <w:szCs w:val="19"/>
          <w:color w:val="auto"/>
        </w:rPr>
        <w:t>The Participant will have no interest or voting right in shares covered by his or her option until such option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has been exercised.</w:t>
      </w:r>
    </w:p>
    <w:p>
      <w:pPr>
        <w:spacing w:after="0" w:line="17" w:lineRule="exact"/>
        <w:rPr>
          <w:rFonts w:ascii="Arial" w:cs="Arial" w:eastAsia="Arial" w:hAnsi="Arial"/>
          <w:sz w:val="16"/>
          <w:szCs w:val="16"/>
          <w:color w:val="auto"/>
        </w:rPr>
      </w:pPr>
    </w:p>
    <w:p>
      <w:pPr>
        <w:ind w:right="120" w:firstLine="1305"/>
        <w:spacing w:after="0" w:line="249" w:lineRule="auto"/>
        <w:tabs>
          <w:tab w:leader="none" w:pos="2144" w:val="left"/>
        </w:tabs>
        <w:numPr>
          <w:ilvl w:val="1"/>
          <w:numId w:val="67"/>
        </w:numPr>
        <w:rPr>
          <w:rFonts w:ascii="Arial" w:cs="Arial" w:eastAsia="Arial" w:hAnsi="Arial"/>
          <w:sz w:val="18"/>
          <w:szCs w:val="18"/>
          <w:color w:val="auto"/>
        </w:rPr>
      </w:pPr>
      <w:r>
        <w:rPr>
          <w:rFonts w:ascii="Arial" w:cs="Arial" w:eastAsia="Arial" w:hAnsi="Arial"/>
          <w:sz w:val="22"/>
          <w:szCs w:val="22"/>
          <w:color w:val="auto"/>
        </w:rPr>
        <w:t>Shares to be delivered to a Participant under the Sub-Plan will be registered in the name of the Participant or in the name of the Participant and his or her spouse.</w:t>
      </w:r>
    </w:p>
    <w:p>
      <w:pPr>
        <w:spacing w:after="0" w:line="1" w:lineRule="exact"/>
        <w:rPr>
          <w:rFonts w:ascii="Arial" w:cs="Arial" w:eastAsia="Arial" w:hAnsi="Arial"/>
          <w:sz w:val="18"/>
          <w:szCs w:val="18"/>
          <w:color w:val="auto"/>
        </w:rPr>
      </w:pPr>
    </w:p>
    <w:p>
      <w:pPr>
        <w:ind w:right="280" w:firstLine="656"/>
        <w:spacing w:after="0" w:line="251"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Sub-Plan shall be administered in accordance with Section 14 of the U.S. Plan. The Board may adopt rules or procedures relating to the operation and administration of the Sub-Plan to accommodate the specific requirements of the law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08" w:name="page109"/>
    <w:bookmarkEnd w:id="108"/>
    <w:p>
      <w:pPr>
        <w:spacing w:after="0" w:line="285" w:lineRule="auto"/>
        <w:rPr>
          <w:sz w:val="20"/>
          <w:szCs w:val="20"/>
          <w:color w:val="auto"/>
        </w:rPr>
      </w:pPr>
      <w:r>
        <w:rPr>
          <w:rFonts w:ascii="Arial" w:cs="Arial" w:eastAsia="Arial" w:hAnsi="Arial"/>
          <w:sz w:val="19"/>
          <w:szCs w:val="19"/>
          <w:color w:val="auto"/>
        </w:rPr>
        <w:t>procedures of applicable jurisdictions. Without limiting the generality of the foregoing, the Board is specifically authorized to adopt rules and procedures regarding handling of payroll deductions or other approved contributions, payment of interest, conversion of local currency, payroll tax, withholding procedures and handling of stock certificates that vary with local requirements. The Board may also adopt rules, procedures or sub-plans applicable to particular Affiliates or jurisdictions. The rules of such sub-plans may take precedence over other provisions of this Sub-Plan, with the exception of Section 11 of the Sub-Plan, but unless otherwise superseded by the terms of such sub-plan, the provisions of the Sub-Plan shall govern the operation of such sub-plan.</w:t>
      </w:r>
    </w:p>
    <w:p>
      <w:pPr>
        <w:spacing w:after="0" w:line="1" w:lineRule="exact"/>
        <w:rPr>
          <w:sz w:val="20"/>
          <w:szCs w:val="20"/>
          <w:color w:val="auto"/>
        </w:rPr>
      </w:pPr>
    </w:p>
    <w:p>
      <w:pPr>
        <w:ind w:firstLine="656"/>
        <w:spacing w:after="0" w:line="283" w:lineRule="auto"/>
        <w:tabs>
          <w:tab w:leader="none" w:pos="1521" w:val="left"/>
        </w:tabs>
        <w:numPr>
          <w:ilvl w:val="0"/>
          <w:numId w:val="68"/>
        </w:numPr>
        <w:rPr>
          <w:rFonts w:ascii="Arial" w:cs="Arial" w:eastAsia="Arial" w:hAnsi="Arial"/>
          <w:sz w:val="16"/>
          <w:szCs w:val="16"/>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Neither payroll deductions nor other funds credited to a Participant’s account nor any rights with regard to the exercise of an option or to receive shares under the Sub-Plan may be assigned, transferred, pledged or otherwise disposed of in any way (other than by will, the laws of descent and distribution or as provided in Section 15 of the U.S. Plan) by the Participant. Any such attempt at assignment, transfer, pledge or other disposition shall be without effect, except that the Company may treat such act as an election to withdraw funds in accordance with Section 11 of the U.S. Plan. In order to comply with local law (including, without limitation, local securities and applicable exchange laws), the Company may require a Participant to retain the shares purchased on his or her behalf in a Company account or an account of a designated broker until the sale of such shares.</w:t>
      </w:r>
    </w:p>
    <w:p>
      <w:pPr>
        <w:spacing w:after="0" w:line="6" w:lineRule="exact"/>
        <w:rPr>
          <w:rFonts w:ascii="Arial" w:cs="Arial" w:eastAsia="Arial" w:hAnsi="Arial"/>
          <w:sz w:val="16"/>
          <w:szCs w:val="16"/>
          <w:color w:val="auto"/>
        </w:rPr>
      </w:pPr>
    </w:p>
    <w:p>
      <w:pPr>
        <w:ind w:right="100" w:firstLine="656"/>
        <w:spacing w:after="0" w:line="247"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payroll deductions or other approved contributions received or held by the Company under the Sub-Plan may be used by the Company for any corporate purpose, and the Company shall not be obligated to segregate such payroll deductions or other approved contributions unless required by local law.</w:t>
      </w:r>
    </w:p>
    <w:p>
      <w:pPr>
        <w:spacing w:after="0" w:line="2" w:lineRule="exact"/>
        <w:rPr>
          <w:rFonts w:ascii="Arial" w:cs="Arial" w:eastAsia="Arial" w:hAnsi="Arial"/>
          <w:sz w:val="18"/>
          <w:szCs w:val="18"/>
          <w:color w:val="auto"/>
        </w:rPr>
      </w:pPr>
    </w:p>
    <w:p>
      <w:pPr>
        <w:ind w:right="20" w:firstLine="656"/>
        <w:spacing w:after="0" w:line="246"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Individual accounts will be maintained for each Participant in the Sub-Plan. Statements of account will be given to participating Employees annually promptly following the Exercise Date, which statements will set forth the amounts of payroll deductions or other approved contributions, the per share purchase price, the number of shares purchased and the remaining cash balance refunded or to be refunded, if any.</w:t>
      </w:r>
    </w:p>
    <w:p>
      <w:pPr>
        <w:spacing w:after="0" w:line="2" w:lineRule="exact"/>
        <w:rPr>
          <w:rFonts w:ascii="Arial" w:cs="Arial" w:eastAsia="Arial" w:hAnsi="Arial"/>
          <w:sz w:val="18"/>
          <w:szCs w:val="18"/>
          <w:color w:val="auto"/>
        </w:rPr>
      </w:pPr>
    </w:p>
    <w:p>
      <w:pPr>
        <w:ind w:right="20" w:firstLine="656"/>
        <w:spacing w:after="0" w:line="310" w:lineRule="auto"/>
        <w:tabs>
          <w:tab w:leader="none" w:pos="1521" w:val="left"/>
        </w:tabs>
        <w:numPr>
          <w:ilvl w:val="0"/>
          <w:numId w:val="68"/>
        </w:numPr>
        <w:rPr>
          <w:rFonts w:ascii="Arial" w:cs="Arial" w:eastAsia="Arial" w:hAnsi="Arial"/>
          <w:sz w:val="16"/>
          <w:szCs w:val="16"/>
          <w:color w:val="auto"/>
        </w:rPr>
      </w:pPr>
      <w:r>
        <w:rPr>
          <w:rFonts w:ascii="Arial" w:cs="Arial" w:eastAsia="Arial" w:hAnsi="Arial"/>
          <w:sz w:val="19"/>
          <w:szCs w:val="19"/>
          <w:u w:val="single" w:color="auto"/>
          <w:color w:val="auto"/>
        </w:rPr>
        <w:t>Amendment or Termination</w:t>
      </w:r>
      <w:r>
        <w:rPr>
          <w:rFonts w:ascii="Arial" w:cs="Arial" w:eastAsia="Arial" w:hAnsi="Arial"/>
          <w:sz w:val="19"/>
          <w:szCs w:val="19"/>
          <w:color w:val="auto"/>
        </w:rPr>
        <w:t>. The Board of Directors of the Company or its Committee appointed pursuant to the U.S. Plan may at any time terminate or amend the Sub-Plan. No such termination can affect options previously granted, nor may an amendment make any change in any option theretofore granted which adversely affects the rights of any participant.</w:t>
      </w:r>
    </w:p>
    <w:p>
      <w:pPr>
        <w:spacing w:after="0" w:line="135" w:lineRule="exact"/>
        <w:rPr>
          <w:sz w:val="20"/>
          <w:szCs w:val="20"/>
          <w:color w:val="auto"/>
        </w:rPr>
      </w:pPr>
    </w:p>
    <w:p>
      <w:pPr>
        <w:ind w:right="60" w:firstLine="1297"/>
        <w:spacing w:after="0" w:line="259" w:lineRule="auto"/>
        <w:rPr>
          <w:sz w:val="20"/>
          <w:szCs w:val="20"/>
          <w:color w:val="auto"/>
        </w:rPr>
      </w:pPr>
      <w:r>
        <w:rPr>
          <w:rFonts w:ascii="Arial" w:cs="Arial" w:eastAsia="Arial" w:hAnsi="Arial"/>
          <w:sz w:val="21"/>
          <w:szCs w:val="21"/>
          <w:color w:val="auto"/>
        </w:rPr>
        <w:t>Notwithstanding any provision of the U.S. Plan or this Sub-Plan to the contrary, in order to comply with the laws in other countries in which the Company and its Subsidiaries operate or have participants, the Company, by action of its duly authorized officers, in their sole discretion, shall have the power and authority at any time to establish “offering document” and similar addendums to this Sub-Plan to modify administrative procedures and other terms and procedures, to the extent such actions may be necessary or advisable and take any action that it deems advisable to obtain approval or comply with any necessary local governmental regulatory exemptions or approvals. Notwithstanding the foregoing, no action may be taken hereunder that would violate the Exchange Act, the Code, any securities law or governing statute or any other applicable law or cause the U.S. Plan not to comply with Section 423 of the Code.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75" w:right="259" w:bottom="1440" w:gutter="0" w:footer="0" w:header="0"/>
        </w:sectPr>
      </w:pPr>
    </w:p>
    <w:bookmarkStart w:id="109" w:name="page110"/>
    <w:bookmarkEnd w:id="109"/>
    <w:p>
      <w:pPr>
        <w:ind w:left="660" w:right="40" w:firstLine="645"/>
        <w:spacing w:after="0" w:line="253" w:lineRule="auto"/>
        <w:tabs>
          <w:tab w:leader="none" w:pos="2182" w:val="left"/>
        </w:tabs>
        <w:numPr>
          <w:ilvl w:val="1"/>
          <w:numId w:val="69"/>
        </w:numPr>
        <w:rPr>
          <w:rFonts w:ascii="Arial" w:cs="Arial" w:eastAsia="Arial" w:hAnsi="Arial"/>
          <w:sz w:val="18"/>
          <w:szCs w:val="18"/>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Sub-Plan shall be deemed to have been duly given when received in the form specified by the Company at the location, or by the person, designated by the Company for the receipt thereof.</w:t>
      </w:r>
    </w:p>
    <w:p>
      <w:pPr>
        <w:spacing w:after="0" w:line="1" w:lineRule="exact"/>
        <w:rPr>
          <w:rFonts w:ascii="Arial" w:cs="Arial" w:eastAsia="Arial" w:hAnsi="Arial"/>
          <w:sz w:val="18"/>
          <w:szCs w:val="18"/>
          <w:color w:val="auto"/>
        </w:rPr>
      </w:pPr>
    </w:p>
    <w:p>
      <w:pPr>
        <w:ind w:right="420" w:firstLine="656"/>
        <w:spacing w:after="0" w:line="249" w:lineRule="auto"/>
        <w:tabs>
          <w:tab w:leader="none" w:pos="1521" w:val="left"/>
        </w:tabs>
        <w:numPr>
          <w:ilvl w:val="0"/>
          <w:numId w:val="70"/>
        </w:numPr>
        <w:rPr>
          <w:rFonts w:ascii="Arial" w:cs="Arial" w:eastAsia="Arial" w:hAnsi="Arial"/>
          <w:sz w:val="18"/>
          <w:szCs w:val="18"/>
          <w:color w:val="auto"/>
        </w:rPr>
      </w:pPr>
      <w:r>
        <w:rPr>
          <w:rFonts w:ascii="Arial" w:cs="Arial" w:eastAsia="Arial" w:hAnsi="Arial"/>
          <w:sz w:val="22"/>
          <w:szCs w:val="22"/>
          <w:u w:val="single" w:color="auto"/>
          <w:color w:val="auto"/>
        </w:rPr>
        <w:t>Term of Sub-Plan</w:t>
      </w:r>
      <w:r>
        <w:rPr>
          <w:rFonts w:ascii="Arial" w:cs="Arial" w:eastAsia="Arial" w:hAnsi="Arial"/>
          <w:sz w:val="22"/>
          <w:szCs w:val="22"/>
          <w:color w:val="auto"/>
        </w:rPr>
        <w:t>. The Sub-Plan became effective on December 6, 2007, and shall continue in effect until the expiration or termination of the U.S. Plan.</w:t>
      </w:r>
    </w:p>
    <w:p>
      <w:pPr>
        <w:spacing w:after="0" w:line="1" w:lineRule="exact"/>
        <w:rPr>
          <w:rFonts w:ascii="Arial" w:cs="Arial" w:eastAsia="Arial" w:hAnsi="Arial"/>
          <w:sz w:val="18"/>
          <w:szCs w:val="18"/>
          <w:color w:val="auto"/>
        </w:rPr>
      </w:pPr>
    </w:p>
    <w:p>
      <w:pPr>
        <w:ind w:firstLine="656"/>
        <w:spacing w:after="0" w:line="262" w:lineRule="auto"/>
        <w:tabs>
          <w:tab w:leader="none" w:pos="1521" w:val="left"/>
        </w:tabs>
        <w:numPr>
          <w:ilvl w:val="0"/>
          <w:numId w:val="70"/>
        </w:numPr>
        <w:rPr>
          <w:rFonts w:ascii="Arial" w:cs="Arial" w:eastAsia="Arial" w:hAnsi="Arial"/>
          <w:sz w:val="17"/>
          <w:szCs w:val="17"/>
          <w:color w:val="auto"/>
        </w:rPr>
      </w:pPr>
      <w:r>
        <w:rPr>
          <w:rFonts w:ascii="Arial" w:cs="Arial" w:eastAsia="Arial" w:hAnsi="Arial"/>
          <w:sz w:val="21"/>
          <w:szCs w:val="21"/>
          <w:u w:val="single" w:color="auto"/>
          <w:color w:val="auto"/>
        </w:rPr>
        <w:t>Governing Laws</w:t>
      </w:r>
      <w:r>
        <w:rPr>
          <w:rFonts w:ascii="Arial" w:cs="Arial" w:eastAsia="Arial" w:hAnsi="Arial"/>
          <w:sz w:val="21"/>
          <w:szCs w:val="21"/>
          <w:color w:val="auto"/>
        </w:rPr>
        <w:t>. Except as otherwise expressly required under the laws of the local jurisdiction, the Sub-Plan and all rights hereunder shall be governed by and construed in accordance with the laws of the state of California, United States of America without resort to that state’s conflict-of-laws rules. Should any provision of this Sub-Plan be determined by a court of competent jurisdiction to be unlawful or unenforceable for a country, such determination shall in no way affect the application of that provision in any other country, or any of the remaining provisions of the Sub-Plan.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Countries with Eligible Employees of Affiliates Participating in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Employee Stock Purchase Plan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368"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2014</w:t>
            </w:r>
          </w:p>
        </w:tc>
        <w:tc>
          <w:tcPr>
            <w:tcW w:w="3760" w:type="dxa"/>
            <w:vAlign w:val="bottom"/>
          </w:tcPr>
          <w:p>
            <w:pPr>
              <w:spacing w:after="0"/>
              <w:rPr>
                <w:sz w:val="24"/>
                <w:szCs w:val="24"/>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 (Nova Scotia)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 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 (Delaware)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Saudia Arabia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Unipessoal, Lda.</w:t>
            </w:r>
          </w:p>
        </w:tc>
        <w:tc>
          <w:tcPr>
            <w:tcW w:w="3760" w:type="dxa"/>
            <w:vAlign w:val="bottom"/>
          </w:tcPr>
          <w:p>
            <w:pPr>
              <w:ind w:left="40"/>
              <w:spacing w:after="0"/>
              <w:rPr>
                <w:sz w:val="20"/>
                <w:szCs w:val="20"/>
                <w:color w:val="auto"/>
              </w:rPr>
            </w:pPr>
            <w:r>
              <w:rPr>
                <w:rFonts w:ascii="Arial" w:cs="Arial" w:eastAsia="Arial" w:hAnsi="Arial"/>
                <w:sz w:val="18"/>
                <w:szCs w:val="18"/>
                <w:color w:val="auto"/>
              </w:rPr>
              <w:t>Portugal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Spol. S.R.O.</w:t>
            </w:r>
          </w:p>
        </w:tc>
        <w:tc>
          <w:tcPr>
            <w:tcW w:w="3760" w:type="dxa"/>
            <w:vAlign w:val="bottom"/>
          </w:tcPr>
          <w:p>
            <w:pPr>
              <w:ind w:left="40"/>
              <w:spacing w:after="0"/>
              <w:rPr>
                <w:sz w:val="20"/>
                <w:szCs w:val="20"/>
                <w:color w:val="auto"/>
              </w:rPr>
            </w:pPr>
            <w:r>
              <w:rPr>
                <w:rFonts w:ascii="Arial" w:cs="Arial" w:eastAsia="Arial" w:hAnsi="Arial"/>
                <w:sz w:val="18"/>
                <w:szCs w:val="18"/>
                <w:color w:val="auto"/>
              </w:rPr>
              <w:t>Czech Republic</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Strategies Ltd. *</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Taiwan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Taiwan</w:t>
            </w:r>
          </w:p>
        </w:tc>
      </w:tr>
      <w:tr>
        <w:trPr>
          <w:trHeight w:val="256"/>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Yazilim Hizmetleri Ticaret Limited Sirketi</w:t>
            </w:r>
          </w:p>
        </w:tc>
        <w:tc>
          <w:tcPr>
            <w:tcW w:w="3760" w:type="dxa"/>
            <w:vAlign w:val="bottom"/>
          </w:tcPr>
          <w:p>
            <w:pPr>
              <w:spacing w:after="0"/>
              <w:rPr>
                <w:sz w:val="22"/>
                <w:szCs w:val="22"/>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 Sirketi)</w:t>
            </w:r>
          </w:p>
        </w:tc>
        <w:tc>
          <w:tcPr>
            <w:tcW w:w="3760" w:type="dxa"/>
            <w:vAlign w:val="bottom"/>
          </w:tcPr>
          <w:p>
            <w:pPr>
              <w:ind w:left="40"/>
              <w:spacing w:after="0"/>
              <w:rPr>
                <w:sz w:val="20"/>
                <w:szCs w:val="20"/>
                <w:color w:val="auto"/>
              </w:rPr>
            </w:pPr>
            <w:r>
              <w:rPr>
                <w:rFonts w:ascii="Arial" w:cs="Arial" w:eastAsia="Arial" w:hAnsi="Arial"/>
                <w:sz w:val="18"/>
                <w:szCs w:val="18"/>
                <w:color w:val="auto"/>
              </w:rPr>
              <w:t>Turkey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Spain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Blue Ridge Numerics, Inc.*</w:t>
            </w:r>
          </w:p>
        </w:tc>
        <w:tc>
          <w:tcPr>
            <w:tcW w:w="3760" w:type="dxa"/>
            <w:vAlign w:val="bottom"/>
          </w:tcPr>
          <w:p>
            <w:pPr>
              <w:ind w:left="40"/>
              <w:spacing w:after="0"/>
              <w:rPr>
                <w:sz w:val="20"/>
                <w:szCs w:val="20"/>
                <w:color w:val="auto"/>
              </w:rPr>
            </w:pPr>
            <w:r>
              <w:rPr>
                <w:rFonts w:ascii="Arial" w:cs="Arial" w:eastAsia="Arial" w:hAnsi="Arial"/>
                <w:sz w:val="18"/>
                <w:szCs w:val="18"/>
                <w:color w:val="auto"/>
              </w:rPr>
              <w:t>U.S. (Virginia)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Cfdesign Software India Private Limited *</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Firehole Technologies, Inc. *</w:t>
            </w:r>
          </w:p>
        </w:tc>
        <w:tc>
          <w:tcPr>
            <w:tcW w:w="3760" w:type="dxa"/>
            <w:vAlign w:val="bottom"/>
          </w:tcPr>
          <w:p>
            <w:pPr>
              <w:ind w:left="40"/>
              <w:spacing w:after="0"/>
              <w:rPr>
                <w:sz w:val="20"/>
                <w:szCs w:val="20"/>
                <w:color w:val="auto"/>
              </w:rPr>
            </w:pPr>
            <w:r>
              <w:rPr>
                <w:rFonts w:ascii="Arial" w:cs="Arial" w:eastAsia="Arial" w:hAnsi="Arial"/>
                <w:sz w:val="18"/>
                <w:szCs w:val="18"/>
                <w:color w:val="auto"/>
              </w:rPr>
              <w:t>U.S. (Wyoming)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Graitec SAS*</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12" w:name="page113"/>
    <w:bookmarkEnd w:id="112"/>
    <w:p>
      <w:pPr>
        <w:ind w:left="40"/>
        <w:spacing w:after="0"/>
        <w:rPr>
          <w:sz w:val="20"/>
          <w:szCs w:val="20"/>
          <w:color w:val="auto"/>
        </w:rPr>
      </w:pPr>
      <w:r>
        <w:rPr>
          <w:rFonts w:ascii="Arial" w:cs="Arial" w:eastAsia="Arial" w:hAnsi="Arial"/>
          <w:sz w:val="18"/>
          <w:szCs w:val="18"/>
          <w:color w:val="auto"/>
        </w:rPr>
        <w:t>Graitec GmbH*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Hanna Strategies Holdings, Inc.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Limited Liability Company Autodesk (CIS)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Micro Application Packages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(Europe)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B.V.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International Pty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Netherlands Limited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Pty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Moldflow Singapore Pte Ltd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Umber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SCI Topole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U.S.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U.S. (Delaware)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0" w:lineRule="exact"/>
        <w:rPr>
          <w:sz w:val="20"/>
          <w:szCs w:val="20"/>
          <w:color w:val="auto"/>
        </w:rPr>
      </w:pPr>
    </w:p>
    <w:p>
      <w:pPr>
        <w:sectPr>
          <w:pgSz w:w="11900" w:h="16838" w:orient="portrait"/>
          <w:cols w:equalWidth="0" w:num="2">
            <w:col w:w="6980" w:space="720"/>
            <w:col w:w="2519"/>
          </w:cols>
          <w:pgMar w:left="240" w:top="746" w:right="1440"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Inactive subsidiaries / subsidiaries scheduled to be wound up.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746" w:right="1440"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33-39458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33-51110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333-15037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333-92539</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333-133015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Emerging Solutions, Inc. 1999 Equity Ownership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333-153372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2000 Directors'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333-169137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333-185265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10, 2014, with respect to the consolidated financial statements and schedule of Autodesk, Inc., and the effectiveness of internal control over financial reporting of Autodesk, Inc., included in this Annual Report (Form 10-K) of Autodesk, Inc. for the year ended January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ectPr>
          <w:pgSz w:w="11900" w:h="16838" w:orient="portrait"/>
          <w:cols w:equalWidth="0" w:num="1">
            <w:col w:w="11420"/>
          </w:cols>
          <w:pgMar w:left="240" w:top="9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ectPr>
          <w:pgSz w:w="11900" w:h="16838" w:orient="portrait"/>
          <w:cols w:equalWidth="0" w:num="1">
            <w:col w:w="11420"/>
          </w:cols>
          <w:pgMar w:left="240" w:top="9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10-K for the annual period ended January 31, 2014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10-K for the annual period ended January 31, 2014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lowerLetter"/>
      <w:start w:val="1"/>
    </w:lvl>
    <w:lvl w:ilvl="1">
      <w:lvlJc w:val="left"/>
      <w:lvlText w:val="%2."/>
      <w:numFmt w:val="decimal"/>
      <w:start w:val="1"/>
    </w:lvl>
  </w:abstractNum>
  <w:abstractNum w:abstractNumId="53">
    <w:nsid w:val="310C50B3"/>
    <w:multiLevelType w:val="hybridMultilevel"/>
    <w:lvl w:ilvl="0">
      <w:lvlJc w:val="left"/>
      <w:lvlText w:val="%1"/>
      <w:numFmt w:val="lowerLetter"/>
      <w:start w:val="1"/>
    </w:lvl>
    <w:lvl w:ilvl="1">
      <w:lvlJc w:val="left"/>
      <w:lvlText w:val="%2."/>
      <w:numFmt w:val="decimal"/>
      <w:start w:val="3"/>
    </w:lvl>
  </w:abstractNum>
  <w:abstractNum w:abstractNumId="54">
    <w:nsid w:val="5FF87E05"/>
    <w:multiLevelType w:val="hybridMultilevel"/>
    <w:lvl w:ilvl="0">
      <w:lvlJc w:val="left"/>
      <w:lvlText w:val="(%1)"/>
      <w:numFmt w:val="lowerLetter"/>
      <w:start w:val="2"/>
    </w:lvl>
    <w:lvl w:ilvl="1">
      <w:lvlJc w:val="left"/>
      <w:lvlText w:val="%2"/>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2"/>
    </w:lvl>
  </w:abstractNum>
  <w:abstractNum w:abstractNumId="61">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100F8FC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3">
    <w:nsid w:val="6590700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4">
    <w:nsid w:val="15014ACB"/>
    <w:multiLevelType w:val="hybridMultilevel"/>
    <w:lvl w:ilvl="0">
      <w:lvlJc w:val="left"/>
      <w:lvlText w:val="%1."/>
      <w:numFmt w:val="decimal"/>
      <w:start w:val="4"/>
    </w:lvl>
    <w:lvl w:ilvl="1">
      <w:lvlJc w:val="left"/>
      <w:lvlText w:val="(%2)"/>
      <w:numFmt w:val="lowerLetter"/>
      <w:start w:val="1"/>
    </w:lvl>
  </w:abstractNum>
  <w:abstractNum w:abstractNumId="65">
    <w:nsid w:val="5F5E7FD0"/>
    <w:multiLevelType w:val="hybridMultilevel"/>
    <w:lvl w:ilvl="0">
      <w:lvlJc w:val="left"/>
      <w:lvlText w:val="%1"/>
      <w:numFmt w:val="decimal"/>
      <w:start w:val="1"/>
    </w:lvl>
    <w:lvl w:ilvl="1">
      <w:lvlJc w:val="left"/>
      <w:lvlText w:val="(%2)"/>
      <w:numFmt w:val="lowerLetter"/>
      <w:start w:val="2"/>
    </w:lvl>
  </w:abstractNum>
  <w:abstractNum w:abstractNumId="66">
    <w:nsid w:val="98A3148"/>
    <w:multiLevelType w:val="hybridMultilevel"/>
    <w:lvl w:ilvl="0">
      <w:lvlJc w:val="left"/>
      <w:lvlText w:val="%1."/>
      <w:numFmt w:val="decimal"/>
      <w:start w:val="9"/>
    </w:lvl>
    <w:lvl w:ilvl="1">
      <w:lvlJc w:val="left"/>
      <w:lvlText w:val="(%2)"/>
      <w:numFmt w:val="lowerLetter"/>
      <w:start w:val="1"/>
    </w:lvl>
  </w:abstractNum>
  <w:abstractNum w:abstractNumId="67">
    <w:nsid w:val="799D0247"/>
    <w:multiLevelType w:val="hybridMultilevel"/>
    <w:lvl w:ilvl="0">
      <w:lvlJc w:val="left"/>
      <w:lvlText w:val="%1."/>
      <w:numFmt w:val="decimal"/>
      <w:start w:val="13"/>
    </w:lvl>
  </w:abstractNum>
  <w:abstractNum w:abstractNumId="68">
    <w:nsid w:val="6B94764"/>
    <w:multiLevelType w:val="hybridMultilevel"/>
    <w:lvl w:ilvl="0">
      <w:lvlJc w:val="left"/>
      <w:lvlText w:val="%1"/>
      <w:numFmt w:val="decimal"/>
      <w:start w:val="1"/>
    </w:lvl>
    <w:lvl w:ilvl="1">
      <w:lvlJc w:val="left"/>
      <w:lvlText w:val="%2."/>
      <w:numFmt w:val="decimal"/>
      <w:start w:val="17"/>
    </w:lvl>
  </w:abstractNum>
  <w:abstractNum w:abstractNumId="69">
    <w:nsid w:val="42C296BD"/>
    <w:multiLevelType w:val="hybridMultilevel"/>
    <w:lvl w:ilvl="0">
      <w:lvlJc w:val="left"/>
      <w:lvlText w:val="%1."/>
      <w:numFmt w:val="decimal"/>
      <w:start w:val="18"/>
    </w:lvl>
    <w:lvl w:ilvl="1">
      <w:lvlJc w:val="left"/>
      <w:lvlText w:val="%2"/>
      <w:numFmt w:val="decimal"/>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5"/>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2019-12-05T21:08:14Z</dcterms:created>
  <dcterms:modified xsi:type="dcterms:W3CDTF">2019-12-05T21:08:14Z</dcterms:modified>
</cp:coreProperties>
</file>